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877F1" w14:textId="77777777" w:rsidR="00E92F34" w:rsidRPr="00D6335A" w:rsidRDefault="00E92F34" w:rsidP="00E92F34">
      <w:pPr>
        <w:spacing w:before="120" w:after="120" w:line="360" w:lineRule="auto"/>
        <w:jc w:val="center"/>
        <w:rPr>
          <w:rFonts w:ascii="Times New Roman" w:hAnsi="Times New Roman"/>
          <w:b/>
          <w:sz w:val="24"/>
          <w:szCs w:val="24"/>
        </w:rPr>
      </w:pPr>
      <w:r w:rsidRPr="00D6335A">
        <w:rPr>
          <w:rFonts w:ascii="Times New Roman" w:hAnsi="Times New Roman"/>
          <w:b/>
          <w:sz w:val="24"/>
          <w:szCs w:val="24"/>
        </w:rPr>
        <w:t>UZASADNIENIE</w:t>
      </w:r>
    </w:p>
    <w:p w14:paraId="35360711" w14:textId="75C42BFA" w:rsidR="000A495E" w:rsidRPr="00DD423A" w:rsidRDefault="006A22BF" w:rsidP="00636938">
      <w:pPr>
        <w:pStyle w:val="CZWSPPKTczwsplnapunktw"/>
        <w:spacing w:after="120"/>
        <w:rPr>
          <w:rFonts w:ascii="Times New Roman" w:hAnsi="Times New Roman" w:cs="Times New Roman"/>
          <w:szCs w:val="24"/>
        </w:rPr>
      </w:pPr>
      <w:r w:rsidRPr="00D6335A">
        <w:rPr>
          <w:rFonts w:ascii="Times New Roman" w:hAnsi="Times New Roman" w:cs="Times New Roman"/>
          <w:szCs w:val="24"/>
        </w:rPr>
        <w:t>C</w:t>
      </w:r>
      <w:r w:rsidR="001950FE">
        <w:rPr>
          <w:rFonts w:ascii="Times New Roman" w:hAnsi="Times New Roman" w:cs="Times New Roman"/>
          <w:szCs w:val="24"/>
        </w:rPr>
        <w:t>elem nowelizacji (w zakresie art. 12</w:t>
      </w:r>
      <w:r w:rsidR="00554E06">
        <w:rPr>
          <w:rFonts w:ascii="Times New Roman" w:hAnsi="Times New Roman" w:cs="Times New Roman"/>
          <w:szCs w:val="24"/>
        </w:rPr>
        <w:t>a</w:t>
      </w:r>
      <w:r w:rsidR="006506F2">
        <w:rPr>
          <w:rFonts w:ascii="Times New Roman" w:hAnsi="Times New Roman" w:cs="Times New Roman"/>
          <w:szCs w:val="24"/>
        </w:rPr>
        <w:t>,</w:t>
      </w:r>
      <w:r w:rsidR="00381240">
        <w:rPr>
          <w:rFonts w:ascii="Times New Roman" w:hAnsi="Times New Roman" w:cs="Times New Roman"/>
          <w:szCs w:val="24"/>
        </w:rPr>
        <w:t xml:space="preserve"> art. 19</w:t>
      </w:r>
      <w:r w:rsidR="00DA54C7">
        <w:rPr>
          <w:rFonts w:ascii="Times New Roman" w:hAnsi="Times New Roman" w:cs="Times New Roman"/>
          <w:szCs w:val="24"/>
        </w:rPr>
        <w:t>–</w:t>
      </w:r>
      <w:r w:rsidR="00381240">
        <w:rPr>
          <w:rFonts w:ascii="Times New Roman" w:hAnsi="Times New Roman" w:cs="Times New Roman"/>
          <w:szCs w:val="24"/>
        </w:rPr>
        <w:t>27</w:t>
      </w:r>
      <w:r w:rsidR="006506F2">
        <w:rPr>
          <w:rFonts w:ascii="Times New Roman" w:hAnsi="Times New Roman" w:cs="Times New Roman"/>
          <w:szCs w:val="24"/>
        </w:rPr>
        <w:t xml:space="preserve"> oraz</w:t>
      </w:r>
      <w:r w:rsidR="00554E06">
        <w:rPr>
          <w:rFonts w:ascii="Times New Roman" w:hAnsi="Times New Roman" w:cs="Times New Roman"/>
          <w:szCs w:val="24"/>
        </w:rPr>
        <w:t xml:space="preserve"> art. … (przepis epizodyczny</w:t>
      </w:r>
      <w:r w:rsidR="001950FE">
        <w:rPr>
          <w:rFonts w:ascii="Times New Roman" w:hAnsi="Times New Roman" w:cs="Times New Roman"/>
          <w:szCs w:val="24"/>
        </w:rPr>
        <w:t>)</w:t>
      </w:r>
      <w:r w:rsidR="00554E06">
        <w:rPr>
          <w:rFonts w:ascii="Times New Roman" w:hAnsi="Times New Roman" w:cs="Times New Roman"/>
          <w:szCs w:val="24"/>
        </w:rPr>
        <w:t>)</w:t>
      </w:r>
      <w:r w:rsidR="001950FE" w:rsidRPr="001950FE">
        <w:rPr>
          <w:rFonts w:ascii="Times New Roman" w:hAnsi="Times New Roman" w:cs="Times New Roman"/>
          <w:szCs w:val="24"/>
        </w:rPr>
        <w:t xml:space="preserve"> </w:t>
      </w:r>
      <w:r w:rsidR="001950FE">
        <w:rPr>
          <w:rFonts w:ascii="Times New Roman" w:hAnsi="Times New Roman" w:cs="Times New Roman"/>
          <w:szCs w:val="24"/>
        </w:rPr>
        <w:t>u</w:t>
      </w:r>
      <w:r w:rsidR="001950FE" w:rsidRPr="001950FE">
        <w:rPr>
          <w:rFonts w:ascii="Times New Roman" w:hAnsi="Times New Roman" w:cs="Times New Roman"/>
          <w:szCs w:val="24"/>
        </w:rPr>
        <w:t xml:space="preserve">stawy </w:t>
      </w:r>
      <w:r w:rsidR="00090EEA" w:rsidRPr="001950FE">
        <w:rPr>
          <w:rFonts w:ascii="Times New Roman" w:hAnsi="Times New Roman" w:cs="Times New Roman"/>
          <w:szCs w:val="24"/>
        </w:rPr>
        <w:t>z</w:t>
      </w:r>
      <w:r w:rsidR="00090EEA">
        <w:rPr>
          <w:rFonts w:ascii="Times New Roman" w:hAnsi="Times New Roman" w:cs="Times New Roman"/>
          <w:szCs w:val="24"/>
        </w:rPr>
        <w:t> </w:t>
      </w:r>
      <w:r w:rsidR="001950FE" w:rsidRPr="001950FE">
        <w:rPr>
          <w:rFonts w:ascii="Times New Roman" w:hAnsi="Times New Roman" w:cs="Times New Roman"/>
          <w:szCs w:val="24"/>
        </w:rPr>
        <w:t xml:space="preserve">dnia 11 stycznia 2018 r. o elektromobilności </w:t>
      </w:r>
      <w:bookmarkStart w:id="0" w:name="_Hlk175906877"/>
      <w:r w:rsidR="001950FE" w:rsidRPr="001950FE">
        <w:rPr>
          <w:rFonts w:ascii="Times New Roman" w:hAnsi="Times New Roman" w:cs="Times New Roman"/>
          <w:szCs w:val="24"/>
        </w:rPr>
        <w:t>i paliwach alternatywnych</w:t>
      </w:r>
      <w:r w:rsidR="00DD5F54">
        <w:rPr>
          <w:rFonts w:ascii="Times New Roman" w:hAnsi="Times New Roman" w:cs="Times New Roman"/>
          <w:szCs w:val="24"/>
        </w:rPr>
        <w:t xml:space="preserve"> </w:t>
      </w:r>
      <w:bookmarkEnd w:id="0"/>
      <w:r w:rsidR="00DD5F54">
        <w:rPr>
          <w:rFonts w:ascii="Times New Roman" w:hAnsi="Times New Roman" w:cs="Times New Roman"/>
          <w:szCs w:val="24"/>
        </w:rPr>
        <w:t>(Dz. U. z 2023 r. poz. 875, 1506, 1681 oraz z 2024 r. poz. 1394, 834 i 1006)</w:t>
      </w:r>
      <w:r w:rsidR="001950FE" w:rsidRPr="001950FE">
        <w:rPr>
          <w:rFonts w:ascii="Times New Roman" w:hAnsi="Times New Roman" w:cs="Times New Roman"/>
          <w:szCs w:val="24"/>
        </w:rPr>
        <w:t xml:space="preserve"> </w:t>
      </w:r>
      <w:r w:rsidR="0070541A" w:rsidRPr="00D6335A">
        <w:rPr>
          <w:rFonts w:ascii="Times New Roman" w:hAnsi="Times New Roman" w:cs="Times New Roman"/>
          <w:szCs w:val="24"/>
        </w:rPr>
        <w:t xml:space="preserve">jest wdrożenie </w:t>
      </w:r>
      <w:r w:rsidR="008B2D92">
        <w:rPr>
          <w:rFonts w:ascii="Times New Roman" w:hAnsi="Times New Roman" w:cs="Times New Roman"/>
          <w:szCs w:val="24"/>
        </w:rPr>
        <w:t xml:space="preserve">postanowień </w:t>
      </w:r>
      <w:r w:rsidR="008B2D92" w:rsidRPr="008B2D92">
        <w:rPr>
          <w:rFonts w:ascii="Times New Roman" w:hAnsi="Times New Roman" w:cs="Times New Roman"/>
          <w:szCs w:val="24"/>
        </w:rPr>
        <w:t xml:space="preserve">dyrektywy Parlamentu Europejskiego i Rady </w:t>
      </w:r>
      <w:r w:rsidR="00337099">
        <w:rPr>
          <w:rFonts w:ascii="Times New Roman" w:hAnsi="Times New Roman" w:cs="Times New Roman"/>
          <w:szCs w:val="24"/>
        </w:rPr>
        <w:t xml:space="preserve">(UE) </w:t>
      </w:r>
      <w:r w:rsidR="008B2D92" w:rsidRPr="008B2D92">
        <w:rPr>
          <w:rFonts w:ascii="Times New Roman" w:hAnsi="Times New Roman" w:cs="Times New Roman"/>
          <w:szCs w:val="24"/>
        </w:rPr>
        <w:t>2024/1275 z dnia 24 kwietnia 2024 r. w</w:t>
      </w:r>
      <w:r w:rsidR="00DA54C7">
        <w:rPr>
          <w:rFonts w:ascii="Times New Roman" w:hAnsi="Times New Roman" w:cs="Times New Roman"/>
          <w:szCs w:val="24"/>
        </w:rPr>
        <w:t> </w:t>
      </w:r>
      <w:r w:rsidR="008B2D92" w:rsidRPr="008B2D92">
        <w:rPr>
          <w:rFonts w:ascii="Times New Roman" w:hAnsi="Times New Roman" w:cs="Times New Roman"/>
          <w:szCs w:val="24"/>
        </w:rPr>
        <w:t>sprawie charakterystyki energetycznej budynków (</w:t>
      </w:r>
      <w:r w:rsidR="00DD5F54" w:rsidRPr="00DD5F54">
        <w:rPr>
          <w:rFonts w:ascii="Times New Roman" w:hAnsi="Times New Roman" w:cs="Times New Roman"/>
          <w:szCs w:val="24"/>
        </w:rPr>
        <w:t>Dz. Urz. UE L 2024/1275 z 08.05.2024</w:t>
      </w:r>
      <w:r w:rsidR="008B2D92" w:rsidRPr="008B2D92">
        <w:rPr>
          <w:rFonts w:ascii="Times New Roman" w:hAnsi="Times New Roman" w:cs="Times New Roman"/>
          <w:szCs w:val="24"/>
        </w:rPr>
        <w:t>), zwanej dalej „dyrektywą 2024/1275”</w:t>
      </w:r>
      <w:r w:rsidR="00174C48">
        <w:rPr>
          <w:rFonts w:ascii="Times New Roman" w:hAnsi="Times New Roman" w:cs="Times New Roman"/>
          <w:szCs w:val="24"/>
        </w:rPr>
        <w:t>.</w:t>
      </w:r>
    </w:p>
    <w:p w14:paraId="359CD0DF" w14:textId="247C70E3" w:rsidR="00646613" w:rsidRPr="0076547B" w:rsidRDefault="000F4B12" w:rsidP="0076547B">
      <w:pPr>
        <w:pStyle w:val="CZWSPPKTczwsplnapunktw"/>
        <w:spacing w:after="120"/>
        <w:rPr>
          <w:rFonts w:ascii="Times New Roman" w:hAnsi="Times New Roman" w:cs="Times New Roman"/>
          <w:szCs w:val="24"/>
        </w:rPr>
      </w:pPr>
      <w:r>
        <w:rPr>
          <w:rFonts w:ascii="Times New Roman" w:hAnsi="Times New Roman" w:cs="Times New Roman"/>
          <w:szCs w:val="24"/>
        </w:rPr>
        <w:t>Artykuł 14 dyrektywy 2024/1275 wprowadza zwiększone wymagania dotyczące</w:t>
      </w:r>
      <w:r w:rsidR="000A746C">
        <w:rPr>
          <w:rFonts w:ascii="Times New Roman" w:hAnsi="Times New Roman" w:cs="Times New Roman"/>
          <w:szCs w:val="24"/>
        </w:rPr>
        <w:t xml:space="preserve"> dalszego</w:t>
      </w:r>
      <w:r>
        <w:rPr>
          <w:rFonts w:ascii="Times New Roman" w:hAnsi="Times New Roman" w:cs="Times New Roman"/>
          <w:szCs w:val="24"/>
        </w:rPr>
        <w:t xml:space="preserve"> rozwoju elektromobilności w państwach członkowskich. </w:t>
      </w:r>
      <w:r w:rsidRPr="000F4B12">
        <w:rPr>
          <w:rFonts w:ascii="Times New Roman" w:hAnsi="Times New Roman" w:cs="Times New Roman"/>
          <w:szCs w:val="24"/>
        </w:rPr>
        <w:t>Przepisy te odnoszą się do wymagań dotyczących</w:t>
      </w:r>
      <w:r w:rsidR="00044D15">
        <w:rPr>
          <w:rFonts w:ascii="Times New Roman" w:hAnsi="Times New Roman" w:cs="Times New Roman"/>
          <w:szCs w:val="24"/>
        </w:rPr>
        <w:t xml:space="preserve"> między innymi</w:t>
      </w:r>
      <w:r w:rsidR="000A746C">
        <w:rPr>
          <w:rFonts w:ascii="Times New Roman" w:hAnsi="Times New Roman" w:cs="Times New Roman"/>
          <w:szCs w:val="24"/>
        </w:rPr>
        <w:t xml:space="preserve"> możliwości</w:t>
      </w:r>
      <w:r w:rsidRPr="000F4B12">
        <w:rPr>
          <w:rFonts w:ascii="Times New Roman" w:hAnsi="Times New Roman" w:cs="Times New Roman"/>
          <w:szCs w:val="24"/>
        </w:rPr>
        <w:t xml:space="preserve"> instalowania punktów ładowania, </w:t>
      </w:r>
      <w:r w:rsidR="000A746C">
        <w:rPr>
          <w:rFonts w:ascii="Times New Roman" w:hAnsi="Times New Roman" w:cs="Times New Roman"/>
          <w:szCs w:val="24"/>
        </w:rPr>
        <w:t>zapewnieni</w:t>
      </w:r>
      <w:r w:rsidR="005748EC">
        <w:rPr>
          <w:rFonts w:ascii="Times New Roman" w:hAnsi="Times New Roman" w:cs="Times New Roman"/>
          <w:szCs w:val="24"/>
        </w:rPr>
        <w:t>a</w:t>
      </w:r>
      <w:r w:rsidR="000A746C">
        <w:rPr>
          <w:rFonts w:ascii="Times New Roman" w:hAnsi="Times New Roman" w:cs="Times New Roman"/>
          <w:szCs w:val="24"/>
        </w:rPr>
        <w:t xml:space="preserve"> </w:t>
      </w:r>
      <w:r w:rsidRPr="000F4B12">
        <w:rPr>
          <w:rFonts w:ascii="Times New Roman" w:hAnsi="Times New Roman" w:cs="Times New Roman"/>
          <w:szCs w:val="24"/>
        </w:rPr>
        <w:t>okablowani</w:t>
      </w:r>
      <w:r w:rsidR="000A746C">
        <w:rPr>
          <w:rFonts w:ascii="Times New Roman" w:hAnsi="Times New Roman" w:cs="Times New Roman"/>
          <w:szCs w:val="24"/>
        </w:rPr>
        <w:t>a</w:t>
      </w:r>
      <w:r w:rsidRPr="000F4B12">
        <w:rPr>
          <w:rFonts w:ascii="Times New Roman" w:hAnsi="Times New Roman" w:cs="Times New Roman"/>
          <w:szCs w:val="24"/>
        </w:rPr>
        <w:t xml:space="preserve"> wstępnego i infrastruktury kanałowej</w:t>
      </w:r>
      <w:r w:rsidR="00636938">
        <w:rPr>
          <w:rFonts w:ascii="Times New Roman" w:hAnsi="Times New Roman" w:cs="Times New Roman"/>
          <w:szCs w:val="24"/>
        </w:rPr>
        <w:t>, a także zapewnienia miejsc parkingowych dla rowerów</w:t>
      </w:r>
      <w:r w:rsidR="00F13C34">
        <w:rPr>
          <w:rFonts w:ascii="Times New Roman" w:hAnsi="Times New Roman" w:cs="Times New Roman"/>
          <w:szCs w:val="24"/>
        </w:rPr>
        <w:t xml:space="preserve"> (</w:t>
      </w:r>
      <w:r w:rsidR="00636938">
        <w:rPr>
          <w:rFonts w:ascii="Times New Roman" w:hAnsi="Times New Roman" w:cs="Times New Roman"/>
          <w:szCs w:val="24"/>
        </w:rPr>
        <w:t xml:space="preserve">z uwzględnieniem powierzchni na rowery o większych wymiarach niż </w:t>
      </w:r>
      <w:r w:rsidR="00636938" w:rsidRPr="0076547B">
        <w:rPr>
          <w:rFonts w:ascii="Times New Roman" w:hAnsi="Times New Roman" w:cs="Times New Roman"/>
          <w:szCs w:val="24"/>
        </w:rPr>
        <w:t>standardowe</w:t>
      </w:r>
      <w:r w:rsidR="00F13C34" w:rsidRPr="0076547B">
        <w:rPr>
          <w:rFonts w:ascii="Times New Roman" w:hAnsi="Times New Roman" w:cs="Times New Roman"/>
          <w:szCs w:val="24"/>
        </w:rPr>
        <w:t>)</w:t>
      </w:r>
      <w:r w:rsidR="000A746C" w:rsidRPr="0076547B">
        <w:rPr>
          <w:rFonts w:ascii="Times New Roman" w:hAnsi="Times New Roman" w:cs="Times New Roman"/>
          <w:szCs w:val="24"/>
        </w:rPr>
        <w:t>.</w:t>
      </w:r>
      <w:r w:rsidRPr="0076547B">
        <w:rPr>
          <w:rFonts w:ascii="Times New Roman" w:hAnsi="Times New Roman" w:cs="Times New Roman"/>
          <w:szCs w:val="24"/>
        </w:rPr>
        <w:t xml:space="preserve"> </w:t>
      </w:r>
    </w:p>
    <w:p w14:paraId="069FFA11" w14:textId="7D67D95F" w:rsidR="0076547B" w:rsidRPr="0076547B" w:rsidRDefault="0076547B" w:rsidP="00314210">
      <w:pPr>
        <w:spacing w:after="120" w:line="360" w:lineRule="auto"/>
        <w:jc w:val="both"/>
        <w:rPr>
          <w:rFonts w:ascii="Times New Roman" w:hAnsi="Times New Roman"/>
          <w:sz w:val="24"/>
          <w:szCs w:val="24"/>
          <w:lang w:eastAsia="pl-PL"/>
        </w:rPr>
      </w:pPr>
      <w:r w:rsidRPr="0076547B">
        <w:rPr>
          <w:rFonts w:ascii="Times New Roman" w:hAnsi="Times New Roman"/>
          <w:sz w:val="24"/>
          <w:szCs w:val="24"/>
          <w:lang w:eastAsia="pl-PL"/>
        </w:rPr>
        <w:t xml:space="preserve">Brak infrastruktury ładowania w budynkach może stanowić barierę dla upowszechnienia pojazdów elektrycznych. Ogólnym celem dotyczącym rozwoju infrastruktury na rzecz elektromobilności zgodnej z zasadami zrównoważonego rozwoju jest przyspieszenie rozwoju infrastruktury ładowania w budynkach lub w ich sąsiedztwie. </w:t>
      </w:r>
    </w:p>
    <w:p w14:paraId="05E9BFDB" w14:textId="06813B1C" w:rsidR="0076547B" w:rsidRPr="0076547B" w:rsidRDefault="0076547B" w:rsidP="00314210">
      <w:pPr>
        <w:spacing w:after="120" w:line="360" w:lineRule="auto"/>
        <w:jc w:val="both"/>
        <w:rPr>
          <w:rFonts w:ascii="Times New Roman" w:hAnsi="Times New Roman"/>
          <w:sz w:val="24"/>
          <w:szCs w:val="24"/>
          <w:lang w:eastAsia="pl-PL"/>
        </w:rPr>
      </w:pPr>
      <w:r w:rsidRPr="0076547B">
        <w:rPr>
          <w:rFonts w:ascii="Times New Roman" w:hAnsi="Times New Roman"/>
          <w:sz w:val="24"/>
          <w:szCs w:val="24"/>
          <w:lang w:eastAsia="pl-PL"/>
        </w:rPr>
        <w:t xml:space="preserve">Oczekuje się, że pojazdy elektryczne odegrają kluczową rolę w dekarbonizacji transportu </w:t>
      </w:r>
      <w:r w:rsidR="00090EEA" w:rsidRPr="0076547B">
        <w:rPr>
          <w:rFonts w:ascii="Times New Roman" w:hAnsi="Times New Roman"/>
          <w:sz w:val="24"/>
          <w:szCs w:val="24"/>
          <w:lang w:eastAsia="pl-PL"/>
        </w:rPr>
        <w:t>i</w:t>
      </w:r>
      <w:r w:rsidR="00090EEA">
        <w:rPr>
          <w:rFonts w:ascii="Times New Roman" w:hAnsi="Times New Roman"/>
          <w:sz w:val="24"/>
          <w:szCs w:val="24"/>
          <w:lang w:eastAsia="pl-PL"/>
        </w:rPr>
        <w:t> </w:t>
      </w:r>
      <w:r w:rsidRPr="0076547B">
        <w:rPr>
          <w:rFonts w:ascii="Times New Roman" w:hAnsi="Times New Roman"/>
          <w:sz w:val="24"/>
          <w:szCs w:val="24"/>
          <w:lang w:eastAsia="pl-PL"/>
        </w:rPr>
        <w:t xml:space="preserve">mogą przyczynić się do dekarbonizacji i efektywności systemu elektroenergetycznego, </w:t>
      </w:r>
      <w:r w:rsidR="00090EEA" w:rsidRPr="0076547B">
        <w:rPr>
          <w:rFonts w:ascii="Times New Roman" w:hAnsi="Times New Roman"/>
          <w:sz w:val="24"/>
          <w:szCs w:val="24"/>
          <w:lang w:eastAsia="pl-PL"/>
        </w:rPr>
        <w:t>w</w:t>
      </w:r>
      <w:r w:rsidR="00090EEA">
        <w:rPr>
          <w:rFonts w:ascii="Times New Roman" w:hAnsi="Times New Roman"/>
          <w:sz w:val="24"/>
          <w:szCs w:val="24"/>
          <w:lang w:eastAsia="pl-PL"/>
        </w:rPr>
        <w:t> </w:t>
      </w:r>
      <w:r w:rsidRPr="0076547B">
        <w:rPr>
          <w:rFonts w:ascii="Times New Roman" w:hAnsi="Times New Roman"/>
          <w:sz w:val="24"/>
          <w:szCs w:val="24"/>
          <w:lang w:eastAsia="pl-PL"/>
        </w:rPr>
        <w:t xml:space="preserve">szczególności poprzez świadczenie usług w zakresie elastyczności, bilansowania </w:t>
      </w:r>
      <w:r w:rsidR="00090EEA" w:rsidRPr="0076547B">
        <w:rPr>
          <w:rFonts w:ascii="Times New Roman" w:hAnsi="Times New Roman"/>
          <w:sz w:val="24"/>
          <w:szCs w:val="24"/>
          <w:lang w:eastAsia="pl-PL"/>
        </w:rPr>
        <w:t>i</w:t>
      </w:r>
      <w:r w:rsidR="00090EEA">
        <w:rPr>
          <w:rFonts w:ascii="Times New Roman" w:hAnsi="Times New Roman"/>
          <w:sz w:val="24"/>
          <w:szCs w:val="24"/>
          <w:lang w:eastAsia="pl-PL"/>
        </w:rPr>
        <w:t> </w:t>
      </w:r>
      <w:r w:rsidRPr="0076547B">
        <w:rPr>
          <w:rFonts w:ascii="Times New Roman" w:hAnsi="Times New Roman"/>
          <w:sz w:val="24"/>
          <w:szCs w:val="24"/>
          <w:lang w:eastAsia="pl-PL"/>
        </w:rPr>
        <w:t xml:space="preserve">magazynowania. Projektowane przepisy służą pełnemu wykorzystaniu potencjału pojazdów elektrycznych w zakresie integracji z systemem elektroenergetycznym oraz przyczynianiu się do efektywności systemu i dalszego wykorzystywania odnawialnej energii elektrycznej. Ładowanie w odniesieniu do budynków jest szczególnie ważne, ponieważ w tym miejscu pojazdy elektryczne parkują regularnie i przez długi czas. </w:t>
      </w:r>
    </w:p>
    <w:p w14:paraId="2EBC81D8" w14:textId="30E6C6D6" w:rsidR="0076547B" w:rsidRPr="0076547B" w:rsidRDefault="0076547B" w:rsidP="00314210">
      <w:pPr>
        <w:spacing w:after="120" w:line="360" w:lineRule="auto"/>
        <w:jc w:val="both"/>
        <w:rPr>
          <w:rFonts w:ascii="Times New Roman" w:hAnsi="Times New Roman"/>
          <w:sz w:val="24"/>
          <w:szCs w:val="24"/>
          <w:lang w:eastAsia="pl-PL"/>
        </w:rPr>
      </w:pPr>
      <w:r w:rsidRPr="0076547B">
        <w:rPr>
          <w:rFonts w:ascii="Times New Roman" w:hAnsi="Times New Roman"/>
          <w:sz w:val="24"/>
          <w:szCs w:val="24"/>
          <w:lang w:eastAsia="pl-PL"/>
        </w:rPr>
        <w:t>Budynki mogą odgrywać ważną rolę w zapewnianiu niezbędnej infrastruktury, nie tylko do ładowania pojazdów elektrycznych, ale również parkowania rowerów. Przejście na aktywną mobilność, taką jak jazda na rowerze, może znacznie ograniczyć emisje gazów cieplarnianych z transportu.</w:t>
      </w:r>
    </w:p>
    <w:p w14:paraId="0301B3F9" w14:textId="26C54909" w:rsidR="00EA4573" w:rsidRPr="00EA4573" w:rsidRDefault="00EA4573" w:rsidP="00636938">
      <w:pPr>
        <w:spacing w:after="120" w:line="360" w:lineRule="auto"/>
        <w:jc w:val="both"/>
        <w:rPr>
          <w:rFonts w:ascii="Times New Roman" w:hAnsi="Times New Roman"/>
          <w:sz w:val="24"/>
          <w:szCs w:val="24"/>
          <w:lang w:eastAsia="pl-PL"/>
        </w:rPr>
      </w:pPr>
      <w:r w:rsidRPr="00D6335A">
        <w:rPr>
          <w:rFonts w:ascii="Times New Roman" w:hAnsi="Times New Roman"/>
          <w:sz w:val="24"/>
          <w:szCs w:val="24"/>
          <w:lang w:eastAsia="pl-PL"/>
        </w:rPr>
        <w:t xml:space="preserve">Przepisy implementujące postanowienia dyrektywy do polskiego porządku prawnego </w:t>
      </w:r>
      <w:r w:rsidR="00F13C34">
        <w:rPr>
          <w:rFonts w:ascii="Times New Roman" w:hAnsi="Times New Roman"/>
          <w:sz w:val="24"/>
          <w:szCs w:val="24"/>
          <w:lang w:eastAsia="pl-PL"/>
        </w:rPr>
        <w:t xml:space="preserve">będą miały </w:t>
      </w:r>
      <w:r w:rsidRPr="00D6335A">
        <w:rPr>
          <w:rFonts w:ascii="Times New Roman" w:hAnsi="Times New Roman"/>
          <w:sz w:val="24"/>
          <w:szCs w:val="24"/>
          <w:lang w:eastAsia="pl-PL"/>
        </w:rPr>
        <w:t xml:space="preserve">zastosowanie do nowych budynków oraz budynków poddawanych </w:t>
      </w:r>
      <w:r w:rsidR="00714615">
        <w:rPr>
          <w:rFonts w:ascii="Times New Roman" w:hAnsi="Times New Roman"/>
          <w:sz w:val="24"/>
          <w:szCs w:val="24"/>
          <w:lang w:eastAsia="pl-PL"/>
        </w:rPr>
        <w:t>przebudowie</w:t>
      </w:r>
      <w:r w:rsidR="001B6C6C">
        <w:rPr>
          <w:rFonts w:ascii="Times New Roman" w:hAnsi="Times New Roman"/>
          <w:sz w:val="24"/>
          <w:szCs w:val="24"/>
          <w:lang w:eastAsia="pl-PL"/>
        </w:rPr>
        <w:t>,</w:t>
      </w:r>
      <w:r w:rsidR="00464372">
        <w:rPr>
          <w:rFonts w:ascii="Times New Roman" w:hAnsi="Times New Roman"/>
          <w:sz w:val="24"/>
          <w:szCs w:val="24"/>
          <w:lang w:eastAsia="pl-PL"/>
        </w:rPr>
        <w:t xml:space="preserve"> rozbudowie</w:t>
      </w:r>
      <w:r w:rsidR="001B6C6C">
        <w:rPr>
          <w:rFonts w:ascii="Times New Roman" w:hAnsi="Times New Roman"/>
          <w:sz w:val="24"/>
          <w:szCs w:val="24"/>
          <w:lang w:eastAsia="pl-PL"/>
        </w:rPr>
        <w:t>,</w:t>
      </w:r>
      <w:r w:rsidR="00464372">
        <w:rPr>
          <w:rFonts w:ascii="Times New Roman" w:hAnsi="Times New Roman"/>
          <w:sz w:val="24"/>
          <w:szCs w:val="24"/>
          <w:lang w:eastAsia="pl-PL"/>
        </w:rPr>
        <w:t xml:space="preserve"> nadbudowie</w:t>
      </w:r>
      <w:r w:rsidR="001B6C6C">
        <w:rPr>
          <w:rFonts w:ascii="Times New Roman" w:hAnsi="Times New Roman"/>
          <w:sz w:val="24"/>
          <w:szCs w:val="24"/>
          <w:lang w:eastAsia="pl-PL"/>
        </w:rPr>
        <w:t xml:space="preserve"> lub remontowi</w:t>
      </w:r>
      <w:r>
        <w:rPr>
          <w:rFonts w:ascii="Times New Roman" w:hAnsi="Times New Roman"/>
          <w:sz w:val="24"/>
          <w:szCs w:val="24"/>
          <w:lang w:eastAsia="pl-PL"/>
        </w:rPr>
        <w:t>,</w:t>
      </w:r>
      <w:r w:rsidRPr="00D6335A">
        <w:rPr>
          <w:rFonts w:ascii="Times New Roman" w:hAnsi="Times New Roman"/>
          <w:sz w:val="24"/>
          <w:szCs w:val="24"/>
          <w:lang w:eastAsia="pl-PL"/>
        </w:rPr>
        <w:t xml:space="preserve"> w</w:t>
      </w:r>
      <w:r>
        <w:rPr>
          <w:rFonts w:ascii="Times New Roman" w:hAnsi="Times New Roman"/>
          <w:sz w:val="24"/>
          <w:szCs w:val="24"/>
          <w:lang w:eastAsia="pl-PL"/>
        </w:rPr>
        <w:t xml:space="preserve"> odniesieniu </w:t>
      </w:r>
      <w:r w:rsidRPr="00D6335A">
        <w:rPr>
          <w:rFonts w:ascii="Times New Roman" w:hAnsi="Times New Roman"/>
          <w:sz w:val="24"/>
          <w:szCs w:val="24"/>
          <w:lang w:eastAsia="pl-PL"/>
        </w:rPr>
        <w:t xml:space="preserve">do budynków </w:t>
      </w:r>
      <w:r w:rsidR="00714615">
        <w:rPr>
          <w:rFonts w:ascii="Times New Roman" w:hAnsi="Times New Roman"/>
          <w:sz w:val="24"/>
          <w:szCs w:val="24"/>
          <w:lang w:eastAsia="pl-PL"/>
        </w:rPr>
        <w:t xml:space="preserve">mieszkalnych mających </w:t>
      </w:r>
      <w:r w:rsidR="00714615">
        <w:rPr>
          <w:rFonts w:ascii="Times New Roman" w:hAnsi="Times New Roman"/>
          <w:sz w:val="24"/>
          <w:szCs w:val="24"/>
          <w:lang w:eastAsia="pl-PL"/>
        </w:rPr>
        <w:lastRenderedPageBreak/>
        <w:t xml:space="preserve">więcej niż 3 stanowiska postojowe oraz </w:t>
      </w:r>
      <w:r w:rsidRPr="00D6335A">
        <w:rPr>
          <w:rFonts w:ascii="Times New Roman" w:hAnsi="Times New Roman"/>
          <w:sz w:val="24"/>
          <w:szCs w:val="24"/>
          <w:lang w:eastAsia="pl-PL"/>
        </w:rPr>
        <w:t xml:space="preserve">niemieszkalnych mających więcej niż </w:t>
      </w:r>
      <w:r>
        <w:rPr>
          <w:rFonts w:ascii="Times New Roman" w:hAnsi="Times New Roman"/>
          <w:sz w:val="24"/>
          <w:szCs w:val="24"/>
          <w:lang w:eastAsia="pl-PL"/>
        </w:rPr>
        <w:t>5</w:t>
      </w:r>
      <w:r w:rsidR="00F13C34">
        <w:rPr>
          <w:rFonts w:ascii="Times New Roman" w:hAnsi="Times New Roman"/>
          <w:sz w:val="24"/>
          <w:szCs w:val="24"/>
          <w:lang w:eastAsia="pl-PL"/>
        </w:rPr>
        <w:t xml:space="preserve"> </w:t>
      </w:r>
      <w:r w:rsidR="00714615">
        <w:rPr>
          <w:rFonts w:ascii="Times New Roman" w:hAnsi="Times New Roman"/>
          <w:sz w:val="24"/>
          <w:szCs w:val="24"/>
          <w:lang w:eastAsia="pl-PL"/>
        </w:rPr>
        <w:t>stanowisk postojowych</w:t>
      </w:r>
      <w:r>
        <w:rPr>
          <w:rFonts w:ascii="Times New Roman" w:hAnsi="Times New Roman"/>
          <w:sz w:val="24"/>
          <w:szCs w:val="24"/>
          <w:lang w:eastAsia="pl-PL"/>
        </w:rPr>
        <w:t>,</w:t>
      </w:r>
      <w:r w:rsidRPr="00D6335A">
        <w:rPr>
          <w:rFonts w:ascii="Times New Roman" w:hAnsi="Times New Roman"/>
          <w:sz w:val="24"/>
          <w:szCs w:val="24"/>
          <w:lang w:eastAsia="pl-PL"/>
        </w:rPr>
        <w:t xml:space="preserve"> jak również </w:t>
      </w:r>
      <w:r w:rsidR="00714615">
        <w:rPr>
          <w:rFonts w:ascii="Times New Roman" w:hAnsi="Times New Roman"/>
          <w:sz w:val="24"/>
          <w:szCs w:val="24"/>
          <w:lang w:eastAsia="pl-PL"/>
        </w:rPr>
        <w:t xml:space="preserve">istniejących </w:t>
      </w:r>
      <w:r w:rsidR="00B64D3B">
        <w:rPr>
          <w:rFonts w:ascii="Times New Roman" w:hAnsi="Times New Roman"/>
          <w:sz w:val="24"/>
          <w:szCs w:val="24"/>
          <w:lang w:eastAsia="pl-PL"/>
        </w:rPr>
        <w:t xml:space="preserve">budynków </w:t>
      </w:r>
      <w:r w:rsidRPr="00D6335A">
        <w:rPr>
          <w:rFonts w:ascii="Times New Roman" w:hAnsi="Times New Roman"/>
          <w:sz w:val="24"/>
          <w:szCs w:val="24"/>
          <w:lang w:eastAsia="pl-PL"/>
        </w:rPr>
        <w:t>niemieszkalnych, w których jest więcej niż 20</w:t>
      </w:r>
      <w:r w:rsidR="00714615">
        <w:rPr>
          <w:rFonts w:ascii="Times New Roman" w:hAnsi="Times New Roman"/>
          <w:sz w:val="24"/>
          <w:szCs w:val="24"/>
          <w:lang w:eastAsia="pl-PL"/>
        </w:rPr>
        <w:t xml:space="preserve"> stanowisk postojowych</w:t>
      </w:r>
      <w:r w:rsidRPr="00D6335A">
        <w:rPr>
          <w:rFonts w:ascii="Times New Roman" w:hAnsi="Times New Roman"/>
          <w:sz w:val="24"/>
          <w:szCs w:val="24"/>
          <w:lang w:eastAsia="pl-PL"/>
        </w:rPr>
        <w:t>.</w:t>
      </w:r>
    </w:p>
    <w:p w14:paraId="0FA82CD8" w14:textId="798FAA05" w:rsidR="000F4B12" w:rsidRDefault="000F4B12" w:rsidP="000B07FC">
      <w:pPr>
        <w:spacing w:after="120" w:line="360" w:lineRule="auto"/>
        <w:jc w:val="both"/>
        <w:rPr>
          <w:lang w:eastAsia="pl-PL"/>
        </w:rPr>
      </w:pPr>
      <w:r w:rsidRPr="00053490">
        <w:rPr>
          <w:rFonts w:ascii="Times New Roman" w:eastAsia="Times New Roman" w:hAnsi="Times New Roman"/>
          <w:bCs/>
          <w:sz w:val="24"/>
          <w:szCs w:val="24"/>
          <w:lang w:eastAsia="pl-PL"/>
        </w:rPr>
        <w:t xml:space="preserve">Ustanowienie wymagań dotyczących elektromobilności na poziomie Unii </w:t>
      </w:r>
      <w:r w:rsidR="00DB1A97">
        <w:rPr>
          <w:rFonts w:ascii="Times New Roman" w:eastAsia="Times New Roman" w:hAnsi="Times New Roman"/>
          <w:bCs/>
          <w:sz w:val="24"/>
          <w:szCs w:val="24"/>
          <w:lang w:eastAsia="pl-PL"/>
        </w:rPr>
        <w:t xml:space="preserve">Europejskiej </w:t>
      </w:r>
      <w:r w:rsidR="00DB1A97" w:rsidRPr="00053490">
        <w:rPr>
          <w:rFonts w:ascii="Times New Roman" w:eastAsia="Times New Roman" w:hAnsi="Times New Roman"/>
          <w:bCs/>
          <w:sz w:val="24"/>
          <w:szCs w:val="24"/>
          <w:lang w:eastAsia="pl-PL"/>
        </w:rPr>
        <w:t>w</w:t>
      </w:r>
      <w:r w:rsidR="00DB1A97">
        <w:rPr>
          <w:rFonts w:ascii="Times New Roman" w:eastAsia="Times New Roman" w:hAnsi="Times New Roman"/>
          <w:bCs/>
          <w:sz w:val="24"/>
          <w:szCs w:val="24"/>
          <w:lang w:eastAsia="pl-PL"/>
        </w:rPr>
        <w:t> </w:t>
      </w:r>
      <w:r w:rsidRPr="00053490">
        <w:rPr>
          <w:rFonts w:ascii="Times New Roman" w:eastAsia="Times New Roman" w:hAnsi="Times New Roman"/>
          <w:bCs/>
          <w:sz w:val="24"/>
          <w:szCs w:val="24"/>
          <w:lang w:eastAsia="pl-PL"/>
        </w:rPr>
        <w:t>zakresie wstępnego wyposażania miejsc parkingowych oraz instalowania punktów ładowania jest skutecznym sposobem promowania pojazdów elektrycznych, przy jednoczesnym uwzględnieniu późniejszego rozwoju sytuacji wynikającego z obniżenia kosztów w perspektywie średnio- i długoterminowej.</w:t>
      </w:r>
    </w:p>
    <w:p w14:paraId="2A5DC722" w14:textId="77777777" w:rsidR="000F4B12" w:rsidRDefault="000F4B12" w:rsidP="000B07FC">
      <w:pPr>
        <w:spacing w:after="120" w:line="360" w:lineRule="auto"/>
        <w:jc w:val="both"/>
        <w:rPr>
          <w:rFonts w:ascii="Times New Roman" w:eastAsia="Times New Roman" w:hAnsi="Times New Roman"/>
          <w:bCs/>
          <w:sz w:val="24"/>
          <w:szCs w:val="24"/>
          <w:lang w:eastAsia="pl-PL"/>
        </w:rPr>
      </w:pPr>
      <w:r w:rsidRPr="00053490">
        <w:rPr>
          <w:rFonts w:ascii="Times New Roman" w:eastAsia="Times New Roman" w:hAnsi="Times New Roman"/>
          <w:bCs/>
          <w:sz w:val="24"/>
          <w:szCs w:val="24"/>
          <w:lang w:eastAsia="pl-PL"/>
        </w:rPr>
        <w:t>Okablowanie wstępne i infrastruktura kanałowa ułatwiają szybką instalację punktów ładowania tam, gdzie są potrzebne. Łatwo dostępna infrastruktura zmniejszy koszty instalacji punktów ładowania ponoszone przez indywidualnych właścicieli, a także zapewni użytkownikom pojazdów elektrycznych dostęp do punktów ładowania.</w:t>
      </w:r>
    </w:p>
    <w:p w14:paraId="0F044C65" w14:textId="61AB8BF7" w:rsidR="00044D15" w:rsidRDefault="00DA0A39" w:rsidP="00F16B6B">
      <w:pPr>
        <w:spacing w:after="12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Ustawa</w:t>
      </w:r>
      <w:r w:rsidR="00044D15">
        <w:rPr>
          <w:rFonts w:ascii="Times New Roman" w:eastAsia="Times New Roman" w:hAnsi="Times New Roman"/>
          <w:bCs/>
          <w:sz w:val="24"/>
          <w:szCs w:val="24"/>
          <w:lang w:eastAsia="pl-PL"/>
        </w:rPr>
        <w:t xml:space="preserve"> z dnia 2 grudnia 2021 r. o zmianie ustawy o elektromobilności i paliwach alternatywnych oraz niektórych innych ustaw (Dz. U. poz. 2269) </w:t>
      </w:r>
      <w:r w:rsidR="009F368E">
        <w:rPr>
          <w:rFonts w:ascii="Times New Roman" w:eastAsia="Times New Roman" w:hAnsi="Times New Roman"/>
          <w:bCs/>
          <w:sz w:val="24"/>
          <w:szCs w:val="24"/>
          <w:lang w:eastAsia="pl-PL"/>
        </w:rPr>
        <w:t>wdrażała</w:t>
      </w:r>
      <w:r w:rsidR="00044D15">
        <w:rPr>
          <w:rFonts w:ascii="Times New Roman" w:eastAsia="Times New Roman" w:hAnsi="Times New Roman"/>
          <w:bCs/>
          <w:sz w:val="24"/>
          <w:szCs w:val="24"/>
          <w:lang w:eastAsia="pl-PL"/>
        </w:rPr>
        <w:t xml:space="preserve"> przepisy w zakresie rozwoju elektromobilności </w:t>
      </w:r>
      <w:r w:rsidR="0011359B">
        <w:rPr>
          <w:rFonts w:ascii="Times New Roman" w:eastAsia="Times New Roman" w:hAnsi="Times New Roman"/>
          <w:bCs/>
          <w:sz w:val="24"/>
          <w:szCs w:val="24"/>
          <w:lang w:eastAsia="pl-PL"/>
        </w:rPr>
        <w:t xml:space="preserve">w przypadku </w:t>
      </w:r>
      <w:r w:rsidR="00044D15">
        <w:rPr>
          <w:rFonts w:ascii="Times New Roman" w:eastAsia="Times New Roman" w:hAnsi="Times New Roman"/>
          <w:bCs/>
          <w:sz w:val="24"/>
          <w:szCs w:val="24"/>
          <w:lang w:eastAsia="pl-PL"/>
        </w:rPr>
        <w:t>budynk</w:t>
      </w:r>
      <w:r w:rsidR="0011359B">
        <w:rPr>
          <w:rFonts w:ascii="Times New Roman" w:eastAsia="Times New Roman" w:hAnsi="Times New Roman"/>
          <w:bCs/>
          <w:sz w:val="24"/>
          <w:szCs w:val="24"/>
          <w:lang w:eastAsia="pl-PL"/>
        </w:rPr>
        <w:t>ów</w:t>
      </w:r>
      <w:r w:rsidR="00044D15">
        <w:rPr>
          <w:rFonts w:ascii="Times New Roman" w:eastAsia="Times New Roman" w:hAnsi="Times New Roman"/>
          <w:bCs/>
          <w:sz w:val="24"/>
          <w:szCs w:val="24"/>
          <w:lang w:eastAsia="pl-PL"/>
        </w:rPr>
        <w:t xml:space="preserve"> nowych i </w:t>
      </w:r>
      <w:r>
        <w:rPr>
          <w:rFonts w:ascii="Times New Roman" w:eastAsia="Times New Roman" w:hAnsi="Times New Roman"/>
          <w:bCs/>
          <w:sz w:val="24"/>
          <w:szCs w:val="24"/>
          <w:lang w:eastAsia="pl-PL"/>
        </w:rPr>
        <w:t>istniejących</w:t>
      </w:r>
      <w:r w:rsidR="000B07FC">
        <w:rPr>
          <w:rFonts w:ascii="Times New Roman" w:eastAsia="Times New Roman" w:hAnsi="Times New Roman"/>
          <w:bCs/>
          <w:sz w:val="24"/>
          <w:szCs w:val="24"/>
          <w:lang w:eastAsia="pl-PL"/>
        </w:rPr>
        <w:t xml:space="preserve"> poddawanych </w:t>
      </w:r>
      <w:r w:rsidR="00714615">
        <w:rPr>
          <w:rFonts w:ascii="Times New Roman" w:eastAsia="Times New Roman" w:hAnsi="Times New Roman"/>
          <w:bCs/>
          <w:sz w:val="24"/>
          <w:szCs w:val="24"/>
          <w:lang w:eastAsia="pl-PL"/>
        </w:rPr>
        <w:t>przebudowie</w:t>
      </w:r>
      <w:r w:rsidR="00464372">
        <w:rPr>
          <w:rFonts w:ascii="Times New Roman" w:eastAsia="Times New Roman" w:hAnsi="Times New Roman"/>
          <w:bCs/>
          <w:sz w:val="24"/>
          <w:szCs w:val="24"/>
          <w:lang w:eastAsia="pl-PL"/>
        </w:rPr>
        <w:t>, rozbudowie</w:t>
      </w:r>
      <w:r w:rsidR="001B6C6C">
        <w:rPr>
          <w:rFonts w:ascii="Times New Roman" w:eastAsia="Times New Roman" w:hAnsi="Times New Roman"/>
          <w:bCs/>
          <w:sz w:val="24"/>
          <w:szCs w:val="24"/>
          <w:lang w:eastAsia="pl-PL"/>
        </w:rPr>
        <w:t>,</w:t>
      </w:r>
      <w:r w:rsidR="00464372">
        <w:rPr>
          <w:rFonts w:ascii="Times New Roman" w:eastAsia="Times New Roman" w:hAnsi="Times New Roman"/>
          <w:bCs/>
          <w:sz w:val="24"/>
          <w:szCs w:val="24"/>
          <w:lang w:eastAsia="pl-PL"/>
        </w:rPr>
        <w:t xml:space="preserve"> nadbudowie</w:t>
      </w:r>
      <w:r w:rsidR="001B6C6C">
        <w:rPr>
          <w:rFonts w:ascii="Times New Roman" w:eastAsia="Times New Roman" w:hAnsi="Times New Roman"/>
          <w:bCs/>
          <w:sz w:val="24"/>
          <w:szCs w:val="24"/>
          <w:lang w:eastAsia="pl-PL"/>
        </w:rPr>
        <w:t xml:space="preserve"> lub remontowi</w:t>
      </w:r>
      <w:r w:rsidR="000B07FC">
        <w:rPr>
          <w:rFonts w:ascii="Times New Roman" w:eastAsia="Times New Roman" w:hAnsi="Times New Roman"/>
          <w:bCs/>
          <w:sz w:val="24"/>
          <w:szCs w:val="24"/>
          <w:lang w:eastAsia="pl-PL"/>
        </w:rPr>
        <w:t>.</w:t>
      </w:r>
      <w:r w:rsidR="0011359B">
        <w:rPr>
          <w:rFonts w:ascii="Times New Roman" w:eastAsia="Times New Roman" w:hAnsi="Times New Roman"/>
          <w:bCs/>
          <w:sz w:val="24"/>
          <w:szCs w:val="24"/>
          <w:lang w:eastAsia="pl-PL"/>
        </w:rPr>
        <w:t xml:space="preserve"> </w:t>
      </w:r>
      <w:r w:rsidR="0011359B" w:rsidRPr="00DD06DD">
        <w:rPr>
          <w:rFonts w:ascii="Times New Roman" w:eastAsia="Times New Roman" w:hAnsi="Times New Roman"/>
          <w:bCs/>
          <w:sz w:val="24"/>
          <w:szCs w:val="24"/>
          <w:lang w:eastAsia="pl-PL"/>
        </w:rPr>
        <w:t>Regulacje te stanowiły</w:t>
      </w:r>
      <w:r w:rsidR="00044D15" w:rsidRPr="00DD06DD">
        <w:rPr>
          <w:rFonts w:ascii="Times New Roman" w:eastAsia="Times New Roman" w:hAnsi="Times New Roman"/>
          <w:bCs/>
          <w:sz w:val="24"/>
          <w:szCs w:val="24"/>
          <w:lang w:eastAsia="pl-PL"/>
        </w:rPr>
        <w:t xml:space="preserve"> implementację art. 8 dyrektywy Parlamentu Europejskiego i Rady</w:t>
      </w:r>
      <w:r w:rsidR="006720D3">
        <w:rPr>
          <w:rFonts w:ascii="Times New Roman" w:eastAsia="Times New Roman" w:hAnsi="Times New Roman"/>
          <w:bCs/>
          <w:sz w:val="24"/>
          <w:szCs w:val="24"/>
          <w:lang w:eastAsia="pl-PL"/>
        </w:rPr>
        <w:t xml:space="preserve"> </w:t>
      </w:r>
      <w:r w:rsidR="006720D3" w:rsidRPr="006720D3">
        <w:rPr>
          <w:rFonts w:ascii="Times New Roman" w:eastAsia="Times New Roman" w:hAnsi="Times New Roman"/>
          <w:bCs/>
          <w:sz w:val="24"/>
          <w:szCs w:val="24"/>
          <w:lang w:eastAsia="pl-PL"/>
        </w:rPr>
        <w:t xml:space="preserve">2010/31/UE z dnia 19 maja 2020 r. </w:t>
      </w:r>
      <w:r w:rsidR="00090EEA" w:rsidRPr="006720D3">
        <w:rPr>
          <w:rFonts w:ascii="Times New Roman" w:eastAsia="Times New Roman" w:hAnsi="Times New Roman"/>
          <w:bCs/>
          <w:sz w:val="24"/>
          <w:szCs w:val="24"/>
          <w:lang w:eastAsia="pl-PL"/>
        </w:rPr>
        <w:t>w</w:t>
      </w:r>
      <w:r w:rsidR="00090EEA">
        <w:rPr>
          <w:rFonts w:ascii="Times New Roman" w:eastAsia="Times New Roman" w:hAnsi="Times New Roman"/>
          <w:bCs/>
          <w:sz w:val="24"/>
          <w:szCs w:val="24"/>
          <w:lang w:eastAsia="pl-PL"/>
        </w:rPr>
        <w:t> </w:t>
      </w:r>
      <w:r w:rsidR="006720D3" w:rsidRPr="006720D3">
        <w:rPr>
          <w:rFonts w:ascii="Times New Roman" w:eastAsia="Times New Roman" w:hAnsi="Times New Roman"/>
          <w:bCs/>
          <w:sz w:val="24"/>
          <w:szCs w:val="24"/>
          <w:lang w:eastAsia="pl-PL"/>
        </w:rPr>
        <w:t>sprawie charakterystyki energetycznej budynków (Dz. Urz. UE L 153 z 18.6.2010</w:t>
      </w:r>
      <w:r w:rsidR="00AD72D4">
        <w:rPr>
          <w:rFonts w:ascii="Times New Roman" w:eastAsia="Times New Roman" w:hAnsi="Times New Roman"/>
          <w:bCs/>
          <w:sz w:val="24"/>
          <w:szCs w:val="24"/>
          <w:lang w:eastAsia="pl-PL"/>
        </w:rPr>
        <w:t>, str. 13</w:t>
      </w:r>
      <w:r w:rsidR="006720D3" w:rsidRPr="006720D3">
        <w:rPr>
          <w:rFonts w:ascii="Times New Roman" w:eastAsia="Times New Roman" w:hAnsi="Times New Roman"/>
          <w:bCs/>
          <w:sz w:val="24"/>
          <w:szCs w:val="24"/>
          <w:lang w:eastAsia="pl-PL"/>
        </w:rPr>
        <w:t>), w brzmieniu nadanym przez</w:t>
      </w:r>
      <w:r w:rsidR="00044D15" w:rsidRPr="00DD06DD">
        <w:rPr>
          <w:rFonts w:ascii="Times New Roman" w:eastAsia="Times New Roman" w:hAnsi="Times New Roman"/>
          <w:bCs/>
          <w:sz w:val="24"/>
          <w:szCs w:val="24"/>
          <w:lang w:eastAsia="pl-PL"/>
        </w:rPr>
        <w:t xml:space="preserve"> </w:t>
      </w:r>
      <w:r w:rsidR="006720D3">
        <w:rPr>
          <w:rFonts w:ascii="Times New Roman" w:eastAsia="Times New Roman" w:hAnsi="Times New Roman"/>
          <w:bCs/>
          <w:sz w:val="24"/>
          <w:szCs w:val="24"/>
          <w:lang w:eastAsia="pl-PL"/>
        </w:rPr>
        <w:t xml:space="preserve">dyrektywę Parlamentu Europejskiego i Rady </w:t>
      </w:r>
      <w:r w:rsidR="00044D15" w:rsidRPr="00DD06DD">
        <w:rPr>
          <w:rFonts w:ascii="Times New Roman" w:eastAsia="Times New Roman" w:hAnsi="Times New Roman"/>
          <w:bCs/>
          <w:sz w:val="24"/>
          <w:szCs w:val="24"/>
          <w:lang w:eastAsia="pl-PL"/>
        </w:rPr>
        <w:t xml:space="preserve">(UE) 2018/844 </w:t>
      </w:r>
      <w:r w:rsidR="00090EEA" w:rsidRPr="00DD06DD">
        <w:rPr>
          <w:rFonts w:ascii="Times New Roman" w:eastAsia="Times New Roman" w:hAnsi="Times New Roman"/>
          <w:bCs/>
          <w:sz w:val="24"/>
          <w:szCs w:val="24"/>
          <w:lang w:eastAsia="pl-PL"/>
        </w:rPr>
        <w:t>z</w:t>
      </w:r>
      <w:r w:rsidR="00090EEA">
        <w:rPr>
          <w:rFonts w:ascii="Times New Roman" w:eastAsia="Times New Roman" w:hAnsi="Times New Roman"/>
          <w:bCs/>
          <w:sz w:val="24"/>
          <w:szCs w:val="24"/>
          <w:lang w:eastAsia="pl-PL"/>
        </w:rPr>
        <w:t> </w:t>
      </w:r>
      <w:r w:rsidR="00044D15" w:rsidRPr="00DD06DD">
        <w:rPr>
          <w:rFonts w:ascii="Times New Roman" w:eastAsia="Times New Roman" w:hAnsi="Times New Roman"/>
          <w:bCs/>
          <w:sz w:val="24"/>
          <w:szCs w:val="24"/>
          <w:lang w:eastAsia="pl-PL"/>
        </w:rPr>
        <w:t>dnia 30 maja 2018 r. zmieniając</w:t>
      </w:r>
      <w:r w:rsidR="00A07F9A">
        <w:rPr>
          <w:rFonts w:ascii="Times New Roman" w:eastAsia="Times New Roman" w:hAnsi="Times New Roman"/>
          <w:bCs/>
          <w:sz w:val="24"/>
          <w:szCs w:val="24"/>
          <w:lang w:eastAsia="pl-PL"/>
        </w:rPr>
        <w:t>ą</w:t>
      </w:r>
      <w:r w:rsidR="00044D15" w:rsidRPr="00DD06DD">
        <w:rPr>
          <w:rFonts w:ascii="Times New Roman" w:eastAsia="Times New Roman" w:hAnsi="Times New Roman"/>
          <w:bCs/>
          <w:sz w:val="24"/>
          <w:szCs w:val="24"/>
          <w:lang w:eastAsia="pl-PL"/>
        </w:rPr>
        <w:t xml:space="preserve"> dyrektywę 2010/31/UE w sprawie charakterystyki energetycznej budynków i dyrektywę 2012/27/UE w sprawie efektywności energetycznej (Dz. Urz. UE L 156 z 19.06.2019, str. 75)</w:t>
      </w:r>
      <w:r w:rsidR="00174C48" w:rsidRPr="00DD06DD">
        <w:rPr>
          <w:rFonts w:ascii="Times New Roman" w:eastAsia="Times New Roman" w:hAnsi="Times New Roman"/>
          <w:bCs/>
          <w:sz w:val="24"/>
          <w:szCs w:val="24"/>
          <w:lang w:eastAsia="pl-PL"/>
        </w:rPr>
        <w:t xml:space="preserve">, </w:t>
      </w:r>
      <w:r w:rsidR="00174C48" w:rsidRPr="00DD06DD">
        <w:rPr>
          <w:rFonts w:ascii="Times New Roman" w:hAnsi="Times New Roman"/>
          <w:sz w:val="24"/>
          <w:szCs w:val="24"/>
        </w:rPr>
        <w:t>zwan</w:t>
      </w:r>
      <w:r w:rsidR="00A07F9A">
        <w:rPr>
          <w:rFonts w:ascii="Times New Roman" w:hAnsi="Times New Roman"/>
          <w:sz w:val="24"/>
          <w:szCs w:val="24"/>
        </w:rPr>
        <w:t>ą</w:t>
      </w:r>
      <w:r w:rsidR="00174C48" w:rsidRPr="00DD06DD">
        <w:rPr>
          <w:rFonts w:ascii="Times New Roman" w:hAnsi="Times New Roman"/>
          <w:sz w:val="24"/>
          <w:szCs w:val="24"/>
        </w:rPr>
        <w:t xml:space="preserve"> dalej „dyrektywą 2018/844”</w:t>
      </w:r>
      <w:r w:rsidR="0008409D" w:rsidRPr="00DD06DD">
        <w:rPr>
          <w:rFonts w:ascii="Times New Roman" w:hAnsi="Times New Roman"/>
          <w:sz w:val="24"/>
          <w:szCs w:val="24"/>
        </w:rPr>
        <w:t>.</w:t>
      </w:r>
    </w:p>
    <w:p w14:paraId="56078317" w14:textId="27D473F9" w:rsidR="00044D15" w:rsidRDefault="00044D15" w:rsidP="00F16B6B">
      <w:pPr>
        <w:spacing w:after="12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Aktualna implementacja dyrektywy 2024/1275 w zakresie artykułu 14 określa zwiększone wymaga</w:t>
      </w:r>
      <w:r w:rsidR="0011359B">
        <w:rPr>
          <w:rFonts w:ascii="Times New Roman" w:eastAsia="Times New Roman" w:hAnsi="Times New Roman"/>
          <w:bCs/>
          <w:sz w:val="24"/>
          <w:szCs w:val="24"/>
          <w:lang w:eastAsia="pl-PL"/>
        </w:rPr>
        <w:t xml:space="preserve">nia w zakresie elektromobilności </w:t>
      </w:r>
      <w:r w:rsidR="001D24A5">
        <w:rPr>
          <w:rFonts w:ascii="Times New Roman" w:eastAsia="Times New Roman" w:hAnsi="Times New Roman"/>
          <w:bCs/>
          <w:sz w:val="24"/>
          <w:szCs w:val="24"/>
          <w:lang w:eastAsia="pl-PL"/>
        </w:rPr>
        <w:t>w stosunku do budynków</w:t>
      </w:r>
      <w:r w:rsidR="00D60D7F">
        <w:rPr>
          <w:rFonts w:ascii="Times New Roman" w:eastAsia="Times New Roman" w:hAnsi="Times New Roman"/>
          <w:bCs/>
          <w:sz w:val="24"/>
          <w:szCs w:val="24"/>
          <w:lang w:eastAsia="pl-PL"/>
        </w:rPr>
        <w:t>,</w:t>
      </w:r>
      <w:r w:rsidR="00EA7538">
        <w:rPr>
          <w:rFonts w:ascii="Times New Roman" w:eastAsia="Times New Roman" w:hAnsi="Times New Roman"/>
          <w:bCs/>
          <w:sz w:val="24"/>
          <w:szCs w:val="24"/>
          <w:lang w:eastAsia="pl-PL"/>
        </w:rPr>
        <w:t xml:space="preserve"> z którymi związanych jest </w:t>
      </w:r>
      <w:r w:rsidR="00714615">
        <w:rPr>
          <w:rFonts w:ascii="Times New Roman" w:eastAsia="Times New Roman" w:hAnsi="Times New Roman"/>
          <w:bCs/>
          <w:sz w:val="24"/>
          <w:szCs w:val="24"/>
          <w:lang w:eastAsia="pl-PL"/>
        </w:rPr>
        <w:t>określona liczba stanowisk postojowych (więcej niż 3, 5 i 20)</w:t>
      </w:r>
      <w:r w:rsidR="00F60A39">
        <w:rPr>
          <w:rFonts w:ascii="Times New Roman" w:eastAsia="Times New Roman" w:hAnsi="Times New Roman"/>
          <w:bCs/>
          <w:sz w:val="24"/>
          <w:szCs w:val="24"/>
          <w:lang w:eastAsia="pl-PL"/>
        </w:rPr>
        <w:t>, zgodnie z art. 12a ust 1</w:t>
      </w:r>
      <w:r w:rsidR="00DA54C7">
        <w:rPr>
          <w:rFonts w:ascii="Times New Roman" w:eastAsia="Times New Roman" w:hAnsi="Times New Roman"/>
          <w:bCs/>
          <w:sz w:val="24"/>
          <w:szCs w:val="24"/>
          <w:lang w:eastAsia="pl-PL"/>
        </w:rPr>
        <w:t>–</w:t>
      </w:r>
      <w:r w:rsidR="00F60A39">
        <w:rPr>
          <w:rFonts w:ascii="Times New Roman" w:eastAsia="Times New Roman" w:hAnsi="Times New Roman"/>
          <w:bCs/>
          <w:sz w:val="24"/>
          <w:szCs w:val="24"/>
          <w:lang w:eastAsia="pl-PL"/>
        </w:rPr>
        <w:t>4 ustawy</w:t>
      </w:r>
      <w:r w:rsidR="00714615">
        <w:rPr>
          <w:rFonts w:ascii="Times New Roman" w:eastAsia="Times New Roman" w:hAnsi="Times New Roman"/>
          <w:bCs/>
          <w:sz w:val="24"/>
          <w:szCs w:val="24"/>
          <w:lang w:eastAsia="pl-PL"/>
        </w:rPr>
        <w:t xml:space="preserve">. </w:t>
      </w:r>
      <w:r w:rsidR="002534E4">
        <w:rPr>
          <w:rFonts w:ascii="Times New Roman" w:eastAsia="Times New Roman" w:hAnsi="Times New Roman"/>
          <w:bCs/>
          <w:sz w:val="24"/>
          <w:szCs w:val="24"/>
          <w:lang w:eastAsia="pl-PL"/>
        </w:rPr>
        <w:t>P</w:t>
      </w:r>
      <w:r w:rsidR="00185994">
        <w:rPr>
          <w:rFonts w:ascii="Times New Roman" w:eastAsia="Times New Roman" w:hAnsi="Times New Roman"/>
          <w:bCs/>
          <w:sz w:val="24"/>
          <w:szCs w:val="24"/>
          <w:lang w:eastAsia="pl-PL"/>
        </w:rPr>
        <w:t>oprzedni</w:t>
      </w:r>
      <w:r w:rsidR="002534E4">
        <w:rPr>
          <w:rFonts w:ascii="Times New Roman" w:eastAsia="Times New Roman" w:hAnsi="Times New Roman"/>
          <w:bCs/>
          <w:sz w:val="24"/>
          <w:szCs w:val="24"/>
          <w:lang w:eastAsia="pl-PL"/>
        </w:rPr>
        <w:t>a</w:t>
      </w:r>
      <w:r w:rsidR="00185994">
        <w:rPr>
          <w:rFonts w:ascii="Times New Roman" w:eastAsia="Times New Roman" w:hAnsi="Times New Roman"/>
          <w:bCs/>
          <w:sz w:val="24"/>
          <w:szCs w:val="24"/>
          <w:lang w:eastAsia="pl-PL"/>
        </w:rPr>
        <w:t xml:space="preserve"> </w:t>
      </w:r>
      <w:r w:rsidR="00EA7538">
        <w:rPr>
          <w:rFonts w:ascii="Times New Roman" w:eastAsia="Times New Roman" w:hAnsi="Times New Roman"/>
          <w:bCs/>
          <w:sz w:val="24"/>
          <w:szCs w:val="24"/>
          <w:lang w:eastAsia="pl-PL"/>
        </w:rPr>
        <w:t>dyrektyw</w:t>
      </w:r>
      <w:r w:rsidR="002534E4">
        <w:rPr>
          <w:rFonts w:ascii="Times New Roman" w:eastAsia="Times New Roman" w:hAnsi="Times New Roman"/>
          <w:bCs/>
          <w:sz w:val="24"/>
          <w:szCs w:val="24"/>
          <w:lang w:eastAsia="pl-PL"/>
        </w:rPr>
        <w:t>a</w:t>
      </w:r>
      <w:r w:rsidR="00EA7538">
        <w:rPr>
          <w:rFonts w:ascii="Times New Roman" w:eastAsia="Times New Roman" w:hAnsi="Times New Roman"/>
          <w:bCs/>
          <w:sz w:val="24"/>
          <w:szCs w:val="24"/>
          <w:lang w:eastAsia="pl-PL"/>
        </w:rPr>
        <w:t xml:space="preserve"> 2018/844</w:t>
      </w:r>
      <w:r w:rsidR="00D60D7F">
        <w:rPr>
          <w:rFonts w:ascii="Times New Roman" w:eastAsia="Times New Roman" w:hAnsi="Times New Roman"/>
          <w:bCs/>
          <w:sz w:val="24"/>
          <w:szCs w:val="24"/>
          <w:lang w:eastAsia="pl-PL"/>
        </w:rPr>
        <w:t xml:space="preserve"> w artykule 8</w:t>
      </w:r>
      <w:r w:rsidR="00EA7538">
        <w:rPr>
          <w:rFonts w:ascii="Times New Roman" w:eastAsia="Times New Roman" w:hAnsi="Times New Roman"/>
          <w:bCs/>
          <w:sz w:val="24"/>
          <w:szCs w:val="24"/>
          <w:lang w:eastAsia="pl-PL"/>
        </w:rPr>
        <w:t xml:space="preserve"> </w:t>
      </w:r>
      <w:r w:rsidR="002534E4">
        <w:rPr>
          <w:rFonts w:ascii="Times New Roman" w:eastAsia="Times New Roman" w:hAnsi="Times New Roman"/>
          <w:bCs/>
          <w:sz w:val="24"/>
          <w:szCs w:val="24"/>
          <w:lang w:eastAsia="pl-PL"/>
        </w:rPr>
        <w:t xml:space="preserve">dotyczyła </w:t>
      </w:r>
      <w:r w:rsidR="001D24A5">
        <w:rPr>
          <w:rFonts w:ascii="Times New Roman" w:eastAsia="Times New Roman" w:hAnsi="Times New Roman"/>
          <w:bCs/>
          <w:sz w:val="24"/>
          <w:szCs w:val="24"/>
          <w:lang w:eastAsia="pl-PL"/>
        </w:rPr>
        <w:t>budynk</w:t>
      </w:r>
      <w:r w:rsidR="002534E4">
        <w:rPr>
          <w:rFonts w:ascii="Times New Roman" w:eastAsia="Times New Roman" w:hAnsi="Times New Roman"/>
          <w:bCs/>
          <w:sz w:val="24"/>
          <w:szCs w:val="24"/>
          <w:lang w:eastAsia="pl-PL"/>
        </w:rPr>
        <w:t>ów</w:t>
      </w:r>
      <w:r w:rsidR="0008409D">
        <w:rPr>
          <w:rFonts w:ascii="Times New Roman" w:eastAsia="Times New Roman" w:hAnsi="Times New Roman"/>
          <w:bCs/>
          <w:sz w:val="24"/>
          <w:szCs w:val="24"/>
          <w:lang w:eastAsia="pl-PL"/>
        </w:rPr>
        <w:t>,</w:t>
      </w:r>
      <w:r w:rsidR="00EA7538">
        <w:rPr>
          <w:rFonts w:ascii="Times New Roman" w:eastAsia="Times New Roman" w:hAnsi="Times New Roman"/>
          <w:bCs/>
          <w:sz w:val="24"/>
          <w:szCs w:val="24"/>
          <w:lang w:eastAsia="pl-PL"/>
        </w:rPr>
        <w:t xml:space="preserve"> z którymi związanych </w:t>
      </w:r>
      <w:r w:rsidR="002534E4">
        <w:rPr>
          <w:rFonts w:ascii="Times New Roman" w:eastAsia="Times New Roman" w:hAnsi="Times New Roman"/>
          <w:bCs/>
          <w:sz w:val="24"/>
          <w:szCs w:val="24"/>
          <w:lang w:eastAsia="pl-PL"/>
        </w:rPr>
        <w:t>było</w:t>
      </w:r>
      <w:r w:rsidR="00EA7538">
        <w:rPr>
          <w:rFonts w:ascii="Times New Roman" w:eastAsia="Times New Roman" w:hAnsi="Times New Roman"/>
          <w:bCs/>
          <w:sz w:val="24"/>
          <w:szCs w:val="24"/>
          <w:lang w:eastAsia="pl-PL"/>
        </w:rPr>
        <w:t xml:space="preserve"> więcej niż 10</w:t>
      </w:r>
      <w:r w:rsidR="002534E4">
        <w:rPr>
          <w:rFonts w:ascii="Times New Roman" w:eastAsia="Times New Roman" w:hAnsi="Times New Roman"/>
          <w:bCs/>
          <w:sz w:val="24"/>
          <w:szCs w:val="24"/>
          <w:lang w:eastAsia="pl-PL"/>
        </w:rPr>
        <w:t xml:space="preserve"> i 20 stanowisk postojowych</w:t>
      </w:r>
      <w:r w:rsidR="00F60A39">
        <w:rPr>
          <w:rFonts w:ascii="Times New Roman" w:eastAsia="Times New Roman" w:hAnsi="Times New Roman"/>
          <w:bCs/>
          <w:sz w:val="24"/>
          <w:szCs w:val="24"/>
          <w:lang w:eastAsia="pl-PL"/>
        </w:rPr>
        <w:t>,</w:t>
      </w:r>
      <w:r w:rsidR="00F60A39" w:rsidRPr="00F60A39">
        <w:rPr>
          <w:rFonts w:ascii="Times New Roman" w:eastAsia="Times New Roman" w:hAnsi="Times New Roman"/>
          <w:bCs/>
          <w:sz w:val="24"/>
          <w:szCs w:val="24"/>
          <w:lang w:eastAsia="pl-PL"/>
        </w:rPr>
        <w:t xml:space="preserve"> </w:t>
      </w:r>
      <w:r w:rsidR="00F60A39">
        <w:rPr>
          <w:rFonts w:ascii="Times New Roman" w:eastAsia="Times New Roman" w:hAnsi="Times New Roman"/>
          <w:bCs/>
          <w:sz w:val="24"/>
          <w:szCs w:val="24"/>
          <w:lang w:eastAsia="pl-PL"/>
        </w:rPr>
        <w:t>zaimplementowanych do obecnie obowiązującego artykułu 12a ustawy</w:t>
      </w:r>
      <w:r w:rsidR="00F60A39" w:rsidRPr="00395E01">
        <w:rPr>
          <w:rFonts w:ascii="Times New Roman" w:eastAsia="Times New Roman" w:hAnsi="Times New Roman"/>
          <w:bCs/>
          <w:sz w:val="24"/>
          <w:szCs w:val="24"/>
          <w:lang w:eastAsia="pl-PL"/>
        </w:rPr>
        <w:t xml:space="preserve"> </w:t>
      </w:r>
      <w:r w:rsidR="00F60A39" w:rsidRPr="00FC4794">
        <w:rPr>
          <w:rFonts w:ascii="Times New Roman" w:hAnsi="Times New Roman"/>
          <w:sz w:val="24"/>
          <w:szCs w:val="24"/>
        </w:rPr>
        <w:t xml:space="preserve">z dnia 11 stycznia 2018 r. </w:t>
      </w:r>
      <w:r w:rsidR="00F60A39" w:rsidRPr="00395E01">
        <w:rPr>
          <w:rFonts w:ascii="Times New Roman" w:eastAsia="Times New Roman" w:hAnsi="Times New Roman"/>
          <w:bCs/>
          <w:sz w:val="24"/>
          <w:szCs w:val="24"/>
          <w:lang w:eastAsia="pl-PL"/>
        </w:rPr>
        <w:t>o</w:t>
      </w:r>
      <w:r w:rsidR="00F60A39">
        <w:rPr>
          <w:rFonts w:ascii="Times New Roman" w:eastAsia="Times New Roman" w:hAnsi="Times New Roman"/>
          <w:bCs/>
          <w:sz w:val="24"/>
          <w:szCs w:val="24"/>
          <w:lang w:eastAsia="pl-PL"/>
        </w:rPr>
        <w:t> </w:t>
      </w:r>
      <w:r w:rsidR="00F60A39" w:rsidRPr="00395E01">
        <w:rPr>
          <w:rFonts w:ascii="Times New Roman" w:eastAsia="Times New Roman" w:hAnsi="Times New Roman"/>
          <w:bCs/>
          <w:sz w:val="24"/>
          <w:szCs w:val="24"/>
          <w:lang w:eastAsia="pl-PL"/>
        </w:rPr>
        <w:t>elektromobilności i paliwach alternatywnych</w:t>
      </w:r>
      <w:r w:rsidR="00EA7538">
        <w:rPr>
          <w:rFonts w:ascii="Times New Roman" w:eastAsia="Times New Roman" w:hAnsi="Times New Roman"/>
          <w:bCs/>
          <w:sz w:val="24"/>
          <w:szCs w:val="24"/>
          <w:lang w:eastAsia="pl-PL"/>
        </w:rPr>
        <w:t xml:space="preserve">. </w:t>
      </w:r>
      <w:r w:rsidR="00A536C0">
        <w:rPr>
          <w:rFonts w:ascii="Times New Roman" w:eastAsia="Times New Roman" w:hAnsi="Times New Roman"/>
          <w:bCs/>
          <w:sz w:val="24"/>
          <w:szCs w:val="24"/>
          <w:lang w:eastAsia="pl-PL"/>
        </w:rPr>
        <w:t xml:space="preserve">Dodatkowo obecnie obowiązująca dyrektywa wskazuje konieczność zapewnienia niezbędnej </w:t>
      </w:r>
      <w:r w:rsidR="00F60A39">
        <w:rPr>
          <w:rFonts w:ascii="Times New Roman" w:eastAsia="Times New Roman" w:hAnsi="Times New Roman"/>
          <w:bCs/>
          <w:sz w:val="24"/>
          <w:szCs w:val="24"/>
          <w:lang w:eastAsia="pl-PL"/>
        </w:rPr>
        <w:t>liczby</w:t>
      </w:r>
      <w:r w:rsidR="00A536C0">
        <w:rPr>
          <w:rFonts w:ascii="Times New Roman" w:eastAsia="Times New Roman" w:hAnsi="Times New Roman"/>
          <w:bCs/>
          <w:sz w:val="24"/>
          <w:szCs w:val="24"/>
          <w:lang w:eastAsia="pl-PL"/>
        </w:rPr>
        <w:t xml:space="preserve"> miejsc parkingowych dla rowerów w stosunku do parkingów przynależnych do budynku.</w:t>
      </w:r>
      <w:r w:rsidR="00EA7538">
        <w:rPr>
          <w:rFonts w:ascii="Times New Roman" w:eastAsia="Times New Roman" w:hAnsi="Times New Roman"/>
          <w:bCs/>
          <w:sz w:val="24"/>
          <w:szCs w:val="24"/>
          <w:lang w:eastAsia="pl-PL"/>
        </w:rPr>
        <w:t xml:space="preserve"> </w:t>
      </w:r>
    </w:p>
    <w:p w14:paraId="0DDDF8E8" w14:textId="598ACA8F" w:rsidR="00614320" w:rsidRPr="00EB6389" w:rsidRDefault="00185994" w:rsidP="00F16B6B">
      <w:pPr>
        <w:spacing w:after="12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W związku z powyższym z uwagi na konieczność transpozycji przepisów dyrektywy 2024/1275, w tym przepisu dotyczącego infrastruktury na potrzeby zrównoważonej </w:t>
      </w:r>
      <w:r>
        <w:rPr>
          <w:rFonts w:ascii="Times New Roman" w:eastAsia="Times New Roman" w:hAnsi="Times New Roman"/>
          <w:bCs/>
          <w:sz w:val="24"/>
          <w:szCs w:val="24"/>
          <w:lang w:eastAsia="pl-PL"/>
        </w:rPr>
        <w:lastRenderedPageBreak/>
        <w:t>mobilności</w:t>
      </w:r>
      <w:r w:rsidR="00FA72D5">
        <w:rPr>
          <w:rFonts w:ascii="Times New Roman" w:eastAsia="Times New Roman" w:hAnsi="Times New Roman"/>
          <w:bCs/>
          <w:sz w:val="24"/>
          <w:szCs w:val="24"/>
          <w:lang w:eastAsia="pl-PL"/>
        </w:rPr>
        <w:t>, konieczne jest opracowanie nowelizacji ustawy</w:t>
      </w:r>
      <w:r w:rsidR="00F207F4">
        <w:rPr>
          <w:rFonts w:ascii="Times New Roman" w:eastAsia="Times New Roman" w:hAnsi="Times New Roman"/>
          <w:bCs/>
          <w:sz w:val="24"/>
          <w:szCs w:val="24"/>
          <w:lang w:eastAsia="pl-PL"/>
        </w:rPr>
        <w:t xml:space="preserve"> </w:t>
      </w:r>
      <w:r w:rsidR="00F207F4" w:rsidRPr="006A1A97">
        <w:rPr>
          <w:rFonts w:ascii="Times New Roman" w:hAnsi="Times New Roman"/>
          <w:sz w:val="24"/>
          <w:szCs w:val="24"/>
        </w:rPr>
        <w:t>z dnia 11 stycznia 2018 r.</w:t>
      </w:r>
      <w:r w:rsidR="00FA72D5">
        <w:rPr>
          <w:rFonts w:ascii="Times New Roman" w:eastAsia="Times New Roman" w:hAnsi="Times New Roman"/>
          <w:bCs/>
          <w:sz w:val="24"/>
          <w:szCs w:val="24"/>
          <w:lang w:eastAsia="pl-PL"/>
        </w:rPr>
        <w:t xml:space="preserve"> </w:t>
      </w:r>
      <w:r w:rsidR="00DB1A97">
        <w:rPr>
          <w:rFonts w:ascii="Times New Roman" w:eastAsia="Times New Roman" w:hAnsi="Times New Roman"/>
          <w:bCs/>
          <w:sz w:val="24"/>
          <w:szCs w:val="24"/>
          <w:lang w:eastAsia="pl-PL"/>
        </w:rPr>
        <w:t>o </w:t>
      </w:r>
      <w:r w:rsidR="00FA72D5">
        <w:rPr>
          <w:rFonts w:ascii="Times New Roman" w:eastAsia="Times New Roman" w:hAnsi="Times New Roman"/>
          <w:bCs/>
          <w:sz w:val="24"/>
          <w:szCs w:val="24"/>
          <w:lang w:eastAsia="pl-PL"/>
        </w:rPr>
        <w:t>elektromobilności i paliwach alternatywnych w zakresie dostosowani</w:t>
      </w:r>
      <w:r w:rsidR="002534E4">
        <w:rPr>
          <w:rFonts w:ascii="Times New Roman" w:eastAsia="Times New Roman" w:hAnsi="Times New Roman"/>
          <w:bCs/>
          <w:sz w:val="24"/>
          <w:szCs w:val="24"/>
          <w:lang w:eastAsia="pl-PL"/>
        </w:rPr>
        <w:t>a</w:t>
      </w:r>
      <w:r w:rsidR="00FA72D5">
        <w:rPr>
          <w:rFonts w:ascii="Times New Roman" w:eastAsia="Times New Roman" w:hAnsi="Times New Roman"/>
          <w:bCs/>
          <w:sz w:val="24"/>
          <w:szCs w:val="24"/>
          <w:lang w:eastAsia="pl-PL"/>
        </w:rPr>
        <w:t xml:space="preserve"> przepisów krajowych do regulacji w artykule 14</w:t>
      </w:r>
      <w:r w:rsidR="0008409D">
        <w:rPr>
          <w:rFonts w:ascii="Times New Roman" w:eastAsia="Times New Roman" w:hAnsi="Times New Roman"/>
          <w:bCs/>
          <w:sz w:val="24"/>
          <w:szCs w:val="24"/>
          <w:lang w:eastAsia="pl-PL"/>
        </w:rPr>
        <w:t xml:space="preserve"> dyrektywy 2024/1275</w:t>
      </w:r>
      <w:r w:rsidR="00FA72D5">
        <w:rPr>
          <w:rFonts w:ascii="Times New Roman" w:eastAsia="Times New Roman" w:hAnsi="Times New Roman"/>
          <w:bCs/>
          <w:sz w:val="24"/>
          <w:szCs w:val="24"/>
          <w:lang w:eastAsia="pl-PL"/>
        </w:rPr>
        <w:t xml:space="preserve">. </w:t>
      </w:r>
    </w:p>
    <w:p w14:paraId="3E4E84D3" w14:textId="077A451C" w:rsidR="00EB6389" w:rsidRPr="00F16B6B" w:rsidRDefault="00614320" w:rsidP="00F16B6B">
      <w:pPr>
        <w:pStyle w:val="CZWSPPKTczwsplnapunktw"/>
        <w:spacing w:after="120"/>
        <w:rPr>
          <w:rFonts w:ascii="Times New Roman" w:hAnsi="Times New Roman" w:cs="Times New Roman"/>
        </w:rPr>
      </w:pPr>
      <w:r>
        <w:rPr>
          <w:rFonts w:ascii="Times New Roman" w:hAnsi="Times New Roman" w:cs="Times New Roman"/>
        </w:rPr>
        <w:t>A</w:t>
      </w:r>
      <w:r w:rsidRPr="00D6335A">
        <w:rPr>
          <w:rFonts w:ascii="Times New Roman" w:hAnsi="Times New Roman" w:cs="Times New Roman"/>
        </w:rPr>
        <w:t>rt</w:t>
      </w:r>
      <w:r w:rsidR="00DA54C7">
        <w:rPr>
          <w:rFonts w:ascii="Times New Roman" w:hAnsi="Times New Roman" w:cs="Times New Roman"/>
        </w:rPr>
        <w:t>ykuł</w:t>
      </w:r>
      <w:r w:rsidRPr="00D6335A">
        <w:rPr>
          <w:rFonts w:ascii="Times New Roman" w:hAnsi="Times New Roman" w:cs="Times New Roman"/>
        </w:rPr>
        <w:t xml:space="preserve"> 12</w:t>
      </w:r>
      <w:r>
        <w:rPr>
          <w:rFonts w:ascii="Times New Roman" w:hAnsi="Times New Roman" w:cs="Times New Roman"/>
        </w:rPr>
        <w:t>a</w:t>
      </w:r>
      <w:r w:rsidR="00EB6389">
        <w:rPr>
          <w:rFonts w:ascii="Times New Roman" w:hAnsi="Times New Roman" w:cs="Times New Roman"/>
        </w:rPr>
        <w:t xml:space="preserve"> oraz </w:t>
      </w:r>
      <w:r w:rsidR="002534E4">
        <w:rPr>
          <w:rFonts w:ascii="Times New Roman" w:hAnsi="Times New Roman" w:cs="Times New Roman"/>
        </w:rPr>
        <w:t>art. … (</w:t>
      </w:r>
      <w:r w:rsidR="00EB6389">
        <w:rPr>
          <w:rFonts w:ascii="Times New Roman" w:hAnsi="Times New Roman" w:cs="Times New Roman"/>
        </w:rPr>
        <w:t>przepis epizodyczny</w:t>
      </w:r>
      <w:r w:rsidR="002534E4">
        <w:rPr>
          <w:rFonts w:ascii="Times New Roman" w:hAnsi="Times New Roman" w:cs="Times New Roman"/>
        </w:rPr>
        <w:t>)</w:t>
      </w:r>
      <w:r w:rsidRPr="00D6335A">
        <w:rPr>
          <w:rFonts w:ascii="Times New Roman" w:hAnsi="Times New Roman" w:cs="Times New Roman"/>
        </w:rPr>
        <w:t xml:space="preserve"> stanowi bezpośrednią implementację przepisów dyrektywy</w:t>
      </w:r>
      <w:r w:rsidR="00EB6389">
        <w:rPr>
          <w:rFonts w:ascii="Times New Roman" w:hAnsi="Times New Roman" w:cs="Times New Roman"/>
        </w:rPr>
        <w:t xml:space="preserve"> </w:t>
      </w:r>
      <w:bookmarkStart w:id="1" w:name="_Hlk179992162"/>
      <w:r w:rsidR="00EB6389">
        <w:rPr>
          <w:rFonts w:ascii="Times New Roman" w:hAnsi="Times New Roman" w:cs="Times New Roman"/>
        </w:rPr>
        <w:t>2024/1275</w:t>
      </w:r>
      <w:r w:rsidRPr="00D6335A">
        <w:rPr>
          <w:rFonts w:ascii="Times New Roman" w:hAnsi="Times New Roman" w:cs="Times New Roman"/>
        </w:rPr>
        <w:t xml:space="preserve"> </w:t>
      </w:r>
      <w:bookmarkEnd w:id="1"/>
      <w:r w:rsidRPr="00D6335A">
        <w:rPr>
          <w:rFonts w:ascii="Times New Roman" w:hAnsi="Times New Roman" w:cs="Times New Roman"/>
        </w:rPr>
        <w:t>do polskiego porządku prawnego</w:t>
      </w:r>
      <w:r w:rsidR="004E67BF">
        <w:rPr>
          <w:rFonts w:ascii="Times New Roman" w:hAnsi="Times New Roman" w:cs="Times New Roman"/>
        </w:rPr>
        <w:t xml:space="preserve"> w zakresie infrastruktury na potrzeby ładowania</w:t>
      </w:r>
      <w:r w:rsidRPr="00D6335A">
        <w:rPr>
          <w:rFonts w:ascii="Times New Roman" w:hAnsi="Times New Roman" w:cs="Times New Roman"/>
        </w:rPr>
        <w:t xml:space="preserve">. Jednocześnie stanowi odpowiedź na wymagania dotyczące zapewnienia rozwoju infrastruktury niezbędnej do ładowania pojazdów elektrycznych w Polsce, zarówno </w:t>
      </w:r>
      <w:r w:rsidR="00DB1A97" w:rsidRPr="00D6335A">
        <w:rPr>
          <w:rFonts w:ascii="Times New Roman" w:hAnsi="Times New Roman" w:cs="Times New Roman"/>
        </w:rPr>
        <w:t>w</w:t>
      </w:r>
      <w:r w:rsidR="00DB1A97">
        <w:rPr>
          <w:rFonts w:ascii="Times New Roman" w:hAnsi="Times New Roman" w:cs="Times New Roman"/>
        </w:rPr>
        <w:t> </w:t>
      </w:r>
      <w:r w:rsidRPr="00D6335A">
        <w:rPr>
          <w:rFonts w:ascii="Times New Roman" w:hAnsi="Times New Roman" w:cs="Times New Roman"/>
        </w:rPr>
        <w:t>przypadku budynków nowych,</w:t>
      </w:r>
      <w:r w:rsidR="00F207F4">
        <w:rPr>
          <w:rFonts w:ascii="Times New Roman" w:hAnsi="Times New Roman" w:cs="Times New Roman"/>
        </w:rPr>
        <w:t xml:space="preserve"> jak i</w:t>
      </w:r>
      <w:r w:rsidR="00F16B6B">
        <w:rPr>
          <w:rFonts w:ascii="Times New Roman" w:hAnsi="Times New Roman" w:cs="Times New Roman"/>
        </w:rPr>
        <w:t xml:space="preserve"> istniejących oraz</w:t>
      </w:r>
      <w:r w:rsidRPr="00D6335A">
        <w:rPr>
          <w:rFonts w:ascii="Times New Roman" w:hAnsi="Times New Roman" w:cs="Times New Roman"/>
        </w:rPr>
        <w:t xml:space="preserve"> poddawanych</w:t>
      </w:r>
      <w:r w:rsidR="002534E4">
        <w:rPr>
          <w:rFonts w:ascii="Times New Roman" w:hAnsi="Times New Roman" w:cs="Times New Roman"/>
        </w:rPr>
        <w:t xml:space="preserve"> przebudowie</w:t>
      </w:r>
      <w:r w:rsidR="00464372">
        <w:rPr>
          <w:rFonts w:ascii="Times New Roman" w:hAnsi="Times New Roman" w:cs="Times New Roman"/>
        </w:rPr>
        <w:t>, rozbudowie</w:t>
      </w:r>
      <w:r w:rsidR="001B6C6C">
        <w:rPr>
          <w:rFonts w:ascii="Times New Roman" w:hAnsi="Times New Roman" w:cs="Times New Roman"/>
        </w:rPr>
        <w:t>,</w:t>
      </w:r>
      <w:r w:rsidR="00464372">
        <w:rPr>
          <w:rFonts w:ascii="Times New Roman" w:hAnsi="Times New Roman" w:cs="Times New Roman"/>
        </w:rPr>
        <w:t xml:space="preserve"> nadbudowie</w:t>
      </w:r>
      <w:r w:rsidR="001B6C6C">
        <w:rPr>
          <w:rFonts w:ascii="Times New Roman" w:hAnsi="Times New Roman" w:cs="Times New Roman"/>
        </w:rPr>
        <w:t xml:space="preserve"> lub remontowi</w:t>
      </w:r>
      <w:r w:rsidRPr="00D6335A">
        <w:rPr>
          <w:rFonts w:ascii="Times New Roman" w:hAnsi="Times New Roman" w:cs="Times New Roman"/>
        </w:rPr>
        <w:t>.</w:t>
      </w:r>
    </w:p>
    <w:p w14:paraId="37CED818" w14:textId="2E96F20F" w:rsidR="00185994" w:rsidRPr="00B91423" w:rsidRDefault="00185994" w:rsidP="00185994">
      <w:pPr>
        <w:ind w:left="360"/>
        <w:rPr>
          <w:rFonts w:ascii="Times New Roman" w:hAnsi="Times New Roman"/>
          <w:b/>
          <w:sz w:val="24"/>
          <w:szCs w:val="24"/>
        </w:rPr>
      </w:pPr>
      <w:r w:rsidRPr="00B91423">
        <w:rPr>
          <w:rFonts w:ascii="Times New Roman" w:hAnsi="Times New Roman"/>
          <w:b/>
          <w:sz w:val="24"/>
          <w:szCs w:val="24"/>
        </w:rPr>
        <w:t>Szczegółowy opis projektowanych regulacji</w:t>
      </w:r>
    </w:p>
    <w:p w14:paraId="4510B8AA" w14:textId="3FC58BE2" w:rsidR="008F2868" w:rsidRPr="000A7AEB" w:rsidRDefault="00FA72D5" w:rsidP="006C32AD">
      <w:pPr>
        <w:spacing w:after="120" w:line="360" w:lineRule="auto"/>
        <w:jc w:val="both"/>
        <w:rPr>
          <w:rFonts w:ascii="Times New Roman" w:eastAsia="Times New Roman" w:hAnsi="Times New Roman"/>
          <w:bCs/>
          <w:sz w:val="24"/>
          <w:szCs w:val="24"/>
          <w:lang w:eastAsia="pl-PL"/>
        </w:rPr>
      </w:pPr>
      <w:r w:rsidRPr="00FA72D5">
        <w:rPr>
          <w:rFonts w:ascii="Times New Roman" w:eastAsia="Times New Roman" w:hAnsi="Times New Roman"/>
          <w:bCs/>
          <w:sz w:val="24"/>
          <w:szCs w:val="24"/>
          <w:lang w:eastAsia="pl-PL"/>
        </w:rPr>
        <w:t>Zmiana art</w:t>
      </w:r>
      <w:r w:rsidR="00DA54C7">
        <w:rPr>
          <w:rFonts w:ascii="Times New Roman" w:eastAsia="Times New Roman" w:hAnsi="Times New Roman"/>
          <w:bCs/>
          <w:sz w:val="24"/>
          <w:szCs w:val="24"/>
          <w:lang w:eastAsia="pl-PL"/>
        </w:rPr>
        <w:t>.</w:t>
      </w:r>
      <w:r w:rsidRPr="00FA72D5">
        <w:rPr>
          <w:rFonts w:ascii="Times New Roman" w:eastAsia="Times New Roman" w:hAnsi="Times New Roman"/>
          <w:bCs/>
          <w:sz w:val="24"/>
          <w:szCs w:val="24"/>
          <w:lang w:eastAsia="pl-PL"/>
        </w:rPr>
        <w:t xml:space="preserve"> 12a jest związana z </w:t>
      </w:r>
      <w:r w:rsidR="0082303E">
        <w:rPr>
          <w:rFonts w:ascii="Times New Roman" w:eastAsia="Times New Roman" w:hAnsi="Times New Roman"/>
          <w:bCs/>
          <w:sz w:val="24"/>
          <w:szCs w:val="24"/>
          <w:lang w:eastAsia="pl-PL"/>
        </w:rPr>
        <w:t xml:space="preserve">ustaleniem </w:t>
      </w:r>
      <w:r w:rsidRPr="00FA72D5">
        <w:rPr>
          <w:rFonts w:ascii="Times New Roman" w:eastAsia="Times New Roman" w:hAnsi="Times New Roman"/>
          <w:bCs/>
          <w:sz w:val="24"/>
          <w:szCs w:val="24"/>
          <w:lang w:eastAsia="pl-PL"/>
        </w:rPr>
        <w:t>wymagań dla</w:t>
      </w:r>
      <w:r w:rsidR="00DB1A97">
        <w:rPr>
          <w:rFonts w:ascii="Times New Roman" w:eastAsia="Times New Roman" w:hAnsi="Times New Roman"/>
          <w:bCs/>
          <w:sz w:val="24"/>
          <w:szCs w:val="24"/>
          <w:lang w:eastAsia="pl-PL"/>
        </w:rPr>
        <w:t xml:space="preserve"> nowych</w:t>
      </w:r>
      <w:r w:rsidRPr="00FA72D5">
        <w:rPr>
          <w:rFonts w:ascii="Times New Roman" w:eastAsia="Times New Roman" w:hAnsi="Times New Roman"/>
          <w:bCs/>
          <w:sz w:val="24"/>
          <w:szCs w:val="24"/>
          <w:lang w:eastAsia="pl-PL"/>
        </w:rPr>
        <w:t xml:space="preserve"> budynków </w:t>
      </w:r>
      <w:r w:rsidR="00F16B6B">
        <w:rPr>
          <w:rFonts w:ascii="Times New Roman" w:eastAsia="Times New Roman" w:hAnsi="Times New Roman"/>
          <w:bCs/>
          <w:sz w:val="24"/>
          <w:szCs w:val="24"/>
          <w:lang w:eastAsia="pl-PL"/>
        </w:rPr>
        <w:t>mieszkalnych i</w:t>
      </w:r>
      <w:r w:rsidR="008F0533">
        <w:rPr>
          <w:rFonts w:ascii="Times New Roman" w:eastAsia="Times New Roman" w:hAnsi="Times New Roman"/>
          <w:bCs/>
          <w:sz w:val="24"/>
          <w:szCs w:val="24"/>
          <w:lang w:eastAsia="pl-PL"/>
        </w:rPr>
        <w:t> </w:t>
      </w:r>
      <w:r w:rsidR="00F16B6B">
        <w:rPr>
          <w:rFonts w:ascii="Times New Roman" w:eastAsia="Times New Roman" w:hAnsi="Times New Roman"/>
          <w:bCs/>
          <w:sz w:val="24"/>
          <w:szCs w:val="24"/>
          <w:lang w:eastAsia="pl-PL"/>
        </w:rPr>
        <w:t>niemieszkalnych</w:t>
      </w:r>
      <w:r>
        <w:rPr>
          <w:rFonts w:ascii="Times New Roman" w:eastAsia="Times New Roman" w:hAnsi="Times New Roman"/>
          <w:bCs/>
          <w:sz w:val="24"/>
          <w:szCs w:val="24"/>
          <w:lang w:eastAsia="pl-PL"/>
        </w:rPr>
        <w:t xml:space="preserve"> </w:t>
      </w:r>
      <w:r w:rsidR="00F16B6B">
        <w:rPr>
          <w:rFonts w:ascii="Times New Roman" w:eastAsia="Times New Roman" w:hAnsi="Times New Roman"/>
          <w:bCs/>
          <w:sz w:val="24"/>
          <w:szCs w:val="24"/>
          <w:lang w:eastAsia="pl-PL"/>
        </w:rPr>
        <w:t>oraz</w:t>
      </w:r>
      <w:r>
        <w:rPr>
          <w:rFonts w:ascii="Times New Roman" w:eastAsia="Times New Roman" w:hAnsi="Times New Roman"/>
          <w:bCs/>
          <w:sz w:val="24"/>
          <w:szCs w:val="24"/>
          <w:lang w:eastAsia="pl-PL"/>
        </w:rPr>
        <w:t xml:space="preserve"> istniejących (</w:t>
      </w:r>
      <w:r w:rsidR="0082303E">
        <w:rPr>
          <w:rFonts w:ascii="Times New Roman" w:eastAsia="Times New Roman" w:hAnsi="Times New Roman"/>
          <w:bCs/>
          <w:sz w:val="24"/>
          <w:szCs w:val="24"/>
          <w:lang w:eastAsia="pl-PL"/>
        </w:rPr>
        <w:t>poddawanych przebudowie</w:t>
      </w:r>
      <w:r w:rsidR="00C94A28">
        <w:rPr>
          <w:rFonts w:ascii="Times New Roman" w:eastAsia="Times New Roman" w:hAnsi="Times New Roman"/>
          <w:bCs/>
          <w:sz w:val="24"/>
          <w:szCs w:val="24"/>
          <w:lang w:eastAsia="pl-PL"/>
        </w:rPr>
        <w:t>, rozbudowie</w:t>
      </w:r>
      <w:r w:rsidR="001B6C6C">
        <w:rPr>
          <w:rFonts w:ascii="Times New Roman" w:eastAsia="Times New Roman" w:hAnsi="Times New Roman"/>
          <w:bCs/>
          <w:sz w:val="24"/>
          <w:szCs w:val="24"/>
          <w:lang w:eastAsia="pl-PL"/>
        </w:rPr>
        <w:t xml:space="preserve">, </w:t>
      </w:r>
      <w:r w:rsidR="00C94A28">
        <w:rPr>
          <w:rFonts w:ascii="Times New Roman" w:eastAsia="Times New Roman" w:hAnsi="Times New Roman"/>
          <w:bCs/>
          <w:sz w:val="24"/>
          <w:szCs w:val="24"/>
          <w:lang w:eastAsia="pl-PL"/>
        </w:rPr>
        <w:t>nadbudowie</w:t>
      </w:r>
      <w:r w:rsidR="001B6C6C">
        <w:rPr>
          <w:rFonts w:ascii="Times New Roman" w:eastAsia="Times New Roman" w:hAnsi="Times New Roman"/>
          <w:bCs/>
          <w:sz w:val="24"/>
          <w:szCs w:val="24"/>
          <w:lang w:eastAsia="pl-PL"/>
        </w:rPr>
        <w:t xml:space="preserve"> lub remontowi</w:t>
      </w:r>
      <w:r>
        <w:rPr>
          <w:rFonts w:ascii="Times New Roman" w:eastAsia="Times New Roman" w:hAnsi="Times New Roman"/>
          <w:bCs/>
          <w:sz w:val="24"/>
          <w:szCs w:val="24"/>
          <w:lang w:eastAsia="pl-PL"/>
        </w:rPr>
        <w:t xml:space="preserve">), z którymi są związane więcej niż </w:t>
      </w:r>
      <w:r w:rsidR="0082303E">
        <w:rPr>
          <w:rFonts w:ascii="Times New Roman" w:eastAsia="Times New Roman" w:hAnsi="Times New Roman"/>
          <w:bCs/>
          <w:sz w:val="24"/>
          <w:szCs w:val="24"/>
          <w:lang w:eastAsia="pl-PL"/>
        </w:rPr>
        <w:t xml:space="preserve">3 i </w:t>
      </w:r>
      <w:r>
        <w:rPr>
          <w:rFonts w:ascii="Times New Roman" w:eastAsia="Times New Roman" w:hAnsi="Times New Roman"/>
          <w:bCs/>
          <w:sz w:val="24"/>
          <w:szCs w:val="24"/>
          <w:lang w:eastAsia="pl-PL"/>
        </w:rPr>
        <w:t>5 stanowisk</w:t>
      </w:r>
      <w:r w:rsidR="0082303E">
        <w:rPr>
          <w:rFonts w:ascii="Times New Roman" w:eastAsia="Times New Roman" w:hAnsi="Times New Roman"/>
          <w:bCs/>
          <w:sz w:val="24"/>
          <w:szCs w:val="24"/>
          <w:lang w:eastAsia="pl-PL"/>
        </w:rPr>
        <w:t>a</w:t>
      </w:r>
      <w:r>
        <w:rPr>
          <w:rFonts w:ascii="Times New Roman" w:eastAsia="Times New Roman" w:hAnsi="Times New Roman"/>
          <w:bCs/>
          <w:sz w:val="24"/>
          <w:szCs w:val="24"/>
          <w:lang w:eastAsia="pl-PL"/>
        </w:rPr>
        <w:t xml:space="preserve"> postojow</w:t>
      </w:r>
      <w:r w:rsidR="0082303E">
        <w:rPr>
          <w:rFonts w:ascii="Times New Roman" w:eastAsia="Times New Roman" w:hAnsi="Times New Roman"/>
          <w:bCs/>
          <w:sz w:val="24"/>
          <w:szCs w:val="24"/>
          <w:lang w:eastAsia="pl-PL"/>
        </w:rPr>
        <w:t>e</w:t>
      </w:r>
      <w:r w:rsidR="00F207F4">
        <w:rPr>
          <w:rFonts w:ascii="Times New Roman" w:eastAsia="Times New Roman" w:hAnsi="Times New Roman"/>
          <w:bCs/>
          <w:sz w:val="24"/>
          <w:szCs w:val="24"/>
          <w:lang w:eastAsia="pl-PL"/>
        </w:rPr>
        <w:t xml:space="preserve">, </w:t>
      </w:r>
      <w:bookmarkStart w:id="2" w:name="_Hlk178755009"/>
      <w:r w:rsidR="00F207F4">
        <w:rPr>
          <w:rFonts w:ascii="Times New Roman" w:eastAsia="Times New Roman" w:hAnsi="Times New Roman"/>
          <w:bCs/>
          <w:sz w:val="24"/>
          <w:szCs w:val="24"/>
          <w:lang w:eastAsia="pl-PL"/>
        </w:rPr>
        <w:t>zgodnie z art. 12a ust 1</w:t>
      </w:r>
      <w:r w:rsidR="00DA54C7">
        <w:rPr>
          <w:rFonts w:ascii="Times New Roman" w:eastAsia="Times New Roman" w:hAnsi="Times New Roman"/>
          <w:bCs/>
          <w:sz w:val="24"/>
          <w:szCs w:val="24"/>
          <w:lang w:eastAsia="pl-PL"/>
        </w:rPr>
        <w:t>–</w:t>
      </w:r>
      <w:r w:rsidR="00F207F4">
        <w:rPr>
          <w:rFonts w:ascii="Times New Roman" w:eastAsia="Times New Roman" w:hAnsi="Times New Roman"/>
          <w:bCs/>
          <w:sz w:val="24"/>
          <w:szCs w:val="24"/>
          <w:lang w:eastAsia="pl-PL"/>
        </w:rPr>
        <w:t>4 ustawy</w:t>
      </w:r>
      <w:bookmarkEnd w:id="2"/>
      <w:r w:rsidR="00F77805">
        <w:rPr>
          <w:rFonts w:ascii="Times New Roman" w:eastAsia="Times New Roman" w:hAnsi="Times New Roman"/>
          <w:bCs/>
          <w:sz w:val="24"/>
          <w:szCs w:val="24"/>
          <w:lang w:eastAsia="pl-PL"/>
        </w:rPr>
        <w:t xml:space="preserve">, </w:t>
      </w:r>
      <w:r w:rsidR="00F207F4">
        <w:rPr>
          <w:rFonts w:ascii="Times New Roman" w:eastAsia="Times New Roman" w:hAnsi="Times New Roman"/>
          <w:bCs/>
          <w:sz w:val="24"/>
          <w:szCs w:val="24"/>
          <w:lang w:eastAsia="pl-PL"/>
        </w:rPr>
        <w:t>zgodnie z projektowanym artykułem 12a ust 1</w:t>
      </w:r>
      <w:r w:rsidR="00DA54C7">
        <w:rPr>
          <w:rFonts w:ascii="Times New Roman" w:eastAsia="Times New Roman" w:hAnsi="Times New Roman"/>
          <w:bCs/>
          <w:sz w:val="24"/>
          <w:szCs w:val="24"/>
          <w:lang w:eastAsia="pl-PL"/>
        </w:rPr>
        <w:t>–</w:t>
      </w:r>
      <w:r w:rsidR="00F207F4">
        <w:rPr>
          <w:rFonts w:ascii="Times New Roman" w:eastAsia="Times New Roman" w:hAnsi="Times New Roman"/>
          <w:bCs/>
          <w:sz w:val="24"/>
          <w:szCs w:val="24"/>
          <w:lang w:eastAsia="pl-PL"/>
        </w:rPr>
        <w:t xml:space="preserve">4, </w:t>
      </w:r>
      <w:r w:rsidR="00F77805">
        <w:rPr>
          <w:rFonts w:ascii="Times New Roman" w:eastAsia="Times New Roman" w:hAnsi="Times New Roman"/>
          <w:bCs/>
          <w:sz w:val="24"/>
          <w:szCs w:val="24"/>
          <w:lang w:eastAsia="pl-PL"/>
        </w:rPr>
        <w:t xml:space="preserve">w celu zapewnienia niezbędnej </w:t>
      </w:r>
      <w:r w:rsidR="00F207F4">
        <w:rPr>
          <w:rFonts w:ascii="Times New Roman" w:eastAsia="Times New Roman" w:hAnsi="Times New Roman"/>
          <w:bCs/>
          <w:sz w:val="24"/>
          <w:szCs w:val="24"/>
          <w:lang w:eastAsia="pl-PL"/>
        </w:rPr>
        <w:t>liczby</w:t>
      </w:r>
      <w:r w:rsidR="00F77805">
        <w:rPr>
          <w:rFonts w:ascii="Times New Roman" w:eastAsia="Times New Roman" w:hAnsi="Times New Roman"/>
          <w:bCs/>
          <w:sz w:val="24"/>
          <w:szCs w:val="24"/>
          <w:lang w:eastAsia="pl-PL"/>
        </w:rPr>
        <w:t xml:space="preserve"> punktów ładowania i potrzebnej infrastruktury elektrycznej</w:t>
      </w:r>
      <w:r w:rsidR="00F16B6B">
        <w:rPr>
          <w:rFonts w:ascii="Times New Roman" w:eastAsia="Times New Roman" w:hAnsi="Times New Roman"/>
          <w:bCs/>
          <w:sz w:val="24"/>
          <w:szCs w:val="24"/>
          <w:lang w:eastAsia="pl-PL"/>
        </w:rPr>
        <w:t xml:space="preserve">, </w:t>
      </w:r>
      <w:r w:rsidR="00DB1A97">
        <w:rPr>
          <w:rFonts w:ascii="Times New Roman" w:eastAsia="Times New Roman" w:hAnsi="Times New Roman"/>
          <w:bCs/>
          <w:sz w:val="24"/>
          <w:szCs w:val="24"/>
          <w:lang w:eastAsia="pl-PL"/>
        </w:rPr>
        <w:t>a </w:t>
      </w:r>
      <w:r w:rsidR="00F16B6B">
        <w:rPr>
          <w:rFonts w:ascii="Times New Roman" w:eastAsia="Times New Roman" w:hAnsi="Times New Roman"/>
          <w:bCs/>
          <w:sz w:val="24"/>
          <w:szCs w:val="24"/>
          <w:lang w:eastAsia="pl-PL"/>
        </w:rPr>
        <w:t xml:space="preserve">także miejsc parkingowych dla rowerów. </w:t>
      </w:r>
    </w:p>
    <w:p w14:paraId="54EBA077" w14:textId="72F75AEE" w:rsidR="000A7AEB" w:rsidRPr="00C42B00" w:rsidRDefault="008F2868" w:rsidP="00B91423">
      <w:pPr>
        <w:pStyle w:val="CZWSPPKTczwsplnapunktw"/>
        <w:spacing w:after="120"/>
        <w:rPr>
          <w:rFonts w:ascii="Times New Roman" w:hAnsi="Times New Roman" w:cs="Times New Roman"/>
          <w:szCs w:val="24"/>
        </w:rPr>
      </w:pPr>
      <w:r>
        <w:rPr>
          <w:rFonts w:ascii="Times New Roman" w:hAnsi="Times New Roman" w:cs="Times New Roman"/>
          <w:szCs w:val="24"/>
        </w:rPr>
        <w:t>Artykuł 12a ust</w:t>
      </w:r>
      <w:r w:rsidR="00381240">
        <w:rPr>
          <w:rFonts w:ascii="Times New Roman" w:hAnsi="Times New Roman" w:cs="Times New Roman"/>
          <w:szCs w:val="24"/>
        </w:rPr>
        <w:t xml:space="preserve">. </w:t>
      </w:r>
      <w:r>
        <w:rPr>
          <w:rFonts w:ascii="Times New Roman" w:hAnsi="Times New Roman" w:cs="Times New Roman"/>
          <w:szCs w:val="24"/>
        </w:rPr>
        <w:t>1 i 2 określa wymagania w stosunku do budynków</w:t>
      </w:r>
      <w:r w:rsidR="006C32AD">
        <w:rPr>
          <w:rFonts w:ascii="Times New Roman" w:hAnsi="Times New Roman" w:cs="Times New Roman"/>
          <w:szCs w:val="24"/>
        </w:rPr>
        <w:t xml:space="preserve"> nowych</w:t>
      </w:r>
      <w:r>
        <w:rPr>
          <w:rFonts w:ascii="Times New Roman" w:hAnsi="Times New Roman" w:cs="Times New Roman"/>
          <w:szCs w:val="24"/>
        </w:rPr>
        <w:t xml:space="preserve"> </w:t>
      </w:r>
      <w:r w:rsidRPr="00D6335A">
        <w:rPr>
          <w:rFonts w:ascii="Times New Roman" w:hAnsi="Times New Roman" w:cs="Times New Roman"/>
          <w:szCs w:val="24"/>
        </w:rPr>
        <w:t>niemieszkaln</w:t>
      </w:r>
      <w:r>
        <w:rPr>
          <w:rFonts w:ascii="Times New Roman" w:hAnsi="Times New Roman" w:cs="Times New Roman"/>
          <w:szCs w:val="24"/>
        </w:rPr>
        <w:t>ych</w:t>
      </w:r>
      <w:r w:rsidR="001623EB">
        <w:rPr>
          <w:rFonts w:ascii="Times New Roman" w:hAnsi="Times New Roman" w:cs="Times New Roman"/>
          <w:szCs w:val="24"/>
        </w:rPr>
        <w:t xml:space="preserve"> </w:t>
      </w:r>
      <w:r w:rsidR="00DA54C7">
        <w:rPr>
          <w:rFonts w:ascii="Times New Roman" w:hAnsi="Times New Roman" w:cs="Times New Roman"/>
          <w:szCs w:val="24"/>
        </w:rPr>
        <w:t xml:space="preserve">–  </w:t>
      </w:r>
      <w:r>
        <w:rPr>
          <w:rFonts w:ascii="Times New Roman" w:hAnsi="Times New Roman" w:cs="Times New Roman"/>
          <w:szCs w:val="24"/>
        </w:rPr>
        <w:t>ust</w:t>
      </w:r>
      <w:r w:rsidR="00DA54C7">
        <w:rPr>
          <w:rFonts w:ascii="Times New Roman" w:hAnsi="Times New Roman" w:cs="Times New Roman"/>
          <w:szCs w:val="24"/>
        </w:rPr>
        <w:t>.</w:t>
      </w:r>
      <w:r>
        <w:rPr>
          <w:rFonts w:ascii="Times New Roman" w:hAnsi="Times New Roman" w:cs="Times New Roman"/>
          <w:szCs w:val="24"/>
        </w:rPr>
        <w:t xml:space="preserve"> 1 i </w:t>
      </w:r>
      <w:r w:rsidR="006C32AD">
        <w:rPr>
          <w:rFonts w:ascii="Times New Roman" w:hAnsi="Times New Roman" w:cs="Times New Roman"/>
          <w:szCs w:val="24"/>
        </w:rPr>
        <w:t xml:space="preserve">budynków nowych </w:t>
      </w:r>
      <w:r>
        <w:rPr>
          <w:rFonts w:ascii="Times New Roman" w:hAnsi="Times New Roman" w:cs="Times New Roman"/>
          <w:szCs w:val="24"/>
        </w:rPr>
        <w:t>niemieszkalnych biurowych</w:t>
      </w:r>
      <w:r w:rsidR="001623EB">
        <w:rPr>
          <w:rFonts w:ascii="Times New Roman" w:hAnsi="Times New Roman" w:cs="Times New Roman"/>
          <w:szCs w:val="24"/>
        </w:rPr>
        <w:t xml:space="preserve"> </w:t>
      </w:r>
      <w:r w:rsidR="00DB1A97">
        <w:rPr>
          <w:rFonts w:ascii="Times New Roman" w:hAnsi="Times New Roman" w:cs="Times New Roman"/>
          <w:szCs w:val="24"/>
        </w:rPr>
        <w:t>–</w:t>
      </w:r>
      <w:r>
        <w:rPr>
          <w:rFonts w:ascii="Times New Roman" w:hAnsi="Times New Roman" w:cs="Times New Roman"/>
          <w:szCs w:val="24"/>
        </w:rPr>
        <w:t xml:space="preserve"> ust</w:t>
      </w:r>
      <w:r w:rsidR="00DB1A97">
        <w:rPr>
          <w:rFonts w:ascii="Times New Roman" w:hAnsi="Times New Roman" w:cs="Times New Roman"/>
          <w:szCs w:val="24"/>
        </w:rPr>
        <w:t>.</w:t>
      </w:r>
      <w:r>
        <w:rPr>
          <w:rFonts w:ascii="Times New Roman" w:hAnsi="Times New Roman" w:cs="Times New Roman"/>
          <w:szCs w:val="24"/>
        </w:rPr>
        <w:t xml:space="preserve"> 2,</w:t>
      </w:r>
      <w:r w:rsidRPr="00D6335A">
        <w:rPr>
          <w:rFonts w:ascii="Times New Roman" w:hAnsi="Times New Roman" w:cs="Times New Roman"/>
          <w:szCs w:val="24"/>
        </w:rPr>
        <w:t xml:space="preserve"> mając</w:t>
      </w:r>
      <w:r>
        <w:rPr>
          <w:rFonts w:ascii="Times New Roman" w:hAnsi="Times New Roman" w:cs="Times New Roman"/>
          <w:szCs w:val="24"/>
        </w:rPr>
        <w:t>ych</w:t>
      </w:r>
      <w:r w:rsidRPr="00D6335A">
        <w:rPr>
          <w:rFonts w:ascii="Times New Roman" w:hAnsi="Times New Roman" w:cs="Times New Roman"/>
          <w:szCs w:val="24"/>
        </w:rPr>
        <w:t xml:space="preserve"> więcej niż </w:t>
      </w:r>
      <w:r w:rsidR="00DB1A97">
        <w:rPr>
          <w:rFonts w:ascii="Times New Roman" w:hAnsi="Times New Roman" w:cs="Times New Roman"/>
          <w:szCs w:val="24"/>
        </w:rPr>
        <w:t>5 </w:t>
      </w:r>
      <w:r w:rsidRPr="00D6335A">
        <w:rPr>
          <w:rFonts w:ascii="Times New Roman" w:hAnsi="Times New Roman" w:cs="Times New Roman"/>
          <w:szCs w:val="24"/>
        </w:rPr>
        <w:t>miejsc parkingowych</w:t>
      </w:r>
      <w:r w:rsidR="00AB6E80">
        <w:rPr>
          <w:rFonts w:ascii="Times New Roman" w:hAnsi="Times New Roman" w:cs="Times New Roman"/>
          <w:szCs w:val="24"/>
        </w:rPr>
        <w:t xml:space="preserve">. W przypadku budynków niemieszkalnych wymaganie jest związane </w:t>
      </w:r>
      <w:r w:rsidR="00DB1A97">
        <w:rPr>
          <w:rFonts w:ascii="Times New Roman" w:hAnsi="Times New Roman" w:cs="Times New Roman"/>
          <w:szCs w:val="24"/>
        </w:rPr>
        <w:t>z </w:t>
      </w:r>
      <w:r w:rsidR="00AB6E80">
        <w:rPr>
          <w:rFonts w:ascii="Times New Roman" w:hAnsi="Times New Roman" w:cs="Times New Roman"/>
          <w:szCs w:val="24"/>
        </w:rPr>
        <w:t xml:space="preserve">instalacją </w:t>
      </w:r>
      <w:r w:rsidR="009A55C4">
        <w:rPr>
          <w:rFonts w:ascii="Times New Roman" w:hAnsi="Times New Roman" w:cs="Times New Roman"/>
          <w:szCs w:val="24"/>
        </w:rPr>
        <w:t xml:space="preserve">co najmniej </w:t>
      </w:r>
      <w:r w:rsidR="00AB6E80">
        <w:rPr>
          <w:rFonts w:ascii="Times New Roman" w:hAnsi="Times New Roman" w:cs="Times New Roman"/>
          <w:szCs w:val="24"/>
        </w:rPr>
        <w:t xml:space="preserve">jednego punktu ładowania na każde 5 stanowisk postojowych. </w:t>
      </w:r>
      <w:r w:rsidR="00DB1A97">
        <w:rPr>
          <w:rFonts w:ascii="Times New Roman" w:hAnsi="Times New Roman" w:cs="Times New Roman"/>
          <w:szCs w:val="24"/>
        </w:rPr>
        <w:t>W </w:t>
      </w:r>
      <w:r w:rsidR="00AB6E80">
        <w:rPr>
          <w:rFonts w:ascii="Times New Roman" w:hAnsi="Times New Roman" w:cs="Times New Roman"/>
          <w:szCs w:val="24"/>
        </w:rPr>
        <w:t>przypadku budynków niemieszkalnych biurowych wymaganie jest związane z instalacją jednego punktu ładowania na każde 2 stanowiska postojowe.</w:t>
      </w:r>
      <w:r w:rsidR="001623EB">
        <w:rPr>
          <w:rFonts w:ascii="Times New Roman" w:hAnsi="Times New Roman" w:cs="Times New Roman"/>
          <w:szCs w:val="24"/>
        </w:rPr>
        <w:t xml:space="preserve"> Dodatkow</w:t>
      </w:r>
      <w:r w:rsidR="00EC68E1">
        <w:rPr>
          <w:rFonts w:ascii="Times New Roman" w:hAnsi="Times New Roman" w:cs="Times New Roman"/>
          <w:szCs w:val="24"/>
        </w:rPr>
        <w:t>o</w:t>
      </w:r>
      <w:r w:rsidR="001623EB">
        <w:rPr>
          <w:rFonts w:ascii="Times New Roman" w:hAnsi="Times New Roman" w:cs="Times New Roman"/>
          <w:szCs w:val="24"/>
        </w:rPr>
        <w:t xml:space="preserve"> w przypadku budynków</w:t>
      </w:r>
      <w:r w:rsidR="006C32AD">
        <w:rPr>
          <w:rFonts w:ascii="Times New Roman" w:hAnsi="Times New Roman" w:cs="Times New Roman"/>
          <w:szCs w:val="24"/>
        </w:rPr>
        <w:t xml:space="preserve"> nowych</w:t>
      </w:r>
      <w:r w:rsidR="001623EB">
        <w:rPr>
          <w:rFonts w:ascii="Times New Roman" w:hAnsi="Times New Roman" w:cs="Times New Roman"/>
          <w:szCs w:val="24"/>
        </w:rPr>
        <w:t xml:space="preserve"> niemieszkalnych</w:t>
      </w:r>
      <w:r w:rsidR="003D6DCD">
        <w:rPr>
          <w:rFonts w:ascii="Times New Roman" w:hAnsi="Times New Roman" w:cs="Times New Roman"/>
          <w:szCs w:val="24"/>
        </w:rPr>
        <w:t xml:space="preserve"> i niemieszkalnych biurowych</w:t>
      </w:r>
      <w:r w:rsidR="000A7AEB">
        <w:rPr>
          <w:rFonts w:ascii="Times New Roman" w:hAnsi="Times New Roman" w:cs="Times New Roman"/>
          <w:szCs w:val="24"/>
        </w:rPr>
        <w:t>,</w:t>
      </w:r>
      <w:r w:rsidR="001623EB">
        <w:rPr>
          <w:rFonts w:ascii="Times New Roman" w:hAnsi="Times New Roman" w:cs="Times New Roman"/>
          <w:szCs w:val="24"/>
        </w:rPr>
        <w:t xml:space="preserve"> zapewnia się okablowanie 50% stanowisk postojowych wraz z infrastrukturą kanałową</w:t>
      </w:r>
      <w:r w:rsidR="003D6DCD">
        <w:rPr>
          <w:rFonts w:ascii="Times New Roman" w:hAnsi="Times New Roman" w:cs="Times New Roman"/>
          <w:szCs w:val="24"/>
        </w:rPr>
        <w:t xml:space="preserve">, </w:t>
      </w:r>
      <w:r w:rsidR="000A7AEB">
        <w:rPr>
          <w:rFonts w:ascii="Times New Roman" w:hAnsi="Times New Roman" w:cs="Times New Roman"/>
          <w:szCs w:val="24"/>
        </w:rPr>
        <w:t xml:space="preserve">dla pozostałych miejsc parkingowych, aby umożliwić na późniejszym etapie instalację punktów ładowania pojazdów elektrycznych, rowerów z napędem elektrycznym i innych typów </w:t>
      </w:r>
      <w:r w:rsidR="000269A6">
        <w:rPr>
          <w:rFonts w:ascii="Times New Roman" w:hAnsi="Times New Roman" w:cs="Times New Roman"/>
          <w:szCs w:val="24"/>
        </w:rPr>
        <w:t>pojazdów</w:t>
      </w:r>
      <w:r w:rsidR="000A7AEB">
        <w:rPr>
          <w:rFonts w:ascii="Times New Roman" w:hAnsi="Times New Roman" w:cs="Times New Roman"/>
          <w:szCs w:val="24"/>
        </w:rPr>
        <w:t xml:space="preserve"> kategorii L. </w:t>
      </w:r>
    </w:p>
    <w:p w14:paraId="645F3A39" w14:textId="16685B8B" w:rsidR="00AB6E80" w:rsidRDefault="009A55C4" w:rsidP="000F3B8B">
      <w:pPr>
        <w:pStyle w:val="CZWSPPKTczwsplnapunktw"/>
        <w:spacing w:after="120"/>
        <w:rPr>
          <w:rFonts w:ascii="Times New Roman" w:hAnsi="Times New Roman" w:cs="Times New Roman"/>
          <w:szCs w:val="24"/>
        </w:rPr>
      </w:pPr>
      <w:r>
        <w:rPr>
          <w:rFonts w:ascii="Times New Roman" w:hAnsi="Times New Roman" w:cs="Times New Roman"/>
          <w:szCs w:val="24"/>
        </w:rPr>
        <w:t>W</w:t>
      </w:r>
      <w:r w:rsidR="00C42B00">
        <w:rPr>
          <w:rFonts w:ascii="Times New Roman" w:hAnsi="Times New Roman" w:cs="Times New Roman"/>
          <w:szCs w:val="24"/>
        </w:rPr>
        <w:t xml:space="preserve"> </w:t>
      </w:r>
      <w:r w:rsidR="00977205">
        <w:rPr>
          <w:rFonts w:ascii="Times New Roman" w:hAnsi="Times New Roman" w:cs="Times New Roman"/>
          <w:szCs w:val="24"/>
        </w:rPr>
        <w:t>art. 12</w:t>
      </w:r>
      <w:r w:rsidR="00BF0A4A">
        <w:rPr>
          <w:rFonts w:ascii="Times New Roman" w:hAnsi="Times New Roman" w:cs="Times New Roman"/>
          <w:szCs w:val="24"/>
        </w:rPr>
        <w:t>a</w:t>
      </w:r>
      <w:r w:rsidR="00977205">
        <w:rPr>
          <w:rFonts w:ascii="Times New Roman" w:hAnsi="Times New Roman" w:cs="Times New Roman"/>
          <w:szCs w:val="24"/>
        </w:rPr>
        <w:t xml:space="preserve"> </w:t>
      </w:r>
      <w:r w:rsidR="00C42B00">
        <w:rPr>
          <w:rFonts w:ascii="Times New Roman" w:hAnsi="Times New Roman" w:cs="Times New Roman"/>
          <w:szCs w:val="24"/>
        </w:rPr>
        <w:t>ust</w:t>
      </w:r>
      <w:r w:rsidR="00977205">
        <w:rPr>
          <w:rFonts w:ascii="Times New Roman" w:hAnsi="Times New Roman" w:cs="Times New Roman"/>
          <w:szCs w:val="24"/>
        </w:rPr>
        <w:t>.</w:t>
      </w:r>
      <w:r w:rsidR="00C42B00">
        <w:rPr>
          <w:rFonts w:ascii="Times New Roman" w:hAnsi="Times New Roman" w:cs="Times New Roman"/>
          <w:szCs w:val="24"/>
        </w:rPr>
        <w:t xml:space="preserve"> 1 </w:t>
      </w:r>
      <w:r>
        <w:rPr>
          <w:rFonts w:ascii="Times New Roman" w:hAnsi="Times New Roman" w:cs="Times New Roman"/>
          <w:szCs w:val="24"/>
        </w:rPr>
        <w:t xml:space="preserve">pkt 3 </w:t>
      </w:r>
      <w:r w:rsidR="00C42B00">
        <w:rPr>
          <w:rFonts w:ascii="Times New Roman" w:hAnsi="Times New Roman" w:cs="Times New Roman"/>
          <w:szCs w:val="24"/>
        </w:rPr>
        <w:t xml:space="preserve">i </w:t>
      </w:r>
      <w:r>
        <w:rPr>
          <w:rFonts w:ascii="Times New Roman" w:hAnsi="Times New Roman" w:cs="Times New Roman"/>
          <w:szCs w:val="24"/>
        </w:rPr>
        <w:t xml:space="preserve">ust. </w:t>
      </w:r>
      <w:r w:rsidR="00C42B00">
        <w:rPr>
          <w:rFonts w:ascii="Times New Roman" w:hAnsi="Times New Roman" w:cs="Times New Roman"/>
          <w:szCs w:val="24"/>
        </w:rPr>
        <w:t>2</w:t>
      </w:r>
      <w:r>
        <w:rPr>
          <w:rFonts w:ascii="Times New Roman" w:hAnsi="Times New Roman" w:cs="Times New Roman"/>
          <w:szCs w:val="24"/>
        </w:rPr>
        <w:t xml:space="preserve"> pkt 3</w:t>
      </w:r>
      <w:r w:rsidR="00C42B00">
        <w:rPr>
          <w:rFonts w:ascii="Times New Roman" w:hAnsi="Times New Roman" w:cs="Times New Roman"/>
          <w:szCs w:val="24"/>
        </w:rPr>
        <w:t xml:space="preserve"> </w:t>
      </w:r>
      <w:r w:rsidR="00381240">
        <w:rPr>
          <w:rFonts w:ascii="Times New Roman" w:hAnsi="Times New Roman" w:cs="Times New Roman"/>
          <w:szCs w:val="24"/>
        </w:rPr>
        <w:t>wprowadzono</w:t>
      </w:r>
      <w:r w:rsidR="00C42B00">
        <w:rPr>
          <w:rFonts w:ascii="Times New Roman" w:hAnsi="Times New Roman" w:cs="Times New Roman"/>
          <w:szCs w:val="24"/>
        </w:rPr>
        <w:t xml:space="preserve"> wymagani</w:t>
      </w:r>
      <w:r w:rsidR="008610AE">
        <w:rPr>
          <w:rFonts w:ascii="Times New Roman" w:hAnsi="Times New Roman" w:cs="Times New Roman"/>
          <w:szCs w:val="24"/>
        </w:rPr>
        <w:t>e</w:t>
      </w:r>
      <w:r w:rsidR="00C42B00">
        <w:rPr>
          <w:rFonts w:ascii="Times New Roman" w:hAnsi="Times New Roman" w:cs="Times New Roman"/>
          <w:szCs w:val="24"/>
        </w:rPr>
        <w:t xml:space="preserve"> zapewnienia miejsc parkingowych dla rowerów z uwzględnieniem zapotrzebowania dla rowerów </w:t>
      </w:r>
      <w:r w:rsidR="00DB1A97">
        <w:rPr>
          <w:rFonts w:ascii="Times New Roman" w:hAnsi="Times New Roman" w:cs="Times New Roman"/>
          <w:szCs w:val="24"/>
        </w:rPr>
        <w:t>o </w:t>
      </w:r>
      <w:r w:rsidR="00C42B00">
        <w:rPr>
          <w:rFonts w:ascii="Times New Roman" w:hAnsi="Times New Roman" w:cs="Times New Roman"/>
          <w:szCs w:val="24"/>
        </w:rPr>
        <w:t>niestandardowych wymiarach</w:t>
      </w:r>
      <w:r w:rsidR="008610AE">
        <w:rPr>
          <w:rFonts w:ascii="Times New Roman" w:hAnsi="Times New Roman" w:cs="Times New Roman"/>
          <w:szCs w:val="24"/>
        </w:rPr>
        <w:t xml:space="preserve"> dla budynków niemieszkalnych</w:t>
      </w:r>
      <w:r w:rsidR="00AD0B5D">
        <w:rPr>
          <w:rFonts w:ascii="Times New Roman" w:hAnsi="Times New Roman" w:cs="Times New Roman"/>
          <w:szCs w:val="24"/>
        </w:rPr>
        <w:t xml:space="preserve">. </w:t>
      </w:r>
    </w:p>
    <w:p w14:paraId="0363B2DE" w14:textId="3C8C995F" w:rsidR="00AB6E80" w:rsidRDefault="00336A87" w:rsidP="000F3B8B">
      <w:pPr>
        <w:pStyle w:val="CZWSPPKTczwsplnapunktw"/>
        <w:spacing w:after="120"/>
        <w:rPr>
          <w:rFonts w:ascii="Times New Roman" w:hAnsi="Times New Roman" w:cs="Times New Roman"/>
          <w:szCs w:val="24"/>
        </w:rPr>
      </w:pPr>
      <w:r>
        <w:rPr>
          <w:rFonts w:ascii="Times New Roman" w:hAnsi="Times New Roman" w:cs="Times New Roman"/>
          <w:szCs w:val="24"/>
        </w:rPr>
        <w:t>Artykuł 12</w:t>
      </w:r>
      <w:r w:rsidR="00977205">
        <w:rPr>
          <w:rFonts w:ascii="Times New Roman" w:hAnsi="Times New Roman" w:cs="Times New Roman"/>
          <w:szCs w:val="24"/>
        </w:rPr>
        <w:t>a</w:t>
      </w:r>
      <w:r>
        <w:rPr>
          <w:rFonts w:ascii="Times New Roman" w:hAnsi="Times New Roman" w:cs="Times New Roman"/>
          <w:szCs w:val="24"/>
        </w:rPr>
        <w:t xml:space="preserve"> ust</w:t>
      </w:r>
      <w:r w:rsidR="00381240">
        <w:rPr>
          <w:rFonts w:ascii="Times New Roman" w:hAnsi="Times New Roman" w:cs="Times New Roman"/>
          <w:szCs w:val="24"/>
        </w:rPr>
        <w:t>.</w:t>
      </w:r>
      <w:r>
        <w:rPr>
          <w:rFonts w:ascii="Times New Roman" w:hAnsi="Times New Roman" w:cs="Times New Roman"/>
          <w:szCs w:val="24"/>
        </w:rPr>
        <w:t xml:space="preserve"> 3 wskazuj</w:t>
      </w:r>
      <w:r w:rsidR="00F33FC9">
        <w:rPr>
          <w:rFonts w:ascii="Times New Roman" w:hAnsi="Times New Roman" w:cs="Times New Roman"/>
          <w:szCs w:val="24"/>
        </w:rPr>
        <w:t>e</w:t>
      </w:r>
      <w:r>
        <w:rPr>
          <w:rFonts w:ascii="Times New Roman" w:hAnsi="Times New Roman" w:cs="Times New Roman"/>
          <w:szCs w:val="24"/>
        </w:rPr>
        <w:t xml:space="preserve"> wymagania dla nowych budynków mieszkalnych, poprzez zapewnienie instalacji co najmniej jednego punktu ładowania, instalację okablowania co</w:t>
      </w:r>
      <w:r w:rsidR="007C0F52">
        <w:rPr>
          <w:rFonts w:ascii="Times New Roman" w:hAnsi="Times New Roman" w:cs="Times New Roman"/>
          <w:szCs w:val="24"/>
        </w:rPr>
        <w:t xml:space="preserve"> najmniej</w:t>
      </w:r>
      <w:r>
        <w:rPr>
          <w:rFonts w:ascii="Times New Roman" w:hAnsi="Times New Roman" w:cs="Times New Roman"/>
          <w:szCs w:val="24"/>
        </w:rPr>
        <w:t xml:space="preserve"> 50% stanowisk postojowych</w:t>
      </w:r>
      <w:r w:rsidR="008610AE">
        <w:rPr>
          <w:rFonts w:ascii="Times New Roman" w:hAnsi="Times New Roman" w:cs="Times New Roman"/>
          <w:szCs w:val="24"/>
        </w:rPr>
        <w:t xml:space="preserve"> i infrastrukturą kanałowa dla pozostałych stanowisk </w:t>
      </w:r>
      <w:r w:rsidR="008610AE">
        <w:rPr>
          <w:rFonts w:ascii="Times New Roman" w:hAnsi="Times New Roman" w:cs="Times New Roman"/>
          <w:szCs w:val="24"/>
        </w:rPr>
        <w:lastRenderedPageBreak/>
        <w:t>postojowych</w:t>
      </w:r>
      <w:r>
        <w:rPr>
          <w:rFonts w:ascii="Times New Roman" w:hAnsi="Times New Roman" w:cs="Times New Roman"/>
          <w:szCs w:val="24"/>
        </w:rPr>
        <w:t xml:space="preserve"> oraz zapewnienie co najmniej dwóch miejsc parkingowych dla rowerów dla każdego lokalu </w:t>
      </w:r>
      <w:r w:rsidR="007C0F52">
        <w:rPr>
          <w:rFonts w:ascii="Times New Roman" w:hAnsi="Times New Roman" w:cs="Times New Roman"/>
          <w:szCs w:val="24"/>
        </w:rPr>
        <w:t>mieszkalnego</w:t>
      </w:r>
      <w:r>
        <w:rPr>
          <w:rFonts w:ascii="Times New Roman" w:hAnsi="Times New Roman" w:cs="Times New Roman"/>
          <w:szCs w:val="24"/>
        </w:rPr>
        <w:t xml:space="preserve">. </w:t>
      </w:r>
    </w:p>
    <w:p w14:paraId="297F992D" w14:textId="78E49BFD" w:rsidR="00336A87" w:rsidRDefault="00336A87" w:rsidP="00B41381">
      <w:pPr>
        <w:spacing w:after="120" w:line="360" w:lineRule="auto"/>
        <w:jc w:val="both"/>
        <w:rPr>
          <w:rFonts w:ascii="Times New Roman" w:eastAsia="Times New Roman" w:hAnsi="Times New Roman"/>
          <w:bCs/>
          <w:sz w:val="24"/>
          <w:szCs w:val="24"/>
          <w:lang w:eastAsia="pl-PL"/>
        </w:rPr>
      </w:pPr>
      <w:r w:rsidRPr="007C0F52">
        <w:rPr>
          <w:rFonts w:ascii="Times New Roman" w:eastAsia="Times New Roman" w:hAnsi="Times New Roman"/>
          <w:bCs/>
          <w:sz w:val="24"/>
          <w:szCs w:val="24"/>
          <w:lang w:eastAsia="pl-PL"/>
        </w:rPr>
        <w:t xml:space="preserve">Wymagania w zakresie </w:t>
      </w:r>
      <w:r w:rsidR="009A55C4">
        <w:rPr>
          <w:rFonts w:ascii="Times New Roman" w:eastAsia="Times New Roman" w:hAnsi="Times New Roman"/>
          <w:bCs/>
          <w:sz w:val="24"/>
          <w:szCs w:val="24"/>
          <w:lang w:eastAsia="pl-PL"/>
        </w:rPr>
        <w:t>art. 12</w:t>
      </w:r>
      <w:r w:rsidR="00977205">
        <w:rPr>
          <w:rFonts w:ascii="Times New Roman" w:eastAsia="Times New Roman" w:hAnsi="Times New Roman"/>
          <w:bCs/>
          <w:sz w:val="24"/>
          <w:szCs w:val="24"/>
          <w:lang w:eastAsia="pl-PL"/>
        </w:rPr>
        <w:t>a</w:t>
      </w:r>
      <w:r w:rsidR="009A55C4">
        <w:rPr>
          <w:rFonts w:ascii="Times New Roman" w:eastAsia="Times New Roman" w:hAnsi="Times New Roman"/>
          <w:bCs/>
          <w:sz w:val="24"/>
          <w:szCs w:val="24"/>
          <w:lang w:eastAsia="pl-PL"/>
        </w:rPr>
        <w:t xml:space="preserve"> </w:t>
      </w:r>
      <w:r w:rsidRPr="007C0F52">
        <w:rPr>
          <w:rFonts w:ascii="Times New Roman" w:eastAsia="Times New Roman" w:hAnsi="Times New Roman"/>
          <w:bCs/>
          <w:sz w:val="24"/>
          <w:szCs w:val="24"/>
          <w:lang w:eastAsia="pl-PL"/>
        </w:rPr>
        <w:t>ust</w:t>
      </w:r>
      <w:r w:rsidR="00B41381">
        <w:rPr>
          <w:rFonts w:ascii="Times New Roman" w:eastAsia="Times New Roman" w:hAnsi="Times New Roman"/>
          <w:bCs/>
          <w:sz w:val="24"/>
          <w:szCs w:val="24"/>
          <w:lang w:eastAsia="pl-PL"/>
        </w:rPr>
        <w:t>.</w:t>
      </w:r>
      <w:r w:rsidRPr="007C0F52">
        <w:rPr>
          <w:rFonts w:ascii="Times New Roman" w:eastAsia="Times New Roman" w:hAnsi="Times New Roman"/>
          <w:bCs/>
          <w:sz w:val="24"/>
          <w:szCs w:val="24"/>
          <w:lang w:eastAsia="pl-PL"/>
        </w:rPr>
        <w:t xml:space="preserve"> 1</w:t>
      </w:r>
      <w:r w:rsidR="00DB1A97">
        <w:rPr>
          <w:rFonts w:ascii="Times New Roman" w:eastAsia="Times New Roman" w:hAnsi="Times New Roman"/>
          <w:bCs/>
          <w:sz w:val="24"/>
          <w:szCs w:val="24"/>
          <w:lang w:eastAsia="pl-PL"/>
        </w:rPr>
        <w:t>–</w:t>
      </w:r>
      <w:r w:rsidRPr="007C0F52">
        <w:rPr>
          <w:rFonts w:ascii="Times New Roman" w:eastAsia="Times New Roman" w:hAnsi="Times New Roman"/>
          <w:bCs/>
          <w:sz w:val="24"/>
          <w:szCs w:val="24"/>
          <w:lang w:eastAsia="pl-PL"/>
        </w:rPr>
        <w:t>3 realizuj</w:t>
      </w:r>
      <w:r w:rsidR="00F33FC9">
        <w:rPr>
          <w:rFonts w:ascii="Times New Roman" w:eastAsia="Times New Roman" w:hAnsi="Times New Roman"/>
          <w:bCs/>
          <w:sz w:val="24"/>
          <w:szCs w:val="24"/>
          <w:lang w:eastAsia="pl-PL"/>
        </w:rPr>
        <w:t>e</w:t>
      </w:r>
      <w:r w:rsidRPr="007C0F52">
        <w:rPr>
          <w:rFonts w:ascii="Times New Roman" w:eastAsia="Times New Roman" w:hAnsi="Times New Roman"/>
          <w:bCs/>
          <w:sz w:val="24"/>
          <w:szCs w:val="24"/>
          <w:lang w:eastAsia="pl-PL"/>
        </w:rPr>
        <w:t xml:space="preserve"> się w przypadku gdy stanowiska postojowe znajdują się </w:t>
      </w:r>
      <w:r w:rsidR="007C0F52" w:rsidRPr="007C0F52">
        <w:rPr>
          <w:rFonts w:ascii="Times New Roman" w:eastAsia="Times New Roman" w:hAnsi="Times New Roman"/>
          <w:bCs/>
          <w:sz w:val="24"/>
          <w:szCs w:val="24"/>
          <w:lang w:eastAsia="pl-PL"/>
        </w:rPr>
        <w:t>wewnątrz</w:t>
      </w:r>
      <w:r w:rsidRPr="007C0F52">
        <w:rPr>
          <w:rFonts w:ascii="Times New Roman" w:eastAsia="Times New Roman" w:hAnsi="Times New Roman"/>
          <w:bCs/>
          <w:sz w:val="24"/>
          <w:szCs w:val="24"/>
          <w:lang w:eastAsia="pl-PL"/>
        </w:rPr>
        <w:t xml:space="preserve"> </w:t>
      </w:r>
      <w:r w:rsidR="007C0F52" w:rsidRPr="007C0F52">
        <w:rPr>
          <w:rFonts w:ascii="Times New Roman" w:eastAsia="Times New Roman" w:hAnsi="Times New Roman"/>
          <w:bCs/>
          <w:sz w:val="24"/>
          <w:szCs w:val="24"/>
          <w:lang w:eastAsia="pl-PL"/>
        </w:rPr>
        <w:t xml:space="preserve">budynku lub do niego </w:t>
      </w:r>
      <w:r w:rsidR="007C0F52" w:rsidRPr="00015902">
        <w:rPr>
          <w:rFonts w:ascii="Times New Roman" w:eastAsia="Times New Roman" w:hAnsi="Times New Roman"/>
          <w:bCs/>
          <w:sz w:val="24"/>
          <w:szCs w:val="24"/>
          <w:lang w:eastAsia="pl-PL"/>
        </w:rPr>
        <w:t>bezpośrednio</w:t>
      </w:r>
      <w:r w:rsidR="007C0F52" w:rsidRPr="007C0F52">
        <w:rPr>
          <w:rFonts w:ascii="Times New Roman" w:eastAsia="Times New Roman" w:hAnsi="Times New Roman"/>
          <w:bCs/>
          <w:sz w:val="24"/>
          <w:szCs w:val="24"/>
          <w:lang w:eastAsia="pl-PL"/>
        </w:rPr>
        <w:t xml:space="preserve"> przylegają. </w:t>
      </w:r>
    </w:p>
    <w:p w14:paraId="10604F52" w14:textId="7BB23C4A" w:rsidR="000F3B8B" w:rsidRDefault="00B41381" w:rsidP="000F3B8B">
      <w:pPr>
        <w:spacing w:after="12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Art</w:t>
      </w:r>
      <w:r w:rsidR="00DA54C7">
        <w:rPr>
          <w:rFonts w:ascii="Times New Roman" w:eastAsia="Times New Roman" w:hAnsi="Times New Roman"/>
          <w:bCs/>
          <w:sz w:val="24"/>
          <w:szCs w:val="24"/>
          <w:lang w:eastAsia="pl-PL"/>
        </w:rPr>
        <w:t>ykuł</w:t>
      </w:r>
      <w:r>
        <w:rPr>
          <w:rFonts w:ascii="Times New Roman" w:eastAsia="Times New Roman" w:hAnsi="Times New Roman"/>
          <w:bCs/>
          <w:sz w:val="24"/>
          <w:szCs w:val="24"/>
          <w:lang w:eastAsia="pl-PL"/>
        </w:rPr>
        <w:t xml:space="preserve"> 12</w:t>
      </w:r>
      <w:r w:rsidR="00977205">
        <w:rPr>
          <w:rFonts w:ascii="Times New Roman" w:eastAsia="Times New Roman" w:hAnsi="Times New Roman"/>
          <w:bCs/>
          <w:sz w:val="24"/>
          <w:szCs w:val="24"/>
          <w:lang w:eastAsia="pl-PL"/>
        </w:rPr>
        <w:t>a</w:t>
      </w:r>
      <w:r>
        <w:rPr>
          <w:rFonts w:ascii="Times New Roman" w:eastAsia="Times New Roman" w:hAnsi="Times New Roman"/>
          <w:bCs/>
          <w:sz w:val="24"/>
          <w:szCs w:val="24"/>
          <w:lang w:eastAsia="pl-PL"/>
        </w:rPr>
        <w:t xml:space="preserve"> ust.</w:t>
      </w:r>
      <w:r w:rsidR="00D166F9">
        <w:rPr>
          <w:rFonts w:ascii="Times New Roman" w:eastAsia="Times New Roman" w:hAnsi="Times New Roman"/>
          <w:bCs/>
          <w:sz w:val="24"/>
          <w:szCs w:val="24"/>
          <w:lang w:eastAsia="pl-PL"/>
        </w:rPr>
        <w:t xml:space="preserve"> 4 wskazuj</w:t>
      </w:r>
      <w:r w:rsidR="00F33FC9">
        <w:rPr>
          <w:rFonts w:ascii="Times New Roman" w:eastAsia="Times New Roman" w:hAnsi="Times New Roman"/>
          <w:bCs/>
          <w:sz w:val="24"/>
          <w:szCs w:val="24"/>
          <w:lang w:eastAsia="pl-PL"/>
        </w:rPr>
        <w:t>e</w:t>
      </w:r>
      <w:r w:rsidR="00D166F9">
        <w:rPr>
          <w:rFonts w:ascii="Times New Roman" w:eastAsia="Times New Roman" w:hAnsi="Times New Roman"/>
          <w:bCs/>
          <w:sz w:val="24"/>
          <w:szCs w:val="24"/>
          <w:lang w:eastAsia="pl-PL"/>
        </w:rPr>
        <w:t xml:space="preserve"> tożsame wymagania</w:t>
      </w:r>
      <w:r w:rsidR="00DB1A97">
        <w:rPr>
          <w:rFonts w:ascii="Times New Roman" w:eastAsia="Times New Roman" w:hAnsi="Times New Roman"/>
          <w:bCs/>
          <w:sz w:val="24"/>
          <w:szCs w:val="24"/>
          <w:lang w:eastAsia="pl-PL"/>
        </w:rPr>
        <w:t>,</w:t>
      </w:r>
      <w:r w:rsidR="00D166F9">
        <w:rPr>
          <w:rFonts w:ascii="Times New Roman" w:eastAsia="Times New Roman" w:hAnsi="Times New Roman"/>
          <w:bCs/>
          <w:sz w:val="24"/>
          <w:szCs w:val="24"/>
          <w:lang w:eastAsia="pl-PL"/>
        </w:rPr>
        <w:t xml:space="preserve"> jak w przypadku ust</w:t>
      </w:r>
      <w:r>
        <w:rPr>
          <w:rFonts w:ascii="Times New Roman" w:eastAsia="Times New Roman" w:hAnsi="Times New Roman"/>
          <w:bCs/>
          <w:sz w:val="24"/>
          <w:szCs w:val="24"/>
          <w:lang w:eastAsia="pl-PL"/>
        </w:rPr>
        <w:t>.</w:t>
      </w:r>
      <w:r w:rsidR="00D166F9">
        <w:rPr>
          <w:rFonts w:ascii="Times New Roman" w:eastAsia="Times New Roman" w:hAnsi="Times New Roman"/>
          <w:bCs/>
          <w:sz w:val="24"/>
          <w:szCs w:val="24"/>
          <w:lang w:eastAsia="pl-PL"/>
        </w:rPr>
        <w:t xml:space="preserve"> 1</w:t>
      </w:r>
      <w:r w:rsidR="00DB1A97">
        <w:rPr>
          <w:rFonts w:ascii="Times New Roman" w:eastAsia="Times New Roman" w:hAnsi="Times New Roman"/>
          <w:bCs/>
          <w:sz w:val="24"/>
          <w:szCs w:val="24"/>
          <w:lang w:eastAsia="pl-PL"/>
        </w:rPr>
        <w:t>–</w:t>
      </w:r>
      <w:r w:rsidR="00D166F9">
        <w:rPr>
          <w:rFonts w:ascii="Times New Roman" w:eastAsia="Times New Roman" w:hAnsi="Times New Roman"/>
          <w:bCs/>
          <w:sz w:val="24"/>
          <w:szCs w:val="24"/>
          <w:lang w:eastAsia="pl-PL"/>
        </w:rPr>
        <w:t>3</w:t>
      </w:r>
      <w:r w:rsidR="00AE77BB">
        <w:rPr>
          <w:rFonts w:ascii="Times New Roman" w:eastAsia="Times New Roman" w:hAnsi="Times New Roman"/>
          <w:bCs/>
          <w:sz w:val="24"/>
          <w:szCs w:val="24"/>
          <w:lang w:eastAsia="pl-PL"/>
        </w:rPr>
        <w:t xml:space="preserve"> dla budynków istniejących poddawanych przebudowie</w:t>
      </w:r>
      <w:r w:rsidR="00464372">
        <w:rPr>
          <w:rFonts w:ascii="Times New Roman" w:eastAsia="Times New Roman" w:hAnsi="Times New Roman"/>
          <w:bCs/>
          <w:sz w:val="24"/>
          <w:szCs w:val="24"/>
          <w:lang w:eastAsia="pl-PL"/>
        </w:rPr>
        <w:t>, rozbudowie</w:t>
      </w:r>
      <w:r w:rsidR="001B6C6C">
        <w:rPr>
          <w:rFonts w:ascii="Times New Roman" w:eastAsia="Times New Roman" w:hAnsi="Times New Roman"/>
          <w:bCs/>
          <w:sz w:val="24"/>
          <w:szCs w:val="24"/>
          <w:lang w:eastAsia="pl-PL"/>
        </w:rPr>
        <w:t xml:space="preserve">, </w:t>
      </w:r>
      <w:r w:rsidR="00464372">
        <w:rPr>
          <w:rFonts w:ascii="Times New Roman" w:eastAsia="Times New Roman" w:hAnsi="Times New Roman"/>
          <w:bCs/>
          <w:sz w:val="24"/>
          <w:szCs w:val="24"/>
          <w:lang w:eastAsia="pl-PL"/>
        </w:rPr>
        <w:t>nadbudowie</w:t>
      </w:r>
      <w:r w:rsidR="001B6C6C">
        <w:rPr>
          <w:rFonts w:ascii="Times New Roman" w:eastAsia="Times New Roman" w:hAnsi="Times New Roman"/>
          <w:bCs/>
          <w:sz w:val="24"/>
          <w:szCs w:val="24"/>
          <w:lang w:eastAsia="pl-PL"/>
        </w:rPr>
        <w:t xml:space="preserve"> lub remontowi</w:t>
      </w:r>
      <w:r w:rsidR="00AE77BB">
        <w:rPr>
          <w:rFonts w:ascii="Times New Roman" w:eastAsia="Times New Roman" w:hAnsi="Times New Roman"/>
          <w:bCs/>
          <w:sz w:val="24"/>
          <w:szCs w:val="24"/>
          <w:lang w:eastAsia="pl-PL"/>
        </w:rPr>
        <w:t xml:space="preserve">, </w:t>
      </w:r>
      <w:r w:rsidR="00DB1A97">
        <w:rPr>
          <w:rFonts w:ascii="Times New Roman" w:eastAsia="Times New Roman" w:hAnsi="Times New Roman"/>
          <w:bCs/>
          <w:sz w:val="24"/>
          <w:szCs w:val="24"/>
          <w:lang w:eastAsia="pl-PL"/>
        </w:rPr>
        <w:t>z </w:t>
      </w:r>
      <w:r w:rsidR="00AE77BB">
        <w:rPr>
          <w:rFonts w:ascii="Times New Roman" w:eastAsia="Times New Roman" w:hAnsi="Times New Roman"/>
          <w:bCs/>
          <w:sz w:val="24"/>
          <w:szCs w:val="24"/>
          <w:lang w:eastAsia="pl-PL"/>
        </w:rPr>
        <w:t xml:space="preserve">wyłączeniem ust. 3 pkt 1 odnoszącym się do zapewnienia punktu ładowania w przypadku budynku mieszkalnego. </w:t>
      </w:r>
    </w:p>
    <w:p w14:paraId="2B0AA29C" w14:textId="7FBFD598" w:rsidR="00D166F9" w:rsidRDefault="00D166F9" w:rsidP="000F3B8B">
      <w:pPr>
        <w:spacing w:after="12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W </w:t>
      </w:r>
      <w:r w:rsidR="00B41381">
        <w:rPr>
          <w:rFonts w:ascii="Times New Roman" w:eastAsia="Times New Roman" w:hAnsi="Times New Roman"/>
          <w:bCs/>
          <w:sz w:val="24"/>
          <w:szCs w:val="24"/>
          <w:lang w:eastAsia="pl-PL"/>
        </w:rPr>
        <w:t>art. 12</w:t>
      </w:r>
      <w:r w:rsidR="00977205">
        <w:rPr>
          <w:rFonts w:ascii="Times New Roman" w:eastAsia="Times New Roman" w:hAnsi="Times New Roman"/>
          <w:bCs/>
          <w:sz w:val="24"/>
          <w:szCs w:val="24"/>
          <w:lang w:eastAsia="pl-PL"/>
        </w:rPr>
        <w:t>a</w:t>
      </w:r>
      <w:r w:rsidR="00B41381">
        <w:rPr>
          <w:rFonts w:ascii="Times New Roman" w:eastAsia="Times New Roman" w:hAnsi="Times New Roman"/>
          <w:bCs/>
          <w:sz w:val="24"/>
          <w:szCs w:val="24"/>
          <w:lang w:eastAsia="pl-PL"/>
        </w:rPr>
        <w:t xml:space="preserve"> ust.</w:t>
      </w:r>
      <w:r>
        <w:rPr>
          <w:rFonts w:ascii="Times New Roman" w:eastAsia="Times New Roman" w:hAnsi="Times New Roman"/>
          <w:bCs/>
          <w:sz w:val="24"/>
          <w:szCs w:val="24"/>
          <w:lang w:eastAsia="pl-PL"/>
        </w:rPr>
        <w:t xml:space="preserve"> 5 wskazano</w:t>
      </w:r>
      <w:r w:rsidR="00DE7EAD">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xml:space="preserve"> co należy rozumieć przez przyleganie do budynku.</w:t>
      </w:r>
      <w:r w:rsidR="00B41381" w:rsidRPr="00B41381">
        <w:t xml:space="preserve"> </w:t>
      </w:r>
      <w:r w:rsidR="00B41381">
        <w:rPr>
          <w:rFonts w:ascii="Times New Roman" w:eastAsia="Times New Roman" w:hAnsi="Times New Roman"/>
          <w:bCs/>
          <w:sz w:val="24"/>
          <w:szCs w:val="24"/>
          <w:lang w:eastAsia="pl-PL"/>
        </w:rPr>
        <w:t>Należy zauważyć, że mogą</w:t>
      </w:r>
      <w:r w:rsidR="00B41381" w:rsidRPr="00B41381">
        <w:rPr>
          <w:rFonts w:ascii="Times New Roman" w:eastAsia="Times New Roman" w:hAnsi="Times New Roman"/>
          <w:bCs/>
          <w:sz w:val="24"/>
          <w:szCs w:val="24"/>
          <w:lang w:eastAsia="pl-PL"/>
        </w:rPr>
        <w:t xml:space="preserve"> wystąpić sytuacje, w których parking nie przylega do budynku fizycznie w</w:t>
      </w:r>
      <w:r w:rsidR="00DA54C7">
        <w:rPr>
          <w:rFonts w:ascii="Times New Roman" w:eastAsia="Times New Roman" w:hAnsi="Times New Roman"/>
          <w:bCs/>
          <w:sz w:val="24"/>
          <w:szCs w:val="24"/>
          <w:lang w:eastAsia="pl-PL"/>
        </w:rPr>
        <w:t> </w:t>
      </w:r>
      <w:r w:rsidR="00B41381" w:rsidRPr="00B41381">
        <w:rPr>
          <w:rFonts w:ascii="Times New Roman" w:eastAsia="Times New Roman" w:hAnsi="Times New Roman"/>
          <w:bCs/>
          <w:sz w:val="24"/>
          <w:szCs w:val="24"/>
          <w:lang w:eastAsia="pl-PL"/>
        </w:rPr>
        <w:t>ścisłym znaczeniu tego pojęcia (np. znajduje się po drugiej stronie ulicy lub jest oddzielony od budynku terenem zieleni), ale ma wyraźne powiązanie z budynkiem pod względem własności lub użytkowania.</w:t>
      </w:r>
    </w:p>
    <w:p w14:paraId="5D837681" w14:textId="06776C54" w:rsidR="00D166F9" w:rsidRDefault="00D166F9" w:rsidP="0057020E">
      <w:pPr>
        <w:spacing w:after="12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W </w:t>
      </w:r>
      <w:r w:rsidR="00B41381">
        <w:rPr>
          <w:rFonts w:ascii="Times New Roman" w:eastAsia="Times New Roman" w:hAnsi="Times New Roman"/>
          <w:bCs/>
          <w:sz w:val="24"/>
          <w:szCs w:val="24"/>
          <w:lang w:eastAsia="pl-PL"/>
        </w:rPr>
        <w:t>art. 12</w:t>
      </w:r>
      <w:r w:rsidR="00977205">
        <w:rPr>
          <w:rFonts w:ascii="Times New Roman" w:eastAsia="Times New Roman" w:hAnsi="Times New Roman"/>
          <w:bCs/>
          <w:sz w:val="24"/>
          <w:szCs w:val="24"/>
          <w:lang w:eastAsia="pl-PL"/>
        </w:rPr>
        <w:t>a</w:t>
      </w:r>
      <w:r w:rsidR="00B41381">
        <w:rPr>
          <w:rFonts w:ascii="Times New Roman" w:eastAsia="Times New Roman" w:hAnsi="Times New Roman"/>
          <w:bCs/>
          <w:sz w:val="24"/>
          <w:szCs w:val="24"/>
          <w:lang w:eastAsia="pl-PL"/>
        </w:rPr>
        <w:t xml:space="preserve"> ust. </w:t>
      </w:r>
      <w:r>
        <w:rPr>
          <w:rFonts w:ascii="Times New Roman" w:eastAsia="Times New Roman" w:hAnsi="Times New Roman"/>
          <w:bCs/>
          <w:sz w:val="24"/>
          <w:szCs w:val="24"/>
          <w:lang w:eastAsia="pl-PL"/>
        </w:rPr>
        <w:t xml:space="preserve">6 określono odstępstwo od </w:t>
      </w:r>
      <w:r w:rsidR="00977205">
        <w:rPr>
          <w:rFonts w:ascii="Times New Roman" w:eastAsia="Times New Roman" w:hAnsi="Times New Roman"/>
          <w:bCs/>
          <w:sz w:val="24"/>
          <w:szCs w:val="24"/>
          <w:lang w:eastAsia="pl-PL"/>
        </w:rPr>
        <w:t xml:space="preserve">wymagań określonych w art. 12 </w:t>
      </w:r>
      <w:r>
        <w:rPr>
          <w:rFonts w:ascii="Times New Roman" w:eastAsia="Times New Roman" w:hAnsi="Times New Roman"/>
          <w:bCs/>
          <w:sz w:val="24"/>
          <w:szCs w:val="24"/>
          <w:lang w:eastAsia="pl-PL"/>
        </w:rPr>
        <w:t xml:space="preserve">ust. 3 pkt 3 dla budynków </w:t>
      </w:r>
      <w:r w:rsidR="007444B5">
        <w:rPr>
          <w:rFonts w:ascii="Times New Roman" w:eastAsia="Times New Roman" w:hAnsi="Times New Roman"/>
          <w:bCs/>
          <w:sz w:val="24"/>
          <w:szCs w:val="24"/>
          <w:lang w:eastAsia="pl-PL"/>
        </w:rPr>
        <w:t>istniejących</w:t>
      </w:r>
      <w:r>
        <w:rPr>
          <w:rFonts w:ascii="Times New Roman" w:eastAsia="Times New Roman" w:hAnsi="Times New Roman"/>
          <w:bCs/>
          <w:sz w:val="24"/>
          <w:szCs w:val="24"/>
          <w:lang w:eastAsia="pl-PL"/>
        </w:rPr>
        <w:t xml:space="preserve"> poddawanych</w:t>
      </w:r>
      <w:r w:rsidR="00977205">
        <w:rPr>
          <w:rFonts w:ascii="Times New Roman" w:eastAsia="Times New Roman" w:hAnsi="Times New Roman"/>
          <w:bCs/>
          <w:sz w:val="24"/>
          <w:szCs w:val="24"/>
          <w:lang w:eastAsia="pl-PL"/>
        </w:rPr>
        <w:t xml:space="preserve"> przebudowie</w:t>
      </w:r>
      <w:r w:rsidR="00464372">
        <w:rPr>
          <w:rFonts w:ascii="Times New Roman" w:eastAsia="Times New Roman" w:hAnsi="Times New Roman"/>
          <w:bCs/>
          <w:sz w:val="24"/>
          <w:szCs w:val="24"/>
          <w:lang w:eastAsia="pl-PL"/>
        </w:rPr>
        <w:t>, rozbudowie</w:t>
      </w:r>
      <w:r w:rsidR="001B6C6C">
        <w:rPr>
          <w:rFonts w:ascii="Times New Roman" w:eastAsia="Times New Roman" w:hAnsi="Times New Roman"/>
          <w:bCs/>
          <w:sz w:val="24"/>
          <w:szCs w:val="24"/>
          <w:lang w:eastAsia="pl-PL"/>
        </w:rPr>
        <w:t xml:space="preserve">, </w:t>
      </w:r>
      <w:r w:rsidR="00464372">
        <w:rPr>
          <w:rFonts w:ascii="Times New Roman" w:eastAsia="Times New Roman" w:hAnsi="Times New Roman"/>
          <w:bCs/>
          <w:sz w:val="24"/>
          <w:szCs w:val="24"/>
          <w:lang w:eastAsia="pl-PL"/>
        </w:rPr>
        <w:t>nadbudowie</w:t>
      </w:r>
      <w:r w:rsidR="001B6C6C">
        <w:rPr>
          <w:rFonts w:ascii="Times New Roman" w:eastAsia="Times New Roman" w:hAnsi="Times New Roman"/>
          <w:bCs/>
          <w:sz w:val="24"/>
          <w:szCs w:val="24"/>
          <w:lang w:eastAsia="pl-PL"/>
        </w:rPr>
        <w:t xml:space="preserve"> lub remontowi</w:t>
      </w:r>
      <w:r>
        <w:rPr>
          <w:rFonts w:ascii="Times New Roman" w:eastAsia="Times New Roman" w:hAnsi="Times New Roman"/>
          <w:bCs/>
          <w:sz w:val="24"/>
          <w:szCs w:val="24"/>
          <w:lang w:eastAsia="pl-PL"/>
        </w:rPr>
        <w:t xml:space="preserve">, jeśli wymaganie w zakresie zapewnienia co najmniej dwóch </w:t>
      </w:r>
      <w:r w:rsidR="00DD423A">
        <w:rPr>
          <w:rFonts w:ascii="Times New Roman" w:eastAsia="Times New Roman" w:hAnsi="Times New Roman"/>
          <w:bCs/>
          <w:sz w:val="24"/>
          <w:szCs w:val="24"/>
          <w:lang w:eastAsia="pl-PL"/>
        </w:rPr>
        <w:t>miejsc parkingowych dla rowerów dla każdego lokalu mieszkalnego jest niewykonalne</w:t>
      </w:r>
      <w:r w:rsidR="00977205">
        <w:rPr>
          <w:rFonts w:ascii="Times New Roman" w:eastAsia="Times New Roman" w:hAnsi="Times New Roman"/>
          <w:bCs/>
          <w:sz w:val="24"/>
          <w:szCs w:val="24"/>
          <w:lang w:eastAsia="pl-PL"/>
        </w:rPr>
        <w:t xml:space="preserve"> pod względem technicznych</w:t>
      </w:r>
      <w:r w:rsidR="00DD423A">
        <w:rPr>
          <w:rFonts w:ascii="Times New Roman" w:eastAsia="Times New Roman" w:hAnsi="Times New Roman"/>
          <w:bCs/>
          <w:sz w:val="24"/>
          <w:szCs w:val="24"/>
          <w:lang w:eastAsia="pl-PL"/>
        </w:rPr>
        <w:t xml:space="preserve">, </w:t>
      </w:r>
      <w:r w:rsidR="00977205">
        <w:rPr>
          <w:rFonts w:ascii="Times New Roman" w:eastAsia="Times New Roman" w:hAnsi="Times New Roman"/>
          <w:bCs/>
          <w:sz w:val="24"/>
          <w:szCs w:val="24"/>
          <w:lang w:eastAsia="pl-PL"/>
        </w:rPr>
        <w:t xml:space="preserve">należy </w:t>
      </w:r>
      <w:r w:rsidR="00DD423A">
        <w:rPr>
          <w:rFonts w:ascii="Times New Roman" w:eastAsia="Times New Roman" w:hAnsi="Times New Roman"/>
          <w:bCs/>
          <w:sz w:val="24"/>
          <w:szCs w:val="24"/>
          <w:lang w:eastAsia="pl-PL"/>
        </w:rPr>
        <w:t>zapewni</w:t>
      </w:r>
      <w:r w:rsidR="00977205">
        <w:rPr>
          <w:rFonts w:ascii="Times New Roman" w:eastAsia="Times New Roman" w:hAnsi="Times New Roman"/>
          <w:bCs/>
          <w:sz w:val="24"/>
          <w:szCs w:val="24"/>
          <w:lang w:eastAsia="pl-PL"/>
        </w:rPr>
        <w:t>ć</w:t>
      </w:r>
      <w:r w:rsidR="00DD423A">
        <w:rPr>
          <w:rFonts w:ascii="Times New Roman" w:eastAsia="Times New Roman" w:hAnsi="Times New Roman"/>
          <w:bCs/>
          <w:sz w:val="24"/>
          <w:szCs w:val="24"/>
          <w:lang w:eastAsia="pl-PL"/>
        </w:rPr>
        <w:t xml:space="preserve"> możliwie </w:t>
      </w:r>
      <w:r w:rsidR="00381240">
        <w:rPr>
          <w:rFonts w:ascii="Times New Roman" w:eastAsia="Times New Roman" w:hAnsi="Times New Roman"/>
          <w:bCs/>
          <w:sz w:val="24"/>
          <w:szCs w:val="24"/>
          <w:lang w:eastAsia="pl-PL"/>
        </w:rPr>
        <w:t>największą</w:t>
      </w:r>
      <w:r w:rsidR="00DD423A">
        <w:rPr>
          <w:rFonts w:ascii="Times New Roman" w:eastAsia="Times New Roman" w:hAnsi="Times New Roman"/>
          <w:bCs/>
          <w:sz w:val="24"/>
          <w:szCs w:val="24"/>
          <w:lang w:eastAsia="pl-PL"/>
        </w:rPr>
        <w:t xml:space="preserve"> liczbę miejsc parkingowych dla rowerów dla każdego lokalu </w:t>
      </w:r>
      <w:r w:rsidR="003E648D">
        <w:rPr>
          <w:rFonts w:ascii="Times New Roman" w:eastAsia="Times New Roman" w:hAnsi="Times New Roman"/>
          <w:bCs/>
          <w:sz w:val="24"/>
          <w:szCs w:val="24"/>
          <w:lang w:eastAsia="pl-PL"/>
        </w:rPr>
        <w:t>mieszkalnego</w:t>
      </w:r>
      <w:r w:rsidR="00DD423A">
        <w:rPr>
          <w:rFonts w:ascii="Times New Roman" w:eastAsia="Times New Roman" w:hAnsi="Times New Roman"/>
          <w:bCs/>
          <w:sz w:val="24"/>
          <w:szCs w:val="24"/>
          <w:lang w:eastAsia="pl-PL"/>
        </w:rPr>
        <w:t xml:space="preserve">. </w:t>
      </w:r>
    </w:p>
    <w:p w14:paraId="2398E7EF" w14:textId="583C6412" w:rsidR="0076547B" w:rsidRPr="0076547B" w:rsidRDefault="00977205" w:rsidP="0076547B">
      <w:pPr>
        <w:spacing w:after="12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Art</w:t>
      </w:r>
      <w:r w:rsidR="00DA54C7">
        <w:rPr>
          <w:rFonts w:ascii="Times New Roman" w:eastAsia="Times New Roman" w:hAnsi="Times New Roman"/>
          <w:bCs/>
          <w:sz w:val="24"/>
          <w:szCs w:val="24"/>
          <w:lang w:eastAsia="pl-PL"/>
        </w:rPr>
        <w:t>ykuł</w:t>
      </w:r>
      <w:r>
        <w:rPr>
          <w:rFonts w:ascii="Times New Roman" w:eastAsia="Times New Roman" w:hAnsi="Times New Roman"/>
          <w:bCs/>
          <w:sz w:val="24"/>
          <w:szCs w:val="24"/>
          <w:lang w:eastAsia="pl-PL"/>
        </w:rPr>
        <w:t xml:space="preserve"> 12a ust. </w:t>
      </w:r>
      <w:r w:rsidR="00DD423A">
        <w:rPr>
          <w:rFonts w:ascii="Times New Roman" w:eastAsia="Times New Roman" w:hAnsi="Times New Roman"/>
          <w:bCs/>
          <w:sz w:val="24"/>
          <w:szCs w:val="24"/>
          <w:lang w:eastAsia="pl-PL"/>
        </w:rPr>
        <w:t>7</w:t>
      </w:r>
      <w:r w:rsidR="00DB1A97">
        <w:rPr>
          <w:rFonts w:ascii="Times New Roman" w:eastAsia="Times New Roman" w:hAnsi="Times New Roman"/>
          <w:bCs/>
          <w:sz w:val="24"/>
          <w:szCs w:val="24"/>
          <w:lang w:eastAsia="pl-PL"/>
        </w:rPr>
        <w:t>–</w:t>
      </w:r>
      <w:r w:rsidR="00DD423A">
        <w:rPr>
          <w:rFonts w:ascii="Times New Roman" w:eastAsia="Times New Roman" w:hAnsi="Times New Roman"/>
          <w:bCs/>
          <w:sz w:val="24"/>
          <w:szCs w:val="24"/>
          <w:lang w:eastAsia="pl-PL"/>
        </w:rPr>
        <w:t>9 wskazuj</w:t>
      </w:r>
      <w:r w:rsidR="00F33FC9">
        <w:rPr>
          <w:rFonts w:ascii="Times New Roman" w:eastAsia="Times New Roman" w:hAnsi="Times New Roman"/>
          <w:bCs/>
          <w:sz w:val="24"/>
          <w:szCs w:val="24"/>
          <w:lang w:eastAsia="pl-PL"/>
        </w:rPr>
        <w:t>e</w:t>
      </w:r>
      <w:r w:rsidR="00DD423A">
        <w:rPr>
          <w:rFonts w:ascii="Times New Roman" w:eastAsia="Times New Roman" w:hAnsi="Times New Roman"/>
          <w:bCs/>
          <w:sz w:val="24"/>
          <w:szCs w:val="24"/>
          <w:lang w:eastAsia="pl-PL"/>
        </w:rPr>
        <w:t xml:space="preserve"> na szczegółowe wymagania w zakresie właściwości technicznych i</w:t>
      </w:r>
      <w:r w:rsidR="00DA54C7">
        <w:rPr>
          <w:rFonts w:ascii="Times New Roman" w:eastAsia="Times New Roman" w:hAnsi="Times New Roman"/>
          <w:bCs/>
          <w:sz w:val="24"/>
          <w:szCs w:val="24"/>
          <w:lang w:eastAsia="pl-PL"/>
        </w:rPr>
        <w:t> </w:t>
      </w:r>
      <w:r w:rsidR="00DD423A">
        <w:rPr>
          <w:rFonts w:ascii="Times New Roman" w:eastAsia="Times New Roman" w:hAnsi="Times New Roman"/>
          <w:bCs/>
          <w:sz w:val="24"/>
          <w:szCs w:val="24"/>
          <w:lang w:eastAsia="pl-PL"/>
        </w:rPr>
        <w:t>wymagań w stosunku do punktów ładowania oraz instalacji okablowania i</w:t>
      </w:r>
      <w:r w:rsidR="008F0533">
        <w:rPr>
          <w:rFonts w:ascii="Times New Roman" w:eastAsia="Times New Roman" w:hAnsi="Times New Roman"/>
          <w:bCs/>
          <w:sz w:val="24"/>
          <w:szCs w:val="24"/>
          <w:lang w:eastAsia="pl-PL"/>
        </w:rPr>
        <w:t> </w:t>
      </w:r>
      <w:r w:rsidR="00DD423A">
        <w:rPr>
          <w:rFonts w:ascii="Times New Roman" w:eastAsia="Times New Roman" w:hAnsi="Times New Roman"/>
          <w:bCs/>
          <w:sz w:val="24"/>
          <w:szCs w:val="24"/>
          <w:lang w:eastAsia="pl-PL"/>
        </w:rPr>
        <w:t xml:space="preserve">infrastruktury </w:t>
      </w:r>
      <w:r w:rsidR="00DE7EAD">
        <w:rPr>
          <w:rFonts w:ascii="Times New Roman" w:eastAsia="Times New Roman" w:hAnsi="Times New Roman"/>
          <w:bCs/>
          <w:sz w:val="24"/>
          <w:szCs w:val="24"/>
          <w:lang w:eastAsia="pl-PL"/>
        </w:rPr>
        <w:t>technicznej, kanałowej</w:t>
      </w:r>
      <w:r w:rsidR="00DD423A">
        <w:rPr>
          <w:rFonts w:ascii="Times New Roman" w:eastAsia="Times New Roman" w:hAnsi="Times New Roman"/>
          <w:bCs/>
          <w:sz w:val="24"/>
          <w:szCs w:val="24"/>
          <w:lang w:eastAsia="pl-PL"/>
        </w:rPr>
        <w:t xml:space="preserve">. </w:t>
      </w:r>
      <w:r w:rsidR="0076547B" w:rsidRPr="0076547B">
        <w:rPr>
          <w:rFonts w:ascii="Times New Roman" w:eastAsia="Times New Roman" w:hAnsi="Times New Roman"/>
          <w:bCs/>
          <w:sz w:val="24"/>
          <w:szCs w:val="24"/>
          <w:lang w:eastAsia="pl-PL"/>
        </w:rPr>
        <w:t>Inteligentne ładowanie może przynieść korzyści użytkownikom pojazdów elektrycznych, umożliwiając im planowanie ładowania zgodnie z</w:t>
      </w:r>
      <w:r w:rsidR="008F0533">
        <w:rPr>
          <w:rFonts w:ascii="Times New Roman" w:eastAsia="Times New Roman" w:hAnsi="Times New Roman"/>
          <w:bCs/>
          <w:sz w:val="24"/>
          <w:szCs w:val="24"/>
          <w:lang w:eastAsia="pl-PL"/>
        </w:rPr>
        <w:t> </w:t>
      </w:r>
      <w:r w:rsidR="0076547B" w:rsidRPr="0076547B">
        <w:rPr>
          <w:rFonts w:ascii="Times New Roman" w:eastAsia="Times New Roman" w:hAnsi="Times New Roman"/>
          <w:bCs/>
          <w:sz w:val="24"/>
          <w:szCs w:val="24"/>
          <w:lang w:eastAsia="pl-PL"/>
        </w:rPr>
        <w:t xml:space="preserve">potrzebami użytkowników, kosztami energii elektrycznej i udziałem energii ze źródeł odnawialnych oraz korzyści dla sieci poprzez przesunięcie obciążenia w czasie, a tym samym zmniejszenie obciążeń szczytowych. Dwukierunkowe ładowanie pozwala akumulatorom pojazdów elektrycznych zachowywać się jak stacjonarne akumulatory podłączone do sieci, ułatwia integrację zmiennej energii odnawialnej, umożliwiając magazynowanie nadwyżki energii, gdy ceny są niskie, i dostarczanie tej energii z powrotem do sieci, gdy ceny energii są wysokie, </w:t>
      </w:r>
      <w:r w:rsidR="0028022D" w:rsidRPr="0076547B">
        <w:rPr>
          <w:rFonts w:ascii="Times New Roman" w:eastAsia="Times New Roman" w:hAnsi="Times New Roman"/>
          <w:bCs/>
          <w:sz w:val="24"/>
          <w:szCs w:val="24"/>
          <w:lang w:eastAsia="pl-PL"/>
        </w:rPr>
        <w:t>a</w:t>
      </w:r>
      <w:r w:rsidR="0028022D">
        <w:rPr>
          <w:rFonts w:ascii="Times New Roman" w:eastAsia="Times New Roman" w:hAnsi="Times New Roman"/>
          <w:bCs/>
          <w:sz w:val="24"/>
          <w:szCs w:val="24"/>
          <w:lang w:eastAsia="pl-PL"/>
        </w:rPr>
        <w:t> </w:t>
      </w:r>
      <w:r w:rsidR="0076547B" w:rsidRPr="0076547B">
        <w:rPr>
          <w:rFonts w:ascii="Times New Roman" w:eastAsia="Times New Roman" w:hAnsi="Times New Roman"/>
          <w:bCs/>
          <w:sz w:val="24"/>
          <w:szCs w:val="24"/>
          <w:lang w:eastAsia="pl-PL"/>
        </w:rPr>
        <w:t>wytwarzanie energii ze źródeł odnawialnych jest rzadsze.</w:t>
      </w:r>
      <w:r w:rsidR="0076547B">
        <w:rPr>
          <w:rFonts w:ascii="Times New Roman" w:eastAsia="Times New Roman" w:hAnsi="Times New Roman"/>
          <w:bCs/>
          <w:sz w:val="24"/>
          <w:szCs w:val="24"/>
          <w:lang w:eastAsia="pl-PL"/>
        </w:rPr>
        <w:t xml:space="preserve"> P</w:t>
      </w:r>
      <w:r w:rsidR="0076547B" w:rsidRPr="0076547B">
        <w:rPr>
          <w:rFonts w:ascii="Times New Roman" w:eastAsia="Times New Roman" w:hAnsi="Times New Roman"/>
          <w:bCs/>
          <w:sz w:val="24"/>
          <w:szCs w:val="24"/>
          <w:lang w:eastAsia="pl-PL"/>
        </w:rPr>
        <w:t xml:space="preserve">rzypadki, w których ładowanie dwukierunkowe może być najistotniejsze, to: </w:t>
      </w:r>
    </w:p>
    <w:p w14:paraId="3C067C0A" w14:textId="1FD7DC7C" w:rsidR="0076547B" w:rsidRPr="0076547B" w:rsidRDefault="0076547B" w:rsidP="0076547B">
      <w:pPr>
        <w:spacing w:after="120" w:line="360" w:lineRule="auto"/>
        <w:jc w:val="both"/>
        <w:rPr>
          <w:rFonts w:ascii="Times New Roman" w:eastAsia="Times New Roman" w:hAnsi="Times New Roman"/>
          <w:bCs/>
          <w:sz w:val="24"/>
          <w:szCs w:val="24"/>
          <w:lang w:eastAsia="pl-PL"/>
        </w:rPr>
      </w:pPr>
      <w:r w:rsidRPr="0076547B">
        <w:rPr>
          <w:rFonts w:ascii="Times New Roman" w:eastAsia="Times New Roman" w:hAnsi="Times New Roman"/>
          <w:bCs/>
          <w:sz w:val="24"/>
          <w:szCs w:val="24"/>
          <w:lang w:eastAsia="pl-PL"/>
        </w:rPr>
        <w:lastRenderedPageBreak/>
        <w:t xml:space="preserve">• gdy oczekiwane korzyści przewyższają koszty </w:t>
      </w:r>
      <w:r w:rsidR="00DA54C7">
        <w:rPr>
          <w:rFonts w:ascii="Times New Roman" w:eastAsia="Times New Roman" w:hAnsi="Times New Roman"/>
          <w:bCs/>
          <w:sz w:val="24"/>
          <w:szCs w:val="24"/>
          <w:lang w:eastAsia="pl-PL"/>
        </w:rPr>
        <w:t>–</w:t>
      </w:r>
      <w:r w:rsidRPr="0076547B">
        <w:rPr>
          <w:rFonts w:ascii="Times New Roman" w:eastAsia="Times New Roman" w:hAnsi="Times New Roman"/>
          <w:bCs/>
          <w:sz w:val="24"/>
          <w:szCs w:val="24"/>
          <w:lang w:eastAsia="pl-PL"/>
        </w:rPr>
        <w:t xml:space="preserve"> oczekiwane korzyści z ładowania dwukierunkowego, które przyniosłyby korzyści gospodarstwom</w:t>
      </w:r>
      <w:r>
        <w:rPr>
          <w:rFonts w:ascii="Times New Roman" w:eastAsia="Times New Roman" w:hAnsi="Times New Roman"/>
          <w:bCs/>
          <w:sz w:val="24"/>
          <w:szCs w:val="24"/>
          <w:lang w:eastAsia="pl-PL"/>
        </w:rPr>
        <w:t xml:space="preserve"> </w:t>
      </w:r>
      <w:r w:rsidRPr="0076547B">
        <w:rPr>
          <w:rFonts w:ascii="Times New Roman" w:eastAsia="Times New Roman" w:hAnsi="Times New Roman"/>
          <w:bCs/>
          <w:sz w:val="24"/>
          <w:szCs w:val="24"/>
          <w:lang w:eastAsia="pl-PL"/>
        </w:rPr>
        <w:t>domowym/przedsiębiorstwom będącym właścicielami punktów ładowania, przekraczają dodatkowe koszty instalacji infrastruktury ładowania umożliwiającej ładowanie dwukierunkowe</w:t>
      </w:r>
      <w:r>
        <w:rPr>
          <w:rFonts w:ascii="Times New Roman" w:eastAsia="Times New Roman" w:hAnsi="Times New Roman"/>
          <w:bCs/>
          <w:sz w:val="24"/>
          <w:szCs w:val="24"/>
          <w:lang w:eastAsia="pl-PL"/>
        </w:rPr>
        <w:t>,</w:t>
      </w:r>
    </w:p>
    <w:p w14:paraId="5FD158A8" w14:textId="23FFDFD5" w:rsidR="0076547B" w:rsidRPr="0076547B" w:rsidRDefault="0076547B" w:rsidP="0076547B">
      <w:pPr>
        <w:spacing w:after="120" w:line="360" w:lineRule="auto"/>
        <w:jc w:val="both"/>
        <w:rPr>
          <w:rFonts w:ascii="Times New Roman" w:eastAsia="Times New Roman" w:hAnsi="Times New Roman"/>
          <w:bCs/>
          <w:sz w:val="24"/>
          <w:szCs w:val="24"/>
          <w:lang w:eastAsia="pl-PL"/>
        </w:rPr>
      </w:pPr>
      <w:r w:rsidRPr="0076547B">
        <w:rPr>
          <w:rFonts w:ascii="Times New Roman" w:eastAsia="Times New Roman" w:hAnsi="Times New Roman"/>
          <w:bCs/>
          <w:sz w:val="24"/>
          <w:szCs w:val="24"/>
          <w:lang w:eastAsia="pl-PL"/>
        </w:rPr>
        <w:t>• gdy infrastruktura ładowania jest duża, na przykład w przestrzeniach biurowych i dużych budynkach mieszkalnych</w:t>
      </w:r>
      <w:r w:rsidR="00661C9D">
        <w:rPr>
          <w:rFonts w:ascii="Times New Roman" w:eastAsia="Times New Roman" w:hAnsi="Times New Roman"/>
          <w:bCs/>
          <w:sz w:val="24"/>
          <w:szCs w:val="24"/>
          <w:lang w:eastAsia="pl-PL"/>
        </w:rPr>
        <w:t>,</w:t>
      </w:r>
    </w:p>
    <w:p w14:paraId="002B5178" w14:textId="05435EEF" w:rsidR="0076547B" w:rsidRDefault="0076547B" w:rsidP="0076547B">
      <w:pPr>
        <w:spacing w:after="120" w:line="360" w:lineRule="auto"/>
        <w:jc w:val="both"/>
        <w:rPr>
          <w:rFonts w:ascii="Times New Roman" w:eastAsia="Times New Roman" w:hAnsi="Times New Roman"/>
          <w:bCs/>
          <w:sz w:val="24"/>
          <w:szCs w:val="24"/>
          <w:lang w:eastAsia="pl-PL"/>
        </w:rPr>
      </w:pPr>
      <w:r w:rsidRPr="0076547B">
        <w:rPr>
          <w:rFonts w:ascii="Times New Roman" w:eastAsia="Times New Roman" w:hAnsi="Times New Roman"/>
          <w:bCs/>
          <w:sz w:val="24"/>
          <w:szCs w:val="24"/>
          <w:lang w:eastAsia="pl-PL"/>
        </w:rPr>
        <w:t xml:space="preserve">• </w:t>
      </w:r>
      <w:r>
        <w:rPr>
          <w:rFonts w:ascii="Times New Roman" w:eastAsia="Times New Roman" w:hAnsi="Times New Roman"/>
          <w:bCs/>
          <w:sz w:val="24"/>
          <w:szCs w:val="24"/>
          <w:lang w:eastAsia="pl-PL"/>
        </w:rPr>
        <w:t>g</w:t>
      </w:r>
      <w:r w:rsidRPr="0076547B">
        <w:rPr>
          <w:rFonts w:ascii="Times New Roman" w:eastAsia="Times New Roman" w:hAnsi="Times New Roman"/>
          <w:bCs/>
          <w:sz w:val="24"/>
          <w:szCs w:val="24"/>
          <w:lang w:eastAsia="pl-PL"/>
        </w:rPr>
        <w:t>dy istnieje znaczny potencjał wytwarzania energii ze źródeł odnawialnych - dwukierunkowe ładowanie może magazynować nadwyżkę energii ze źródeł odnawialnych i w razie potrzeby uwalniać ją z powrotem do sieci</w:t>
      </w:r>
      <w:r w:rsidR="00661C9D">
        <w:rPr>
          <w:rFonts w:ascii="Times New Roman" w:eastAsia="Times New Roman" w:hAnsi="Times New Roman"/>
          <w:bCs/>
          <w:sz w:val="24"/>
          <w:szCs w:val="24"/>
          <w:lang w:eastAsia="pl-PL"/>
        </w:rPr>
        <w:t>,</w:t>
      </w:r>
    </w:p>
    <w:p w14:paraId="0BCC1642" w14:textId="1E0CD3B9" w:rsidR="0076547B" w:rsidRPr="0076547B" w:rsidRDefault="0076547B" w:rsidP="0076547B">
      <w:pPr>
        <w:spacing w:after="120" w:line="360" w:lineRule="auto"/>
        <w:jc w:val="both"/>
        <w:rPr>
          <w:rFonts w:ascii="Times New Roman" w:eastAsia="Times New Roman" w:hAnsi="Times New Roman"/>
          <w:bCs/>
          <w:sz w:val="24"/>
          <w:szCs w:val="24"/>
          <w:lang w:eastAsia="pl-PL"/>
        </w:rPr>
      </w:pPr>
      <w:r w:rsidRPr="0076547B">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xml:space="preserve"> </w:t>
      </w:r>
      <w:r w:rsidRPr="0076547B">
        <w:rPr>
          <w:rFonts w:ascii="Times New Roman" w:eastAsia="Times New Roman" w:hAnsi="Times New Roman"/>
          <w:bCs/>
          <w:sz w:val="24"/>
          <w:szCs w:val="24"/>
          <w:lang w:eastAsia="pl-PL"/>
        </w:rPr>
        <w:t>gdy elastyczność jest szczególnie potrzebna ze względu na przeciążenie sieci elektroenergetycznej na określonym obszarze</w:t>
      </w:r>
      <w:r w:rsidR="00661C9D">
        <w:rPr>
          <w:rFonts w:ascii="Times New Roman" w:eastAsia="Times New Roman" w:hAnsi="Times New Roman"/>
          <w:bCs/>
          <w:sz w:val="24"/>
          <w:szCs w:val="24"/>
          <w:lang w:eastAsia="pl-PL"/>
        </w:rPr>
        <w:t xml:space="preserve"> </w:t>
      </w:r>
      <w:r w:rsidR="00DA54C7">
        <w:rPr>
          <w:rFonts w:ascii="Times New Roman" w:eastAsia="Times New Roman" w:hAnsi="Times New Roman"/>
          <w:bCs/>
          <w:sz w:val="24"/>
          <w:szCs w:val="24"/>
          <w:lang w:eastAsia="pl-PL"/>
        </w:rPr>
        <w:t>–</w:t>
      </w:r>
      <w:r w:rsidRPr="0076547B">
        <w:rPr>
          <w:rFonts w:ascii="Times New Roman" w:eastAsia="Times New Roman" w:hAnsi="Times New Roman"/>
          <w:bCs/>
          <w:sz w:val="24"/>
          <w:szCs w:val="24"/>
          <w:lang w:eastAsia="pl-PL"/>
        </w:rPr>
        <w:t xml:space="preserve"> dwukierunkowe ładowanie na obszarach </w:t>
      </w:r>
      <w:r w:rsidR="0028022D" w:rsidRPr="0076547B">
        <w:rPr>
          <w:rFonts w:ascii="Times New Roman" w:eastAsia="Times New Roman" w:hAnsi="Times New Roman"/>
          <w:bCs/>
          <w:sz w:val="24"/>
          <w:szCs w:val="24"/>
          <w:lang w:eastAsia="pl-PL"/>
        </w:rPr>
        <w:t>o</w:t>
      </w:r>
      <w:r w:rsidR="0028022D">
        <w:rPr>
          <w:rFonts w:ascii="Times New Roman" w:eastAsia="Times New Roman" w:hAnsi="Times New Roman"/>
          <w:bCs/>
          <w:sz w:val="24"/>
          <w:szCs w:val="24"/>
          <w:lang w:eastAsia="pl-PL"/>
        </w:rPr>
        <w:t> </w:t>
      </w:r>
      <w:r w:rsidRPr="0076547B">
        <w:rPr>
          <w:rFonts w:ascii="Times New Roman" w:eastAsia="Times New Roman" w:hAnsi="Times New Roman"/>
          <w:bCs/>
          <w:sz w:val="24"/>
          <w:szCs w:val="24"/>
          <w:lang w:eastAsia="pl-PL"/>
        </w:rPr>
        <w:t>dużym natężeniu ruchu może przyczynić się do zwiększenia produkcji energii ze źródeł odnawialnych przy jednoczesnym ograniczeniu potrzeb w zakresie rozbudowy sieci</w:t>
      </w:r>
      <w:r w:rsidR="00661C9D">
        <w:rPr>
          <w:rFonts w:ascii="Times New Roman" w:eastAsia="Times New Roman" w:hAnsi="Times New Roman"/>
          <w:bCs/>
          <w:sz w:val="24"/>
          <w:szCs w:val="24"/>
          <w:lang w:eastAsia="pl-PL"/>
        </w:rPr>
        <w:t>,</w:t>
      </w:r>
      <w:r w:rsidRPr="0076547B">
        <w:rPr>
          <w:rFonts w:ascii="Times New Roman" w:eastAsia="Times New Roman" w:hAnsi="Times New Roman"/>
          <w:bCs/>
          <w:sz w:val="24"/>
          <w:szCs w:val="24"/>
          <w:lang w:eastAsia="pl-PL"/>
        </w:rPr>
        <w:t xml:space="preserve"> </w:t>
      </w:r>
    </w:p>
    <w:p w14:paraId="2F7EAB1C" w14:textId="6D231AF3" w:rsidR="0076547B" w:rsidRPr="0076547B" w:rsidRDefault="0076547B" w:rsidP="0076547B">
      <w:pPr>
        <w:spacing w:after="120" w:line="360" w:lineRule="auto"/>
        <w:jc w:val="both"/>
        <w:rPr>
          <w:rFonts w:ascii="Times New Roman" w:eastAsia="Times New Roman" w:hAnsi="Times New Roman"/>
          <w:bCs/>
          <w:sz w:val="24"/>
          <w:szCs w:val="24"/>
          <w:lang w:eastAsia="pl-PL"/>
        </w:rPr>
      </w:pPr>
      <w:r w:rsidRPr="0076547B">
        <w:rPr>
          <w:rFonts w:ascii="Times New Roman" w:eastAsia="Times New Roman" w:hAnsi="Times New Roman"/>
          <w:bCs/>
          <w:sz w:val="24"/>
          <w:szCs w:val="24"/>
          <w:lang w:eastAsia="pl-PL"/>
        </w:rPr>
        <w:t xml:space="preserve">• </w:t>
      </w:r>
      <w:r w:rsidR="00661C9D">
        <w:rPr>
          <w:rFonts w:ascii="Times New Roman" w:eastAsia="Times New Roman" w:hAnsi="Times New Roman"/>
          <w:bCs/>
          <w:sz w:val="24"/>
          <w:szCs w:val="24"/>
          <w:lang w:eastAsia="pl-PL"/>
        </w:rPr>
        <w:t>w</w:t>
      </w:r>
      <w:r w:rsidRPr="0076547B">
        <w:rPr>
          <w:rFonts w:ascii="Times New Roman" w:eastAsia="Times New Roman" w:hAnsi="Times New Roman"/>
          <w:bCs/>
          <w:sz w:val="24"/>
          <w:szCs w:val="24"/>
          <w:lang w:eastAsia="pl-PL"/>
        </w:rPr>
        <w:t xml:space="preserve"> przypadku szczególnej potrzeby zwiększenia stabilności i niezawodności sieci </w:t>
      </w:r>
      <w:r w:rsidR="00DA54C7">
        <w:rPr>
          <w:rFonts w:ascii="Times New Roman" w:eastAsia="Times New Roman" w:hAnsi="Times New Roman"/>
          <w:bCs/>
          <w:sz w:val="24"/>
          <w:szCs w:val="24"/>
          <w:lang w:eastAsia="pl-PL"/>
        </w:rPr>
        <w:t>–</w:t>
      </w:r>
      <w:r w:rsidRPr="0076547B">
        <w:rPr>
          <w:rFonts w:ascii="Times New Roman" w:eastAsia="Times New Roman" w:hAnsi="Times New Roman"/>
          <w:bCs/>
          <w:sz w:val="24"/>
          <w:szCs w:val="24"/>
          <w:lang w:eastAsia="pl-PL"/>
        </w:rPr>
        <w:t xml:space="preserve"> dwukierunkowe ładowanie może wspierać sieć poprzez świadczenie innych usług, takich jak kontrola napięcia i usługi ratunkowe</w:t>
      </w:r>
      <w:r w:rsidR="00661C9D">
        <w:rPr>
          <w:rFonts w:ascii="Times New Roman" w:eastAsia="Times New Roman" w:hAnsi="Times New Roman"/>
          <w:bCs/>
          <w:sz w:val="24"/>
          <w:szCs w:val="24"/>
          <w:lang w:eastAsia="pl-PL"/>
        </w:rPr>
        <w:t>,</w:t>
      </w:r>
      <w:r w:rsidRPr="0076547B">
        <w:rPr>
          <w:rFonts w:ascii="Times New Roman" w:eastAsia="Times New Roman" w:hAnsi="Times New Roman"/>
          <w:bCs/>
          <w:sz w:val="24"/>
          <w:szCs w:val="24"/>
          <w:lang w:eastAsia="pl-PL"/>
        </w:rPr>
        <w:t xml:space="preserve"> </w:t>
      </w:r>
    </w:p>
    <w:p w14:paraId="52FDCA0E" w14:textId="76CDC5B3" w:rsidR="00DD423A" w:rsidRDefault="0076547B" w:rsidP="0076547B">
      <w:pPr>
        <w:spacing w:after="120" w:line="360" w:lineRule="auto"/>
        <w:jc w:val="both"/>
        <w:rPr>
          <w:rFonts w:ascii="Times New Roman" w:eastAsia="Times New Roman" w:hAnsi="Times New Roman"/>
          <w:bCs/>
          <w:sz w:val="24"/>
          <w:szCs w:val="24"/>
          <w:lang w:eastAsia="pl-PL"/>
        </w:rPr>
      </w:pPr>
      <w:r w:rsidRPr="0076547B">
        <w:rPr>
          <w:rFonts w:ascii="Times New Roman" w:eastAsia="Times New Roman" w:hAnsi="Times New Roman"/>
          <w:bCs/>
          <w:sz w:val="24"/>
          <w:szCs w:val="24"/>
          <w:lang w:eastAsia="pl-PL"/>
        </w:rPr>
        <w:t xml:space="preserve">• gdy w budynku znajdują się magazyny za licznikiem lub fotowoltaika - użytkowników można zachęcać do zezwalania na dwukierunkowe funkcje ładowania, jeśli mają magazynowanie lub rozproszone odnawialne źródła energii, ponieważ zwiększyłyby one korzyści płynące </w:t>
      </w:r>
      <w:r w:rsidR="0028022D" w:rsidRPr="0076547B">
        <w:rPr>
          <w:rFonts w:ascii="Times New Roman" w:eastAsia="Times New Roman" w:hAnsi="Times New Roman"/>
          <w:bCs/>
          <w:sz w:val="24"/>
          <w:szCs w:val="24"/>
          <w:lang w:eastAsia="pl-PL"/>
        </w:rPr>
        <w:t>z</w:t>
      </w:r>
      <w:r w:rsidR="0028022D">
        <w:rPr>
          <w:rFonts w:ascii="Times New Roman" w:eastAsia="Times New Roman" w:hAnsi="Times New Roman"/>
          <w:bCs/>
          <w:sz w:val="24"/>
          <w:szCs w:val="24"/>
          <w:lang w:eastAsia="pl-PL"/>
        </w:rPr>
        <w:t> </w:t>
      </w:r>
      <w:r w:rsidRPr="0076547B">
        <w:rPr>
          <w:rFonts w:ascii="Times New Roman" w:eastAsia="Times New Roman" w:hAnsi="Times New Roman"/>
          <w:bCs/>
          <w:sz w:val="24"/>
          <w:szCs w:val="24"/>
          <w:lang w:eastAsia="pl-PL"/>
        </w:rPr>
        <w:t>ładowania dwukierunkowego.</w:t>
      </w:r>
    </w:p>
    <w:p w14:paraId="3C69D8F7" w14:textId="689C4E49" w:rsidR="00661C9D" w:rsidRPr="00661C9D" w:rsidRDefault="00661C9D" w:rsidP="00661C9D">
      <w:pPr>
        <w:spacing w:after="120" w:line="360" w:lineRule="auto"/>
        <w:jc w:val="both"/>
        <w:rPr>
          <w:rFonts w:ascii="Times New Roman" w:eastAsia="Times New Roman" w:hAnsi="Times New Roman"/>
          <w:bCs/>
          <w:sz w:val="24"/>
          <w:szCs w:val="24"/>
          <w:lang w:eastAsia="pl-PL"/>
        </w:rPr>
      </w:pPr>
      <w:r w:rsidRPr="00661C9D">
        <w:rPr>
          <w:rFonts w:ascii="Times New Roman" w:eastAsia="Times New Roman" w:hAnsi="Times New Roman"/>
          <w:bCs/>
          <w:sz w:val="24"/>
          <w:szCs w:val="24"/>
          <w:lang w:eastAsia="pl-PL"/>
        </w:rPr>
        <w:t>Zarządzanie obciążeniem punktów ładowania pojazdów elektrycznych może służyć zminimalizowaniu wpływu na infrastrukturę elektryczną przy jednoczesnym rozprowadzaniu dostępnej energii między wszystkimi podłączonymi obciążeniami.</w:t>
      </w:r>
      <w:r>
        <w:rPr>
          <w:rFonts w:ascii="Times New Roman" w:eastAsia="Times New Roman" w:hAnsi="Times New Roman"/>
          <w:bCs/>
          <w:sz w:val="24"/>
          <w:szCs w:val="24"/>
          <w:lang w:eastAsia="pl-PL"/>
        </w:rPr>
        <w:t xml:space="preserve"> I</w:t>
      </w:r>
      <w:r w:rsidRPr="00661C9D">
        <w:rPr>
          <w:rFonts w:ascii="Times New Roman" w:eastAsia="Times New Roman" w:hAnsi="Times New Roman"/>
          <w:bCs/>
          <w:sz w:val="24"/>
          <w:szCs w:val="24"/>
          <w:lang w:eastAsia="pl-PL"/>
        </w:rPr>
        <w:t>stnieją trzy główne poziomy zarządzania obciążeniem:</w:t>
      </w:r>
    </w:p>
    <w:p w14:paraId="43B55CC3" w14:textId="0C6799A3" w:rsidR="00661C9D" w:rsidRPr="00661C9D" w:rsidRDefault="00661C9D" w:rsidP="00661C9D">
      <w:pPr>
        <w:spacing w:after="120" w:line="360" w:lineRule="auto"/>
        <w:jc w:val="both"/>
        <w:rPr>
          <w:rFonts w:ascii="Times New Roman" w:eastAsia="Times New Roman" w:hAnsi="Times New Roman"/>
          <w:bCs/>
          <w:sz w:val="24"/>
          <w:szCs w:val="24"/>
          <w:lang w:eastAsia="pl-PL"/>
        </w:rPr>
      </w:pPr>
      <w:r w:rsidRPr="00661C9D">
        <w:rPr>
          <w:rFonts w:ascii="Times New Roman" w:eastAsia="Times New Roman" w:hAnsi="Times New Roman"/>
          <w:bCs/>
          <w:sz w:val="24"/>
          <w:szCs w:val="24"/>
          <w:lang w:eastAsia="pl-PL"/>
        </w:rPr>
        <w:t>•</w:t>
      </w:r>
      <w:r w:rsidR="008F0533">
        <w:rPr>
          <w:rFonts w:ascii="Times New Roman" w:eastAsia="Times New Roman" w:hAnsi="Times New Roman"/>
          <w:bCs/>
          <w:sz w:val="24"/>
          <w:szCs w:val="24"/>
          <w:lang w:eastAsia="pl-PL"/>
        </w:rPr>
        <w:t xml:space="preserve"> </w:t>
      </w:r>
      <w:r w:rsidR="00DA54C7">
        <w:rPr>
          <w:rFonts w:ascii="Times New Roman" w:eastAsia="Times New Roman" w:hAnsi="Times New Roman"/>
          <w:bCs/>
          <w:sz w:val="24"/>
          <w:szCs w:val="24"/>
          <w:lang w:eastAsia="pl-PL"/>
        </w:rPr>
        <w:t>z</w:t>
      </w:r>
      <w:r w:rsidRPr="00661C9D">
        <w:rPr>
          <w:rFonts w:ascii="Times New Roman" w:eastAsia="Times New Roman" w:hAnsi="Times New Roman"/>
          <w:bCs/>
          <w:sz w:val="24"/>
          <w:szCs w:val="24"/>
          <w:lang w:eastAsia="pl-PL"/>
        </w:rPr>
        <w:t>arządzanie obciążeniem statycznym: ogranicza moc pobieraną przez ładowanie pojazdów elektrycznych do stałego poziomu mocy.</w:t>
      </w:r>
    </w:p>
    <w:p w14:paraId="1FB4874C" w14:textId="2EF31AF7" w:rsidR="00661C9D" w:rsidRPr="00661C9D" w:rsidRDefault="00661C9D" w:rsidP="00661C9D">
      <w:pPr>
        <w:spacing w:after="120" w:line="360" w:lineRule="auto"/>
        <w:jc w:val="both"/>
        <w:rPr>
          <w:rFonts w:ascii="Times New Roman" w:eastAsia="Times New Roman" w:hAnsi="Times New Roman"/>
          <w:bCs/>
          <w:sz w:val="24"/>
          <w:szCs w:val="24"/>
          <w:lang w:eastAsia="pl-PL"/>
        </w:rPr>
      </w:pPr>
      <w:r w:rsidRPr="00661C9D">
        <w:rPr>
          <w:rFonts w:ascii="Times New Roman" w:eastAsia="Times New Roman" w:hAnsi="Times New Roman"/>
          <w:bCs/>
          <w:sz w:val="24"/>
          <w:szCs w:val="24"/>
          <w:lang w:eastAsia="pl-PL"/>
        </w:rPr>
        <w:t>•</w:t>
      </w:r>
      <w:r w:rsidR="008F0533">
        <w:rPr>
          <w:rFonts w:ascii="Times New Roman" w:eastAsia="Times New Roman" w:hAnsi="Times New Roman"/>
          <w:bCs/>
          <w:sz w:val="24"/>
          <w:szCs w:val="24"/>
          <w:lang w:eastAsia="pl-PL"/>
        </w:rPr>
        <w:t xml:space="preserve"> </w:t>
      </w:r>
      <w:r w:rsidR="00DA54C7">
        <w:rPr>
          <w:rFonts w:ascii="Times New Roman" w:eastAsia="Times New Roman" w:hAnsi="Times New Roman"/>
          <w:bCs/>
          <w:sz w:val="24"/>
          <w:szCs w:val="24"/>
          <w:lang w:eastAsia="pl-PL"/>
        </w:rPr>
        <w:t>d</w:t>
      </w:r>
      <w:r w:rsidRPr="00661C9D">
        <w:rPr>
          <w:rFonts w:ascii="Times New Roman" w:eastAsia="Times New Roman" w:hAnsi="Times New Roman"/>
          <w:bCs/>
          <w:sz w:val="24"/>
          <w:szCs w:val="24"/>
          <w:lang w:eastAsia="pl-PL"/>
        </w:rPr>
        <w:t>ynamiczne zarządzanie obciążeniem: optymalizuje zużycie energii na poziomie budynku i</w:t>
      </w:r>
      <w:r w:rsidR="008F0533">
        <w:rPr>
          <w:rFonts w:ascii="Times New Roman" w:eastAsia="Times New Roman" w:hAnsi="Times New Roman"/>
          <w:bCs/>
          <w:sz w:val="24"/>
          <w:szCs w:val="24"/>
          <w:lang w:eastAsia="pl-PL"/>
        </w:rPr>
        <w:t> </w:t>
      </w:r>
      <w:r w:rsidRPr="00661C9D">
        <w:rPr>
          <w:rFonts w:ascii="Times New Roman" w:eastAsia="Times New Roman" w:hAnsi="Times New Roman"/>
          <w:bCs/>
          <w:sz w:val="24"/>
          <w:szCs w:val="24"/>
          <w:lang w:eastAsia="pl-PL"/>
        </w:rPr>
        <w:t>przydziela dostępną moc budynku do obciążeń ładowania pojazdów elektrycznych.</w:t>
      </w:r>
    </w:p>
    <w:p w14:paraId="6BB73C02" w14:textId="3E6D1085" w:rsidR="00661C9D" w:rsidRPr="00661C9D" w:rsidRDefault="00661C9D" w:rsidP="00661C9D">
      <w:pPr>
        <w:spacing w:after="120" w:line="360" w:lineRule="auto"/>
        <w:jc w:val="both"/>
        <w:rPr>
          <w:rFonts w:ascii="Times New Roman" w:eastAsia="Times New Roman" w:hAnsi="Times New Roman"/>
          <w:bCs/>
          <w:sz w:val="24"/>
          <w:szCs w:val="24"/>
          <w:lang w:eastAsia="pl-PL"/>
        </w:rPr>
      </w:pPr>
      <w:r w:rsidRPr="00661C9D">
        <w:rPr>
          <w:rFonts w:ascii="Times New Roman" w:eastAsia="Times New Roman" w:hAnsi="Times New Roman"/>
          <w:bCs/>
          <w:sz w:val="24"/>
          <w:szCs w:val="24"/>
          <w:lang w:eastAsia="pl-PL"/>
        </w:rPr>
        <w:lastRenderedPageBreak/>
        <w:t>•</w:t>
      </w:r>
      <w:r w:rsidR="008F0533">
        <w:rPr>
          <w:rFonts w:ascii="Times New Roman" w:eastAsia="Times New Roman" w:hAnsi="Times New Roman"/>
          <w:bCs/>
          <w:sz w:val="24"/>
          <w:szCs w:val="24"/>
          <w:lang w:eastAsia="pl-PL"/>
        </w:rPr>
        <w:t xml:space="preserve"> </w:t>
      </w:r>
      <w:r w:rsidR="00DA54C7">
        <w:rPr>
          <w:rFonts w:ascii="Times New Roman" w:eastAsia="Times New Roman" w:hAnsi="Times New Roman"/>
          <w:bCs/>
          <w:sz w:val="24"/>
          <w:szCs w:val="24"/>
          <w:lang w:eastAsia="pl-PL"/>
        </w:rPr>
        <w:t>i</w:t>
      </w:r>
      <w:r w:rsidRPr="00661C9D">
        <w:rPr>
          <w:rFonts w:ascii="Times New Roman" w:eastAsia="Times New Roman" w:hAnsi="Times New Roman"/>
          <w:bCs/>
          <w:sz w:val="24"/>
          <w:szCs w:val="24"/>
          <w:lang w:eastAsia="pl-PL"/>
        </w:rPr>
        <w:t>nteligentne zarządzanie obciążeniem: optymalizuje zużycie energii i koszty w oparciu o</w:t>
      </w:r>
      <w:r w:rsidR="008F0533">
        <w:rPr>
          <w:rFonts w:ascii="Times New Roman" w:eastAsia="Times New Roman" w:hAnsi="Times New Roman"/>
          <w:bCs/>
          <w:sz w:val="24"/>
          <w:szCs w:val="24"/>
          <w:lang w:eastAsia="pl-PL"/>
        </w:rPr>
        <w:t> </w:t>
      </w:r>
      <w:r w:rsidRPr="00661C9D">
        <w:rPr>
          <w:rFonts w:ascii="Times New Roman" w:eastAsia="Times New Roman" w:hAnsi="Times New Roman"/>
          <w:bCs/>
          <w:sz w:val="24"/>
          <w:szCs w:val="24"/>
          <w:lang w:eastAsia="pl-PL"/>
        </w:rPr>
        <w:t>planowanie pojazdów elektrycznych, taryfy energetyczne, lokalną produkcję i prognozy zużycia energii.</w:t>
      </w:r>
    </w:p>
    <w:p w14:paraId="045DAC52" w14:textId="77777777" w:rsidR="00661C9D" w:rsidRPr="00661C9D" w:rsidRDefault="00661C9D" w:rsidP="00661C9D">
      <w:pPr>
        <w:spacing w:after="120" w:line="360" w:lineRule="auto"/>
        <w:jc w:val="both"/>
        <w:rPr>
          <w:rFonts w:ascii="Times New Roman" w:eastAsia="Times New Roman" w:hAnsi="Times New Roman"/>
          <w:bCs/>
          <w:sz w:val="24"/>
          <w:szCs w:val="24"/>
          <w:lang w:eastAsia="pl-PL"/>
        </w:rPr>
      </w:pPr>
      <w:r w:rsidRPr="00661C9D">
        <w:rPr>
          <w:rFonts w:ascii="Times New Roman" w:eastAsia="Times New Roman" w:hAnsi="Times New Roman"/>
          <w:bCs/>
          <w:sz w:val="24"/>
          <w:szCs w:val="24"/>
          <w:lang w:eastAsia="pl-PL"/>
        </w:rPr>
        <w:t xml:space="preserve">Inteligentne zarządzanie obciążeniem może służyć kilku funkcjom, które można mierzyć za pomocą następujących wskaźników: </w:t>
      </w:r>
    </w:p>
    <w:p w14:paraId="18A87C44" w14:textId="7AA9A6FB" w:rsidR="00661C9D" w:rsidRPr="00661C9D" w:rsidRDefault="00661C9D" w:rsidP="00661C9D">
      <w:pPr>
        <w:spacing w:after="120" w:line="360" w:lineRule="auto"/>
        <w:jc w:val="both"/>
        <w:rPr>
          <w:rFonts w:ascii="Times New Roman" w:eastAsia="Times New Roman" w:hAnsi="Times New Roman"/>
          <w:bCs/>
          <w:sz w:val="24"/>
          <w:szCs w:val="24"/>
          <w:lang w:eastAsia="pl-PL"/>
        </w:rPr>
      </w:pPr>
      <w:r w:rsidRPr="00661C9D">
        <w:rPr>
          <w:rFonts w:ascii="Times New Roman" w:eastAsia="Times New Roman" w:hAnsi="Times New Roman"/>
          <w:bCs/>
          <w:sz w:val="24"/>
          <w:szCs w:val="24"/>
          <w:lang w:eastAsia="pl-PL"/>
        </w:rPr>
        <w:t>•</w:t>
      </w:r>
      <w:r w:rsidR="00314210">
        <w:rPr>
          <w:rFonts w:ascii="Times New Roman" w:eastAsia="Times New Roman" w:hAnsi="Times New Roman"/>
          <w:bCs/>
          <w:sz w:val="24"/>
          <w:szCs w:val="24"/>
          <w:lang w:eastAsia="pl-PL"/>
        </w:rPr>
        <w:t xml:space="preserve"> o</w:t>
      </w:r>
      <w:r w:rsidRPr="00661C9D">
        <w:rPr>
          <w:rFonts w:ascii="Times New Roman" w:eastAsia="Times New Roman" w:hAnsi="Times New Roman"/>
          <w:bCs/>
          <w:sz w:val="24"/>
          <w:szCs w:val="24"/>
          <w:lang w:eastAsia="pl-PL"/>
        </w:rPr>
        <w:t>graniczenie wykorzystania energii ze źródeł odnawialnych</w:t>
      </w:r>
      <w:r w:rsidR="00314210">
        <w:rPr>
          <w:rFonts w:ascii="Times New Roman" w:eastAsia="Times New Roman" w:hAnsi="Times New Roman"/>
          <w:bCs/>
          <w:sz w:val="24"/>
          <w:szCs w:val="24"/>
          <w:lang w:eastAsia="pl-PL"/>
        </w:rPr>
        <w:t>,</w:t>
      </w:r>
    </w:p>
    <w:p w14:paraId="12B3F234" w14:textId="2EB46DE2" w:rsidR="00661C9D" w:rsidRPr="00661C9D" w:rsidRDefault="00661C9D" w:rsidP="00661C9D">
      <w:pPr>
        <w:spacing w:after="120" w:line="360" w:lineRule="auto"/>
        <w:jc w:val="both"/>
        <w:rPr>
          <w:rFonts w:ascii="Times New Roman" w:eastAsia="Times New Roman" w:hAnsi="Times New Roman"/>
          <w:bCs/>
          <w:sz w:val="24"/>
          <w:szCs w:val="24"/>
          <w:lang w:eastAsia="pl-PL"/>
        </w:rPr>
      </w:pPr>
      <w:r w:rsidRPr="00661C9D">
        <w:rPr>
          <w:rFonts w:ascii="Times New Roman" w:eastAsia="Times New Roman" w:hAnsi="Times New Roman"/>
          <w:bCs/>
          <w:sz w:val="24"/>
          <w:szCs w:val="24"/>
          <w:lang w:eastAsia="pl-PL"/>
        </w:rPr>
        <w:t>•</w:t>
      </w:r>
      <w:r w:rsidR="00314210">
        <w:rPr>
          <w:rFonts w:ascii="Times New Roman" w:eastAsia="Times New Roman" w:hAnsi="Times New Roman"/>
          <w:bCs/>
          <w:sz w:val="24"/>
          <w:szCs w:val="24"/>
          <w:lang w:eastAsia="pl-PL"/>
        </w:rPr>
        <w:t xml:space="preserve"> o</w:t>
      </w:r>
      <w:r w:rsidRPr="00661C9D">
        <w:rPr>
          <w:rFonts w:ascii="Times New Roman" w:eastAsia="Times New Roman" w:hAnsi="Times New Roman"/>
          <w:bCs/>
          <w:sz w:val="24"/>
          <w:szCs w:val="24"/>
          <w:lang w:eastAsia="pl-PL"/>
        </w:rPr>
        <w:t>graniczenie szczytowego zapotrzebowania</w:t>
      </w:r>
      <w:r w:rsidR="00314210">
        <w:rPr>
          <w:rFonts w:ascii="Times New Roman" w:eastAsia="Times New Roman" w:hAnsi="Times New Roman"/>
          <w:bCs/>
          <w:sz w:val="24"/>
          <w:szCs w:val="24"/>
          <w:lang w:eastAsia="pl-PL"/>
        </w:rPr>
        <w:t>,</w:t>
      </w:r>
    </w:p>
    <w:p w14:paraId="1C5F82E5" w14:textId="6A52F8F9" w:rsidR="00661C9D" w:rsidRPr="00661C9D" w:rsidRDefault="00661C9D" w:rsidP="00661C9D">
      <w:pPr>
        <w:spacing w:after="120" w:line="360" w:lineRule="auto"/>
        <w:jc w:val="both"/>
        <w:rPr>
          <w:rFonts w:ascii="Times New Roman" w:eastAsia="Times New Roman" w:hAnsi="Times New Roman"/>
          <w:bCs/>
          <w:sz w:val="24"/>
          <w:szCs w:val="24"/>
          <w:lang w:eastAsia="pl-PL"/>
        </w:rPr>
      </w:pPr>
      <w:r w:rsidRPr="00661C9D">
        <w:rPr>
          <w:rFonts w:ascii="Times New Roman" w:eastAsia="Times New Roman" w:hAnsi="Times New Roman"/>
          <w:bCs/>
          <w:sz w:val="24"/>
          <w:szCs w:val="24"/>
          <w:lang w:eastAsia="pl-PL"/>
        </w:rPr>
        <w:t>•</w:t>
      </w:r>
      <w:r w:rsidR="00314210">
        <w:rPr>
          <w:rFonts w:ascii="Times New Roman" w:eastAsia="Times New Roman" w:hAnsi="Times New Roman"/>
          <w:bCs/>
          <w:sz w:val="24"/>
          <w:szCs w:val="24"/>
          <w:lang w:eastAsia="pl-PL"/>
        </w:rPr>
        <w:t xml:space="preserve"> r</w:t>
      </w:r>
      <w:r w:rsidRPr="00661C9D">
        <w:rPr>
          <w:rFonts w:ascii="Times New Roman" w:eastAsia="Times New Roman" w:hAnsi="Times New Roman"/>
          <w:bCs/>
          <w:sz w:val="24"/>
          <w:szCs w:val="24"/>
          <w:lang w:eastAsia="pl-PL"/>
        </w:rPr>
        <w:t>edukcja emisji CO</w:t>
      </w:r>
      <w:r w:rsidRPr="00314210">
        <w:rPr>
          <w:rFonts w:ascii="Times New Roman" w:eastAsia="Times New Roman" w:hAnsi="Times New Roman"/>
          <w:bCs/>
          <w:sz w:val="24"/>
          <w:szCs w:val="24"/>
          <w:vertAlign w:val="subscript"/>
          <w:lang w:eastAsia="pl-PL"/>
        </w:rPr>
        <w:t>2</w:t>
      </w:r>
      <w:r w:rsidR="00314210">
        <w:rPr>
          <w:rFonts w:ascii="Times New Roman" w:eastAsia="Times New Roman" w:hAnsi="Times New Roman"/>
          <w:bCs/>
          <w:sz w:val="24"/>
          <w:szCs w:val="24"/>
          <w:lang w:eastAsia="pl-PL"/>
        </w:rPr>
        <w:t>,</w:t>
      </w:r>
    </w:p>
    <w:p w14:paraId="172D420B" w14:textId="531A4CD8" w:rsidR="00661C9D" w:rsidRPr="00661C9D" w:rsidRDefault="00661C9D" w:rsidP="00661C9D">
      <w:pPr>
        <w:spacing w:after="120" w:line="360" w:lineRule="auto"/>
        <w:jc w:val="both"/>
        <w:rPr>
          <w:rFonts w:ascii="Times New Roman" w:eastAsia="Times New Roman" w:hAnsi="Times New Roman"/>
          <w:bCs/>
          <w:sz w:val="24"/>
          <w:szCs w:val="24"/>
          <w:lang w:eastAsia="pl-PL"/>
        </w:rPr>
      </w:pPr>
      <w:r w:rsidRPr="00661C9D">
        <w:rPr>
          <w:rFonts w:ascii="Times New Roman" w:eastAsia="Times New Roman" w:hAnsi="Times New Roman"/>
          <w:bCs/>
          <w:sz w:val="24"/>
          <w:szCs w:val="24"/>
          <w:lang w:eastAsia="pl-PL"/>
        </w:rPr>
        <w:t>•</w:t>
      </w:r>
      <w:r w:rsidR="00314210">
        <w:rPr>
          <w:rFonts w:ascii="Times New Roman" w:eastAsia="Times New Roman" w:hAnsi="Times New Roman"/>
          <w:bCs/>
          <w:sz w:val="24"/>
          <w:szCs w:val="24"/>
          <w:lang w:eastAsia="pl-PL"/>
        </w:rPr>
        <w:t xml:space="preserve"> ś</w:t>
      </w:r>
      <w:r w:rsidRPr="00661C9D">
        <w:rPr>
          <w:rFonts w:ascii="Times New Roman" w:eastAsia="Times New Roman" w:hAnsi="Times New Roman"/>
          <w:bCs/>
          <w:sz w:val="24"/>
          <w:szCs w:val="24"/>
          <w:lang w:eastAsia="pl-PL"/>
        </w:rPr>
        <w:t>redni koszt energii elektrycznej</w:t>
      </w:r>
      <w:r w:rsidR="00314210">
        <w:rPr>
          <w:rFonts w:ascii="Times New Roman" w:eastAsia="Times New Roman" w:hAnsi="Times New Roman"/>
          <w:bCs/>
          <w:sz w:val="24"/>
          <w:szCs w:val="24"/>
          <w:lang w:eastAsia="pl-PL"/>
        </w:rPr>
        <w:t>.</w:t>
      </w:r>
    </w:p>
    <w:p w14:paraId="329622F1" w14:textId="60FB3956" w:rsidR="00661C9D" w:rsidRDefault="00661C9D" w:rsidP="00661C9D">
      <w:pPr>
        <w:spacing w:after="120" w:line="360" w:lineRule="auto"/>
        <w:jc w:val="both"/>
        <w:rPr>
          <w:rFonts w:ascii="Times New Roman" w:eastAsia="Times New Roman" w:hAnsi="Times New Roman"/>
          <w:bCs/>
          <w:sz w:val="24"/>
          <w:szCs w:val="24"/>
          <w:lang w:eastAsia="pl-PL"/>
        </w:rPr>
      </w:pPr>
      <w:r w:rsidRPr="00661C9D">
        <w:rPr>
          <w:rFonts w:ascii="Times New Roman" w:eastAsia="Times New Roman" w:hAnsi="Times New Roman"/>
          <w:bCs/>
          <w:sz w:val="24"/>
          <w:szCs w:val="24"/>
          <w:lang w:eastAsia="pl-PL"/>
        </w:rPr>
        <w:t xml:space="preserve">Zmniejszenie szczytowego zapotrzebowania na moc jest najważniejszą funkcją zarządzania obciążeniem, którą </w:t>
      </w:r>
      <w:r w:rsidR="00314210">
        <w:rPr>
          <w:rFonts w:ascii="Times New Roman" w:eastAsia="Times New Roman" w:hAnsi="Times New Roman"/>
          <w:bCs/>
          <w:sz w:val="24"/>
          <w:szCs w:val="24"/>
          <w:lang w:eastAsia="pl-PL"/>
        </w:rPr>
        <w:t>warto</w:t>
      </w:r>
      <w:r w:rsidRPr="00661C9D">
        <w:rPr>
          <w:rFonts w:ascii="Times New Roman" w:eastAsia="Times New Roman" w:hAnsi="Times New Roman"/>
          <w:bCs/>
          <w:sz w:val="24"/>
          <w:szCs w:val="24"/>
          <w:lang w:eastAsia="pl-PL"/>
        </w:rPr>
        <w:t xml:space="preserve"> wziąć pod uwagę podczas projektowania infrastruktury ładowania pojazdów elektrycznych na parkingu, ponieważ może zmniejszyć całkowitą moc znamionową instalacji elektrycznej (</w:t>
      </w:r>
      <w:r w:rsidR="00314210">
        <w:rPr>
          <w:rFonts w:ascii="Times New Roman" w:eastAsia="Times New Roman" w:hAnsi="Times New Roman"/>
          <w:bCs/>
          <w:sz w:val="24"/>
          <w:szCs w:val="24"/>
          <w:lang w:eastAsia="pl-PL"/>
        </w:rPr>
        <w:t>o</w:t>
      </w:r>
      <w:r w:rsidRPr="00661C9D">
        <w:rPr>
          <w:rFonts w:ascii="Times New Roman" w:eastAsia="Times New Roman" w:hAnsi="Times New Roman"/>
          <w:bCs/>
          <w:sz w:val="24"/>
          <w:szCs w:val="24"/>
          <w:lang w:eastAsia="pl-PL"/>
        </w:rPr>
        <w:t>kablowanie, transformator, podłączenie do sieci), a tym samym koszty inwestycyjne lub początkowe.</w:t>
      </w:r>
    </w:p>
    <w:p w14:paraId="228F1A44" w14:textId="608E7AA6" w:rsidR="0076547B" w:rsidRDefault="00661C9D" w:rsidP="0076547B">
      <w:pPr>
        <w:spacing w:after="120" w:line="360" w:lineRule="auto"/>
        <w:jc w:val="both"/>
        <w:rPr>
          <w:rFonts w:ascii="Times New Roman" w:eastAsia="Times New Roman" w:hAnsi="Times New Roman"/>
          <w:bCs/>
          <w:sz w:val="24"/>
          <w:szCs w:val="24"/>
          <w:lang w:eastAsia="pl-PL"/>
        </w:rPr>
      </w:pPr>
      <w:r w:rsidRPr="00661C9D">
        <w:rPr>
          <w:rFonts w:ascii="Times New Roman" w:eastAsia="Times New Roman" w:hAnsi="Times New Roman"/>
          <w:bCs/>
          <w:sz w:val="24"/>
          <w:szCs w:val="24"/>
          <w:lang w:eastAsia="pl-PL"/>
        </w:rPr>
        <w:t xml:space="preserve">W dyrektywie 2024/1275 nie </w:t>
      </w:r>
      <w:r>
        <w:rPr>
          <w:rFonts w:ascii="Times New Roman" w:eastAsia="Times New Roman" w:hAnsi="Times New Roman"/>
          <w:bCs/>
          <w:sz w:val="24"/>
          <w:szCs w:val="24"/>
          <w:lang w:eastAsia="pl-PL"/>
        </w:rPr>
        <w:t xml:space="preserve">określono </w:t>
      </w:r>
      <w:r w:rsidRPr="00661C9D">
        <w:rPr>
          <w:rFonts w:ascii="Times New Roman" w:eastAsia="Times New Roman" w:hAnsi="Times New Roman"/>
          <w:bCs/>
          <w:sz w:val="24"/>
          <w:szCs w:val="24"/>
          <w:lang w:eastAsia="pl-PL"/>
        </w:rPr>
        <w:t xml:space="preserve">wymogów dotyczących mocy wyjściowej punktu ładowania. W </w:t>
      </w:r>
      <w:r>
        <w:rPr>
          <w:rFonts w:ascii="Times New Roman" w:eastAsia="Times New Roman" w:hAnsi="Times New Roman"/>
          <w:bCs/>
          <w:sz w:val="24"/>
          <w:szCs w:val="24"/>
          <w:lang w:eastAsia="pl-PL"/>
        </w:rPr>
        <w:t xml:space="preserve">związku z powyższym można używać </w:t>
      </w:r>
      <w:r w:rsidRPr="00661C9D">
        <w:rPr>
          <w:rFonts w:ascii="Times New Roman" w:eastAsia="Times New Roman" w:hAnsi="Times New Roman"/>
          <w:bCs/>
          <w:sz w:val="24"/>
          <w:szCs w:val="24"/>
          <w:lang w:eastAsia="pl-PL"/>
        </w:rPr>
        <w:t>powolnych lub szybkich ładowarek lub ich kombinacji w zależności od tego, co jest najbardziej odpowiednie dla konkretnej sytuacji.</w:t>
      </w:r>
    </w:p>
    <w:p w14:paraId="3F0817BE" w14:textId="4D08BD99" w:rsidR="003E648D" w:rsidRDefault="00977205" w:rsidP="0057020E">
      <w:pPr>
        <w:spacing w:after="12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Art</w:t>
      </w:r>
      <w:r w:rsidR="0082296C">
        <w:rPr>
          <w:rFonts w:ascii="Times New Roman" w:eastAsia="Times New Roman" w:hAnsi="Times New Roman"/>
          <w:bCs/>
          <w:sz w:val="24"/>
          <w:szCs w:val="24"/>
          <w:lang w:eastAsia="pl-PL"/>
        </w:rPr>
        <w:t>ykuł</w:t>
      </w:r>
      <w:r w:rsidR="007444B5">
        <w:rPr>
          <w:rFonts w:ascii="Times New Roman" w:eastAsia="Times New Roman" w:hAnsi="Times New Roman"/>
          <w:bCs/>
          <w:sz w:val="24"/>
          <w:szCs w:val="24"/>
          <w:lang w:eastAsia="pl-PL"/>
        </w:rPr>
        <w:t xml:space="preserve"> 12a ust</w:t>
      </w:r>
      <w:r>
        <w:rPr>
          <w:rFonts w:ascii="Times New Roman" w:eastAsia="Times New Roman" w:hAnsi="Times New Roman"/>
          <w:bCs/>
          <w:sz w:val="24"/>
          <w:szCs w:val="24"/>
          <w:lang w:eastAsia="pl-PL"/>
        </w:rPr>
        <w:t>.</w:t>
      </w:r>
      <w:r w:rsidR="007444B5">
        <w:rPr>
          <w:rFonts w:ascii="Times New Roman" w:eastAsia="Times New Roman" w:hAnsi="Times New Roman"/>
          <w:bCs/>
          <w:sz w:val="24"/>
          <w:szCs w:val="24"/>
          <w:lang w:eastAsia="pl-PL"/>
        </w:rPr>
        <w:t xml:space="preserve"> 10 wskazuj</w:t>
      </w:r>
      <w:r w:rsidR="00F33FC9">
        <w:rPr>
          <w:rFonts w:ascii="Times New Roman" w:eastAsia="Times New Roman" w:hAnsi="Times New Roman"/>
          <w:bCs/>
          <w:sz w:val="24"/>
          <w:szCs w:val="24"/>
          <w:lang w:eastAsia="pl-PL"/>
        </w:rPr>
        <w:t>e,</w:t>
      </w:r>
      <w:r w:rsidR="007444B5">
        <w:rPr>
          <w:rFonts w:ascii="Times New Roman" w:eastAsia="Times New Roman" w:hAnsi="Times New Roman"/>
          <w:bCs/>
          <w:sz w:val="24"/>
          <w:szCs w:val="24"/>
          <w:lang w:eastAsia="pl-PL"/>
        </w:rPr>
        <w:t xml:space="preserve"> ż</w:t>
      </w:r>
      <w:r>
        <w:rPr>
          <w:rFonts w:ascii="Times New Roman" w:eastAsia="Times New Roman" w:hAnsi="Times New Roman"/>
          <w:bCs/>
          <w:sz w:val="24"/>
          <w:szCs w:val="24"/>
          <w:lang w:eastAsia="pl-PL"/>
        </w:rPr>
        <w:t>e</w:t>
      </w:r>
      <w:r w:rsidR="007444B5">
        <w:rPr>
          <w:rFonts w:ascii="Times New Roman" w:eastAsia="Times New Roman" w:hAnsi="Times New Roman"/>
          <w:bCs/>
          <w:sz w:val="24"/>
          <w:szCs w:val="24"/>
          <w:lang w:eastAsia="pl-PL"/>
        </w:rPr>
        <w:t xml:space="preserve"> w </w:t>
      </w:r>
      <w:r w:rsidR="004E67BF">
        <w:rPr>
          <w:rFonts w:ascii="Times New Roman" w:eastAsia="Times New Roman" w:hAnsi="Times New Roman"/>
          <w:bCs/>
          <w:sz w:val="24"/>
          <w:szCs w:val="24"/>
          <w:lang w:eastAsia="pl-PL"/>
        </w:rPr>
        <w:t>przypadku budynków istniejących poddawanym przebudowie</w:t>
      </w:r>
      <w:r w:rsidR="00464372">
        <w:rPr>
          <w:rFonts w:ascii="Times New Roman" w:eastAsia="Times New Roman" w:hAnsi="Times New Roman"/>
          <w:bCs/>
          <w:sz w:val="24"/>
          <w:szCs w:val="24"/>
          <w:lang w:eastAsia="pl-PL"/>
        </w:rPr>
        <w:t>, rozbudowie</w:t>
      </w:r>
      <w:r w:rsidR="001B6C6C">
        <w:rPr>
          <w:rFonts w:ascii="Times New Roman" w:eastAsia="Times New Roman" w:hAnsi="Times New Roman"/>
          <w:bCs/>
          <w:sz w:val="24"/>
          <w:szCs w:val="24"/>
          <w:lang w:eastAsia="pl-PL"/>
        </w:rPr>
        <w:t xml:space="preserve">, </w:t>
      </w:r>
      <w:r w:rsidR="00464372">
        <w:rPr>
          <w:rFonts w:ascii="Times New Roman" w:eastAsia="Times New Roman" w:hAnsi="Times New Roman"/>
          <w:bCs/>
          <w:sz w:val="24"/>
          <w:szCs w:val="24"/>
          <w:lang w:eastAsia="pl-PL"/>
        </w:rPr>
        <w:t>nadbudowie</w:t>
      </w:r>
      <w:r w:rsidR="001B6C6C">
        <w:rPr>
          <w:rFonts w:ascii="Times New Roman" w:eastAsia="Times New Roman" w:hAnsi="Times New Roman"/>
          <w:bCs/>
          <w:sz w:val="24"/>
          <w:szCs w:val="24"/>
          <w:lang w:eastAsia="pl-PL"/>
        </w:rPr>
        <w:t xml:space="preserve"> lub remontowi</w:t>
      </w:r>
      <w:r>
        <w:rPr>
          <w:rFonts w:ascii="Times New Roman" w:eastAsia="Times New Roman" w:hAnsi="Times New Roman"/>
          <w:bCs/>
          <w:sz w:val="24"/>
          <w:szCs w:val="24"/>
          <w:lang w:eastAsia="pl-PL"/>
        </w:rPr>
        <w:t xml:space="preserve"> </w:t>
      </w:r>
      <w:r w:rsidR="004E67BF">
        <w:rPr>
          <w:rFonts w:ascii="Times New Roman" w:eastAsia="Times New Roman" w:hAnsi="Times New Roman"/>
          <w:bCs/>
          <w:sz w:val="24"/>
          <w:szCs w:val="24"/>
          <w:lang w:eastAsia="pl-PL"/>
        </w:rPr>
        <w:t xml:space="preserve">oraz jednocześnie będących </w:t>
      </w:r>
      <w:r w:rsidR="004E67BF" w:rsidRPr="004E67BF">
        <w:rPr>
          <w:rFonts w:ascii="Times New Roman" w:eastAsia="Times New Roman" w:hAnsi="Times New Roman"/>
          <w:bCs/>
          <w:sz w:val="24"/>
          <w:szCs w:val="24"/>
          <w:lang w:eastAsia="pl-PL"/>
        </w:rPr>
        <w:t>zabytkiem nieruchomym w rozumieniu art. 3 pkt 2 ustawy z dnia 23 lipca 2003 r. o ochronie zabytków i</w:t>
      </w:r>
      <w:r w:rsidR="008F0533">
        <w:rPr>
          <w:rFonts w:ascii="Times New Roman" w:eastAsia="Times New Roman" w:hAnsi="Times New Roman"/>
          <w:bCs/>
          <w:sz w:val="24"/>
          <w:szCs w:val="24"/>
          <w:lang w:eastAsia="pl-PL"/>
        </w:rPr>
        <w:t> </w:t>
      </w:r>
      <w:r w:rsidR="004E67BF" w:rsidRPr="004E67BF">
        <w:rPr>
          <w:rFonts w:ascii="Times New Roman" w:eastAsia="Times New Roman" w:hAnsi="Times New Roman"/>
          <w:bCs/>
          <w:sz w:val="24"/>
          <w:szCs w:val="24"/>
          <w:lang w:eastAsia="pl-PL"/>
        </w:rPr>
        <w:t>opiece nad zabytkami, instalacja punktów ładowania, niezbędnego okablowania, a także miejsc parkingowych dla rowerów wymaga uzyskania zgody konserwatora zabytków w drodze decyzji</w:t>
      </w:r>
      <w:r w:rsidR="00DE7EAD">
        <w:rPr>
          <w:rFonts w:ascii="Times New Roman" w:eastAsia="Times New Roman" w:hAnsi="Times New Roman"/>
          <w:bCs/>
          <w:sz w:val="24"/>
          <w:szCs w:val="24"/>
          <w:lang w:eastAsia="pl-PL"/>
        </w:rPr>
        <w:t>.</w:t>
      </w:r>
    </w:p>
    <w:p w14:paraId="44F75637" w14:textId="774AA05C" w:rsidR="00FD3E48" w:rsidRDefault="00FD3E48" w:rsidP="0057020E">
      <w:pPr>
        <w:spacing w:after="120" w:line="360" w:lineRule="auto"/>
        <w:jc w:val="both"/>
        <w:rPr>
          <w:rFonts w:ascii="Times New Roman" w:eastAsia="Times New Roman" w:hAnsi="Times New Roman"/>
          <w:bCs/>
          <w:sz w:val="24"/>
          <w:szCs w:val="24"/>
          <w:lang w:eastAsia="pl-PL"/>
        </w:rPr>
      </w:pPr>
      <w:r w:rsidRPr="00FD3E48">
        <w:rPr>
          <w:rFonts w:ascii="Times New Roman" w:eastAsia="Times New Roman" w:hAnsi="Times New Roman"/>
          <w:bCs/>
          <w:sz w:val="24"/>
          <w:szCs w:val="24"/>
          <w:lang w:eastAsia="pl-PL"/>
        </w:rPr>
        <w:t>W art. 19</w:t>
      </w:r>
      <w:r w:rsidR="0028022D">
        <w:rPr>
          <w:rFonts w:ascii="Times New Roman" w:eastAsia="Times New Roman" w:hAnsi="Times New Roman"/>
          <w:bCs/>
          <w:sz w:val="24"/>
          <w:szCs w:val="24"/>
          <w:lang w:eastAsia="pl-PL"/>
        </w:rPr>
        <w:t>–</w:t>
      </w:r>
      <w:r w:rsidRPr="00FD3E48">
        <w:rPr>
          <w:rFonts w:ascii="Times New Roman" w:eastAsia="Times New Roman" w:hAnsi="Times New Roman"/>
          <w:bCs/>
          <w:sz w:val="24"/>
          <w:szCs w:val="24"/>
          <w:lang w:eastAsia="pl-PL"/>
        </w:rPr>
        <w:t xml:space="preserve">27 </w:t>
      </w:r>
      <w:r>
        <w:rPr>
          <w:rFonts w:ascii="Times New Roman" w:eastAsia="Times New Roman" w:hAnsi="Times New Roman"/>
          <w:bCs/>
          <w:sz w:val="24"/>
          <w:szCs w:val="24"/>
          <w:lang w:eastAsia="pl-PL"/>
        </w:rPr>
        <w:t xml:space="preserve">(numeracja zaproponowana przez </w:t>
      </w:r>
      <w:proofErr w:type="spellStart"/>
      <w:r>
        <w:rPr>
          <w:rFonts w:ascii="Times New Roman" w:eastAsia="Times New Roman" w:hAnsi="Times New Roman"/>
          <w:bCs/>
          <w:sz w:val="24"/>
          <w:szCs w:val="24"/>
          <w:lang w:eastAsia="pl-PL"/>
        </w:rPr>
        <w:t>MKiS</w:t>
      </w:r>
      <w:proofErr w:type="spellEnd"/>
      <w:r>
        <w:rPr>
          <w:rFonts w:ascii="Times New Roman" w:eastAsia="Times New Roman" w:hAnsi="Times New Roman"/>
          <w:bCs/>
          <w:sz w:val="24"/>
          <w:szCs w:val="24"/>
          <w:lang w:eastAsia="pl-PL"/>
        </w:rPr>
        <w:t xml:space="preserve">) </w:t>
      </w:r>
      <w:r w:rsidRPr="00FD3E48">
        <w:rPr>
          <w:rFonts w:ascii="Times New Roman" w:eastAsia="Times New Roman" w:hAnsi="Times New Roman"/>
          <w:bCs/>
          <w:sz w:val="24"/>
          <w:szCs w:val="24"/>
          <w:lang w:eastAsia="pl-PL"/>
        </w:rPr>
        <w:t>określono</w:t>
      </w:r>
      <w:r>
        <w:rPr>
          <w:rFonts w:ascii="Times New Roman" w:eastAsia="Times New Roman" w:hAnsi="Times New Roman"/>
          <w:bCs/>
          <w:sz w:val="24"/>
          <w:szCs w:val="24"/>
          <w:lang w:eastAsia="pl-PL"/>
        </w:rPr>
        <w:t xml:space="preserve"> </w:t>
      </w:r>
      <w:r w:rsidRPr="00FD3E48">
        <w:rPr>
          <w:rFonts w:ascii="Times New Roman" w:eastAsia="Times New Roman" w:hAnsi="Times New Roman"/>
          <w:bCs/>
          <w:sz w:val="24"/>
          <w:szCs w:val="24"/>
          <w:lang w:eastAsia="pl-PL"/>
        </w:rPr>
        <w:t>przepisy dot</w:t>
      </w:r>
      <w:r w:rsidR="0028022D">
        <w:rPr>
          <w:rFonts w:ascii="Times New Roman" w:eastAsia="Times New Roman" w:hAnsi="Times New Roman"/>
          <w:bCs/>
          <w:sz w:val="24"/>
          <w:szCs w:val="24"/>
          <w:lang w:eastAsia="pl-PL"/>
        </w:rPr>
        <w:t>yczące</w:t>
      </w:r>
      <w:r w:rsidRPr="00FD3E48">
        <w:rPr>
          <w:rFonts w:ascii="Times New Roman" w:eastAsia="Times New Roman" w:hAnsi="Times New Roman"/>
          <w:bCs/>
          <w:sz w:val="24"/>
          <w:szCs w:val="24"/>
          <w:lang w:eastAsia="pl-PL"/>
        </w:rPr>
        <w:t xml:space="preserve"> środków usprawniających procedurę instalacji punktów ładowania w nowych i istniejących budynkach mieszkalnych i niemieszkalnych wielorodzinnych.</w:t>
      </w:r>
      <w:r w:rsidRPr="00FD3E48">
        <w:t xml:space="preserve"> </w:t>
      </w:r>
      <w:r w:rsidRPr="00FD3E48">
        <w:rPr>
          <w:rFonts w:ascii="Times New Roman" w:eastAsia="Times New Roman" w:hAnsi="Times New Roman"/>
          <w:bCs/>
          <w:sz w:val="24"/>
          <w:szCs w:val="24"/>
          <w:lang w:eastAsia="pl-PL"/>
        </w:rPr>
        <w:t>Przepisy te stanowią</w:t>
      </w:r>
      <w:r>
        <w:rPr>
          <w:rFonts w:ascii="Times New Roman" w:eastAsia="Times New Roman" w:hAnsi="Times New Roman"/>
          <w:bCs/>
          <w:sz w:val="24"/>
          <w:szCs w:val="24"/>
          <w:lang w:eastAsia="pl-PL"/>
        </w:rPr>
        <w:t xml:space="preserve"> </w:t>
      </w:r>
      <w:r w:rsidRPr="00FD3E48">
        <w:rPr>
          <w:rFonts w:ascii="Times New Roman" w:eastAsia="Times New Roman" w:hAnsi="Times New Roman"/>
          <w:bCs/>
          <w:sz w:val="24"/>
          <w:szCs w:val="24"/>
          <w:lang w:eastAsia="pl-PL"/>
        </w:rPr>
        <w:t xml:space="preserve">zmianę dotychczasowych regulacji określonych w art. 12b ustawy </w:t>
      </w:r>
      <w:r w:rsidR="00381240" w:rsidRPr="006A1A97">
        <w:rPr>
          <w:rFonts w:ascii="Times New Roman" w:hAnsi="Times New Roman"/>
          <w:sz w:val="24"/>
          <w:szCs w:val="24"/>
        </w:rPr>
        <w:t>z dnia 11 stycznia 2018 r.</w:t>
      </w:r>
      <w:r w:rsidR="00381240" w:rsidRPr="001950FE">
        <w:rPr>
          <w:rFonts w:ascii="Times New Roman" w:hAnsi="Times New Roman"/>
          <w:szCs w:val="24"/>
        </w:rPr>
        <w:t xml:space="preserve"> </w:t>
      </w:r>
      <w:r w:rsidR="0028022D" w:rsidRPr="00FD3E48">
        <w:rPr>
          <w:rFonts w:ascii="Times New Roman" w:eastAsia="Times New Roman" w:hAnsi="Times New Roman"/>
          <w:bCs/>
          <w:sz w:val="24"/>
          <w:szCs w:val="24"/>
          <w:lang w:eastAsia="pl-PL"/>
        </w:rPr>
        <w:t>o</w:t>
      </w:r>
      <w:r w:rsidR="0028022D">
        <w:rPr>
          <w:rFonts w:ascii="Times New Roman" w:eastAsia="Times New Roman" w:hAnsi="Times New Roman"/>
          <w:bCs/>
          <w:sz w:val="24"/>
          <w:szCs w:val="24"/>
          <w:lang w:eastAsia="pl-PL"/>
        </w:rPr>
        <w:t> </w:t>
      </w:r>
      <w:proofErr w:type="spellStart"/>
      <w:r w:rsidRPr="00FD3E48">
        <w:rPr>
          <w:rFonts w:ascii="Times New Roman" w:eastAsia="Times New Roman" w:hAnsi="Times New Roman"/>
          <w:bCs/>
          <w:sz w:val="24"/>
          <w:szCs w:val="24"/>
          <w:lang w:eastAsia="pl-PL"/>
        </w:rPr>
        <w:t>elektromobilności</w:t>
      </w:r>
      <w:proofErr w:type="spellEnd"/>
      <w:r>
        <w:rPr>
          <w:rFonts w:ascii="Times New Roman" w:eastAsia="Times New Roman" w:hAnsi="Times New Roman"/>
          <w:bCs/>
          <w:sz w:val="24"/>
          <w:szCs w:val="24"/>
          <w:lang w:eastAsia="pl-PL"/>
        </w:rPr>
        <w:t xml:space="preserve"> </w:t>
      </w:r>
      <w:r w:rsidRPr="00FD3E48">
        <w:rPr>
          <w:rFonts w:ascii="Times New Roman" w:eastAsia="Times New Roman" w:hAnsi="Times New Roman"/>
          <w:bCs/>
          <w:sz w:val="24"/>
          <w:szCs w:val="24"/>
          <w:lang w:eastAsia="pl-PL"/>
        </w:rPr>
        <w:t>i paliwach alternatywnych</w:t>
      </w:r>
      <w:r>
        <w:rPr>
          <w:rFonts w:ascii="Times New Roman" w:eastAsia="Times New Roman" w:hAnsi="Times New Roman"/>
          <w:bCs/>
          <w:sz w:val="24"/>
          <w:szCs w:val="24"/>
          <w:lang w:eastAsia="pl-PL"/>
        </w:rPr>
        <w:t>.</w:t>
      </w:r>
    </w:p>
    <w:p w14:paraId="78849966" w14:textId="04F6F0D2" w:rsidR="00BF0A4A" w:rsidRDefault="003E648D" w:rsidP="008403EB">
      <w:pPr>
        <w:spacing w:after="12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W </w:t>
      </w:r>
      <w:r w:rsidR="00977205">
        <w:rPr>
          <w:rFonts w:ascii="Times New Roman" w:eastAsia="Times New Roman" w:hAnsi="Times New Roman"/>
          <w:bCs/>
          <w:sz w:val="24"/>
          <w:szCs w:val="24"/>
          <w:lang w:eastAsia="pl-PL"/>
        </w:rPr>
        <w:t>art. …. ust. 1 (</w:t>
      </w:r>
      <w:r>
        <w:rPr>
          <w:rFonts w:ascii="Times New Roman" w:eastAsia="Times New Roman" w:hAnsi="Times New Roman"/>
          <w:bCs/>
          <w:sz w:val="24"/>
          <w:szCs w:val="24"/>
          <w:lang w:eastAsia="pl-PL"/>
        </w:rPr>
        <w:t>przepis epizodyczny</w:t>
      </w:r>
      <w:r w:rsidR="00977205">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xml:space="preserve"> wskazano konieczność dostosowania do 1 stycznia 2027</w:t>
      </w:r>
      <w:r w:rsidR="008F0533">
        <w:rPr>
          <w:rFonts w:ascii="Times New Roman" w:eastAsia="Times New Roman" w:hAnsi="Times New Roman"/>
          <w:bCs/>
          <w:sz w:val="24"/>
          <w:szCs w:val="24"/>
          <w:lang w:eastAsia="pl-PL"/>
        </w:rPr>
        <w:t> </w:t>
      </w:r>
      <w:r w:rsidR="0057020E">
        <w:rPr>
          <w:rFonts w:ascii="Times New Roman" w:eastAsia="Times New Roman" w:hAnsi="Times New Roman"/>
          <w:bCs/>
          <w:sz w:val="24"/>
          <w:szCs w:val="24"/>
          <w:lang w:eastAsia="pl-PL"/>
        </w:rPr>
        <w:t>r</w:t>
      </w:r>
      <w:r>
        <w:rPr>
          <w:rFonts w:ascii="Times New Roman" w:eastAsia="Times New Roman" w:hAnsi="Times New Roman"/>
          <w:bCs/>
          <w:sz w:val="24"/>
          <w:szCs w:val="24"/>
          <w:lang w:eastAsia="pl-PL"/>
        </w:rPr>
        <w:t xml:space="preserve">. wymagań w zakresie zapewnienia potrzebnej </w:t>
      </w:r>
      <w:r w:rsidR="00753981">
        <w:rPr>
          <w:rFonts w:ascii="Times New Roman" w:eastAsia="Times New Roman" w:hAnsi="Times New Roman"/>
          <w:bCs/>
          <w:sz w:val="24"/>
          <w:szCs w:val="24"/>
          <w:lang w:eastAsia="pl-PL"/>
        </w:rPr>
        <w:t>infrastruktury</w:t>
      </w:r>
      <w:r>
        <w:rPr>
          <w:rFonts w:ascii="Times New Roman" w:eastAsia="Times New Roman" w:hAnsi="Times New Roman"/>
          <w:bCs/>
          <w:sz w:val="24"/>
          <w:szCs w:val="24"/>
          <w:lang w:eastAsia="pl-PL"/>
        </w:rPr>
        <w:t xml:space="preserve"> technicznej</w:t>
      </w:r>
      <w:r w:rsidR="00FF5320">
        <w:rPr>
          <w:rFonts w:ascii="Times New Roman" w:eastAsia="Times New Roman" w:hAnsi="Times New Roman"/>
          <w:bCs/>
          <w:sz w:val="24"/>
          <w:szCs w:val="24"/>
          <w:lang w:eastAsia="pl-PL"/>
        </w:rPr>
        <w:t xml:space="preserve"> lub punktów ładowania</w:t>
      </w:r>
      <w:r>
        <w:rPr>
          <w:rFonts w:ascii="Times New Roman" w:eastAsia="Times New Roman" w:hAnsi="Times New Roman"/>
          <w:bCs/>
          <w:sz w:val="24"/>
          <w:szCs w:val="24"/>
          <w:lang w:eastAsia="pl-PL"/>
        </w:rPr>
        <w:t xml:space="preserve"> dla budynków niemieszkalnych, z którymi związanych jest więcej niż 20 </w:t>
      </w:r>
      <w:r w:rsidR="00977205">
        <w:rPr>
          <w:rFonts w:ascii="Times New Roman" w:eastAsia="Times New Roman" w:hAnsi="Times New Roman"/>
          <w:bCs/>
          <w:sz w:val="24"/>
          <w:szCs w:val="24"/>
          <w:lang w:eastAsia="pl-PL"/>
        </w:rPr>
        <w:t xml:space="preserve">stanowisk </w:t>
      </w:r>
      <w:r>
        <w:rPr>
          <w:rFonts w:ascii="Times New Roman" w:eastAsia="Times New Roman" w:hAnsi="Times New Roman"/>
          <w:bCs/>
          <w:sz w:val="24"/>
          <w:szCs w:val="24"/>
          <w:lang w:eastAsia="pl-PL"/>
        </w:rPr>
        <w:lastRenderedPageBreak/>
        <w:t>postojowych</w:t>
      </w:r>
      <w:r w:rsidR="004E67BF" w:rsidRPr="004E67BF">
        <w:rPr>
          <w:rFonts w:ascii="Times New Roman" w:eastAsia="Times New Roman" w:hAnsi="Times New Roman"/>
          <w:bCs/>
          <w:sz w:val="24"/>
          <w:szCs w:val="24"/>
          <w:lang w:eastAsia="pl-PL"/>
        </w:rPr>
        <w:t>.</w:t>
      </w:r>
      <w:r w:rsidR="004E67BF">
        <w:rPr>
          <w:rFonts w:ascii="Lato" w:eastAsia="Times New Roman" w:hAnsi="Lato"/>
          <w:sz w:val="18"/>
          <w:szCs w:val="18"/>
          <w:lang w:eastAsia="pl-PL"/>
        </w:rPr>
        <w:t xml:space="preserve"> </w:t>
      </w:r>
      <w:r w:rsidRPr="00753981">
        <w:rPr>
          <w:rFonts w:ascii="Times New Roman" w:eastAsia="Times New Roman" w:hAnsi="Times New Roman"/>
          <w:bCs/>
          <w:sz w:val="24"/>
          <w:szCs w:val="24"/>
          <w:lang w:eastAsia="pl-PL"/>
        </w:rPr>
        <w:t xml:space="preserve">Szczegółowe wymagania dotyczą </w:t>
      </w:r>
      <w:r w:rsidR="00753981" w:rsidRPr="00753981">
        <w:rPr>
          <w:rFonts w:ascii="Times New Roman" w:eastAsia="Times New Roman" w:hAnsi="Times New Roman"/>
          <w:bCs/>
          <w:sz w:val="24"/>
          <w:szCs w:val="24"/>
          <w:lang w:eastAsia="pl-PL"/>
        </w:rPr>
        <w:t>instalacji</w:t>
      </w:r>
      <w:r w:rsidRPr="00753981">
        <w:rPr>
          <w:rFonts w:ascii="Times New Roman" w:eastAsia="Times New Roman" w:hAnsi="Times New Roman"/>
          <w:bCs/>
          <w:sz w:val="24"/>
          <w:szCs w:val="24"/>
          <w:lang w:eastAsia="pl-PL"/>
        </w:rPr>
        <w:t xml:space="preserve"> co najmniej jednego punktu </w:t>
      </w:r>
      <w:r w:rsidR="00753981" w:rsidRPr="00753981">
        <w:rPr>
          <w:rFonts w:ascii="Times New Roman" w:eastAsia="Times New Roman" w:hAnsi="Times New Roman"/>
          <w:bCs/>
          <w:sz w:val="24"/>
          <w:szCs w:val="24"/>
          <w:lang w:eastAsia="pl-PL"/>
        </w:rPr>
        <w:t>ładowania</w:t>
      </w:r>
      <w:r w:rsidRPr="00753981">
        <w:rPr>
          <w:rFonts w:ascii="Times New Roman" w:eastAsia="Times New Roman" w:hAnsi="Times New Roman"/>
          <w:bCs/>
          <w:sz w:val="24"/>
          <w:szCs w:val="24"/>
          <w:lang w:eastAsia="pl-PL"/>
        </w:rPr>
        <w:t xml:space="preserve"> </w:t>
      </w:r>
      <w:r w:rsidR="000A6139" w:rsidRPr="00753981">
        <w:rPr>
          <w:rFonts w:ascii="Times New Roman" w:eastAsia="Times New Roman" w:hAnsi="Times New Roman"/>
          <w:bCs/>
          <w:sz w:val="24"/>
          <w:szCs w:val="24"/>
          <w:lang w:eastAsia="pl-PL"/>
        </w:rPr>
        <w:t xml:space="preserve">na każde 10 </w:t>
      </w:r>
      <w:r w:rsidR="00977205">
        <w:rPr>
          <w:rFonts w:ascii="Times New Roman" w:eastAsia="Times New Roman" w:hAnsi="Times New Roman"/>
          <w:bCs/>
          <w:sz w:val="24"/>
          <w:szCs w:val="24"/>
          <w:lang w:eastAsia="pl-PL"/>
        </w:rPr>
        <w:t xml:space="preserve">stanowisk </w:t>
      </w:r>
      <w:r w:rsidR="000A6139" w:rsidRPr="00753981">
        <w:rPr>
          <w:rFonts w:ascii="Times New Roman" w:eastAsia="Times New Roman" w:hAnsi="Times New Roman"/>
          <w:bCs/>
          <w:sz w:val="24"/>
          <w:szCs w:val="24"/>
          <w:lang w:eastAsia="pl-PL"/>
        </w:rPr>
        <w:t>parkingowych</w:t>
      </w:r>
      <w:r w:rsidR="000C0D5C">
        <w:rPr>
          <w:rFonts w:ascii="Times New Roman" w:eastAsia="Times New Roman" w:hAnsi="Times New Roman"/>
          <w:bCs/>
          <w:sz w:val="24"/>
          <w:szCs w:val="24"/>
          <w:lang w:eastAsia="pl-PL"/>
        </w:rPr>
        <w:t xml:space="preserve"> lub</w:t>
      </w:r>
      <w:r w:rsidR="000A6139" w:rsidRPr="00753981">
        <w:rPr>
          <w:rFonts w:ascii="Times New Roman" w:eastAsia="Times New Roman" w:hAnsi="Times New Roman"/>
          <w:bCs/>
          <w:sz w:val="24"/>
          <w:szCs w:val="24"/>
          <w:lang w:eastAsia="pl-PL"/>
        </w:rPr>
        <w:t xml:space="preserve"> </w:t>
      </w:r>
      <w:r w:rsidR="00753981" w:rsidRPr="00753981">
        <w:rPr>
          <w:rFonts w:ascii="Times New Roman" w:eastAsia="Times New Roman" w:hAnsi="Times New Roman"/>
          <w:bCs/>
          <w:sz w:val="24"/>
          <w:szCs w:val="24"/>
          <w:lang w:eastAsia="pl-PL"/>
        </w:rPr>
        <w:t>zaopatrzenie</w:t>
      </w:r>
      <w:r w:rsidR="000A6139" w:rsidRPr="00753981">
        <w:rPr>
          <w:rFonts w:ascii="Times New Roman" w:eastAsia="Times New Roman" w:hAnsi="Times New Roman"/>
          <w:bCs/>
          <w:sz w:val="24"/>
          <w:szCs w:val="24"/>
          <w:lang w:eastAsia="pl-PL"/>
        </w:rPr>
        <w:t xml:space="preserve"> 50% stanowisk postojowych w kanały na przewody i kable elektryczne, a także wskazaną </w:t>
      </w:r>
      <w:r w:rsidR="00381240">
        <w:rPr>
          <w:rFonts w:ascii="Times New Roman" w:eastAsia="Times New Roman" w:hAnsi="Times New Roman"/>
          <w:bCs/>
          <w:sz w:val="24"/>
          <w:szCs w:val="24"/>
          <w:lang w:eastAsia="pl-PL"/>
        </w:rPr>
        <w:t>liczby</w:t>
      </w:r>
      <w:r w:rsidR="000A6139" w:rsidRPr="00753981">
        <w:rPr>
          <w:rFonts w:ascii="Times New Roman" w:eastAsia="Times New Roman" w:hAnsi="Times New Roman"/>
          <w:bCs/>
          <w:sz w:val="24"/>
          <w:szCs w:val="24"/>
          <w:lang w:eastAsia="pl-PL"/>
        </w:rPr>
        <w:t xml:space="preserve"> miejsc parkingowych dla </w:t>
      </w:r>
      <w:r w:rsidR="00753981" w:rsidRPr="00753981">
        <w:rPr>
          <w:rFonts w:ascii="Times New Roman" w:eastAsia="Times New Roman" w:hAnsi="Times New Roman"/>
          <w:bCs/>
          <w:sz w:val="24"/>
          <w:szCs w:val="24"/>
          <w:lang w:eastAsia="pl-PL"/>
        </w:rPr>
        <w:t>rowerów</w:t>
      </w:r>
      <w:r w:rsidR="000A6139" w:rsidRPr="00753981">
        <w:rPr>
          <w:rFonts w:ascii="Times New Roman" w:eastAsia="Times New Roman" w:hAnsi="Times New Roman"/>
          <w:bCs/>
          <w:sz w:val="24"/>
          <w:szCs w:val="24"/>
          <w:lang w:eastAsia="pl-PL"/>
        </w:rPr>
        <w:t xml:space="preserve"> z uwzględnieniem powierzchni na rowery o większych wymiarach. </w:t>
      </w:r>
    </w:p>
    <w:p w14:paraId="4DE276BB" w14:textId="4EF7B0DF" w:rsidR="00B073B1" w:rsidRPr="00B073B1" w:rsidRDefault="00B073B1" w:rsidP="00B073B1">
      <w:pPr>
        <w:spacing w:after="12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W art. 12a oraz w art. …(przepis epizodyczny) określono potrzebę zapewnienia </w:t>
      </w:r>
      <w:r w:rsidRPr="00B073B1">
        <w:rPr>
          <w:rFonts w:ascii="Times New Roman" w:eastAsia="Times New Roman" w:hAnsi="Times New Roman"/>
          <w:bCs/>
          <w:sz w:val="24"/>
          <w:szCs w:val="24"/>
          <w:lang w:eastAsia="pl-PL"/>
        </w:rPr>
        <w:t>miejsc parkingow</w:t>
      </w:r>
      <w:r>
        <w:rPr>
          <w:rFonts w:ascii="Times New Roman" w:eastAsia="Times New Roman" w:hAnsi="Times New Roman"/>
          <w:bCs/>
          <w:sz w:val="24"/>
          <w:szCs w:val="24"/>
          <w:lang w:eastAsia="pl-PL"/>
        </w:rPr>
        <w:t>ych</w:t>
      </w:r>
      <w:r w:rsidRPr="00B073B1">
        <w:rPr>
          <w:rFonts w:ascii="Times New Roman" w:eastAsia="Times New Roman" w:hAnsi="Times New Roman"/>
          <w:bCs/>
          <w:sz w:val="24"/>
          <w:szCs w:val="24"/>
          <w:lang w:eastAsia="pl-PL"/>
        </w:rPr>
        <w:t xml:space="preserve"> dla rowerów w liczbie odpowiadającej co najmniej 15% średniej liczby użytkowników budynku, z uwzględnieniem powierzchni dla rowerów o większych wymiarach niż standardowe</w:t>
      </w:r>
      <w:r>
        <w:rPr>
          <w:rFonts w:ascii="Times New Roman" w:eastAsia="Times New Roman" w:hAnsi="Times New Roman"/>
          <w:bCs/>
          <w:sz w:val="24"/>
          <w:szCs w:val="24"/>
          <w:lang w:eastAsia="pl-PL"/>
        </w:rPr>
        <w:t xml:space="preserve">. </w:t>
      </w:r>
      <w:bookmarkStart w:id="3" w:name="_Hlk179993640"/>
      <w:r>
        <w:rPr>
          <w:rFonts w:ascii="Times New Roman" w:eastAsia="Times New Roman" w:hAnsi="Times New Roman"/>
          <w:bCs/>
          <w:sz w:val="24"/>
          <w:szCs w:val="24"/>
          <w:lang w:eastAsia="pl-PL"/>
        </w:rPr>
        <w:t xml:space="preserve">Średnią liczbę użytkowników </w:t>
      </w:r>
      <w:bookmarkEnd w:id="3"/>
      <w:r w:rsidRPr="00B073B1">
        <w:rPr>
          <w:rFonts w:ascii="Times New Roman" w:eastAsia="Times New Roman" w:hAnsi="Times New Roman"/>
          <w:bCs/>
          <w:sz w:val="24"/>
          <w:szCs w:val="24"/>
          <w:lang w:eastAsia="pl-PL"/>
        </w:rPr>
        <w:t>należy rozumieć jako zwykłą lub oczekiwaną liczbę użytkowników budynku w normalnych warunkach eksploatacji, a nie jako</w:t>
      </w:r>
      <w:r w:rsidRPr="00B073B1">
        <w:t xml:space="preserve"> </w:t>
      </w:r>
      <w:r w:rsidRPr="00B073B1">
        <w:rPr>
          <w:rFonts w:ascii="Times New Roman" w:eastAsia="Times New Roman" w:hAnsi="Times New Roman"/>
          <w:bCs/>
          <w:sz w:val="24"/>
          <w:szCs w:val="24"/>
          <w:lang w:eastAsia="pl-PL"/>
        </w:rPr>
        <w:t>całkowit</w:t>
      </w:r>
      <w:r>
        <w:rPr>
          <w:rFonts w:ascii="Times New Roman" w:eastAsia="Times New Roman" w:hAnsi="Times New Roman"/>
          <w:bCs/>
          <w:sz w:val="24"/>
          <w:szCs w:val="24"/>
          <w:lang w:eastAsia="pl-PL"/>
        </w:rPr>
        <w:t>ą</w:t>
      </w:r>
      <w:r w:rsidRPr="00B073B1">
        <w:rPr>
          <w:rFonts w:ascii="Times New Roman" w:eastAsia="Times New Roman" w:hAnsi="Times New Roman"/>
          <w:bCs/>
          <w:sz w:val="24"/>
          <w:szCs w:val="24"/>
          <w:lang w:eastAsia="pl-PL"/>
        </w:rPr>
        <w:t xml:space="preserve"> liczb</w:t>
      </w:r>
      <w:r>
        <w:rPr>
          <w:rFonts w:ascii="Times New Roman" w:eastAsia="Times New Roman" w:hAnsi="Times New Roman"/>
          <w:bCs/>
          <w:sz w:val="24"/>
          <w:szCs w:val="24"/>
          <w:lang w:eastAsia="pl-PL"/>
        </w:rPr>
        <w:t>ę</w:t>
      </w:r>
      <w:r w:rsidRPr="00B073B1">
        <w:rPr>
          <w:rFonts w:ascii="Times New Roman" w:eastAsia="Times New Roman" w:hAnsi="Times New Roman"/>
          <w:bCs/>
          <w:sz w:val="24"/>
          <w:szCs w:val="24"/>
          <w:lang w:eastAsia="pl-PL"/>
        </w:rPr>
        <w:t xml:space="preserve"> użytkowników budynków. Może się to różnić w zależności od rodzaju budynku </w:t>
      </w:r>
      <w:r w:rsidR="0028022D" w:rsidRPr="00B073B1">
        <w:rPr>
          <w:rFonts w:ascii="Times New Roman" w:eastAsia="Times New Roman" w:hAnsi="Times New Roman"/>
          <w:bCs/>
          <w:sz w:val="24"/>
          <w:szCs w:val="24"/>
          <w:lang w:eastAsia="pl-PL"/>
        </w:rPr>
        <w:t>i</w:t>
      </w:r>
      <w:r w:rsidR="0028022D">
        <w:rPr>
          <w:rFonts w:ascii="Times New Roman" w:eastAsia="Times New Roman" w:hAnsi="Times New Roman"/>
          <w:bCs/>
          <w:sz w:val="24"/>
          <w:szCs w:val="24"/>
          <w:lang w:eastAsia="pl-PL"/>
        </w:rPr>
        <w:t> </w:t>
      </w:r>
      <w:r w:rsidRPr="00B073B1">
        <w:rPr>
          <w:rFonts w:ascii="Times New Roman" w:eastAsia="Times New Roman" w:hAnsi="Times New Roman"/>
          <w:bCs/>
          <w:sz w:val="24"/>
          <w:szCs w:val="24"/>
          <w:lang w:eastAsia="pl-PL"/>
        </w:rPr>
        <w:t>sposobu jego użytkowania</w:t>
      </w:r>
      <w:r>
        <w:rPr>
          <w:rFonts w:ascii="Times New Roman" w:eastAsia="Times New Roman" w:hAnsi="Times New Roman"/>
          <w:bCs/>
          <w:sz w:val="24"/>
          <w:szCs w:val="24"/>
          <w:lang w:eastAsia="pl-PL"/>
        </w:rPr>
        <w:t>.</w:t>
      </w:r>
      <w:r w:rsidRPr="00B073B1">
        <w:t xml:space="preserve"> </w:t>
      </w:r>
      <w:r w:rsidRPr="00B073B1">
        <w:rPr>
          <w:rFonts w:ascii="Times New Roman" w:eastAsia="Times New Roman" w:hAnsi="Times New Roman"/>
          <w:bCs/>
          <w:sz w:val="24"/>
          <w:szCs w:val="24"/>
          <w:lang w:eastAsia="pl-PL"/>
        </w:rPr>
        <w:t xml:space="preserve">Poniżej przedstawiono kilka przykładów, w jaki sposób można określić </w:t>
      </w:r>
      <w:r>
        <w:rPr>
          <w:rFonts w:ascii="Times New Roman" w:eastAsia="Times New Roman" w:hAnsi="Times New Roman"/>
          <w:bCs/>
          <w:sz w:val="24"/>
          <w:szCs w:val="24"/>
          <w:lang w:eastAsia="pl-PL"/>
        </w:rPr>
        <w:t>ś</w:t>
      </w:r>
      <w:r w:rsidRPr="00B073B1">
        <w:rPr>
          <w:rFonts w:ascii="Times New Roman" w:eastAsia="Times New Roman" w:hAnsi="Times New Roman"/>
          <w:bCs/>
          <w:sz w:val="24"/>
          <w:szCs w:val="24"/>
          <w:lang w:eastAsia="pl-PL"/>
        </w:rPr>
        <w:t>rednią liczbę użytkowników</w:t>
      </w:r>
      <w:r>
        <w:rPr>
          <w:rFonts w:ascii="Times New Roman" w:eastAsia="Times New Roman" w:hAnsi="Times New Roman"/>
          <w:bCs/>
          <w:sz w:val="24"/>
          <w:szCs w:val="24"/>
          <w:lang w:eastAsia="pl-PL"/>
        </w:rPr>
        <w:t>:</w:t>
      </w:r>
    </w:p>
    <w:p w14:paraId="03F1B5FC" w14:textId="09857DF4" w:rsidR="00B073B1" w:rsidRPr="00B073B1" w:rsidRDefault="00B073B1" w:rsidP="00B073B1">
      <w:pPr>
        <w:spacing w:after="120" w:line="360" w:lineRule="auto"/>
        <w:jc w:val="both"/>
        <w:rPr>
          <w:rFonts w:ascii="Times New Roman" w:eastAsia="Times New Roman" w:hAnsi="Times New Roman"/>
          <w:bCs/>
          <w:sz w:val="24"/>
          <w:szCs w:val="24"/>
          <w:lang w:eastAsia="pl-PL"/>
        </w:rPr>
      </w:pPr>
      <w:r w:rsidRPr="00B073B1">
        <w:rPr>
          <w:rFonts w:ascii="Times New Roman" w:eastAsia="Times New Roman" w:hAnsi="Times New Roman"/>
          <w:bCs/>
          <w:sz w:val="24"/>
          <w:szCs w:val="24"/>
          <w:lang w:eastAsia="pl-PL"/>
        </w:rPr>
        <w:t>•</w:t>
      </w:r>
      <w:r w:rsidR="008F0533">
        <w:rPr>
          <w:rFonts w:ascii="Times New Roman" w:eastAsia="Times New Roman" w:hAnsi="Times New Roman"/>
          <w:bCs/>
          <w:sz w:val="24"/>
          <w:szCs w:val="24"/>
          <w:lang w:eastAsia="pl-PL"/>
        </w:rPr>
        <w:t xml:space="preserve"> </w:t>
      </w:r>
      <w:r>
        <w:rPr>
          <w:rFonts w:ascii="Times New Roman" w:eastAsia="Times New Roman" w:hAnsi="Times New Roman"/>
          <w:bCs/>
          <w:sz w:val="24"/>
          <w:szCs w:val="24"/>
          <w:lang w:eastAsia="pl-PL"/>
        </w:rPr>
        <w:t>r</w:t>
      </w:r>
      <w:r w:rsidRPr="00B073B1">
        <w:rPr>
          <w:rFonts w:ascii="Times New Roman" w:eastAsia="Times New Roman" w:hAnsi="Times New Roman"/>
          <w:bCs/>
          <w:sz w:val="24"/>
          <w:szCs w:val="24"/>
          <w:lang w:eastAsia="pl-PL"/>
        </w:rPr>
        <w:t xml:space="preserve">odzaj budynku i </w:t>
      </w:r>
      <w:r w:rsidR="0028022D">
        <w:rPr>
          <w:rFonts w:ascii="Times New Roman" w:eastAsia="Times New Roman" w:hAnsi="Times New Roman"/>
          <w:bCs/>
          <w:sz w:val="24"/>
          <w:szCs w:val="24"/>
          <w:lang w:eastAsia="pl-PL"/>
        </w:rPr>
        <w:t xml:space="preserve">sposób </w:t>
      </w:r>
      <w:r w:rsidRPr="00B073B1">
        <w:rPr>
          <w:rFonts w:ascii="Times New Roman" w:eastAsia="Times New Roman" w:hAnsi="Times New Roman"/>
          <w:bCs/>
          <w:sz w:val="24"/>
          <w:szCs w:val="24"/>
          <w:lang w:eastAsia="pl-PL"/>
        </w:rPr>
        <w:t>użytkowani</w:t>
      </w:r>
      <w:r w:rsidR="0028022D">
        <w:rPr>
          <w:rFonts w:ascii="Times New Roman" w:eastAsia="Times New Roman" w:hAnsi="Times New Roman"/>
          <w:bCs/>
          <w:sz w:val="24"/>
          <w:szCs w:val="24"/>
          <w:lang w:eastAsia="pl-PL"/>
        </w:rPr>
        <w:t>a</w:t>
      </w:r>
      <w:r w:rsidRPr="00B073B1">
        <w:rPr>
          <w:rFonts w:ascii="Times New Roman" w:eastAsia="Times New Roman" w:hAnsi="Times New Roman"/>
          <w:bCs/>
          <w:sz w:val="24"/>
          <w:szCs w:val="24"/>
          <w:lang w:eastAsia="pl-PL"/>
        </w:rPr>
        <w:t xml:space="preserve">: </w:t>
      </w:r>
      <w:r>
        <w:rPr>
          <w:rFonts w:ascii="Times New Roman" w:eastAsia="Times New Roman" w:hAnsi="Times New Roman"/>
          <w:bCs/>
          <w:sz w:val="24"/>
          <w:szCs w:val="24"/>
          <w:lang w:eastAsia="pl-PL"/>
        </w:rPr>
        <w:t>s</w:t>
      </w:r>
      <w:r w:rsidRPr="00B073B1">
        <w:rPr>
          <w:rFonts w:ascii="Times New Roman" w:eastAsia="Times New Roman" w:hAnsi="Times New Roman"/>
          <w:bCs/>
          <w:sz w:val="24"/>
          <w:szCs w:val="24"/>
          <w:lang w:eastAsia="pl-PL"/>
        </w:rPr>
        <w:t>zczególne wykorzystanie budynku (biuro, handel detaliczny, szkoła)</w:t>
      </w:r>
      <w:r>
        <w:rPr>
          <w:rFonts w:ascii="Times New Roman" w:eastAsia="Times New Roman" w:hAnsi="Times New Roman"/>
          <w:bCs/>
          <w:sz w:val="24"/>
          <w:szCs w:val="24"/>
          <w:lang w:eastAsia="pl-PL"/>
        </w:rPr>
        <w:t>,</w:t>
      </w:r>
    </w:p>
    <w:p w14:paraId="6ADF340D" w14:textId="16102A9C" w:rsidR="00B073B1" w:rsidRPr="00B073B1" w:rsidRDefault="00B073B1" w:rsidP="00B073B1">
      <w:pPr>
        <w:spacing w:after="120" w:line="360" w:lineRule="auto"/>
        <w:jc w:val="both"/>
        <w:rPr>
          <w:rFonts w:ascii="Times New Roman" w:eastAsia="Times New Roman" w:hAnsi="Times New Roman"/>
          <w:bCs/>
          <w:sz w:val="24"/>
          <w:szCs w:val="24"/>
          <w:lang w:eastAsia="pl-PL"/>
        </w:rPr>
      </w:pPr>
      <w:r w:rsidRPr="00B073B1">
        <w:rPr>
          <w:rFonts w:ascii="Times New Roman" w:eastAsia="Times New Roman" w:hAnsi="Times New Roman"/>
          <w:bCs/>
          <w:sz w:val="24"/>
          <w:szCs w:val="24"/>
          <w:lang w:eastAsia="pl-PL"/>
        </w:rPr>
        <w:t>•</w:t>
      </w:r>
      <w:r w:rsidR="008F0533">
        <w:rPr>
          <w:rFonts w:ascii="Times New Roman" w:eastAsia="Times New Roman" w:hAnsi="Times New Roman"/>
          <w:bCs/>
          <w:sz w:val="24"/>
          <w:szCs w:val="24"/>
          <w:lang w:eastAsia="pl-PL"/>
        </w:rPr>
        <w:t xml:space="preserve"> </w:t>
      </w:r>
      <w:r>
        <w:rPr>
          <w:rFonts w:ascii="Times New Roman" w:eastAsia="Times New Roman" w:hAnsi="Times New Roman"/>
          <w:bCs/>
          <w:sz w:val="24"/>
          <w:szCs w:val="24"/>
          <w:lang w:eastAsia="pl-PL"/>
        </w:rPr>
        <w:t>d</w:t>
      </w:r>
      <w:r w:rsidRPr="00B073B1">
        <w:rPr>
          <w:rFonts w:ascii="Times New Roman" w:eastAsia="Times New Roman" w:hAnsi="Times New Roman"/>
          <w:bCs/>
          <w:sz w:val="24"/>
          <w:szCs w:val="24"/>
          <w:lang w:eastAsia="pl-PL"/>
        </w:rPr>
        <w:t xml:space="preserve">ane historyczne: </w:t>
      </w:r>
      <w:r>
        <w:rPr>
          <w:rFonts w:ascii="Times New Roman" w:eastAsia="Times New Roman" w:hAnsi="Times New Roman"/>
          <w:bCs/>
          <w:sz w:val="24"/>
          <w:szCs w:val="24"/>
          <w:lang w:eastAsia="pl-PL"/>
        </w:rPr>
        <w:t xml:space="preserve">może </w:t>
      </w:r>
      <w:r w:rsidRPr="00B073B1">
        <w:rPr>
          <w:rFonts w:ascii="Times New Roman" w:eastAsia="Times New Roman" w:hAnsi="Times New Roman"/>
          <w:bCs/>
          <w:sz w:val="24"/>
          <w:szCs w:val="24"/>
          <w:lang w:eastAsia="pl-PL"/>
        </w:rPr>
        <w:t>opiera</w:t>
      </w:r>
      <w:r>
        <w:rPr>
          <w:rFonts w:ascii="Times New Roman" w:eastAsia="Times New Roman" w:hAnsi="Times New Roman"/>
          <w:bCs/>
          <w:sz w:val="24"/>
          <w:szCs w:val="24"/>
          <w:lang w:eastAsia="pl-PL"/>
        </w:rPr>
        <w:t>ć</w:t>
      </w:r>
      <w:r w:rsidRPr="00B073B1">
        <w:rPr>
          <w:rFonts w:ascii="Times New Roman" w:eastAsia="Times New Roman" w:hAnsi="Times New Roman"/>
          <w:bCs/>
          <w:sz w:val="24"/>
          <w:szCs w:val="24"/>
          <w:lang w:eastAsia="pl-PL"/>
        </w:rPr>
        <w:t xml:space="preserve"> się na danych historycznych, takich jak średni dzienny ruch pieszy lub trendy obłożenia</w:t>
      </w:r>
      <w:r w:rsidR="0028022D">
        <w:rPr>
          <w:rFonts w:ascii="Times New Roman" w:eastAsia="Times New Roman" w:hAnsi="Times New Roman"/>
          <w:bCs/>
          <w:sz w:val="24"/>
          <w:szCs w:val="24"/>
          <w:lang w:eastAsia="pl-PL"/>
        </w:rPr>
        <w:t>,</w:t>
      </w:r>
    </w:p>
    <w:p w14:paraId="467C6BFD" w14:textId="68F88B90" w:rsidR="00B073B1" w:rsidRDefault="00B073B1" w:rsidP="00B073B1">
      <w:pPr>
        <w:spacing w:after="120" w:line="360" w:lineRule="auto"/>
        <w:jc w:val="both"/>
        <w:rPr>
          <w:rFonts w:ascii="Times New Roman" w:eastAsia="Times New Roman" w:hAnsi="Times New Roman"/>
          <w:bCs/>
          <w:sz w:val="24"/>
          <w:szCs w:val="24"/>
          <w:lang w:eastAsia="pl-PL"/>
        </w:rPr>
      </w:pPr>
      <w:r w:rsidRPr="00B073B1">
        <w:rPr>
          <w:rFonts w:ascii="Times New Roman" w:eastAsia="Times New Roman" w:hAnsi="Times New Roman"/>
          <w:bCs/>
          <w:sz w:val="24"/>
          <w:szCs w:val="24"/>
          <w:lang w:eastAsia="pl-PL"/>
        </w:rPr>
        <w:t>•</w:t>
      </w:r>
      <w:r w:rsidR="008F0533">
        <w:rPr>
          <w:rFonts w:ascii="Times New Roman" w:eastAsia="Times New Roman" w:hAnsi="Times New Roman"/>
          <w:bCs/>
          <w:sz w:val="24"/>
          <w:szCs w:val="24"/>
          <w:lang w:eastAsia="pl-PL"/>
        </w:rPr>
        <w:t xml:space="preserve"> </w:t>
      </w:r>
      <w:r>
        <w:rPr>
          <w:rFonts w:ascii="Times New Roman" w:eastAsia="Times New Roman" w:hAnsi="Times New Roman"/>
          <w:bCs/>
          <w:sz w:val="24"/>
          <w:szCs w:val="24"/>
          <w:lang w:eastAsia="pl-PL"/>
        </w:rPr>
        <w:t>p</w:t>
      </w:r>
      <w:r w:rsidRPr="00B073B1">
        <w:rPr>
          <w:rFonts w:ascii="Times New Roman" w:eastAsia="Times New Roman" w:hAnsi="Times New Roman"/>
          <w:bCs/>
          <w:sz w:val="24"/>
          <w:szCs w:val="24"/>
          <w:lang w:eastAsia="pl-PL"/>
        </w:rPr>
        <w:t xml:space="preserve">rzydział przestrzeni: średnia </w:t>
      </w:r>
      <w:r w:rsidR="0000128A">
        <w:rPr>
          <w:rFonts w:ascii="Times New Roman" w:eastAsia="Times New Roman" w:hAnsi="Times New Roman"/>
          <w:bCs/>
          <w:sz w:val="24"/>
          <w:szCs w:val="24"/>
          <w:lang w:eastAsia="pl-PL"/>
        </w:rPr>
        <w:t>liczba</w:t>
      </w:r>
      <w:r w:rsidR="0000128A" w:rsidRPr="00B073B1">
        <w:rPr>
          <w:rFonts w:ascii="Times New Roman" w:eastAsia="Times New Roman" w:hAnsi="Times New Roman"/>
          <w:bCs/>
          <w:sz w:val="24"/>
          <w:szCs w:val="24"/>
          <w:lang w:eastAsia="pl-PL"/>
        </w:rPr>
        <w:t xml:space="preserve"> </w:t>
      </w:r>
      <w:r w:rsidRPr="00B073B1">
        <w:rPr>
          <w:rFonts w:ascii="Times New Roman" w:eastAsia="Times New Roman" w:hAnsi="Times New Roman"/>
          <w:bCs/>
          <w:sz w:val="24"/>
          <w:szCs w:val="24"/>
          <w:lang w:eastAsia="pl-PL"/>
        </w:rPr>
        <w:t>może być również obliczana na podstawie powierzchni podłogi na użytkownika, ale z realistycznym oczekiwaniem wykorzystania.</w:t>
      </w:r>
      <w:r>
        <w:rPr>
          <w:rFonts w:ascii="Times New Roman" w:eastAsia="Times New Roman" w:hAnsi="Times New Roman"/>
          <w:bCs/>
          <w:sz w:val="24"/>
          <w:szCs w:val="24"/>
          <w:lang w:eastAsia="pl-PL"/>
        </w:rPr>
        <w:t xml:space="preserve"> </w:t>
      </w:r>
    </w:p>
    <w:p w14:paraId="508CA7A1" w14:textId="60EE3B7B" w:rsidR="006D6122" w:rsidRDefault="006D6122" w:rsidP="00B073B1">
      <w:pPr>
        <w:spacing w:after="120" w:line="360" w:lineRule="auto"/>
        <w:jc w:val="both"/>
        <w:rPr>
          <w:rFonts w:ascii="Times New Roman" w:eastAsia="Times New Roman" w:hAnsi="Times New Roman"/>
          <w:bCs/>
          <w:sz w:val="24"/>
          <w:szCs w:val="24"/>
          <w:lang w:eastAsia="pl-PL"/>
        </w:rPr>
      </w:pPr>
      <w:r w:rsidRPr="006D6122">
        <w:rPr>
          <w:rFonts w:ascii="Times New Roman" w:eastAsia="Times New Roman" w:hAnsi="Times New Roman"/>
          <w:bCs/>
          <w:sz w:val="24"/>
          <w:szCs w:val="24"/>
          <w:lang w:eastAsia="pl-PL"/>
        </w:rPr>
        <w:t xml:space="preserve">W biurze </w:t>
      </w:r>
      <w:r>
        <w:rPr>
          <w:rFonts w:ascii="Times New Roman" w:eastAsia="Times New Roman" w:hAnsi="Times New Roman"/>
          <w:bCs/>
          <w:sz w:val="24"/>
          <w:szCs w:val="24"/>
          <w:lang w:eastAsia="pl-PL"/>
        </w:rPr>
        <w:t xml:space="preserve">średnia liczba </w:t>
      </w:r>
      <w:r w:rsidRPr="006D6122">
        <w:rPr>
          <w:rFonts w:ascii="Times New Roman" w:eastAsia="Times New Roman" w:hAnsi="Times New Roman"/>
          <w:bCs/>
          <w:sz w:val="24"/>
          <w:szCs w:val="24"/>
          <w:lang w:eastAsia="pl-PL"/>
        </w:rPr>
        <w:t>użytkownik</w:t>
      </w:r>
      <w:r>
        <w:rPr>
          <w:rFonts w:ascii="Times New Roman" w:eastAsia="Times New Roman" w:hAnsi="Times New Roman"/>
          <w:bCs/>
          <w:sz w:val="24"/>
          <w:szCs w:val="24"/>
          <w:lang w:eastAsia="pl-PL"/>
        </w:rPr>
        <w:t>ów</w:t>
      </w:r>
      <w:r w:rsidRPr="006D6122">
        <w:rPr>
          <w:rFonts w:ascii="Times New Roman" w:eastAsia="Times New Roman" w:hAnsi="Times New Roman"/>
          <w:bCs/>
          <w:sz w:val="24"/>
          <w:szCs w:val="24"/>
          <w:lang w:eastAsia="pl-PL"/>
        </w:rPr>
        <w:t xml:space="preserve"> może opierać się na typowej liczbie pracowników pracujących w budynku w zwykły dzień. W przypadku sklepów detalicznych lub centrów handlowych średnia </w:t>
      </w:r>
      <w:r w:rsidR="00FA05C7">
        <w:rPr>
          <w:rFonts w:ascii="Times New Roman" w:eastAsia="Times New Roman" w:hAnsi="Times New Roman"/>
          <w:bCs/>
          <w:sz w:val="24"/>
          <w:szCs w:val="24"/>
          <w:lang w:eastAsia="pl-PL"/>
        </w:rPr>
        <w:t>liczba użytkowników</w:t>
      </w:r>
      <w:r w:rsidRPr="006D6122">
        <w:rPr>
          <w:rFonts w:ascii="Times New Roman" w:eastAsia="Times New Roman" w:hAnsi="Times New Roman"/>
          <w:bCs/>
          <w:sz w:val="24"/>
          <w:szCs w:val="24"/>
          <w:lang w:eastAsia="pl-PL"/>
        </w:rPr>
        <w:t xml:space="preserve"> może odnosić się do liczby klientów </w:t>
      </w:r>
      <w:r w:rsidR="0028022D" w:rsidRPr="006D6122">
        <w:rPr>
          <w:rFonts w:ascii="Times New Roman" w:eastAsia="Times New Roman" w:hAnsi="Times New Roman"/>
          <w:bCs/>
          <w:sz w:val="24"/>
          <w:szCs w:val="24"/>
          <w:lang w:eastAsia="pl-PL"/>
        </w:rPr>
        <w:t>i</w:t>
      </w:r>
      <w:r w:rsidR="0028022D">
        <w:rPr>
          <w:rFonts w:ascii="Times New Roman" w:eastAsia="Times New Roman" w:hAnsi="Times New Roman"/>
          <w:bCs/>
          <w:sz w:val="24"/>
          <w:szCs w:val="24"/>
          <w:lang w:eastAsia="pl-PL"/>
        </w:rPr>
        <w:t> </w:t>
      </w:r>
      <w:r w:rsidRPr="006D6122">
        <w:rPr>
          <w:rFonts w:ascii="Times New Roman" w:eastAsia="Times New Roman" w:hAnsi="Times New Roman"/>
          <w:bCs/>
          <w:sz w:val="24"/>
          <w:szCs w:val="24"/>
          <w:lang w:eastAsia="pl-PL"/>
        </w:rPr>
        <w:t xml:space="preserve">pracowników obecnych w godzinach szczytu. W przypadku bibliotek, muzeów lub szkół średnia </w:t>
      </w:r>
      <w:r w:rsidR="00FA05C7">
        <w:rPr>
          <w:rFonts w:ascii="Times New Roman" w:eastAsia="Times New Roman" w:hAnsi="Times New Roman"/>
          <w:bCs/>
          <w:sz w:val="24"/>
          <w:szCs w:val="24"/>
          <w:lang w:eastAsia="pl-PL"/>
        </w:rPr>
        <w:t>liczba użytkowników</w:t>
      </w:r>
      <w:r w:rsidRPr="006D6122">
        <w:rPr>
          <w:rFonts w:ascii="Times New Roman" w:eastAsia="Times New Roman" w:hAnsi="Times New Roman"/>
          <w:bCs/>
          <w:sz w:val="24"/>
          <w:szCs w:val="24"/>
          <w:lang w:eastAsia="pl-PL"/>
        </w:rPr>
        <w:t xml:space="preserve"> może odnosić się do liczby odwiedzających, </w:t>
      </w:r>
      <w:r>
        <w:rPr>
          <w:rFonts w:ascii="Times New Roman" w:eastAsia="Times New Roman" w:hAnsi="Times New Roman"/>
          <w:bCs/>
          <w:sz w:val="24"/>
          <w:szCs w:val="24"/>
          <w:lang w:eastAsia="pl-PL"/>
        </w:rPr>
        <w:t xml:space="preserve">uczniów, </w:t>
      </w:r>
      <w:r w:rsidRPr="006D6122">
        <w:rPr>
          <w:rFonts w:ascii="Times New Roman" w:eastAsia="Times New Roman" w:hAnsi="Times New Roman"/>
          <w:bCs/>
          <w:sz w:val="24"/>
          <w:szCs w:val="24"/>
          <w:lang w:eastAsia="pl-PL"/>
        </w:rPr>
        <w:t xml:space="preserve">studentów lub pracowników, którzy są obecni w przeciętnym dniu, biorąc pod uwagę, że </w:t>
      </w:r>
      <w:r w:rsidR="0028022D">
        <w:rPr>
          <w:rFonts w:ascii="Times New Roman" w:eastAsia="Times New Roman" w:hAnsi="Times New Roman"/>
          <w:bCs/>
          <w:sz w:val="24"/>
          <w:szCs w:val="24"/>
          <w:lang w:eastAsia="pl-PL"/>
        </w:rPr>
        <w:t>godziny</w:t>
      </w:r>
      <w:r w:rsidR="00DA54C7">
        <w:rPr>
          <w:rFonts w:ascii="Times New Roman" w:eastAsia="Times New Roman" w:hAnsi="Times New Roman"/>
          <w:bCs/>
          <w:sz w:val="24"/>
          <w:szCs w:val="24"/>
          <w:lang w:eastAsia="pl-PL"/>
        </w:rPr>
        <w:t xml:space="preserve"> </w:t>
      </w:r>
      <w:r w:rsidRPr="006D6122">
        <w:rPr>
          <w:rFonts w:ascii="Times New Roman" w:eastAsia="Times New Roman" w:hAnsi="Times New Roman"/>
          <w:bCs/>
          <w:sz w:val="24"/>
          <w:szCs w:val="24"/>
          <w:lang w:eastAsia="pl-PL"/>
        </w:rPr>
        <w:t>szczytu mogą się różnić.</w:t>
      </w:r>
    </w:p>
    <w:p w14:paraId="2DC4C779" w14:textId="2E6CC5E9" w:rsidR="006D6122" w:rsidRDefault="006D6122" w:rsidP="00B073B1">
      <w:pPr>
        <w:spacing w:after="12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W zakresie </w:t>
      </w:r>
      <w:r w:rsidRPr="006D6122">
        <w:rPr>
          <w:rFonts w:ascii="Times New Roman" w:eastAsia="Times New Roman" w:hAnsi="Times New Roman"/>
          <w:bCs/>
          <w:sz w:val="24"/>
          <w:szCs w:val="24"/>
          <w:lang w:eastAsia="pl-PL"/>
        </w:rPr>
        <w:t xml:space="preserve">miejsc na rowery o większych wymiarach niż rowery standardowe </w:t>
      </w:r>
      <w:r>
        <w:rPr>
          <w:rFonts w:ascii="Times New Roman" w:eastAsia="Times New Roman" w:hAnsi="Times New Roman"/>
          <w:bCs/>
          <w:sz w:val="24"/>
          <w:szCs w:val="24"/>
          <w:lang w:eastAsia="pl-PL"/>
        </w:rPr>
        <w:t xml:space="preserve">istotne jest </w:t>
      </w:r>
      <w:r w:rsidRPr="006D6122">
        <w:rPr>
          <w:rFonts w:ascii="Times New Roman" w:eastAsia="Times New Roman" w:hAnsi="Times New Roman"/>
          <w:bCs/>
          <w:sz w:val="24"/>
          <w:szCs w:val="24"/>
          <w:lang w:eastAsia="pl-PL"/>
        </w:rPr>
        <w:t xml:space="preserve">zapewnienie również wystarczająco dużych miejsc parkingowych dla rowerów, na przykład dla rowerów towarowych, rowerów długich, rowerów trójkołowych lub rowerów dla osób niepełnosprawnych fizycznie. Nie </w:t>
      </w:r>
      <w:r>
        <w:rPr>
          <w:rFonts w:ascii="Times New Roman" w:eastAsia="Times New Roman" w:hAnsi="Times New Roman"/>
          <w:bCs/>
          <w:sz w:val="24"/>
          <w:szCs w:val="24"/>
          <w:lang w:eastAsia="pl-PL"/>
        </w:rPr>
        <w:t>określono</w:t>
      </w:r>
      <w:r w:rsidRPr="006D6122">
        <w:rPr>
          <w:rFonts w:ascii="Times New Roman" w:eastAsia="Times New Roman" w:hAnsi="Times New Roman"/>
          <w:bCs/>
          <w:sz w:val="24"/>
          <w:szCs w:val="24"/>
          <w:lang w:eastAsia="pl-PL"/>
        </w:rPr>
        <w:t xml:space="preserve"> wymogu, jaki powinien być udział miejsc parkingowych dla rowerów o większych wymiarach.</w:t>
      </w:r>
    </w:p>
    <w:p w14:paraId="55E3ADF6" w14:textId="79BBF1FC" w:rsidR="00C41D45" w:rsidRDefault="00977205" w:rsidP="008403EB">
      <w:pPr>
        <w:spacing w:after="12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Art</w:t>
      </w:r>
      <w:r w:rsidR="0082296C">
        <w:rPr>
          <w:rFonts w:ascii="Times New Roman" w:eastAsia="Times New Roman" w:hAnsi="Times New Roman"/>
          <w:bCs/>
          <w:sz w:val="24"/>
          <w:szCs w:val="24"/>
          <w:lang w:eastAsia="pl-PL"/>
        </w:rPr>
        <w:t>ykuł</w:t>
      </w:r>
      <w:r>
        <w:rPr>
          <w:rFonts w:ascii="Times New Roman" w:eastAsia="Times New Roman" w:hAnsi="Times New Roman"/>
          <w:bCs/>
          <w:sz w:val="24"/>
          <w:szCs w:val="24"/>
          <w:lang w:eastAsia="pl-PL"/>
        </w:rPr>
        <w:t xml:space="preserve"> </w:t>
      </w:r>
      <w:r w:rsidR="00BF0A4A">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xml:space="preserve"> ust.</w:t>
      </w:r>
      <w:r w:rsidR="009F4491">
        <w:rPr>
          <w:rFonts w:ascii="Times New Roman" w:eastAsia="Times New Roman" w:hAnsi="Times New Roman"/>
          <w:bCs/>
          <w:sz w:val="24"/>
          <w:szCs w:val="24"/>
          <w:lang w:eastAsia="pl-PL"/>
        </w:rPr>
        <w:t xml:space="preserve"> 2 wskazuj</w:t>
      </w:r>
      <w:r w:rsidR="00F33FC9">
        <w:rPr>
          <w:rFonts w:ascii="Times New Roman" w:eastAsia="Times New Roman" w:hAnsi="Times New Roman"/>
          <w:bCs/>
          <w:sz w:val="24"/>
          <w:szCs w:val="24"/>
          <w:lang w:eastAsia="pl-PL"/>
        </w:rPr>
        <w:t>e</w:t>
      </w:r>
      <w:r w:rsidR="00DC2D17">
        <w:rPr>
          <w:rFonts w:ascii="Times New Roman" w:eastAsia="Times New Roman" w:hAnsi="Times New Roman"/>
          <w:bCs/>
          <w:sz w:val="24"/>
          <w:szCs w:val="24"/>
          <w:lang w:eastAsia="pl-PL"/>
        </w:rPr>
        <w:t>,</w:t>
      </w:r>
      <w:r w:rsidR="009F4491">
        <w:rPr>
          <w:rFonts w:ascii="Times New Roman" w:eastAsia="Times New Roman" w:hAnsi="Times New Roman"/>
          <w:bCs/>
          <w:sz w:val="24"/>
          <w:szCs w:val="24"/>
          <w:lang w:eastAsia="pl-PL"/>
        </w:rPr>
        <w:t xml:space="preserve"> iż w stosunku do budynków niemieszkalnych, w których do dnia 28 maja 2024 r. zrealizowano wymagania określone </w:t>
      </w:r>
      <w:r w:rsidR="009F4491" w:rsidRPr="000C0D5C">
        <w:rPr>
          <w:rFonts w:ascii="Times New Roman" w:eastAsia="Times New Roman" w:hAnsi="Times New Roman"/>
          <w:bCs/>
          <w:sz w:val="24"/>
          <w:szCs w:val="24"/>
          <w:lang w:eastAsia="pl-PL"/>
        </w:rPr>
        <w:t xml:space="preserve">w art. 26 ustawy z dnia 2 grudnia 2021 r. </w:t>
      </w:r>
      <w:r w:rsidR="00090EEA" w:rsidRPr="000C0D5C">
        <w:rPr>
          <w:rFonts w:ascii="Times New Roman" w:eastAsia="Times New Roman" w:hAnsi="Times New Roman"/>
          <w:bCs/>
          <w:sz w:val="24"/>
          <w:szCs w:val="24"/>
          <w:lang w:eastAsia="pl-PL"/>
        </w:rPr>
        <w:lastRenderedPageBreak/>
        <w:t>o</w:t>
      </w:r>
      <w:r w:rsidR="00090EEA">
        <w:rPr>
          <w:rFonts w:ascii="Times New Roman" w:eastAsia="Times New Roman" w:hAnsi="Times New Roman"/>
          <w:bCs/>
          <w:sz w:val="24"/>
          <w:szCs w:val="24"/>
          <w:lang w:eastAsia="pl-PL"/>
        </w:rPr>
        <w:t xml:space="preserve"> </w:t>
      </w:r>
      <w:r w:rsidR="009F4491" w:rsidRPr="000C0D5C">
        <w:rPr>
          <w:rFonts w:ascii="Times New Roman" w:eastAsia="Times New Roman" w:hAnsi="Times New Roman"/>
          <w:bCs/>
          <w:sz w:val="24"/>
          <w:szCs w:val="24"/>
          <w:lang w:eastAsia="pl-PL"/>
        </w:rPr>
        <w:t>zmianie ustawy o elektromobilności i paliwach alternatywnych oraz niektórych innych ustaw</w:t>
      </w:r>
      <w:r w:rsidR="00381240">
        <w:rPr>
          <w:rFonts w:ascii="Times New Roman" w:eastAsia="Times New Roman" w:hAnsi="Times New Roman"/>
          <w:bCs/>
          <w:sz w:val="24"/>
          <w:szCs w:val="24"/>
          <w:lang w:eastAsia="pl-PL"/>
        </w:rPr>
        <w:t>,</w:t>
      </w:r>
      <w:r w:rsidR="009F4491" w:rsidRPr="000C0D5C">
        <w:rPr>
          <w:rFonts w:ascii="Times New Roman" w:eastAsia="Times New Roman" w:hAnsi="Times New Roman"/>
          <w:bCs/>
          <w:sz w:val="24"/>
          <w:szCs w:val="24"/>
          <w:lang w:eastAsia="pl-PL"/>
        </w:rPr>
        <w:t xml:space="preserve"> </w:t>
      </w:r>
      <w:r w:rsidR="00A24836">
        <w:rPr>
          <w:rFonts w:ascii="Times New Roman" w:eastAsia="Times New Roman" w:hAnsi="Times New Roman"/>
          <w:bCs/>
          <w:sz w:val="24"/>
          <w:szCs w:val="24"/>
          <w:lang w:eastAsia="pl-PL"/>
        </w:rPr>
        <w:t xml:space="preserve">czyli dostosowanie do 1 stycznia 2025 r. wymagań związanych </w:t>
      </w:r>
      <w:r w:rsidR="00DC2D17">
        <w:rPr>
          <w:rFonts w:ascii="Times New Roman" w:eastAsia="Times New Roman" w:hAnsi="Times New Roman"/>
          <w:bCs/>
          <w:sz w:val="24"/>
          <w:szCs w:val="24"/>
          <w:lang w:eastAsia="pl-PL"/>
        </w:rPr>
        <w:t xml:space="preserve">z </w:t>
      </w:r>
      <w:r w:rsidR="00A24836">
        <w:rPr>
          <w:rFonts w:ascii="Times New Roman" w:eastAsia="Times New Roman" w:hAnsi="Times New Roman"/>
          <w:bCs/>
          <w:sz w:val="24"/>
          <w:szCs w:val="24"/>
          <w:lang w:eastAsia="pl-PL"/>
        </w:rPr>
        <w:t>zapewnieniem</w:t>
      </w:r>
      <w:r w:rsidR="00DC2D17">
        <w:rPr>
          <w:rFonts w:ascii="Times New Roman" w:eastAsia="Times New Roman" w:hAnsi="Times New Roman"/>
          <w:bCs/>
          <w:sz w:val="24"/>
          <w:szCs w:val="24"/>
          <w:lang w:eastAsia="pl-PL"/>
        </w:rPr>
        <w:t xml:space="preserve"> </w:t>
      </w:r>
      <w:r w:rsidR="00A24836">
        <w:rPr>
          <w:rFonts w:ascii="Times New Roman" w:eastAsia="Times New Roman" w:hAnsi="Times New Roman"/>
          <w:bCs/>
          <w:sz w:val="24"/>
          <w:szCs w:val="24"/>
          <w:lang w:eastAsia="pl-PL"/>
        </w:rPr>
        <w:t>punktów ładowania i niezbędnej infrastruktury technicznej</w:t>
      </w:r>
      <w:r w:rsidR="00DC2D17">
        <w:rPr>
          <w:rFonts w:ascii="Times New Roman" w:eastAsia="Times New Roman" w:hAnsi="Times New Roman"/>
          <w:bCs/>
          <w:sz w:val="24"/>
          <w:szCs w:val="24"/>
          <w:lang w:eastAsia="pl-PL"/>
        </w:rPr>
        <w:t xml:space="preserve"> na parkingach dla wszystkich budynków niemieszkalnych</w:t>
      </w:r>
      <w:r w:rsidR="00A24836">
        <w:rPr>
          <w:rFonts w:ascii="Times New Roman" w:eastAsia="Times New Roman" w:hAnsi="Times New Roman"/>
          <w:bCs/>
          <w:sz w:val="24"/>
          <w:szCs w:val="24"/>
          <w:lang w:eastAsia="pl-PL"/>
        </w:rPr>
        <w:t xml:space="preserve">, </w:t>
      </w:r>
      <w:r w:rsidR="000C0D5C" w:rsidRPr="000C0D5C">
        <w:rPr>
          <w:rFonts w:ascii="Times New Roman" w:eastAsia="Times New Roman" w:hAnsi="Times New Roman"/>
          <w:bCs/>
          <w:sz w:val="24"/>
          <w:szCs w:val="24"/>
          <w:lang w:eastAsia="pl-PL"/>
        </w:rPr>
        <w:t xml:space="preserve">termin wykonania obowiązków </w:t>
      </w:r>
      <w:r>
        <w:rPr>
          <w:rFonts w:ascii="Times New Roman" w:eastAsia="Times New Roman" w:hAnsi="Times New Roman"/>
          <w:bCs/>
          <w:sz w:val="24"/>
          <w:szCs w:val="24"/>
          <w:lang w:eastAsia="pl-PL"/>
        </w:rPr>
        <w:t xml:space="preserve">określony w art. 12a ust. </w:t>
      </w:r>
      <w:r w:rsidR="00DC2D17">
        <w:rPr>
          <w:rFonts w:ascii="Times New Roman" w:eastAsia="Times New Roman" w:hAnsi="Times New Roman"/>
          <w:bCs/>
          <w:sz w:val="24"/>
          <w:szCs w:val="24"/>
          <w:lang w:eastAsia="pl-PL"/>
        </w:rPr>
        <w:t xml:space="preserve">1 </w:t>
      </w:r>
      <w:r w:rsidR="000C0D5C" w:rsidRPr="000C0D5C">
        <w:rPr>
          <w:rFonts w:ascii="Times New Roman" w:eastAsia="Times New Roman" w:hAnsi="Times New Roman"/>
          <w:bCs/>
          <w:sz w:val="24"/>
          <w:szCs w:val="24"/>
          <w:lang w:eastAsia="pl-PL"/>
        </w:rPr>
        <w:t xml:space="preserve">wydłuża się do </w:t>
      </w:r>
      <w:r w:rsidR="00090EEA" w:rsidRPr="000C0D5C">
        <w:rPr>
          <w:rFonts w:ascii="Times New Roman" w:eastAsia="Times New Roman" w:hAnsi="Times New Roman"/>
          <w:bCs/>
          <w:sz w:val="24"/>
          <w:szCs w:val="24"/>
          <w:lang w:eastAsia="pl-PL"/>
        </w:rPr>
        <w:t>1</w:t>
      </w:r>
      <w:r w:rsidR="00090EEA">
        <w:rPr>
          <w:rFonts w:ascii="Times New Roman" w:eastAsia="Times New Roman" w:hAnsi="Times New Roman"/>
          <w:bCs/>
          <w:sz w:val="24"/>
          <w:szCs w:val="24"/>
          <w:lang w:eastAsia="pl-PL"/>
        </w:rPr>
        <w:t> </w:t>
      </w:r>
      <w:r w:rsidR="000C0D5C" w:rsidRPr="000C0D5C">
        <w:rPr>
          <w:rFonts w:ascii="Times New Roman" w:eastAsia="Times New Roman" w:hAnsi="Times New Roman"/>
          <w:bCs/>
          <w:sz w:val="24"/>
          <w:szCs w:val="24"/>
          <w:lang w:eastAsia="pl-PL"/>
        </w:rPr>
        <w:t>stycznia 2029 r.</w:t>
      </w:r>
      <w:r w:rsidR="000C0D5C">
        <w:rPr>
          <w:rFonts w:ascii="Lato" w:eastAsia="Times New Roman" w:hAnsi="Lato"/>
          <w:sz w:val="18"/>
          <w:szCs w:val="18"/>
          <w:lang w:eastAsia="pl-PL"/>
        </w:rPr>
        <w:t xml:space="preserve"> </w:t>
      </w:r>
      <w:r>
        <w:rPr>
          <w:rFonts w:ascii="Times New Roman" w:eastAsia="Times New Roman" w:hAnsi="Times New Roman"/>
          <w:bCs/>
          <w:sz w:val="24"/>
          <w:szCs w:val="24"/>
          <w:lang w:eastAsia="pl-PL"/>
        </w:rPr>
        <w:t xml:space="preserve">Art. </w:t>
      </w:r>
      <w:r w:rsidR="00BF0A4A">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xml:space="preserve"> ust. </w:t>
      </w:r>
      <w:r w:rsidR="000C0D5C">
        <w:rPr>
          <w:rFonts w:ascii="Times New Roman" w:eastAsia="Times New Roman" w:hAnsi="Times New Roman"/>
          <w:bCs/>
          <w:sz w:val="24"/>
          <w:szCs w:val="24"/>
          <w:lang w:eastAsia="pl-PL"/>
        </w:rPr>
        <w:t xml:space="preserve">3 wskazuje </w:t>
      </w:r>
      <w:r w:rsidR="00C41D45">
        <w:rPr>
          <w:rFonts w:ascii="Times New Roman" w:eastAsia="Times New Roman" w:hAnsi="Times New Roman"/>
          <w:bCs/>
          <w:sz w:val="24"/>
          <w:szCs w:val="24"/>
          <w:lang w:eastAsia="pl-PL"/>
        </w:rPr>
        <w:t xml:space="preserve">wymagania dla budynków instytucji publicznych </w:t>
      </w:r>
      <w:r w:rsidR="00090EEA">
        <w:rPr>
          <w:rFonts w:ascii="Times New Roman" w:eastAsia="Times New Roman" w:hAnsi="Times New Roman"/>
          <w:bCs/>
          <w:sz w:val="24"/>
          <w:szCs w:val="24"/>
          <w:lang w:eastAsia="pl-PL"/>
        </w:rPr>
        <w:t>w </w:t>
      </w:r>
      <w:r w:rsidR="008403EB">
        <w:rPr>
          <w:rFonts w:ascii="Times New Roman" w:eastAsia="Times New Roman" w:hAnsi="Times New Roman"/>
          <w:bCs/>
          <w:sz w:val="24"/>
          <w:szCs w:val="24"/>
          <w:lang w:eastAsia="pl-PL"/>
        </w:rPr>
        <w:t xml:space="preserve">zakresie zapewnienia niezbędnej infrastruktury na potrzeby ładowania w terminie do </w:t>
      </w:r>
      <w:r w:rsidR="00090EEA">
        <w:rPr>
          <w:rFonts w:ascii="Times New Roman" w:eastAsia="Times New Roman" w:hAnsi="Times New Roman"/>
          <w:bCs/>
          <w:sz w:val="24"/>
          <w:szCs w:val="24"/>
          <w:lang w:eastAsia="pl-PL"/>
        </w:rPr>
        <w:t>1 </w:t>
      </w:r>
      <w:r w:rsidR="008403EB">
        <w:rPr>
          <w:rFonts w:ascii="Times New Roman" w:eastAsia="Times New Roman" w:hAnsi="Times New Roman"/>
          <w:bCs/>
          <w:sz w:val="24"/>
          <w:szCs w:val="24"/>
          <w:lang w:eastAsia="pl-PL"/>
        </w:rPr>
        <w:t xml:space="preserve">stycznia 2033 r. </w:t>
      </w:r>
    </w:p>
    <w:p w14:paraId="65AC0C9C" w14:textId="3A3F5219" w:rsidR="008403EB" w:rsidRDefault="000C0D5C" w:rsidP="008403EB">
      <w:pPr>
        <w:spacing w:after="12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W </w:t>
      </w:r>
      <w:r w:rsidR="00787461">
        <w:rPr>
          <w:rFonts w:ascii="Times New Roman" w:eastAsia="Times New Roman" w:hAnsi="Times New Roman"/>
          <w:bCs/>
          <w:sz w:val="24"/>
          <w:szCs w:val="24"/>
          <w:lang w:eastAsia="pl-PL"/>
        </w:rPr>
        <w:t xml:space="preserve">art. </w:t>
      </w:r>
      <w:r w:rsidR="00BF0A4A">
        <w:rPr>
          <w:rFonts w:ascii="Times New Roman" w:eastAsia="Times New Roman" w:hAnsi="Times New Roman"/>
          <w:bCs/>
          <w:sz w:val="24"/>
          <w:szCs w:val="24"/>
          <w:lang w:eastAsia="pl-PL"/>
        </w:rPr>
        <w:t>..</w:t>
      </w:r>
      <w:r w:rsidR="00DA54C7">
        <w:rPr>
          <w:rFonts w:ascii="Times New Roman" w:eastAsia="Times New Roman" w:hAnsi="Times New Roman"/>
          <w:bCs/>
          <w:sz w:val="24"/>
          <w:szCs w:val="24"/>
          <w:lang w:eastAsia="pl-PL"/>
        </w:rPr>
        <w:t>.</w:t>
      </w:r>
      <w:r w:rsidR="00787461">
        <w:rPr>
          <w:rFonts w:ascii="Times New Roman" w:eastAsia="Times New Roman" w:hAnsi="Times New Roman"/>
          <w:bCs/>
          <w:sz w:val="24"/>
          <w:szCs w:val="24"/>
          <w:lang w:eastAsia="pl-PL"/>
        </w:rPr>
        <w:t xml:space="preserve"> ust. </w:t>
      </w:r>
      <w:r>
        <w:rPr>
          <w:rFonts w:ascii="Times New Roman" w:eastAsia="Times New Roman" w:hAnsi="Times New Roman"/>
          <w:bCs/>
          <w:sz w:val="24"/>
          <w:szCs w:val="24"/>
          <w:lang w:eastAsia="pl-PL"/>
        </w:rPr>
        <w:t>4 określono</w:t>
      </w:r>
      <w:r w:rsidR="00090EEA">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xml:space="preserve"> co należy rozumieć przez przyleganie do budynku. </w:t>
      </w:r>
    </w:p>
    <w:p w14:paraId="3186A30E" w14:textId="2863DCE4" w:rsidR="000C0D5C" w:rsidRDefault="00787461" w:rsidP="00C51CAF">
      <w:pPr>
        <w:spacing w:after="12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W art. </w:t>
      </w:r>
      <w:r w:rsidR="00BF0A4A">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xml:space="preserve"> ust. </w:t>
      </w:r>
      <w:r w:rsidR="002E3A73">
        <w:rPr>
          <w:rFonts w:ascii="Times New Roman" w:eastAsia="Times New Roman" w:hAnsi="Times New Roman"/>
          <w:bCs/>
          <w:sz w:val="24"/>
          <w:szCs w:val="24"/>
          <w:lang w:eastAsia="pl-PL"/>
        </w:rPr>
        <w:t>5 wskaz</w:t>
      </w:r>
      <w:r>
        <w:rPr>
          <w:rFonts w:ascii="Times New Roman" w:eastAsia="Times New Roman" w:hAnsi="Times New Roman"/>
          <w:bCs/>
          <w:sz w:val="24"/>
          <w:szCs w:val="24"/>
          <w:lang w:eastAsia="pl-PL"/>
        </w:rPr>
        <w:t>ano</w:t>
      </w:r>
      <w:r w:rsidR="00A205ED">
        <w:rPr>
          <w:rFonts w:ascii="Times New Roman" w:eastAsia="Times New Roman" w:hAnsi="Times New Roman"/>
          <w:bCs/>
          <w:sz w:val="24"/>
          <w:szCs w:val="24"/>
          <w:lang w:eastAsia="pl-PL"/>
        </w:rPr>
        <w:t>,</w:t>
      </w:r>
      <w:r w:rsidR="002E3A73">
        <w:rPr>
          <w:rFonts w:ascii="Times New Roman" w:eastAsia="Times New Roman" w:hAnsi="Times New Roman"/>
          <w:bCs/>
          <w:sz w:val="24"/>
          <w:szCs w:val="24"/>
          <w:lang w:eastAsia="pl-PL"/>
        </w:rPr>
        <w:t xml:space="preserve"> ż</w:t>
      </w:r>
      <w:r>
        <w:rPr>
          <w:rFonts w:ascii="Times New Roman" w:eastAsia="Times New Roman" w:hAnsi="Times New Roman"/>
          <w:bCs/>
          <w:sz w:val="24"/>
          <w:szCs w:val="24"/>
          <w:lang w:eastAsia="pl-PL"/>
        </w:rPr>
        <w:t>e</w:t>
      </w:r>
      <w:r w:rsidR="002E3A73">
        <w:rPr>
          <w:rFonts w:ascii="Times New Roman" w:eastAsia="Times New Roman" w:hAnsi="Times New Roman"/>
          <w:bCs/>
          <w:sz w:val="24"/>
          <w:szCs w:val="24"/>
          <w:lang w:eastAsia="pl-PL"/>
        </w:rPr>
        <w:t xml:space="preserve"> przy projektowaniu </w:t>
      </w:r>
      <w:r>
        <w:rPr>
          <w:rFonts w:ascii="Times New Roman" w:eastAsia="Times New Roman" w:hAnsi="Times New Roman"/>
          <w:bCs/>
          <w:sz w:val="24"/>
          <w:szCs w:val="24"/>
          <w:lang w:eastAsia="pl-PL"/>
        </w:rPr>
        <w:t xml:space="preserve">i wykonywaniu </w:t>
      </w:r>
      <w:r w:rsidR="002E3A73">
        <w:rPr>
          <w:rFonts w:ascii="Times New Roman" w:eastAsia="Times New Roman" w:hAnsi="Times New Roman"/>
          <w:bCs/>
          <w:sz w:val="24"/>
          <w:szCs w:val="24"/>
          <w:lang w:eastAsia="pl-PL"/>
        </w:rPr>
        <w:t xml:space="preserve">punktów ładowania oraz niezbędnej </w:t>
      </w:r>
      <w:r w:rsidR="00F778CB">
        <w:rPr>
          <w:rFonts w:ascii="Times New Roman" w:eastAsia="Times New Roman" w:hAnsi="Times New Roman"/>
          <w:bCs/>
          <w:sz w:val="24"/>
          <w:szCs w:val="24"/>
          <w:lang w:eastAsia="pl-PL"/>
        </w:rPr>
        <w:t>infrastruktury</w:t>
      </w:r>
      <w:r w:rsidR="002E3A73">
        <w:rPr>
          <w:rFonts w:ascii="Times New Roman" w:eastAsia="Times New Roman" w:hAnsi="Times New Roman"/>
          <w:bCs/>
          <w:sz w:val="24"/>
          <w:szCs w:val="24"/>
          <w:lang w:eastAsia="pl-PL"/>
        </w:rPr>
        <w:t xml:space="preserve"> na potrzeby ładowania pojazdów elektrycznych na parkingach, niezbędna jest analiza wymagań technicznych w tym zakresie, scharakteryzowanych w art. 12</w:t>
      </w:r>
      <w:r w:rsidR="00A205ED">
        <w:rPr>
          <w:rFonts w:ascii="Times New Roman" w:eastAsia="Times New Roman" w:hAnsi="Times New Roman"/>
          <w:bCs/>
          <w:sz w:val="24"/>
          <w:szCs w:val="24"/>
          <w:lang w:eastAsia="pl-PL"/>
        </w:rPr>
        <w:t>a</w:t>
      </w:r>
      <w:r w:rsidR="002E3A73">
        <w:rPr>
          <w:rFonts w:ascii="Times New Roman" w:eastAsia="Times New Roman" w:hAnsi="Times New Roman"/>
          <w:bCs/>
          <w:sz w:val="24"/>
          <w:szCs w:val="24"/>
          <w:lang w:eastAsia="pl-PL"/>
        </w:rPr>
        <w:t xml:space="preserve"> ust</w:t>
      </w:r>
      <w:r w:rsidR="00F33FC9">
        <w:rPr>
          <w:rFonts w:ascii="Times New Roman" w:eastAsia="Times New Roman" w:hAnsi="Times New Roman"/>
          <w:bCs/>
          <w:sz w:val="24"/>
          <w:szCs w:val="24"/>
          <w:lang w:eastAsia="pl-PL"/>
        </w:rPr>
        <w:t>.</w:t>
      </w:r>
      <w:r w:rsidR="002E3A73">
        <w:rPr>
          <w:rFonts w:ascii="Times New Roman" w:eastAsia="Times New Roman" w:hAnsi="Times New Roman"/>
          <w:bCs/>
          <w:sz w:val="24"/>
          <w:szCs w:val="24"/>
          <w:lang w:eastAsia="pl-PL"/>
        </w:rPr>
        <w:t xml:space="preserve"> 7</w:t>
      </w:r>
      <w:r w:rsidR="00090EEA">
        <w:rPr>
          <w:rFonts w:ascii="Times New Roman" w:eastAsia="Times New Roman" w:hAnsi="Times New Roman"/>
          <w:bCs/>
          <w:sz w:val="24"/>
          <w:szCs w:val="24"/>
          <w:lang w:eastAsia="pl-PL"/>
        </w:rPr>
        <w:t>–</w:t>
      </w:r>
      <w:r w:rsidR="002E3A73">
        <w:rPr>
          <w:rFonts w:ascii="Times New Roman" w:eastAsia="Times New Roman" w:hAnsi="Times New Roman"/>
          <w:bCs/>
          <w:sz w:val="24"/>
          <w:szCs w:val="24"/>
          <w:lang w:eastAsia="pl-PL"/>
        </w:rPr>
        <w:t>9</w:t>
      </w:r>
      <w:r>
        <w:rPr>
          <w:rFonts w:ascii="Times New Roman" w:eastAsia="Times New Roman" w:hAnsi="Times New Roman"/>
          <w:bCs/>
          <w:sz w:val="24"/>
          <w:szCs w:val="24"/>
          <w:lang w:eastAsia="pl-PL"/>
        </w:rPr>
        <w:t xml:space="preserve"> oraz</w:t>
      </w:r>
      <w:r w:rsidR="00381240">
        <w:rPr>
          <w:rFonts w:ascii="Times New Roman" w:eastAsia="Times New Roman" w:hAnsi="Times New Roman"/>
          <w:bCs/>
          <w:sz w:val="24"/>
          <w:szCs w:val="24"/>
          <w:lang w:eastAsia="pl-PL"/>
        </w:rPr>
        <w:t xml:space="preserve"> że</w:t>
      </w:r>
      <w:r>
        <w:rPr>
          <w:rFonts w:ascii="Times New Roman" w:eastAsia="Times New Roman" w:hAnsi="Times New Roman"/>
          <w:bCs/>
          <w:sz w:val="24"/>
          <w:szCs w:val="24"/>
          <w:lang w:eastAsia="pl-PL"/>
        </w:rPr>
        <w:t xml:space="preserve"> należy wystąpić o zgodę konserwatora zabytków, w przypadku, o którym mowa w art. 12a ust. 10. </w:t>
      </w:r>
    </w:p>
    <w:p w14:paraId="51DC6D66" w14:textId="3139B0AF" w:rsidR="008863FD" w:rsidRPr="008863FD" w:rsidRDefault="008863FD" w:rsidP="008863FD">
      <w:pPr>
        <w:spacing w:after="120" w:line="360" w:lineRule="auto"/>
        <w:jc w:val="both"/>
        <w:rPr>
          <w:rFonts w:ascii="Times New Roman" w:eastAsia="Times New Roman" w:hAnsi="Times New Roman"/>
          <w:bCs/>
          <w:sz w:val="24"/>
          <w:szCs w:val="24"/>
          <w:lang w:eastAsia="pl-PL"/>
        </w:rPr>
      </w:pPr>
      <w:r w:rsidRPr="008863FD">
        <w:rPr>
          <w:rFonts w:ascii="Times New Roman" w:eastAsia="Times New Roman" w:hAnsi="Times New Roman"/>
          <w:bCs/>
          <w:sz w:val="24"/>
          <w:szCs w:val="24"/>
          <w:lang w:eastAsia="pl-PL"/>
        </w:rPr>
        <w:t xml:space="preserve">Projekt ustawy nie wymaga przedstawienia właściwym organom i instytucjom Unii Europejskiej, w tym Europejskiemu Bankowi Centralnemu, w celu uzyskania opinii, dokonania powiadomienia, konsultacji albo uzgodnienia, o którym mowa w § 27 ust. 4 uchwały nr 190 Rady Ministrów z dnia 29 października 2013 r. – Regulamin pracy Rady Ministrów (M.P. </w:t>
      </w:r>
      <w:r w:rsidR="00090EEA" w:rsidRPr="008863FD">
        <w:rPr>
          <w:rFonts w:ascii="Times New Roman" w:eastAsia="Times New Roman" w:hAnsi="Times New Roman"/>
          <w:bCs/>
          <w:sz w:val="24"/>
          <w:szCs w:val="24"/>
          <w:lang w:eastAsia="pl-PL"/>
        </w:rPr>
        <w:t>z</w:t>
      </w:r>
      <w:r w:rsidR="00090EEA">
        <w:rPr>
          <w:rFonts w:ascii="Times New Roman" w:eastAsia="Times New Roman" w:hAnsi="Times New Roman"/>
          <w:bCs/>
          <w:sz w:val="24"/>
          <w:szCs w:val="24"/>
          <w:lang w:eastAsia="pl-PL"/>
        </w:rPr>
        <w:t> </w:t>
      </w:r>
      <w:r w:rsidRPr="008863FD">
        <w:rPr>
          <w:rFonts w:ascii="Times New Roman" w:eastAsia="Times New Roman" w:hAnsi="Times New Roman"/>
          <w:bCs/>
          <w:sz w:val="24"/>
          <w:szCs w:val="24"/>
          <w:lang w:eastAsia="pl-PL"/>
        </w:rPr>
        <w:t>202</w:t>
      </w:r>
      <w:r w:rsidR="00DA54C7">
        <w:rPr>
          <w:rFonts w:ascii="Times New Roman" w:eastAsia="Times New Roman" w:hAnsi="Times New Roman"/>
          <w:bCs/>
          <w:sz w:val="24"/>
          <w:szCs w:val="24"/>
          <w:lang w:eastAsia="pl-PL"/>
        </w:rPr>
        <w:t>4</w:t>
      </w:r>
      <w:r w:rsidRPr="008863FD">
        <w:rPr>
          <w:rFonts w:ascii="Times New Roman" w:eastAsia="Times New Roman" w:hAnsi="Times New Roman"/>
          <w:bCs/>
          <w:sz w:val="24"/>
          <w:szCs w:val="24"/>
          <w:lang w:eastAsia="pl-PL"/>
        </w:rPr>
        <w:t xml:space="preserve"> r. poz. </w:t>
      </w:r>
      <w:r w:rsidR="00DA54C7">
        <w:rPr>
          <w:rFonts w:ascii="Times New Roman" w:eastAsia="Times New Roman" w:hAnsi="Times New Roman"/>
          <w:bCs/>
          <w:sz w:val="24"/>
          <w:szCs w:val="24"/>
          <w:lang w:eastAsia="pl-PL"/>
        </w:rPr>
        <w:t>806</w:t>
      </w:r>
      <w:r w:rsidRPr="008863FD">
        <w:rPr>
          <w:rFonts w:ascii="Times New Roman" w:eastAsia="Times New Roman" w:hAnsi="Times New Roman"/>
          <w:bCs/>
          <w:sz w:val="24"/>
          <w:szCs w:val="24"/>
          <w:lang w:eastAsia="pl-PL"/>
        </w:rPr>
        <w:t xml:space="preserve">). </w:t>
      </w:r>
    </w:p>
    <w:p w14:paraId="105DB621" w14:textId="77777777" w:rsidR="008863FD" w:rsidRPr="008863FD" w:rsidRDefault="008863FD" w:rsidP="008863FD">
      <w:pPr>
        <w:spacing w:after="120" w:line="360" w:lineRule="auto"/>
        <w:jc w:val="both"/>
        <w:rPr>
          <w:rFonts w:ascii="Times New Roman" w:eastAsia="Times New Roman" w:hAnsi="Times New Roman"/>
          <w:bCs/>
          <w:sz w:val="24"/>
          <w:szCs w:val="24"/>
          <w:lang w:eastAsia="pl-PL"/>
        </w:rPr>
      </w:pPr>
      <w:r w:rsidRPr="008863FD">
        <w:rPr>
          <w:rFonts w:ascii="Times New Roman" w:eastAsia="Times New Roman" w:hAnsi="Times New Roman"/>
          <w:bCs/>
          <w:sz w:val="24"/>
          <w:szCs w:val="24"/>
          <w:lang w:eastAsia="pl-PL"/>
        </w:rPr>
        <w:t xml:space="preserve">Przedmiot projektowanego rozporządzenia jest zgodny z prawem Unii Europejskiej. </w:t>
      </w:r>
    </w:p>
    <w:p w14:paraId="7620BBD1" w14:textId="2C568849" w:rsidR="008863FD" w:rsidRPr="008863FD" w:rsidRDefault="008863FD" w:rsidP="008863FD">
      <w:pPr>
        <w:spacing w:after="120" w:line="360" w:lineRule="auto"/>
        <w:jc w:val="both"/>
        <w:rPr>
          <w:rFonts w:ascii="Times New Roman" w:eastAsia="Times New Roman" w:hAnsi="Times New Roman"/>
          <w:bCs/>
          <w:sz w:val="24"/>
          <w:szCs w:val="24"/>
          <w:lang w:eastAsia="pl-PL"/>
        </w:rPr>
      </w:pPr>
      <w:r w:rsidRPr="008863FD">
        <w:rPr>
          <w:rFonts w:ascii="Times New Roman" w:eastAsia="Times New Roman" w:hAnsi="Times New Roman"/>
          <w:bCs/>
          <w:sz w:val="24"/>
          <w:szCs w:val="24"/>
          <w:lang w:eastAsia="pl-PL"/>
        </w:rPr>
        <w:t>Zgodnie z art. 5 ustawy z dnia 7 lipca 2005 r. o działalności lobbingowej w procesie stanowienia prawa (Dz. U. z 2017 r. poz. 248</w:t>
      </w:r>
      <w:r w:rsidR="0019343A">
        <w:rPr>
          <w:rFonts w:ascii="Times New Roman" w:eastAsia="Times New Roman" w:hAnsi="Times New Roman"/>
          <w:bCs/>
          <w:sz w:val="24"/>
          <w:szCs w:val="24"/>
          <w:lang w:eastAsia="pl-PL"/>
        </w:rPr>
        <w:t xml:space="preserve"> oraz z 2024 r. poz. 1535</w:t>
      </w:r>
      <w:r w:rsidRPr="008863FD">
        <w:rPr>
          <w:rFonts w:ascii="Times New Roman" w:eastAsia="Times New Roman" w:hAnsi="Times New Roman"/>
          <w:bCs/>
          <w:sz w:val="24"/>
          <w:szCs w:val="24"/>
          <w:lang w:eastAsia="pl-PL"/>
        </w:rPr>
        <w:t>) oraz § 52 uchwały Nr 190 Rady Ministrów z dnia 29 października 2013 r. – Regulamin pracy Rady Ministrów, projekt rozporządzenia zostanie udostępniony na stronie podmiotowej Rządowego Centrum Legislacji, w serwisie Rządowy Proces Legislacyjny.</w:t>
      </w:r>
    </w:p>
    <w:p w14:paraId="25D8B685" w14:textId="6CF341BD" w:rsidR="008863FD" w:rsidRDefault="008863FD" w:rsidP="008863FD">
      <w:pPr>
        <w:spacing w:after="120" w:line="360" w:lineRule="auto"/>
        <w:jc w:val="both"/>
        <w:rPr>
          <w:rFonts w:ascii="Times New Roman" w:eastAsia="Times New Roman" w:hAnsi="Times New Roman"/>
          <w:bCs/>
          <w:sz w:val="24"/>
          <w:szCs w:val="24"/>
          <w:lang w:eastAsia="pl-PL"/>
        </w:rPr>
      </w:pPr>
      <w:r w:rsidRPr="008863FD">
        <w:rPr>
          <w:rFonts w:ascii="Times New Roman" w:eastAsia="Times New Roman" w:hAnsi="Times New Roman"/>
          <w:bCs/>
          <w:sz w:val="24"/>
          <w:szCs w:val="24"/>
          <w:lang w:eastAsia="pl-PL"/>
        </w:rPr>
        <w:t>Wejście w życie projektowane</w:t>
      </w:r>
      <w:r w:rsidR="00537F1B">
        <w:rPr>
          <w:rFonts w:ascii="Times New Roman" w:eastAsia="Times New Roman" w:hAnsi="Times New Roman"/>
          <w:bCs/>
          <w:sz w:val="24"/>
          <w:szCs w:val="24"/>
          <w:lang w:eastAsia="pl-PL"/>
        </w:rPr>
        <w:t>j</w:t>
      </w:r>
      <w:r w:rsidRPr="008863FD">
        <w:rPr>
          <w:rFonts w:ascii="Times New Roman" w:eastAsia="Times New Roman" w:hAnsi="Times New Roman"/>
          <w:bCs/>
          <w:sz w:val="24"/>
          <w:szCs w:val="24"/>
          <w:lang w:eastAsia="pl-PL"/>
        </w:rPr>
        <w:t xml:space="preserve"> ustawy będzie miało wpływ na działalność mikroprzedsiębiorców, małych i średnich przedsiębiorców. Przepisy epizodyczne ustawy </w:t>
      </w:r>
      <w:r w:rsidR="00090EEA" w:rsidRPr="008863FD">
        <w:rPr>
          <w:rFonts w:ascii="Times New Roman" w:eastAsia="Times New Roman" w:hAnsi="Times New Roman"/>
          <w:bCs/>
          <w:sz w:val="24"/>
          <w:szCs w:val="24"/>
          <w:lang w:eastAsia="pl-PL"/>
        </w:rPr>
        <w:t>w</w:t>
      </w:r>
      <w:r w:rsidR="00090EEA">
        <w:rPr>
          <w:rFonts w:ascii="Times New Roman" w:eastAsia="Times New Roman" w:hAnsi="Times New Roman"/>
          <w:bCs/>
          <w:sz w:val="24"/>
          <w:szCs w:val="24"/>
          <w:lang w:eastAsia="pl-PL"/>
        </w:rPr>
        <w:t> </w:t>
      </w:r>
      <w:r w:rsidRPr="008863FD">
        <w:rPr>
          <w:rFonts w:ascii="Times New Roman" w:eastAsia="Times New Roman" w:hAnsi="Times New Roman"/>
          <w:bCs/>
          <w:sz w:val="24"/>
          <w:szCs w:val="24"/>
          <w:lang w:eastAsia="pl-PL"/>
        </w:rPr>
        <w:t xml:space="preserve">zakresie implementacji dyrektywy 2024/1275 wskazują na konieczność zapewnienia </w:t>
      </w:r>
      <w:r w:rsidR="00090EEA" w:rsidRPr="008863FD">
        <w:rPr>
          <w:rFonts w:ascii="Times New Roman" w:eastAsia="Times New Roman" w:hAnsi="Times New Roman"/>
          <w:bCs/>
          <w:sz w:val="24"/>
          <w:szCs w:val="24"/>
          <w:lang w:eastAsia="pl-PL"/>
        </w:rPr>
        <w:t>w</w:t>
      </w:r>
      <w:r w:rsidR="00090EEA">
        <w:rPr>
          <w:rFonts w:ascii="Times New Roman" w:eastAsia="Times New Roman" w:hAnsi="Times New Roman"/>
          <w:bCs/>
          <w:sz w:val="24"/>
          <w:szCs w:val="24"/>
          <w:lang w:eastAsia="pl-PL"/>
        </w:rPr>
        <w:t> </w:t>
      </w:r>
      <w:r w:rsidRPr="008863FD">
        <w:rPr>
          <w:rFonts w:ascii="Times New Roman" w:eastAsia="Times New Roman" w:hAnsi="Times New Roman"/>
          <w:bCs/>
          <w:sz w:val="24"/>
          <w:szCs w:val="24"/>
          <w:lang w:eastAsia="pl-PL"/>
        </w:rPr>
        <w:t xml:space="preserve">budynkach niemieszkalnych do 1 stycznia 2027 r. niezbędnej </w:t>
      </w:r>
      <w:r w:rsidR="00090EEA">
        <w:rPr>
          <w:rFonts w:ascii="Times New Roman" w:eastAsia="Times New Roman" w:hAnsi="Times New Roman"/>
          <w:bCs/>
          <w:sz w:val="24"/>
          <w:szCs w:val="24"/>
          <w:lang w:eastAsia="pl-PL"/>
        </w:rPr>
        <w:t>liczby</w:t>
      </w:r>
      <w:r w:rsidRPr="008863FD">
        <w:rPr>
          <w:rFonts w:ascii="Times New Roman" w:eastAsia="Times New Roman" w:hAnsi="Times New Roman"/>
          <w:bCs/>
          <w:sz w:val="24"/>
          <w:szCs w:val="24"/>
          <w:lang w:eastAsia="pl-PL"/>
        </w:rPr>
        <w:t xml:space="preserve"> punktów ładowania, okablowania stanowisk postojowych, a także odpowiedniej</w:t>
      </w:r>
      <w:r w:rsidR="00090EEA">
        <w:rPr>
          <w:rFonts w:ascii="Times New Roman" w:eastAsia="Times New Roman" w:hAnsi="Times New Roman"/>
          <w:bCs/>
          <w:sz w:val="24"/>
          <w:szCs w:val="24"/>
          <w:lang w:eastAsia="pl-PL"/>
        </w:rPr>
        <w:t xml:space="preserve"> liczby</w:t>
      </w:r>
      <w:r w:rsidRPr="008863FD">
        <w:rPr>
          <w:rFonts w:ascii="Times New Roman" w:eastAsia="Times New Roman" w:hAnsi="Times New Roman"/>
          <w:bCs/>
          <w:sz w:val="24"/>
          <w:szCs w:val="24"/>
          <w:lang w:eastAsia="pl-PL"/>
        </w:rPr>
        <w:t xml:space="preserve"> miejsc parkingowych dla rowerów.</w:t>
      </w:r>
    </w:p>
    <w:sectPr w:rsidR="008863FD" w:rsidSect="005D71FD">
      <w:footerReference w:type="defaul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3ACF4" w14:textId="77777777" w:rsidR="004E7745" w:rsidRDefault="004E7745" w:rsidP="00E92F34">
      <w:pPr>
        <w:spacing w:after="0" w:line="240" w:lineRule="auto"/>
      </w:pPr>
      <w:r>
        <w:separator/>
      </w:r>
    </w:p>
  </w:endnote>
  <w:endnote w:type="continuationSeparator" w:id="0">
    <w:p w14:paraId="42CC2C9E" w14:textId="77777777" w:rsidR="004E7745" w:rsidRDefault="004E7745" w:rsidP="00E9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52605" w14:textId="77777777" w:rsidR="00857460" w:rsidRDefault="005A30AE">
    <w:pPr>
      <w:pStyle w:val="Stopka"/>
      <w:jc w:val="right"/>
    </w:pPr>
    <w:r>
      <w:fldChar w:fldCharType="begin"/>
    </w:r>
    <w:r>
      <w:instrText xml:space="preserve"> PAGE   \* MERGEFORMAT </w:instrText>
    </w:r>
    <w:r>
      <w:fldChar w:fldCharType="separate"/>
    </w:r>
    <w:r w:rsidR="00612A5B">
      <w:rPr>
        <w:noProof/>
      </w:rPr>
      <w:t>2</w:t>
    </w:r>
    <w:r>
      <w:rPr>
        <w:noProof/>
      </w:rPr>
      <w:fldChar w:fldCharType="end"/>
    </w:r>
  </w:p>
  <w:p w14:paraId="54208F37" w14:textId="77777777" w:rsidR="00857460" w:rsidRDefault="0085746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F5E0C" w14:textId="77777777" w:rsidR="00857460" w:rsidRDefault="005A30AE">
    <w:pPr>
      <w:pStyle w:val="Stopka"/>
      <w:jc w:val="right"/>
    </w:pPr>
    <w:r>
      <w:fldChar w:fldCharType="begin"/>
    </w:r>
    <w:r>
      <w:instrText xml:space="preserve"> PAGE   \* MERGEFORMAT </w:instrText>
    </w:r>
    <w:r>
      <w:fldChar w:fldCharType="separate"/>
    </w:r>
    <w:r w:rsidR="00612A5B">
      <w:rPr>
        <w:noProof/>
      </w:rPr>
      <w:t>1</w:t>
    </w:r>
    <w:r>
      <w:rPr>
        <w:noProof/>
      </w:rPr>
      <w:fldChar w:fldCharType="end"/>
    </w:r>
  </w:p>
  <w:p w14:paraId="68A7ECF1" w14:textId="77777777" w:rsidR="00857460" w:rsidRDefault="008574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DCA2B" w14:textId="77777777" w:rsidR="004E7745" w:rsidRDefault="004E7745" w:rsidP="00E92F34">
      <w:pPr>
        <w:spacing w:after="0" w:line="240" w:lineRule="auto"/>
      </w:pPr>
      <w:r>
        <w:separator/>
      </w:r>
    </w:p>
  </w:footnote>
  <w:footnote w:type="continuationSeparator" w:id="0">
    <w:p w14:paraId="13E7F1F8" w14:textId="77777777" w:rsidR="004E7745" w:rsidRDefault="004E7745" w:rsidP="00E92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A28B4"/>
    <w:multiLevelType w:val="hybridMultilevel"/>
    <w:tmpl w:val="E52EC338"/>
    <w:lvl w:ilvl="0" w:tplc="04150017">
      <w:start w:val="1"/>
      <w:numFmt w:val="lowerLetter"/>
      <w:lvlText w:val="%1)"/>
      <w:lvlJc w:val="left"/>
      <w:pPr>
        <w:ind w:left="1272" w:hanging="360"/>
      </w:pPr>
    </w:lvl>
    <w:lvl w:ilvl="1" w:tplc="04150019" w:tentative="1">
      <w:start w:val="1"/>
      <w:numFmt w:val="lowerLetter"/>
      <w:lvlText w:val="%2."/>
      <w:lvlJc w:val="left"/>
      <w:pPr>
        <w:ind w:left="1992" w:hanging="360"/>
      </w:pPr>
    </w:lvl>
    <w:lvl w:ilvl="2" w:tplc="0415001B" w:tentative="1">
      <w:start w:val="1"/>
      <w:numFmt w:val="lowerRoman"/>
      <w:lvlText w:val="%3."/>
      <w:lvlJc w:val="right"/>
      <w:pPr>
        <w:ind w:left="2712" w:hanging="180"/>
      </w:pPr>
    </w:lvl>
    <w:lvl w:ilvl="3" w:tplc="0415000F" w:tentative="1">
      <w:start w:val="1"/>
      <w:numFmt w:val="decimal"/>
      <w:lvlText w:val="%4."/>
      <w:lvlJc w:val="left"/>
      <w:pPr>
        <w:ind w:left="3432" w:hanging="360"/>
      </w:pPr>
    </w:lvl>
    <w:lvl w:ilvl="4" w:tplc="04150019" w:tentative="1">
      <w:start w:val="1"/>
      <w:numFmt w:val="lowerLetter"/>
      <w:lvlText w:val="%5."/>
      <w:lvlJc w:val="left"/>
      <w:pPr>
        <w:ind w:left="4152" w:hanging="360"/>
      </w:pPr>
    </w:lvl>
    <w:lvl w:ilvl="5" w:tplc="0415001B" w:tentative="1">
      <w:start w:val="1"/>
      <w:numFmt w:val="lowerRoman"/>
      <w:lvlText w:val="%6."/>
      <w:lvlJc w:val="right"/>
      <w:pPr>
        <w:ind w:left="4872" w:hanging="180"/>
      </w:pPr>
    </w:lvl>
    <w:lvl w:ilvl="6" w:tplc="0415000F" w:tentative="1">
      <w:start w:val="1"/>
      <w:numFmt w:val="decimal"/>
      <w:lvlText w:val="%7."/>
      <w:lvlJc w:val="left"/>
      <w:pPr>
        <w:ind w:left="5592" w:hanging="360"/>
      </w:pPr>
    </w:lvl>
    <w:lvl w:ilvl="7" w:tplc="04150019" w:tentative="1">
      <w:start w:val="1"/>
      <w:numFmt w:val="lowerLetter"/>
      <w:lvlText w:val="%8."/>
      <w:lvlJc w:val="left"/>
      <w:pPr>
        <w:ind w:left="6312" w:hanging="360"/>
      </w:pPr>
    </w:lvl>
    <w:lvl w:ilvl="8" w:tplc="0415001B" w:tentative="1">
      <w:start w:val="1"/>
      <w:numFmt w:val="lowerRoman"/>
      <w:lvlText w:val="%9."/>
      <w:lvlJc w:val="right"/>
      <w:pPr>
        <w:ind w:left="7032" w:hanging="180"/>
      </w:pPr>
    </w:lvl>
  </w:abstractNum>
  <w:abstractNum w:abstractNumId="1" w15:restartNumberingAfterBreak="0">
    <w:nsid w:val="152D1941"/>
    <w:multiLevelType w:val="hybridMultilevel"/>
    <w:tmpl w:val="1DAA71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507867"/>
    <w:multiLevelType w:val="hybridMultilevel"/>
    <w:tmpl w:val="A4F6E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D97769"/>
    <w:multiLevelType w:val="hybridMultilevel"/>
    <w:tmpl w:val="AC164268"/>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DA1379"/>
    <w:multiLevelType w:val="hybridMultilevel"/>
    <w:tmpl w:val="6744247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5" w15:restartNumberingAfterBreak="0">
    <w:nsid w:val="54C13782"/>
    <w:multiLevelType w:val="hybridMultilevel"/>
    <w:tmpl w:val="20B8AD36"/>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5C7A08"/>
    <w:multiLevelType w:val="hybridMultilevel"/>
    <w:tmpl w:val="A3F43E98"/>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7" w15:restartNumberingAfterBreak="0">
    <w:nsid w:val="5AB4044A"/>
    <w:multiLevelType w:val="hybridMultilevel"/>
    <w:tmpl w:val="9104AEF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AB634B6"/>
    <w:multiLevelType w:val="hybridMultilevel"/>
    <w:tmpl w:val="0134A1A2"/>
    <w:lvl w:ilvl="0" w:tplc="66403BF2">
      <w:start w:val="1"/>
      <w:numFmt w:val="decimal"/>
      <w:lvlText w:val="%1)"/>
      <w:lvlJc w:val="left"/>
      <w:pPr>
        <w:ind w:left="770" w:hanging="360"/>
      </w:pPr>
      <w:rPr>
        <w:rFonts w:ascii="Times New Roman" w:hAnsi="Times New Roman" w:cs="Times New Roman" w:hint="default"/>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9" w15:restartNumberingAfterBreak="0">
    <w:nsid w:val="7E555374"/>
    <w:multiLevelType w:val="hybridMultilevel"/>
    <w:tmpl w:val="F1D61E64"/>
    <w:lvl w:ilvl="0" w:tplc="0415000F">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700327254">
    <w:abstractNumId w:val="8"/>
  </w:num>
  <w:num w:numId="2" w16cid:durableId="72971486">
    <w:abstractNumId w:val="0"/>
  </w:num>
  <w:num w:numId="3" w16cid:durableId="1358460752">
    <w:abstractNumId w:val="6"/>
  </w:num>
  <w:num w:numId="4" w16cid:durableId="1886678073">
    <w:abstractNumId w:val="2"/>
  </w:num>
  <w:num w:numId="5" w16cid:durableId="221908291">
    <w:abstractNumId w:val="9"/>
  </w:num>
  <w:num w:numId="6" w16cid:durableId="1579946580">
    <w:abstractNumId w:val="1"/>
  </w:num>
  <w:num w:numId="7" w16cid:durableId="2017414412">
    <w:abstractNumId w:val="7"/>
  </w:num>
  <w:num w:numId="8" w16cid:durableId="1698656854">
    <w:abstractNumId w:val="5"/>
  </w:num>
  <w:num w:numId="9" w16cid:durableId="687100087">
    <w:abstractNumId w:val="4"/>
  </w:num>
  <w:num w:numId="10" w16cid:durableId="474182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F34"/>
    <w:rsid w:val="00000FC9"/>
    <w:rsid w:val="0000128A"/>
    <w:rsid w:val="00005525"/>
    <w:rsid w:val="0001003A"/>
    <w:rsid w:val="00011998"/>
    <w:rsid w:val="00014EE6"/>
    <w:rsid w:val="00015902"/>
    <w:rsid w:val="000162BA"/>
    <w:rsid w:val="00020315"/>
    <w:rsid w:val="000253A1"/>
    <w:rsid w:val="00025538"/>
    <w:rsid w:val="000269A6"/>
    <w:rsid w:val="00033F6A"/>
    <w:rsid w:val="00044D15"/>
    <w:rsid w:val="00053490"/>
    <w:rsid w:val="000601B2"/>
    <w:rsid w:val="00060CB7"/>
    <w:rsid w:val="000667E3"/>
    <w:rsid w:val="00076C54"/>
    <w:rsid w:val="00077388"/>
    <w:rsid w:val="0008409D"/>
    <w:rsid w:val="00087717"/>
    <w:rsid w:val="00090399"/>
    <w:rsid w:val="00090EEA"/>
    <w:rsid w:val="000A1DBC"/>
    <w:rsid w:val="000A3356"/>
    <w:rsid w:val="000A495E"/>
    <w:rsid w:val="000A51FB"/>
    <w:rsid w:val="000A6139"/>
    <w:rsid w:val="000A746C"/>
    <w:rsid w:val="000A7AEB"/>
    <w:rsid w:val="000B07FC"/>
    <w:rsid w:val="000B2530"/>
    <w:rsid w:val="000B37A6"/>
    <w:rsid w:val="000B7462"/>
    <w:rsid w:val="000C0D5C"/>
    <w:rsid w:val="000C183B"/>
    <w:rsid w:val="000C25C1"/>
    <w:rsid w:val="000D7AF2"/>
    <w:rsid w:val="000E797F"/>
    <w:rsid w:val="000F2FBD"/>
    <w:rsid w:val="000F3B8B"/>
    <w:rsid w:val="000F4B12"/>
    <w:rsid w:val="00105828"/>
    <w:rsid w:val="00107C26"/>
    <w:rsid w:val="0011359B"/>
    <w:rsid w:val="00132746"/>
    <w:rsid w:val="001327B6"/>
    <w:rsid w:val="00145BFE"/>
    <w:rsid w:val="00153B9A"/>
    <w:rsid w:val="00153C2F"/>
    <w:rsid w:val="00160853"/>
    <w:rsid w:val="001623EB"/>
    <w:rsid w:val="00174795"/>
    <w:rsid w:val="00174C48"/>
    <w:rsid w:val="001828DB"/>
    <w:rsid w:val="00185994"/>
    <w:rsid w:val="0019343A"/>
    <w:rsid w:val="0019401E"/>
    <w:rsid w:val="001946F2"/>
    <w:rsid w:val="001950FE"/>
    <w:rsid w:val="001A62BB"/>
    <w:rsid w:val="001B0A88"/>
    <w:rsid w:val="001B1BB6"/>
    <w:rsid w:val="001B6C6C"/>
    <w:rsid w:val="001C4165"/>
    <w:rsid w:val="001D24A5"/>
    <w:rsid w:val="00205E7C"/>
    <w:rsid w:val="00211BFF"/>
    <w:rsid w:val="00213D92"/>
    <w:rsid w:val="00216947"/>
    <w:rsid w:val="0021784C"/>
    <w:rsid w:val="00220876"/>
    <w:rsid w:val="002230D2"/>
    <w:rsid w:val="0022405F"/>
    <w:rsid w:val="0022538F"/>
    <w:rsid w:val="00247915"/>
    <w:rsid w:val="002534E4"/>
    <w:rsid w:val="002575DD"/>
    <w:rsid w:val="00271BCB"/>
    <w:rsid w:val="00272858"/>
    <w:rsid w:val="0028022D"/>
    <w:rsid w:val="00291503"/>
    <w:rsid w:val="00291A2C"/>
    <w:rsid w:val="0029413F"/>
    <w:rsid w:val="0029536C"/>
    <w:rsid w:val="00296AB6"/>
    <w:rsid w:val="002B0BB9"/>
    <w:rsid w:val="002E338D"/>
    <w:rsid w:val="002E3A73"/>
    <w:rsid w:val="00301EEE"/>
    <w:rsid w:val="00312136"/>
    <w:rsid w:val="00314210"/>
    <w:rsid w:val="0033010A"/>
    <w:rsid w:val="003304F0"/>
    <w:rsid w:val="0033163F"/>
    <w:rsid w:val="00333E24"/>
    <w:rsid w:val="0033523C"/>
    <w:rsid w:val="00336A87"/>
    <w:rsid w:val="00337099"/>
    <w:rsid w:val="003370BE"/>
    <w:rsid w:val="00353534"/>
    <w:rsid w:val="003537E4"/>
    <w:rsid w:val="003606BC"/>
    <w:rsid w:val="00367F82"/>
    <w:rsid w:val="00372586"/>
    <w:rsid w:val="00377ADC"/>
    <w:rsid w:val="00380FC1"/>
    <w:rsid w:val="00381240"/>
    <w:rsid w:val="0038418B"/>
    <w:rsid w:val="00397F81"/>
    <w:rsid w:val="003B7AE1"/>
    <w:rsid w:val="003C4D1B"/>
    <w:rsid w:val="003D6DCD"/>
    <w:rsid w:val="003D73B5"/>
    <w:rsid w:val="003E648D"/>
    <w:rsid w:val="003F6A26"/>
    <w:rsid w:val="004224C0"/>
    <w:rsid w:val="00431C1D"/>
    <w:rsid w:val="00431C36"/>
    <w:rsid w:val="00433394"/>
    <w:rsid w:val="004340DD"/>
    <w:rsid w:val="0044067A"/>
    <w:rsid w:val="00446BA8"/>
    <w:rsid w:val="00464372"/>
    <w:rsid w:val="004663AC"/>
    <w:rsid w:val="00475E8A"/>
    <w:rsid w:val="004766EC"/>
    <w:rsid w:val="004867C6"/>
    <w:rsid w:val="0049364F"/>
    <w:rsid w:val="004A0D7D"/>
    <w:rsid w:val="004B55E1"/>
    <w:rsid w:val="004C0BD0"/>
    <w:rsid w:val="004E67BF"/>
    <w:rsid w:val="004E7745"/>
    <w:rsid w:val="00500886"/>
    <w:rsid w:val="005027DB"/>
    <w:rsid w:val="0050738C"/>
    <w:rsid w:val="00524747"/>
    <w:rsid w:val="00526543"/>
    <w:rsid w:val="00527A8B"/>
    <w:rsid w:val="00531FC2"/>
    <w:rsid w:val="00535765"/>
    <w:rsid w:val="00536427"/>
    <w:rsid w:val="00537F1B"/>
    <w:rsid w:val="005479D3"/>
    <w:rsid w:val="00554E06"/>
    <w:rsid w:val="0057020E"/>
    <w:rsid w:val="005748EC"/>
    <w:rsid w:val="005819FE"/>
    <w:rsid w:val="00585C94"/>
    <w:rsid w:val="00587F53"/>
    <w:rsid w:val="005934C3"/>
    <w:rsid w:val="00596282"/>
    <w:rsid w:val="005A2E79"/>
    <w:rsid w:val="005A30AE"/>
    <w:rsid w:val="005A476C"/>
    <w:rsid w:val="005B44B0"/>
    <w:rsid w:val="005B49AD"/>
    <w:rsid w:val="005B69FB"/>
    <w:rsid w:val="005C25D8"/>
    <w:rsid w:val="005C3DBA"/>
    <w:rsid w:val="005C7ACB"/>
    <w:rsid w:val="005F0ADB"/>
    <w:rsid w:val="005F2798"/>
    <w:rsid w:val="005F4F96"/>
    <w:rsid w:val="005F7D0B"/>
    <w:rsid w:val="006002AC"/>
    <w:rsid w:val="00602251"/>
    <w:rsid w:val="00602A22"/>
    <w:rsid w:val="00610562"/>
    <w:rsid w:val="00612A5B"/>
    <w:rsid w:val="00614320"/>
    <w:rsid w:val="00631946"/>
    <w:rsid w:val="00636938"/>
    <w:rsid w:val="006414C3"/>
    <w:rsid w:val="00645B7A"/>
    <w:rsid w:val="00646027"/>
    <w:rsid w:val="00646613"/>
    <w:rsid w:val="006506F2"/>
    <w:rsid w:val="00661C9D"/>
    <w:rsid w:val="0066380D"/>
    <w:rsid w:val="00667878"/>
    <w:rsid w:val="006720D3"/>
    <w:rsid w:val="00673C7D"/>
    <w:rsid w:val="00674AE8"/>
    <w:rsid w:val="00686E7A"/>
    <w:rsid w:val="00687FDF"/>
    <w:rsid w:val="006A22BF"/>
    <w:rsid w:val="006A60CC"/>
    <w:rsid w:val="006B2895"/>
    <w:rsid w:val="006B33B7"/>
    <w:rsid w:val="006B70D7"/>
    <w:rsid w:val="006C32AD"/>
    <w:rsid w:val="006C65A8"/>
    <w:rsid w:val="006D6122"/>
    <w:rsid w:val="006D6489"/>
    <w:rsid w:val="006F0F81"/>
    <w:rsid w:val="006F66F6"/>
    <w:rsid w:val="006F6E18"/>
    <w:rsid w:val="0070541A"/>
    <w:rsid w:val="00713417"/>
    <w:rsid w:val="00714615"/>
    <w:rsid w:val="00724BDE"/>
    <w:rsid w:val="0072615F"/>
    <w:rsid w:val="00741BE1"/>
    <w:rsid w:val="007444B5"/>
    <w:rsid w:val="00752C11"/>
    <w:rsid w:val="00753981"/>
    <w:rsid w:val="0076121A"/>
    <w:rsid w:val="0076187E"/>
    <w:rsid w:val="007636AB"/>
    <w:rsid w:val="0076547B"/>
    <w:rsid w:val="007670C4"/>
    <w:rsid w:val="00767F0E"/>
    <w:rsid w:val="00787461"/>
    <w:rsid w:val="00791A07"/>
    <w:rsid w:val="00793ACB"/>
    <w:rsid w:val="007B1D1B"/>
    <w:rsid w:val="007C0F52"/>
    <w:rsid w:val="007C33B8"/>
    <w:rsid w:val="007D6E95"/>
    <w:rsid w:val="007D7B7E"/>
    <w:rsid w:val="007E3087"/>
    <w:rsid w:val="007E4D59"/>
    <w:rsid w:val="007E7670"/>
    <w:rsid w:val="007F582F"/>
    <w:rsid w:val="007F5BD5"/>
    <w:rsid w:val="007F6151"/>
    <w:rsid w:val="008044E1"/>
    <w:rsid w:val="00805286"/>
    <w:rsid w:val="00806DA6"/>
    <w:rsid w:val="008113C6"/>
    <w:rsid w:val="0082124F"/>
    <w:rsid w:val="0082296C"/>
    <w:rsid w:val="0082303E"/>
    <w:rsid w:val="00834FC8"/>
    <w:rsid w:val="00835056"/>
    <w:rsid w:val="00836141"/>
    <w:rsid w:val="008403EB"/>
    <w:rsid w:val="008443CF"/>
    <w:rsid w:val="00857460"/>
    <w:rsid w:val="008610AE"/>
    <w:rsid w:val="00861C33"/>
    <w:rsid w:val="00862FB9"/>
    <w:rsid w:val="008716A7"/>
    <w:rsid w:val="0087302E"/>
    <w:rsid w:val="00874600"/>
    <w:rsid w:val="00885B98"/>
    <w:rsid w:val="008863FD"/>
    <w:rsid w:val="00893DEB"/>
    <w:rsid w:val="008A27A9"/>
    <w:rsid w:val="008B2D92"/>
    <w:rsid w:val="008E1167"/>
    <w:rsid w:val="008E7042"/>
    <w:rsid w:val="008F0533"/>
    <w:rsid w:val="008F2868"/>
    <w:rsid w:val="008F44E6"/>
    <w:rsid w:val="008F7BCD"/>
    <w:rsid w:val="00902781"/>
    <w:rsid w:val="009176DA"/>
    <w:rsid w:val="00941504"/>
    <w:rsid w:val="00942373"/>
    <w:rsid w:val="00957BB3"/>
    <w:rsid w:val="00966596"/>
    <w:rsid w:val="00975E49"/>
    <w:rsid w:val="00977205"/>
    <w:rsid w:val="009907BA"/>
    <w:rsid w:val="009A55C4"/>
    <w:rsid w:val="009B0051"/>
    <w:rsid w:val="009B76EC"/>
    <w:rsid w:val="009C0F9E"/>
    <w:rsid w:val="009C725D"/>
    <w:rsid w:val="009D1137"/>
    <w:rsid w:val="009D2558"/>
    <w:rsid w:val="009E0193"/>
    <w:rsid w:val="009F368E"/>
    <w:rsid w:val="009F4491"/>
    <w:rsid w:val="00A00610"/>
    <w:rsid w:val="00A065A3"/>
    <w:rsid w:val="00A07F9A"/>
    <w:rsid w:val="00A129E3"/>
    <w:rsid w:val="00A14D75"/>
    <w:rsid w:val="00A162B5"/>
    <w:rsid w:val="00A16496"/>
    <w:rsid w:val="00A20425"/>
    <w:rsid w:val="00A205ED"/>
    <w:rsid w:val="00A212BB"/>
    <w:rsid w:val="00A24836"/>
    <w:rsid w:val="00A4292D"/>
    <w:rsid w:val="00A433C0"/>
    <w:rsid w:val="00A47B1A"/>
    <w:rsid w:val="00A5339F"/>
    <w:rsid w:val="00A536C0"/>
    <w:rsid w:val="00A70AF8"/>
    <w:rsid w:val="00A80A28"/>
    <w:rsid w:val="00A91741"/>
    <w:rsid w:val="00A92468"/>
    <w:rsid w:val="00A95CA2"/>
    <w:rsid w:val="00AA1D57"/>
    <w:rsid w:val="00AB4BB9"/>
    <w:rsid w:val="00AB6AA6"/>
    <w:rsid w:val="00AB6E80"/>
    <w:rsid w:val="00AB768F"/>
    <w:rsid w:val="00AD0B5D"/>
    <w:rsid w:val="00AD27E1"/>
    <w:rsid w:val="00AD3825"/>
    <w:rsid w:val="00AD3E64"/>
    <w:rsid w:val="00AD72D4"/>
    <w:rsid w:val="00AE5E1C"/>
    <w:rsid w:val="00AE683F"/>
    <w:rsid w:val="00AE6B24"/>
    <w:rsid w:val="00AE77BB"/>
    <w:rsid w:val="00B06121"/>
    <w:rsid w:val="00B073B1"/>
    <w:rsid w:val="00B17BE6"/>
    <w:rsid w:val="00B22001"/>
    <w:rsid w:val="00B268B8"/>
    <w:rsid w:val="00B3204D"/>
    <w:rsid w:val="00B3232A"/>
    <w:rsid w:val="00B41381"/>
    <w:rsid w:val="00B4200C"/>
    <w:rsid w:val="00B44C6B"/>
    <w:rsid w:val="00B5420F"/>
    <w:rsid w:val="00B54570"/>
    <w:rsid w:val="00B55089"/>
    <w:rsid w:val="00B64D3B"/>
    <w:rsid w:val="00B75C89"/>
    <w:rsid w:val="00B763E0"/>
    <w:rsid w:val="00B808C5"/>
    <w:rsid w:val="00B82919"/>
    <w:rsid w:val="00B8382A"/>
    <w:rsid w:val="00B83C6C"/>
    <w:rsid w:val="00B90A15"/>
    <w:rsid w:val="00B91423"/>
    <w:rsid w:val="00B97FA8"/>
    <w:rsid w:val="00BA42F4"/>
    <w:rsid w:val="00BB5CBC"/>
    <w:rsid w:val="00BC5CF6"/>
    <w:rsid w:val="00BD2E89"/>
    <w:rsid w:val="00BD6A4C"/>
    <w:rsid w:val="00BE29E2"/>
    <w:rsid w:val="00BF0A4A"/>
    <w:rsid w:val="00BF4305"/>
    <w:rsid w:val="00C12A90"/>
    <w:rsid w:val="00C13DF4"/>
    <w:rsid w:val="00C24D14"/>
    <w:rsid w:val="00C27EE6"/>
    <w:rsid w:val="00C32C35"/>
    <w:rsid w:val="00C370D6"/>
    <w:rsid w:val="00C41327"/>
    <w:rsid w:val="00C41D45"/>
    <w:rsid w:val="00C42B00"/>
    <w:rsid w:val="00C51CAF"/>
    <w:rsid w:val="00C6788D"/>
    <w:rsid w:val="00C73A30"/>
    <w:rsid w:val="00C76622"/>
    <w:rsid w:val="00C81626"/>
    <w:rsid w:val="00C8580C"/>
    <w:rsid w:val="00C91973"/>
    <w:rsid w:val="00C91A18"/>
    <w:rsid w:val="00C9215D"/>
    <w:rsid w:val="00C94A28"/>
    <w:rsid w:val="00CB53DF"/>
    <w:rsid w:val="00CB6C50"/>
    <w:rsid w:val="00CF5813"/>
    <w:rsid w:val="00D04A10"/>
    <w:rsid w:val="00D154D4"/>
    <w:rsid w:val="00D166F9"/>
    <w:rsid w:val="00D20D12"/>
    <w:rsid w:val="00D21D41"/>
    <w:rsid w:val="00D22ABF"/>
    <w:rsid w:val="00D318F8"/>
    <w:rsid w:val="00D3447C"/>
    <w:rsid w:val="00D3467A"/>
    <w:rsid w:val="00D34D74"/>
    <w:rsid w:val="00D41AEA"/>
    <w:rsid w:val="00D5086B"/>
    <w:rsid w:val="00D512DC"/>
    <w:rsid w:val="00D51D88"/>
    <w:rsid w:val="00D6013D"/>
    <w:rsid w:val="00D60D7F"/>
    <w:rsid w:val="00D62CBA"/>
    <w:rsid w:val="00D6335A"/>
    <w:rsid w:val="00D827B6"/>
    <w:rsid w:val="00D92A7E"/>
    <w:rsid w:val="00D950DD"/>
    <w:rsid w:val="00DA083D"/>
    <w:rsid w:val="00DA0A39"/>
    <w:rsid w:val="00DA4285"/>
    <w:rsid w:val="00DA54C7"/>
    <w:rsid w:val="00DB1A97"/>
    <w:rsid w:val="00DB5057"/>
    <w:rsid w:val="00DB6624"/>
    <w:rsid w:val="00DB7D6B"/>
    <w:rsid w:val="00DC1341"/>
    <w:rsid w:val="00DC2125"/>
    <w:rsid w:val="00DC2D17"/>
    <w:rsid w:val="00DD06DD"/>
    <w:rsid w:val="00DD423A"/>
    <w:rsid w:val="00DD5F54"/>
    <w:rsid w:val="00DE1259"/>
    <w:rsid w:val="00DE6183"/>
    <w:rsid w:val="00DE7EAD"/>
    <w:rsid w:val="00DF00DA"/>
    <w:rsid w:val="00E22678"/>
    <w:rsid w:val="00E241CE"/>
    <w:rsid w:val="00E25255"/>
    <w:rsid w:val="00E25C10"/>
    <w:rsid w:val="00E449D2"/>
    <w:rsid w:val="00E4559C"/>
    <w:rsid w:val="00E54684"/>
    <w:rsid w:val="00E7488B"/>
    <w:rsid w:val="00E748BF"/>
    <w:rsid w:val="00E76B4F"/>
    <w:rsid w:val="00E80761"/>
    <w:rsid w:val="00E82AE3"/>
    <w:rsid w:val="00E92F34"/>
    <w:rsid w:val="00E959AF"/>
    <w:rsid w:val="00EA4573"/>
    <w:rsid w:val="00EA7538"/>
    <w:rsid w:val="00EB6389"/>
    <w:rsid w:val="00EC68E1"/>
    <w:rsid w:val="00ED14EF"/>
    <w:rsid w:val="00ED5D67"/>
    <w:rsid w:val="00ED7FD6"/>
    <w:rsid w:val="00EE1D9F"/>
    <w:rsid w:val="00EE5C43"/>
    <w:rsid w:val="00F0202D"/>
    <w:rsid w:val="00F03E11"/>
    <w:rsid w:val="00F10586"/>
    <w:rsid w:val="00F12ACF"/>
    <w:rsid w:val="00F13C34"/>
    <w:rsid w:val="00F16B6B"/>
    <w:rsid w:val="00F17489"/>
    <w:rsid w:val="00F175F1"/>
    <w:rsid w:val="00F17973"/>
    <w:rsid w:val="00F202DB"/>
    <w:rsid w:val="00F207F4"/>
    <w:rsid w:val="00F2388F"/>
    <w:rsid w:val="00F24AEF"/>
    <w:rsid w:val="00F33FC9"/>
    <w:rsid w:val="00F60A39"/>
    <w:rsid w:val="00F66E34"/>
    <w:rsid w:val="00F7050F"/>
    <w:rsid w:val="00F720BA"/>
    <w:rsid w:val="00F77805"/>
    <w:rsid w:val="00F778CB"/>
    <w:rsid w:val="00F84CEA"/>
    <w:rsid w:val="00F85241"/>
    <w:rsid w:val="00F852C2"/>
    <w:rsid w:val="00F9039E"/>
    <w:rsid w:val="00F937D0"/>
    <w:rsid w:val="00F9503D"/>
    <w:rsid w:val="00FA05C7"/>
    <w:rsid w:val="00FA0A18"/>
    <w:rsid w:val="00FA10BF"/>
    <w:rsid w:val="00FA1AFA"/>
    <w:rsid w:val="00FA72D5"/>
    <w:rsid w:val="00FB127A"/>
    <w:rsid w:val="00FC03A5"/>
    <w:rsid w:val="00FC0A1D"/>
    <w:rsid w:val="00FC50D8"/>
    <w:rsid w:val="00FD3E48"/>
    <w:rsid w:val="00FD503E"/>
    <w:rsid w:val="00FF53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5497"/>
  <w15:docId w15:val="{0B4CA1AA-B5A6-47E7-8429-741446C1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541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
    <w:basedOn w:val="Domylnaczcionkaakapitu"/>
    <w:rsid w:val="00E92F34"/>
    <w:rPr>
      <w:rFonts w:ascii="Calibri" w:hAnsi="Calibri" w:cs="Calibri"/>
      <w:strike/>
      <w:spacing w:val="0"/>
      <w:sz w:val="21"/>
      <w:szCs w:val="21"/>
    </w:rPr>
  </w:style>
  <w:style w:type="paragraph" w:styleId="Akapitzlist">
    <w:name w:val="List Paragraph"/>
    <w:basedOn w:val="Normalny"/>
    <w:uiPriority w:val="99"/>
    <w:qFormat/>
    <w:rsid w:val="00E92F34"/>
    <w:pPr>
      <w:ind w:left="720"/>
      <w:contextualSpacing/>
    </w:pPr>
  </w:style>
  <w:style w:type="paragraph" w:styleId="Nagwek">
    <w:name w:val="header"/>
    <w:basedOn w:val="Normalny"/>
    <w:link w:val="NagwekZnak"/>
    <w:uiPriority w:val="99"/>
    <w:rsid w:val="00E92F34"/>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rsid w:val="00E92F34"/>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E92F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2F34"/>
    <w:rPr>
      <w:rFonts w:ascii="Calibri" w:eastAsia="Calibri" w:hAnsi="Calibri" w:cs="Times New Roman"/>
    </w:rPr>
  </w:style>
  <w:style w:type="paragraph" w:customStyle="1" w:styleId="OZNPROJEKTUwskazaniedatylubwersjiprojektu">
    <w:name w:val="OZN_PROJEKTU – wskazanie daty lub wersji projektu"/>
    <w:next w:val="Normalny"/>
    <w:uiPriority w:val="5"/>
    <w:qFormat/>
    <w:rsid w:val="00E92F34"/>
    <w:pPr>
      <w:spacing w:after="0" w:line="360" w:lineRule="auto"/>
      <w:jc w:val="right"/>
    </w:pPr>
    <w:rPr>
      <w:rFonts w:ascii="Times New Roman" w:eastAsiaTheme="minorEastAsia" w:hAnsi="Times New Roman" w:cs="Arial"/>
      <w:sz w:val="24"/>
      <w:szCs w:val="20"/>
      <w:u w:val="single"/>
      <w:lang w:eastAsia="pl-PL"/>
    </w:rPr>
  </w:style>
  <w:style w:type="paragraph" w:customStyle="1" w:styleId="CZWSPPKTczwsplnapunktw">
    <w:name w:val="CZ_WSP_PKT – część wspólna punktów"/>
    <w:basedOn w:val="Normalny"/>
    <w:next w:val="Normalny"/>
    <w:uiPriority w:val="16"/>
    <w:qFormat/>
    <w:rsid w:val="008443CF"/>
    <w:pPr>
      <w:spacing w:after="0" w:line="360" w:lineRule="auto"/>
      <w:jc w:val="both"/>
    </w:pPr>
    <w:rPr>
      <w:rFonts w:ascii="Times" w:eastAsia="Times New Roman" w:hAnsi="Times" w:cs="Arial"/>
      <w:bCs/>
      <w:sz w:val="24"/>
      <w:szCs w:val="20"/>
      <w:lang w:eastAsia="pl-PL"/>
    </w:rPr>
  </w:style>
  <w:style w:type="paragraph" w:styleId="Tekstdymka">
    <w:name w:val="Balloon Text"/>
    <w:basedOn w:val="Normalny"/>
    <w:link w:val="TekstdymkaZnak"/>
    <w:uiPriority w:val="99"/>
    <w:semiHidden/>
    <w:unhideWhenUsed/>
    <w:rsid w:val="00AE683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E683F"/>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B4200C"/>
    <w:rPr>
      <w:sz w:val="16"/>
      <w:szCs w:val="16"/>
    </w:rPr>
  </w:style>
  <w:style w:type="paragraph" w:styleId="Tekstkomentarza">
    <w:name w:val="annotation text"/>
    <w:basedOn w:val="Normalny"/>
    <w:link w:val="TekstkomentarzaZnak"/>
    <w:uiPriority w:val="99"/>
    <w:unhideWhenUsed/>
    <w:rsid w:val="00B4200C"/>
    <w:pPr>
      <w:spacing w:line="240" w:lineRule="auto"/>
    </w:pPr>
    <w:rPr>
      <w:sz w:val="20"/>
      <w:szCs w:val="20"/>
    </w:rPr>
  </w:style>
  <w:style w:type="character" w:customStyle="1" w:styleId="TekstkomentarzaZnak">
    <w:name w:val="Tekst komentarza Znak"/>
    <w:basedOn w:val="Domylnaczcionkaakapitu"/>
    <w:link w:val="Tekstkomentarza"/>
    <w:uiPriority w:val="99"/>
    <w:rsid w:val="00B4200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4200C"/>
    <w:rPr>
      <w:b/>
      <w:bCs/>
    </w:rPr>
  </w:style>
  <w:style w:type="character" w:customStyle="1" w:styleId="TematkomentarzaZnak">
    <w:name w:val="Temat komentarza Znak"/>
    <w:basedOn w:val="TekstkomentarzaZnak"/>
    <w:link w:val="Tematkomentarza"/>
    <w:uiPriority w:val="99"/>
    <w:semiHidden/>
    <w:rsid w:val="00B4200C"/>
    <w:rPr>
      <w:rFonts w:ascii="Calibri" w:eastAsia="Calibri" w:hAnsi="Calibri" w:cs="Times New Roman"/>
      <w:b/>
      <w:bCs/>
      <w:sz w:val="20"/>
      <w:szCs w:val="20"/>
    </w:rPr>
  </w:style>
  <w:style w:type="paragraph" w:styleId="Poprawka">
    <w:name w:val="Revision"/>
    <w:hidden/>
    <w:uiPriority w:val="99"/>
    <w:semiHidden/>
    <w:rsid w:val="0033709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17536">
      <w:bodyDiv w:val="1"/>
      <w:marLeft w:val="0"/>
      <w:marRight w:val="0"/>
      <w:marTop w:val="0"/>
      <w:marBottom w:val="0"/>
      <w:divBdr>
        <w:top w:val="none" w:sz="0" w:space="0" w:color="auto"/>
        <w:left w:val="none" w:sz="0" w:space="0" w:color="auto"/>
        <w:bottom w:val="none" w:sz="0" w:space="0" w:color="auto"/>
        <w:right w:val="none" w:sz="0" w:space="0" w:color="auto"/>
      </w:divBdr>
    </w:div>
    <w:div w:id="48439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30D34-FBCB-4769-8B38-329EB973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2692</Words>
  <Characters>16157</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mwojtowicz</dc:creator>
  <cp:lastModifiedBy>Wąsowska Barbara</cp:lastModifiedBy>
  <cp:revision>2</cp:revision>
  <dcterms:created xsi:type="dcterms:W3CDTF">2024-11-06T11:15:00Z</dcterms:created>
  <dcterms:modified xsi:type="dcterms:W3CDTF">2024-11-06T11:15:00Z</dcterms:modified>
</cp:coreProperties>
</file>