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72AB" w14:textId="77777777" w:rsidR="00AF1805" w:rsidRPr="003D5CE6" w:rsidRDefault="00AF1805" w:rsidP="00AF1805">
      <w:pPr>
        <w:pStyle w:val="Nagwek2"/>
        <w:numPr>
          <w:ilvl w:val="0"/>
          <w:numId w:val="0"/>
        </w:numPr>
        <w:spacing w:before="0" w:after="0"/>
      </w:pPr>
      <w:bookmarkStart w:id="0" w:name="_Toc184645962"/>
      <w:r>
        <w:t>Poland</w:t>
      </w:r>
      <w:bookmarkEnd w:id="0"/>
    </w:p>
    <w:tbl>
      <w:tblPr>
        <w:tblpPr w:leftFromText="180" w:rightFromText="180" w:vertAnchor="text" w:tblpX="-10" w:tblpY="159"/>
        <w:tblW w:w="1374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1E0" w:firstRow="1" w:lastRow="1" w:firstColumn="1" w:lastColumn="1" w:noHBand="0" w:noVBand="0"/>
      </w:tblPr>
      <w:tblGrid>
        <w:gridCol w:w="2491"/>
        <w:gridCol w:w="11254"/>
      </w:tblGrid>
      <w:tr w:rsidR="00AF1805" w:rsidRPr="0082518E" w14:paraId="4AF4C8BB" w14:textId="77777777" w:rsidTr="00AF1805">
        <w:trPr>
          <w:trHeight w:val="558"/>
        </w:trPr>
        <w:tc>
          <w:tcPr>
            <w:tcW w:w="2491" w:type="dxa"/>
            <w:shd w:val="clear" w:color="auto" w:fill="B4C6E7" w:themeFill="accent1" w:themeFillTint="66"/>
            <w:vAlign w:val="center"/>
          </w:tcPr>
          <w:p w14:paraId="1743EF21" w14:textId="77777777" w:rsidR="00AF1805" w:rsidRPr="00E11383" w:rsidRDefault="00AF1805" w:rsidP="00186D18">
            <w:pPr>
              <w:spacing w:after="0" w:line="240" w:lineRule="auto"/>
              <w:ind w:left="34"/>
              <w:rPr>
                <w:rFonts w:cs="Calibri"/>
                <w:sz w:val="20"/>
                <w:lang w:val="en-GB" w:eastAsia="de-DE"/>
              </w:rPr>
            </w:pPr>
            <w:r w:rsidRPr="00E11383">
              <w:rPr>
                <w:rFonts w:cs="Calibri"/>
                <w:sz w:val="20"/>
                <w:lang w:val="en-GB" w:eastAsia="de-DE"/>
              </w:rPr>
              <w:t>Funding Organisation</w:t>
            </w:r>
          </w:p>
        </w:tc>
        <w:tc>
          <w:tcPr>
            <w:tcW w:w="11254" w:type="dxa"/>
            <w:vAlign w:val="center"/>
          </w:tcPr>
          <w:p w14:paraId="243972C6" w14:textId="77777777" w:rsidR="00AF1805" w:rsidRPr="000053F4" w:rsidRDefault="00AF1805" w:rsidP="00186D18">
            <w:pPr>
              <w:spacing w:after="0" w:line="240" w:lineRule="auto"/>
              <w:rPr>
                <w:rFonts w:asciiTheme="minorHAnsi" w:hAnsiTheme="minorHAnsi"/>
                <w:sz w:val="20"/>
                <w:szCs w:val="20"/>
                <w:lang w:val="en-US" w:eastAsia="de-DE"/>
              </w:rPr>
            </w:pPr>
            <w:proofErr w:type="spellStart"/>
            <w:r w:rsidRPr="00897362">
              <w:rPr>
                <w:rFonts w:asciiTheme="minorHAnsi" w:hAnsiTheme="minorHAnsi"/>
                <w:b/>
                <w:sz w:val="20"/>
                <w:szCs w:val="20"/>
                <w:lang w:val="en-GB"/>
              </w:rPr>
              <w:t>Narodowe</w:t>
            </w:r>
            <w:proofErr w:type="spellEnd"/>
            <w:r w:rsidRPr="00897362">
              <w:rPr>
                <w:rFonts w:asciiTheme="minorHAnsi" w:hAnsiTheme="minorHAnsi"/>
                <w:b/>
                <w:sz w:val="20"/>
                <w:szCs w:val="20"/>
                <w:lang w:val="en-GB"/>
              </w:rPr>
              <w:t xml:space="preserve"> Centrum Badan </w:t>
            </w:r>
            <w:proofErr w:type="spellStart"/>
            <w:r w:rsidRPr="00897362">
              <w:rPr>
                <w:rFonts w:asciiTheme="minorHAnsi" w:hAnsiTheme="minorHAnsi"/>
                <w:b/>
                <w:sz w:val="20"/>
                <w:szCs w:val="20"/>
                <w:lang w:val="en-GB"/>
              </w:rPr>
              <w:t>i</w:t>
            </w:r>
            <w:proofErr w:type="spellEnd"/>
            <w:r w:rsidRPr="00897362">
              <w:rPr>
                <w:rFonts w:asciiTheme="minorHAnsi" w:hAnsiTheme="minorHAnsi"/>
                <w:b/>
                <w:sz w:val="20"/>
                <w:szCs w:val="20"/>
                <w:lang w:val="en-GB"/>
              </w:rPr>
              <w:t xml:space="preserve"> </w:t>
            </w:r>
            <w:proofErr w:type="spellStart"/>
            <w:r w:rsidRPr="00897362">
              <w:rPr>
                <w:rFonts w:asciiTheme="minorHAnsi" w:hAnsiTheme="minorHAnsi"/>
                <w:b/>
                <w:sz w:val="20"/>
                <w:szCs w:val="20"/>
                <w:lang w:val="en-GB"/>
              </w:rPr>
              <w:t>Rozwoju</w:t>
            </w:r>
            <w:proofErr w:type="spellEnd"/>
            <w:r w:rsidRPr="00897362">
              <w:rPr>
                <w:rFonts w:asciiTheme="minorHAnsi" w:hAnsiTheme="minorHAnsi"/>
                <w:b/>
                <w:sz w:val="20"/>
                <w:szCs w:val="20"/>
                <w:lang w:val="en-GB"/>
              </w:rPr>
              <w:t xml:space="preserve">/ National Centre for Research and </w:t>
            </w:r>
            <w:r w:rsidRPr="00AF1805">
              <w:rPr>
                <w:rFonts w:asciiTheme="minorHAnsi" w:hAnsiTheme="minorHAnsi"/>
                <w:b/>
                <w:sz w:val="20"/>
                <w:szCs w:val="20"/>
                <w:lang w:val="en-GB"/>
              </w:rPr>
              <w:t>Development, (NCBR),</w:t>
            </w:r>
            <w:r w:rsidRPr="000053F4">
              <w:rPr>
                <w:rFonts w:asciiTheme="minorHAnsi" w:hAnsiTheme="minorHAnsi"/>
                <w:sz w:val="20"/>
                <w:szCs w:val="20"/>
                <w:lang w:val="en-GB"/>
              </w:rPr>
              <w:t xml:space="preserve"> </w:t>
            </w:r>
            <w:r w:rsidRPr="000053F4">
              <w:rPr>
                <w:rFonts w:asciiTheme="minorHAnsi" w:hAnsiTheme="minorHAnsi"/>
                <w:sz w:val="20"/>
                <w:szCs w:val="20"/>
                <w:lang w:val="en-GB"/>
              </w:rPr>
              <w:br/>
              <w:t>www.ncbr.gov.pl</w:t>
            </w:r>
          </w:p>
        </w:tc>
      </w:tr>
      <w:tr w:rsidR="00AF1805" w:rsidRPr="00B112BC" w14:paraId="348E0249" w14:textId="77777777" w:rsidTr="00AF1805">
        <w:trPr>
          <w:trHeight w:val="704"/>
        </w:trPr>
        <w:tc>
          <w:tcPr>
            <w:tcW w:w="2491" w:type="dxa"/>
            <w:shd w:val="clear" w:color="auto" w:fill="B4C6E7" w:themeFill="accent1" w:themeFillTint="66"/>
            <w:vAlign w:val="center"/>
          </w:tcPr>
          <w:p w14:paraId="2BC58D9E" w14:textId="77777777" w:rsidR="00AF1805" w:rsidRPr="00E11383" w:rsidRDefault="00AF1805" w:rsidP="00186D18">
            <w:pPr>
              <w:spacing w:after="0" w:line="240" w:lineRule="auto"/>
              <w:ind w:left="34"/>
              <w:rPr>
                <w:rFonts w:cs="Calibri"/>
                <w:sz w:val="20"/>
                <w:lang w:val="en-GB" w:eastAsia="de-DE"/>
              </w:rPr>
            </w:pPr>
            <w:r w:rsidRPr="00E11383">
              <w:rPr>
                <w:rFonts w:cs="Calibri"/>
                <w:sz w:val="20"/>
                <w:lang w:val="en-GB" w:eastAsia="de-DE"/>
              </w:rPr>
              <w:t xml:space="preserve">Initial funding </w:t>
            </w:r>
          </w:p>
          <w:p w14:paraId="54D6BE83" w14:textId="77777777" w:rsidR="00AF1805" w:rsidRPr="00E11383" w:rsidRDefault="00AF1805" w:rsidP="00186D18">
            <w:pPr>
              <w:spacing w:after="0" w:line="240" w:lineRule="auto"/>
              <w:ind w:left="34"/>
              <w:rPr>
                <w:rFonts w:cs="Calibri"/>
                <w:sz w:val="20"/>
                <w:lang w:val="en-GB" w:eastAsia="de-DE"/>
              </w:rPr>
            </w:pPr>
            <w:r w:rsidRPr="00E11383">
              <w:rPr>
                <w:rFonts w:cs="Calibri"/>
                <w:sz w:val="20"/>
                <w:lang w:val="en-GB" w:eastAsia="de-DE"/>
              </w:rPr>
              <w:t>pre-commitment</w:t>
            </w:r>
          </w:p>
        </w:tc>
        <w:tc>
          <w:tcPr>
            <w:tcW w:w="11254" w:type="dxa"/>
            <w:vAlign w:val="center"/>
          </w:tcPr>
          <w:p w14:paraId="4D5798CE" w14:textId="77777777" w:rsidR="00AF1805" w:rsidRPr="000053F4" w:rsidRDefault="00AF1805" w:rsidP="00186D18">
            <w:pPr>
              <w:spacing w:after="0" w:line="240" w:lineRule="auto"/>
              <w:ind w:left="33"/>
              <w:rPr>
                <w:rFonts w:asciiTheme="minorHAnsi" w:hAnsiTheme="minorHAnsi"/>
                <w:sz w:val="20"/>
                <w:szCs w:val="20"/>
                <w:lang w:val="en-GB" w:eastAsia="de-DE"/>
              </w:rPr>
            </w:pPr>
            <w:r w:rsidRPr="000053F4">
              <w:rPr>
                <w:rFonts w:asciiTheme="minorHAnsi" w:hAnsiTheme="minorHAnsi"/>
                <w:sz w:val="20"/>
                <w:szCs w:val="20"/>
                <w:lang w:val="en-GB"/>
              </w:rPr>
              <w:t>1 300 000 EUR</w:t>
            </w:r>
          </w:p>
        </w:tc>
      </w:tr>
      <w:tr w:rsidR="00AF1805" w:rsidRPr="0095298D" w14:paraId="39F83C2E" w14:textId="77777777" w:rsidTr="00AF1805">
        <w:trPr>
          <w:trHeight w:val="973"/>
        </w:trPr>
        <w:tc>
          <w:tcPr>
            <w:tcW w:w="2491" w:type="dxa"/>
            <w:shd w:val="clear" w:color="auto" w:fill="B4C6E7" w:themeFill="accent1" w:themeFillTint="66"/>
            <w:vAlign w:val="center"/>
          </w:tcPr>
          <w:p w14:paraId="46FA7021" w14:textId="77777777" w:rsidR="00AF1805" w:rsidRPr="00E11383" w:rsidRDefault="00AF1805" w:rsidP="00186D18">
            <w:pPr>
              <w:spacing w:after="0"/>
              <w:ind w:left="34"/>
              <w:rPr>
                <w:rFonts w:cs="Calibri"/>
                <w:sz w:val="20"/>
                <w:lang w:val="en-GB" w:eastAsia="de-DE"/>
              </w:rPr>
            </w:pPr>
            <w:r w:rsidRPr="00E11383">
              <w:rPr>
                <w:rFonts w:cs="Calibri"/>
                <w:sz w:val="20"/>
                <w:lang w:val="en-GB" w:eastAsia="de-DE"/>
              </w:rPr>
              <w:t>Regional/National contact for the EP </w:t>
            </w:r>
            <w:proofErr w:type="spellStart"/>
            <w:r w:rsidRPr="00E11383">
              <w:rPr>
                <w:rFonts w:cs="Calibri"/>
                <w:sz w:val="20"/>
                <w:lang w:val="en-GB" w:eastAsia="de-DE"/>
              </w:rPr>
              <w:t>PerMed</w:t>
            </w:r>
            <w:proofErr w:type="spellEnd"/>
            <w:r w:rsidRPr="00E11383">
              <w:rPr>
                <w:rFonts w:cs="Calibri"/>
                <w:sz w:val="20"/>
                <w:lang w:val="en-GB" w:eastAsia="de-DE"/>
              </w:rPr>
              <w:t xml:space="preserve"> JTC2025</w:t>
            </w:r>
          </w:p>
        </w:tc>
        <w:tc>
          <w:tcPr>
            <w:tcW w:w="11254" w:type="dxa"/>
            <w:vAlign w:val="center"/>
          </w:tcPr>
          <w:p w14:paraId="10AC7204" w14:textId="77777777" w:rsidR="00AF1805" w:rsidRPr="000053F4" w:rsidRDefault="00AF1805" w:rsidP="00186D18">
            <w:pPr>
              <w:spacing w:after="0"/>
              <w:rPr>
                <w:rFonts w:asciiTheme="minorHAnsi" w:hAnsiTheme="minorHAnsi"/>
                <w:sz w:val="20"/>
                <w:szCs w:val="20"/>
                <w:lang w:val="en-GB" w:eastAsia="de-DE"/>
              </w:rPr>
            </w:pPr>
            <w:r w:rsidRPr="000053F4">
              <w:rPr>
                <w:rFonts w:asciiTheme="minorHAnsi" w:hAnsiTheme="minorHAnsi"/>
                <w:sz w:val="20"/>
                <w:szCs w:val="20"/>
                <w:lang w:val="en-GB" w:eastAsia="de-DE"/>
              </w:rPr>
              <w:t>Anna Stępień</w:t>
            </w:r>
          </w:p>
          <w:p w14:paraId="429EB6A1" w14:textId="77777777" w:rsidR="00AF1805" w:rsidRPr="000053F4" w:rsidRDefault="00AF1805" w:rsidP="00186D18">
            <w:pPr>
              <w:spacing w:after="0"/>
              <w:rPr>
                <w:rFonts w:asciiTheme="minorHAnsi" w:hAnsiTheme="minorHAnsi"/>
                <w:sz w:val="20"/>
                <w:szCs w:val="20"/>
                <w:lang w:val="en-GB" w:eastAsia="de-DE"/>
              </w:rPr>
            </w:pPr>
            <w:hyperlink r:id="rId7" w:history="1">
              <w:r w:rsidRPr="00AF1805">
                <w:rPr>
                  <w:rFonts w:asciiTheme="minorHAnsi" w:hAnsiTheme="minorHAnsi"/>
                  <w:sz w:val="20"/>
                  <w:szCs w:val="20"/>
                  <w:lang w:val="en-GB" w:eastAsia="de-DE"/>
                </w:rPr>
                <w:t>anna.stepien@ncbr.gov.pl</w:t>
              </w:r>
            </w:hyperlink>
          </w:p>
          <w:p w14:paraId="5DD11AA6" w14:textId="77777777" w:rsidR="00AF1805" w:rsidRPr="000053F4" w:rsidRDefault="00AF1805" w:rsidP="00186D18">
            <w:pPr>
              <w:spacing w:after="0"/>
              <w:rPr>
                <w:rFonts w:asciiTheme="minorHAnsi" w:hAnsiTheme="minorHAnsi"/>
                <w:sz w:val="20"/>
                <w:szCs w:val="20"/>
                <w:lang w:val="en-GB" w:eastAsia="de-DE"/>
              </w:rPr>
            </w:pPr>
            <w:r>
              <w:rPr>
                <w:rFonts w:asciiTheme="minorHAnsi" w:hAnsiTheme="minorHAnsi"/>
                <w:sz w:val="20"/>
                <w:szCs w:val="20"/>
                <w:lang w:val="en-GB" w:eastAsia="de-DE"/>
              </w:rPr>
              <w:t>T</w:t>
            </w:r>
            <w:r w:rsidRPr="000053F4">
              <w:rPr>
                <w:rFonts w:asciiTheme="minorHAnsi" w:hAnsiTheme="minorHAnsi"/>
                <w:sz w:val="20"/>
                <w:szCs w:val="20"/>
                <w:lang w:val="en-GB" w:eastAsia="de-DE"/>
              </w:rPr>
              <w:t>el.</w:t>
            </w:r>
            <w:r>
              <w:rPr>
                <w:rFonts w:asciiTheme="minorHAnsi" w:hAnsiTheme="minorHAnsi"/>
                <w:sz w:val="20"/>
                <w:szCs w:val="20"/>
                <w:lang w:val="en-GB" w:eastAsia="de-DE"/>
              </w:rPr>
              <w:t>:</w:t>
            </w:r>
            <w:r w:rsidRPr="000053F4">
              <w:rPr>
                <w:rFonts w:asciiTheme="minorHAnsi" w:hAnsiTheme="minorHAnsi"/>
                <w:sz w:val="20"/>
                <w:szCs w:val="20"/>
                <w:lang w:val="en-GB" w:eastAsia="de-DE"/>
              </w:rPr>
              <w:t xml:space="preserve"> +48 22 39 07 210 </w:t>
            </w:r>
          </w:p>
        </w:tc>
      </w:tr>
      <w:tr w:rsidR="00AF1805" w:rsidRPr="0082518E" w14:paraId="613804C1" w14:textId="77777777" w:rsidTr="00AF1805">
        <w:trPr>
          <w:trHeight w:val="1832"/>
        </w:trPr>
        <w:tc>
          <w:tcPr>
            <w:tcW w:w="2491" w:type="dxa"/>
            <w:shd w:val="clear" w:color="auto" w:fill="B4C6E7" w:themeFill="accent1" w:themeFillTint="66"/>
            <w:vAlign w:val="center"/>
          </w:tcPr>
          <w:p w14:paraId="03297D71" w14:textId="77777777" w:rsidR="00AF1805" w:rsidRPr="00E11383" w:rsidRDefault="00AF1805" w:rsidP="00186D18">
            <w:pPr>
              <w:spacing w:after="0"/>
              <w:ind w:left="34"/>
              <w:rPr>
                <w:rFonts w:cs="Calibri"/>
                <w:sz w:val="20"/>
                <w:lang w:val="en-GB" w:eastAsia="de-DE"/>
              </w:rPr>
            </w:pPr>
            <w:r w:rsidRPr="00E11383">
              <w:rPr>
                <w:rFonts w:cs="Calibri"/>
                <w:sz w:val="20"/>
                <w:lang w:val="en-GB" w:eastAsia="de-DE"/>
              </w:rPr>
              <w:t>Eligible institutions</w:t>
            </w:r>
          </w:p>
        </w:tc>
        <w:tc>
          <w:tcPr>
            <w:tcW w:w="11254" w:type="dxa"/>
            <w:vAlign w:val="center"/>
          </w:tcPr>
          <w:p w14:paraId="69BE0B86" w14:textId="77777777" w:rsidR="00AF1805" w:rsidRPr="000053F4" w:rsidRDefault="00AF1805" w:rsidP="00186D18">
            <w:pPr>
              <w:tabs>
                <w:tab w:val="left" w:pos="207"/>
              </w:tabs>
              <w:spacing w:after="0"/>
              <w:ind w:left="33"/>
              <w:rPr>
                <w:rFonts w:asciiTheme="minorHAnsi" w:hAnsiTheme="minorHAnsi"/>
                <w:sz w:val="20"/>
                <w:szCs w:val="20"/>
                <w:lang w:val="en-GB"/>
              </w:rPr>
            </w:pPr>
            <w:r w:rsidRPr="000053F4">
              <w:rPr>
                <w:rFonts w:asciiTheme="minorHAnsi" w:hAnsiTheme="minorHAnsi"/>
                <w:sz w:val="20"/>
                <w:szCs w:val="20"/>
                <w:lang w:val="en-GB"/>
              </w:rPr>
              <w:t xml:space="preserve">Following entities are eligible to apply: </w:t>
            </w:r>
          </w:p>
          <w:p w14:paraId="3ACD0BB8"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rPr>
            </w:pPr>
            <w:r w:rsidRPr="000053F4">
              <w:rPr>
                <w:rFonts w:asciiTheme="minorHAnsi" w:hAnsiTheme="minorHAnsi"/>
                <w:sz w:val="20"/>
                <w:szCs w:val="20"/>
              </w:rPr>
              <w:t>Enterprises - SME and Large</w:t>
            </w:r>
            <w:r w:rsidRPr="000053F4">
              <w:rPr>
                <w:rStyle w:val="Odwoanieprzypisudolnego"/>
                <w:rFonts w:asciiTheme="minorHAnsi" w:hAnsiTheme="minorHAnsi"/>
                <w:sz w:val="20"/>
                <w:szCs w:val="20"/>
              </w:rPr>
              <w:footnoteReference w:id="1"/>
            </w:r>
            <w:r w:rsidRPr="000053F4">
              <w:rPr>
                <w:rFonts w:asciiTheme="minorHAnsi" w:hAnsiTheme="minorHAnsi"/>
                <w:sz w:val="20"/>
                <w:szCs w:val="20"/>
              </w:rPr>
              <w:t>,</w:t>
            </w:r>
          </w:p>
          <w:p w14:paraId="67475BDF"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Research organisation</w:t>
            </w:r>
            <w:r w:rsidRPr="000053F4">
              <w:rPr>
                <w:rStyle w:val="Odwoanieprzypisudolnego"/>
                <w:rFonts w:asciiTheme="minorHAnsi" w:hAnsiTheme="minorHAnsi"/>
                <w:sz w:val="20"/>
                <w:szCs w:val="20"/>
              </w:rPr>
              <w:footnoteReference w:id="2"/>
            </w:r>
            <w:r w:rsidRPr="000053F4">
              <w:rPr>
                <w:rFonts w:asciiTheme="minorHAnsi" w:hAnsiTheme="minorHAnsi"/>
                <w:sz w:val="20"/>
                <w:szCs w:val="20"/>
                <w:lang w:val="en-GB"/>
              </w:rPr>
              <w:t xml:space="preserve"> (research and knowledge-dissemination organisation),   </w:t>
            </w:r>
          </w:p>
          <w:p w14:paraId="379C6589"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 xml:space="preserve">Group of enterprises composed of two enterprises, </w:t>
            </w:r>
          </w:p>
          <w:p w14:paraId="05F0055A"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Group of entities composed of one research organisation and one enterprise,</w:t>
            </w:r>
          </w:p>
          <w:p w14:paraId="6409F33C"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Group of entities composed of two research organisations.</w:t>
            </w:r>
          </w:p>
          <w:p w14:paraId="6CC51EB5" w14:textId="77777777" w:rsidR="00AF1805" w:rsidRPr="000053F4" w:rsidRDefault="00AF1805" w:rsidP="00186D18">
            <w:pPr>
              <w:autoSpaceDE w:val="0"/>
              <w:autoSpaceDN w:val="0"/>
              <w:adjustRightInd w:val="0"/>
              <w:spacing w:after="0" w:line="240" w:lineRule="auto"/>
              <w:rPr>
                <w:rFonts w:asciiTheme="minorHAnsi" w:hAnsiTheme="minorHAnsi"/>
                <w:sz w:val="6"/>
                <w:szCs w:val="20"/>
                <w:lang w:val="en-GB"/>
              </w:rPr>
            </w:pPr>
          </w:p>
        </w:tc>
      </w:tr>
      <w:tr w:rsidR="00AF1805" w:rsidRPr="0082518E" w14:paraId="523AEB0A" w14:textId="77777777" w:rsidTr="00AF1805">
        <w:trPr>
          <w:trHeight w:val="630"/>
        </w:trPr>
        <w:tc>
          <w:tcPr>
            <w:tcW w:w="2491" w:type="dxa"/>
            <w:shd w:val="clear" w:color="auto" w:fill="B4C6E7" w:themeFill="accent1" w:themeFillTint="66"/>
            <w:vAlign w:val="center"/>
          </w:tcPr>
          <w:p w14:paraId="3D1B5BD2" w14:textId="77777777" w:rsidR="00AF1805" w:rsidRPr="00E11383" w:rsidRDefault="00AF1805" w:rsidP="00186D18">
            <w:pPr>
              <w:spacing w:after="0"/>
              <w:ind w:left="34"/>
              <w:rPr>
                <w:rFonts w:cs="Calibri"/>
                <w:sz w:val="20"/>
                <w:lang w:val="en-GB" w:eastAsia="de-DE"/>
              </w:rPr>
            </w:pPr>
            <w:r w:rsidRPr="00E11383">
              <w:rPr>
                <w:rFonts w:cs="Calibri"/>
                <w:sz w:val="20"/>
                <w:lang w:val="en-GB" w:eastAsia="de-DE"/>
              </w:rPr>
              <w:t xml:space="preserve">Additional eligibility </w:t>
            </w:r>
            <w:r w:rsidRPr="00E11383">
              <w:rPr>
                <w:rFonts w:cs="Calibri"/>
                <w:sz w:val="20"/>
                <w:lang w:val="en-GB" w:eastAsia="de-DE"/>
              </w:rPr>
              <w:br/>
              <w:t>criteria</w:t>
            </w:r>
          </w:p>
        </w:tc>
        <w:tc>
          <w:tcPr>
            <w:tcW w:w="11254" w:type="dxa"/>
            <w:vAlign w:val="center"/>
          </w:tcPr>
          <w:p w14:paraId="5D9E5CDB" w14:textId="77777777" w:rsidR="00AF1805" w:rsidRPr="000053F4" w:rsidRDefault="00AF1805" w:rsidP="00186D18">
            <w:pPr>
              <w:pStyle w:val="NormalnyWeb"/>
              <w:rPr>
                <w:rFonts w:asciiTheme="minorHAnsi" w:eastAsiaTheme="minorHAnsi" w:hAnsiTheme="minorHAnsi" w:cstheme="minorHAnsi"/>
                <w:color w:val="000000" w:themeColor="text1"/>
                <w:spacing w:val="2"/>
                <w:sz w:val="20"/>
                <w:szCs w:val="20"/>
                <w:lang w:eastAsia="en-US"/>
              </w:rPr>
            </w:pPr>
            <w:r w:rsidRPr="000053F4">
              <w:rPr>
                <w:rFonts w:asciiTheme="minorHAnsi" w:eastAsiaTheme="minorHAnsi" w:hAnsiTheme="minorHAnsi" w:cstheme="minorHAnsi"/>
                <w:color w:val="000000" w:themeColor="text1"/>
                <w:spacing w:val="2"/>
                <w:sz w:val="20"/>
                <w:szCs w:val="20"/>
                <w:lang w:eastAsia="en-US"/>
              </w:rPr>
              <w:t>Entities must be established as a legal person</w:t>
            </w:r>
            <w:r w:rsidRPr="000053F4">
              <w:rPr>
                <w:rStyle w:val="Odwoanieprzypisudolnego"/>
                <w:rFonts w:asciiTheme="minorHAnsi" w:eastAsiaTheme="minorHAnsi" w:hAnsiTheme="minorHAnsi" w:cstheme="minorHAnsi"/>
                <w:color w:val="000000" w:themeColor="text1"/>
                <w:spacing w:val="2"/>
                <w:sz w:val="20"/>
                <w:szCs w:val="20"/>
                <w:lang w:val="de-DE" w:eastAsia="en-US"/>
              </w:rPr>
              <w:footnoteReference w:id="3"/>
            </w:r>
            <w:r w:rsidRPr="000053F4">
              <w:rPr>
                <w:rFonts w:asciiTheme="minorHAnsi" w:eastAsiaTheme="minorHAnsi" w:hAnsiTheme="minorHAnsi" w:cstheme="minorHAnsi"/>
                <w:color w:val="000000" w:themeColor="text1"/>
                <w:spacing w:val="2"/>
                <w:sz w:val="20"/>
                <w:szCs w:val="20"/>
                <w:lang w:eastAsia="en-US"/>
              </w:rPr>
              <w:t xml:space="preserve"> and must conduct its business, R&amp;D or any other activity on the territory of the Republic of Poland, confirmed by an entry into the relevant register</w:t>
            </w:r>
            <w:r w:rsidRPr="000053F4">
              <w:rPr>
                <w:rFonts w:asciiTheme="minorHAnsi" w:eastAsiaTheme="minorHAnsi" w:hAnsiTheme="minorHAnsi" w:cstheme="minorHAnsi"/>
                <w:color w:val="000000" w:themeColor="text1"/>
                <w:spacing w:val="2"/>
                <w:sz w:val="20"/>
                <w:szCs w:val="20"/>
                <w:vertAlign w:val="superscript"/>
                <w:lang w:eastAsia="en-US"/>
              </w:rPr>
              <w:t>4</w:t>
            </w:r>
            <w:r w:rsidRPr="000053F4">
              <w:rPr>
                <w:rFonts w:asciiTheme="minorHAnsi" w:eastAsiaTheme="minorHAnsi" w:hAnsiTheme="minorHAnsi" w:cstheme="minorHAnsi"/>
                <w:color w:val="000000" w:themeColor="text1"/>
                <w:spacing w:val="2"/>
                <w:sz w:val="20"/>
                <w:szCs w:val="20"/>
                <w:lang w:eastAsia="en-US"/>
              </w:rPr>
              <w:t xml:space="preserve">. </w:t>
            </w:r>
          </w:p>
          <w:p w14:paraId="1F5D2809" w14:textId="77777777" w:rsidR="00AF1805" w:rsidRPr="00897362"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897362">
              <w:rPr>
                <w:rFonts w:asciiTheme="minorHAnsi" w:hAnsiTheme="minorHAnsi"/>
                <w:sz w:val="20"/>
                <w:szCs w:val="20"/>
                <w:lang w:val="en-GB"/>
              </w:rPr>
              <w:t xml:space="preserve">A condition for the participation of a group of entities as the Applicant in the call is its formal existence on the date of submission of the pre-proposal, confirmed by its members concluding, at least conditionally, an agreement on the creation of a group of entities. </w:t>
            </w:r>
          </w:p>
          <w:p w14:paraId="53D59904" w14:textId="77777777" w:rsidR="00AF1805" w:rsidRPr="00897362"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897362">
              <w:rPr>
                <w:rFonts w:asciiTheme="minorHAnsi" w:hAnsiTheme="minorHAnsi"/>
                <w:sz w:val="20"/>
                <w:szCs w:val="20"/>
                <w:lang w:val="en-GB"/>
              </w:rPr>
              <w:lastRenderedPageBreak/>
              <w:t xml:space="preserve">For enterprises it is strongly advised to state in the Pre-proposal application form the KRS number of the enterprise and the size of the enterprise (micro/small, medium, large). </w:t>
            </w:r>
          </w:p>
          <w:p w14:paraId="445C0DB0" w14:textId="77777777" w:rsidR="00AF1805" w:rsidRPr="00897362"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897362">
              <w:rPr>
                <w:rFonts w:asciiTheme="minorHAnsi" w:hAnsiTheme="minorHAnsi"/>
                <w:sz w:val="20"/>
                <w:szCs w:val="20"/>
                <w:lang w:val="en-GB"/>
              </w:rPr>
              <w:t>Please note that group of entities counts as at least two project partners from Poland (it meets the limit on the number of participants from the same country, please refer to call text for details).</w:t>
            </w:r>
          </w:p>
          <w:p w14:paraId="1A85ED9C" w14:textId="77777777" w:rsidR="00AF1805" w:rsidRPr="00897362"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897362">
              <w:rPr>
                <w:rFonts w:asciiTheme="minorHAnsi" w:hAnsiTheme="minorHAnsi"/>
                <w:sz w:val="20"/>
                <w:szCs w:val="20"/>
                <w:lang w:val="en-GB"/>
              </w:rPr>
              <w:t xml:space="preserve">Polish applicants shall declare the TRL of their research in the pre-proposals and full proposals. </w:t>
            </w:r>
          </w:p>
          <w:p w14:paraId="1EF936E4" w14:textId="77777777" w:rsidR="00AF1805" w:rsidRPr="00897362"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897362">
              <w:rPr>
                <w:rFonts w:asciiTheme="minorHAnsi" w:hAnsiTheme="minorHAnsi"/>
                <w:sz w:val="20"/>
                <w:szCs w:val="20"/>
                <w:lang w:val="en-GB"/>
              </w:rPr>
              <w:t xml:space="preserve">Only projects recommended for funding will be asked to submit a national application form (NAF) with required attachments. </w:t>
            </w:r>
          </w:p>
          <w:p w14:paraId="59BB8BAA" w14:textId="77777777" w:rsidR="00AF1805" w:rsidRPr="00897362"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897362">
              <w:rPr>
                <w:rFonts w:asciiTheme="minorHAnsi" w:hAnsiTheme="minorHAnsi"/>
                <w:sz w:val="20"/>
                <w:szCs w:val="20"/>
                <w:lang w:val="en-GB"/>
              </w:rPr>
              <w:t xml:space="preserve">The Polish participants are obliged to use the rate of exchange of the European Central Bank dated on the day of opening of the call. </w:t>
            </w:r>
          </w:p>
          <w:p w14:paraId="0AE9D380"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897362">
              <w:rPr>
                <w:rFonts w:asciiTheme="minorHAnsi" w:hAnsiTheme="minorHAnsi"/>
                <w:sz w:val="20"/>
                <w:szCs w:val="20"/>
                <w:lang w:val="en-GB"/>
              </w:rPr>
              <w:t>If more than one Polish entity participates in the project, the national application is submitted by a consortium (group of entities) of all Polish entities</w:t>
            </w:r>
            <w:r w:rsidRPr="000053F4">
              <w:rPr>
                <w:rFonts w:asciiTheme="minorHAnsi" w:hAnsiTheme="minorHAnsi"/>
                <w:sz w:val="20"/>
                <w:szCs w:val="20"/>
                <w:lang w:val="en-GB"/>
              </w:rPr>
              <w:t xml:space="preserve">.  </w:t>
            </w:r>
          </w:p>
          <w:p w14:paraId="476387B4" w14:textId="77777777" w:rsidR="00AF1805" w:rsidRPr="000053F4" w:rsidRDefault="00AF1805" w:rsidP="00186D18">
            <w:pPr>
              <w:pStyle w:val="NormalnyWeb"/>
              <w:rPr>
                <w:rFonts w:asciiTheme="minorHAnsi" w:eastAsiaTheme="minorHAnsi" w:hAnsiTheme="minorHAnsi" w:cstheme="minorHAnsi"/>
                <w:color w:val="000000" w:themeColor="text1"/>
                <w:spacing w:val="2"/>
                <w:sz w:val="20"/>
                <w:szCs w:val="20"/>
                <w:lang w:eastAsia="en-US"/>
              </w:rPr>
            </w:pPr>
            <w:r w:rsidRPr="000053F4">
              <w:rPr>
                <w:rFonts w:asciiTheme="minorHAnsi" w:eastAsiaTheme="minorHAnsi" w:hAnsiTheme="minorHAnsi" w:cstheme="minorHAnsi"/>
                <w:color w:val="000000" w:themeColor="text1"/>
                <w:spacing w:val="2"/>
                <w:sz w:val="20"/>
                <w:szCs w:val="20"/>
                <w:lang w:eastAsia="en-US"/>
              </w:rPr>
              <w:t>All proposals must be aligned with national regulations, inter alia:</w:t>
            </w:r>
          </w:p>
          <w:p w14:paraId="5059D2B1"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The Act of 20 July 2018 - Law on Higher Education and Science;</w:t>
            </w:r>
          </w:p>
          <w:p w14:paraId="20F4A306"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The Act of 30 April 2010 on the National Centre for Research and Development;</w:t>
            </w:r>
          </w:p>
          <w:p w14:paraId="641EE509"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The Regulation of the Minister of Science and Higher Education of 19 August 2020 on granting state aid by the National Centre for Research and Development, which is in line with the Commission Regulation (EU) No 651/2014 of 17 June 2014 declaring certain categories of aid compatible with the internal market in application of Articles 107 and 108 of the Treaty (General Block Exemption Regulation);</w:t>
            </w:r>
          </w:p>
          <w:p w14:paraId="10456B88"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The Regulation of the Minister of Science and Higher Education of 17 September 2010 on the detailed mode of performance of tasks of the National Centre for Research and Development</w:t>
            </w:r>
            <w:r w:rsidRPr="000053F4">
              <w:rPr>
                <w:rFonts w:asciiTheme="minorHAnsi" w:eastAsia="Calibri" w:hAnsiTheme="minorHAnsi"/>
                <w:sz w:val="20"/>
                <w:szCs w:val="20"/>
                <w:lang w:val="en-GB"/>
              </w:rPr>
              <w:t>.</w:t>
            </w:r>
          </w:p>
        </w:tc>
      </w:tr>
      <w:tr w:rsidR="00AF1805" w:rsidRPr="002F6FB7" w14:paraId="6E7E6FCA" w14:textId="77777777" w:rsidTr="00AF1805">
        <w:trPr>
          <w:trHeight w:val="360"/>
        </w:trPr>
        <w:tc>
          <w:tcPr>
            <w:tcW w:w="2491" w:type="dxa"/>
            <w:shd w:val="clear" w:color="auto" w:fill="B4C6E7" w:themeFill="accent1" w:themeFillTint="66"/>
            <w:vAlign w:val="center"/>
          </w:tcPr>
          <w:p w14:paraId="3957C609" w14:textId="77777777" w:rsidR="00AF1805" w:rsidRPr="00E11383" w:rsidRDefault="00AF1805" w:rsidP="00186D18">
            <w:pPr>
              <w:spacing w:after="0"/>
              <w:ind w:left="34"/>
              <w:rPr>
                <w:rFonts w:cs="Calibri"/>
                <w:sz w:val="20"/>
                <w:lang w:val="en-GB" w:eastAsia="de-DE"/>
              </w:rPr>
            </w:pPr>
            <w:r w:rsidRPr="00E11383">
              <w:rPr>
                <w:rFonts w:cs="Calibri"/>
                <w:sz w:val="20"/>
                <w:lang w:val="en-GB" w:eastAsia="de-DE"/>
              </w:rPr>
              <w:lastRenderedPageBreak/>
              <w:t>Eligible costs</w:t>
            </w:r>
          </w:p>
        </w:tc>
        <w:tc>
          <w:tcPr>
            <w:tcW w:w="11254" w:type="dxa"/>
            <w:vAlign w:val="center"/>
          </w:tcPr>
          <w:p w14:paraId="77551438"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Maximum funding per grant awarded to a project partner – </w:t>
            </w:r>
          </w:p>
          <w:p w14:paraId="15F59717"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up to 350.000 EUR for one Polish partner in the project </w:t>
            </w:r>
          </w:p>
          <w:p w14:paraId="09B212D1"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up to 400.000 EUR for all Polish partners in the project.</w:t>
            </w:r>
          </w:p>
          <w:p w14:paraId="2E606A82" w14:textId="77777777" w:rsidR="00AF1805" w:rsidRDefault="00AF1805" w:rsidP="00186D18">
            <w:pPr>
              <w:spacing w:after="0"/>
              <w:rPr>
                <w:rFonts w:asciiTheme="minorHAnsi" w:hAnsiTheme="minorHAnsi"/>
                <w:sz w:val="20"/>
                <w:szCs w:val="20"/>
                <w:lang w:val="en-GB"/>
              </w:rPr>
            </w:pPr>
          </w:p>
          <w:p w14:paraId="0F889E04" w14:textId="70D8206A"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The eligible costs shall be the following: </w:t>
            </w:r>
          </w:p>
          <w:p w14:paraId="0722BAE0"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1. </w:t>
            </w:r>
            <w:r w:rsidRPr="000053F4">
              <w:rPr>
                <w:rFonts w:asciiTheme="minorHAnsi" w:hAnsiTheme="minorHAnsi"/>
                <w:b/>
                <w:bCs/>
                <w:sz w:val="20"/>
                <w:szCs w:val="20"/>
                <w:lang w:val="en-GB"/>
              </w:rPr>
              <w:t>personnel costs</w:t>
            </w:r>
            <w:r w:rsidRPr="000053F4">
              <w:rPr>
                <w:rFonts w:asciiTheme="minorHAnsi" w:hAnsiTheme="minorHAnsi"/>
                <w:sz w:val="20"/>
                <w:szCs w:val="20"/>
                <w:lang w:val="en-GB"/>
              </w:rPr>
              <w:t xml:space="preserve"> (researchers, technicians and other supporting staff to the extent employed on the research project); </w:t>
            </w:r>
          </w:p>
          <w:p w14:paraId="5A67D86C"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2. </w:t>
            </w:r>
            <w:r w:rsidRPr="000053F4">
              <w:rPr>
                <w:rFonts w:asciiTheme="minorHAnsi" w:hAnsiTheme="minorHAnsi"/>
                <w:b/>
                <w:bCs/>
                <w:sz w:val="20"/>
                <w:szCs w:val="20"/>
                <w:lang w:val="en-GB"/>
              </w:rPr>
              <w:t>costs of subcontracting, costs of consultancy and equivalent services</w:t>
            </w:r>
            <w:r w:rsidRPr="000053F4">
              <w:rPr>
                <w:rFonts w:asciiTheme="minorHAnsi" w:hAnsiTheme="minorHAnsi"/>
                <w:sz w:val="20"/>
                <w:szCs w:val="20"/>
                <w:lang w:val="en-GB"/>
              </w:rPr>
              <w:t xml:space="preserve"> used exclusively for the research activity; this cost type cannot account for more than 70% of all eligible costs of a project; the subcontracting can be obtained from consortium partner only in justified case, this need will be verified by a national experts panel</w:t>
            </w:r>
          </w:p>
          <w:p w14:paraId="5CE69826"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3. </w:t>
            </w:r>
            <w:r w:rsidRPr="000053F4">
              <w:rPr>
                <w:rFonts w:asciiTheme="minorHAnsi" w:hAnsiTheme="minorHAnsi"/>
                <w:b/>
                <w:bCs/>
                <w:sz w:val="20"/>
                <w:szCs w:val="20"/>
                <w:lang w:val="en-GB"/>
              </w:rPr>
              <w:t>operating costs including</w:t>
            </w:r>
            <w:r w:rsidRPr="000053F4">
              <w:rPr>
                <w:rFonts w:asciiTheme="minorHAnsi" w:hAnsiTheme="minorHAnsi"/>
                <w:sz w:val="20"/>
                <w:szCs w:val="20"/>
                <w:lang w:val="en-GB"/>
              </w:rPr>
              <w:t xml:space="preserve"> (depending on the type of eligible institution): </w:t>
            </w:r>
          </w:p>
          <w:p w14:paraId="1567DFBF" w14:textId="77777777" w:rsidR="00AF1805" w:rsidRPr="000053F4" w:rsidRDefault="00AF1805" w:rsidP="00186D18">
            <w:pPr>
              <w:spacing w:after="0"/>
              <w:rPr>
                <w:rFonts w:asciiTheme="minorHAnsi" w:hAnsiTheme="minorHAnsi"/>
                <w:b/>
                <w:bCs/>
                <w:sz w:val="20"/>
                <w:szCs w:val="20"/>
                <w:u w:val="single"/>
                <w:lang w:val="en-GB"/>
              </w:rPr>
            </w:pPr>
            <w:r w:rsidRPr="000053F4">
              <w:rPr>
                <w:rFonts w:asciiTheme="minorHAnsi" w:hAnsiTheme="minorHAnsi"/>
                <w:b/>
                <w:bCs/>
                <w:sz w:val="20"/>
                <w:szCs w:val="20"/>
                <w:u w:val="single"/>
                <w:lang w:val="en-GB"/>
              </w:rPr>
              <w:lastRenderedPageBreak/>
              <w:t xml:space="preserve">Research Organizations: </w:t>
            </w:r>
          </w:p>
          <w:p w14:paraId="4CFF521E"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 xml:space="preserve">costs of instruments and equipment, technical knowledge and patents to the extent and for the period used for the research project; if such instruments and equipment are not used for their full life for the research project, only the depreciation costs corresponding to the life of the research project, as calculated on the basis of good accounting practice, shall be considered eligible; </w:t>
            </w:r>
          </w:p>
          <w:p w14:paraId="79FE176C"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costs for buildings and land, to the extent and for the duration used for the research project; with regard to buildings, only the depreciation costs corresponding to the life of the research project, as calculated on the basis of good accounting practice shall be considered eligible; for land, costs of commercial transfer or actually incurred capital costs shall be eligible;</w:t>
            </w:r>
          </w:p>
          <w:p w14:paraId="23D571DD"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other operating costs including: costs of materials, supplies and similar products incurred directly as a result of the research activity; training costs; travel costs including conference fees; cost of required external audit, costs of project promotion (e.g. articles, project webpage);</w:t>
            </w:r>
          </w:p>
          <w:p w14:paraId="508A5673" w14:textId="77777777" w:rsidR="00AF1805" w:rsidRDefault="00AF1805" w:rsidP="00186D18">
            <w:pPr>
              <w:spacing w:after="0"/>
              <w:rPr>
                <w:rFonts w:asciiTheme="minorHAnsi" w:hAnsiTheme="minorHAnsi"/>
                <w:b/>
                <w:bCs/>
                <w:sz w:val="20"/>
                <w:szCs w:val="20"/>
                <w:u w:val="single"/>
                <w:lang w:val="en-GB"/>
              </w:rPr>
            </w:pPr>
          </w:p>
          <w:p w14:paraId="4E7DE6DA" w14:textId="3AB518EF" w:rsidR="00AF1805" w:rsidRPr="000053F4" w:rsidRDefault="00AF1805" w:rsidP="00186D18">
            <w:pPr>
              <w:spacing w:after="0"/>
              <w:rPr>
                <w:rFonts w:asciiTheme="minorHAnsi" w:hAnsiTheme="minorHAnsi"/>
                <w:b/>
                <w:bCs/>
                <w:sz w:val="20"/>
                <w:szCs w:val="20"/>
                <w:u w:val="single"/>
                <w:lang w:val="en-GB"/>
              </w:rPr>
            </w:pPr>
            <w:r w:rsidRPr="000053F4">
              <w:rPr>
                <w:rFonts w:asciiTheme="minorHAnsi" w:hAnsiTheme="minorHAnsi"/>
                <w:b/>
                <w:bCs/>
                <w:sz w:val="20"/>
                <w:szCs w:val="20"/>
                <w:u w:val="single"/>
                <w:lang w:val="en-GB"/>
              </w:rPr>
              <w:t xml:space="preserve">Enterprises: </w:t>
            </w:r>
          </w:p>
          <w:p w14:paraId="4F0E228B"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 xml:space="preserve">costs of instruments and equipment, technical knowledge and patents to the extent and for the period used for the research project; if such instruments and equipment are not used for their full life for the research project, only the depreciation costs corresponding to the life of the research project, as calculated on the basis of good accounting practice, shall be considered eligible; </w:t>
            </w:r>
          </w:p>
          <w:p w14:paraId="6C50172B" w14:textId="77777777" w:rsidR="00AF1805" w:rsidRPr="000053F4" w:rsidRDefault="00AF1805" w:rsidP="00AF1805">
            <w:pPr>
              <w:pStyle w:val="Akapitzlist"/>
              <w:numPr>
                <w:ilvl w:val="0"/>
                <w:numId w:val="2"/>
              </w:numPr>
              <w:tabs>
                <w:tab w:val="left" w:pos="207"/>
              </w:tabs>
              <w:spacing w:after="0"/>
              <w:ind w:left="515"/>
              <w:rPr>
                <w:rFonts w:asciiTheme="minorHAnsi" w:hAnsiTheme="minorHAnsi"/>
                <w:sz w:val="20"/>
                <w:szCs w:val="20"/>
                <w:lang w:val="en-GB"/>
              </w:rPr>
            </w:pPr>
            <w:r w:rsidRPr="000053F4">
              <w:rPr>
                <w:rFonts w:asciiTheme="minorHAnsi" w:hAnsiTheme="minorHAnsi"/>
                <w:sz w:val="20"/>
                <w:szCs w:val="20"/>
                <w:lang w:val="en-GB"/>
              </w:rPr>
              <w:t xml:space="preserve">costs for buildings and land, to the extent and for the duration used for the research project; with regard to buildings, only the depreciation costs corresponding to the life of the research project, as calculated on the basis of good accounting practice shall be considered eligible; for land, costs of commercial transfer or actually incurred capital costs shall be eligible. </w:t>
            </w:r>
          </w:p>
          <w:p w14:paraId="5795C34E"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4. </w:t>
            </w:r>
            <w:r w:rsidRPr="000053F4">
              <w:rPr>
                <w:rFonts w:asciiTheme="minorHAnsi" w:hAnsiTheme="minorHAnsi"/>
                <w:b/>
                <w:bCs/>
                <w:sz w:val="20"/>
                <w:szCs w:val="20"/>
                <w:lang w:val="en-GB"/>
              </w:rPr>
              <w:t>additional overheads</w:t>
            </w:r>
            <w:r w:rsidRPr="000053F4">
              <w:rPr>
                <w:rFonts w:asciiTheme="minorHAnsi" w:hAnsiTheme="minorHAnsi"/>
                <w:sz w:val="20"/>
                <w:szCs w:val="20"/>
                <w:lang w:val="en-GB"/>
              </w:rPr>
              <w:t xml:space="preserve"> incurred indirectly as a result of the research project (depending on the type of eligible institution); </w:t>
            </w:r>
          </w:p>
          <w:p w14:paraId="5BBB478F" w14:textId="77777777" w:rsidR="00AF1805" w:rsidRDefault="00AF1805" w:rsidP="00186D18">
            <w:pPr>
              <w:spacing w:after="0"/>
              <w:rPr>
                <w:rFonts w:asciiTheme="minorHAnsi" w:hAnsiTheme="minorHAnsi"/>
                <w:b/>
                <w:bCs/>
                <w:sz w:val="20"/>
                <w:szCs w:val="20"/>
                <w:u w:val="single"/>
                <w:lang w:val="en-GB"/>
              </w:rPr>
            </w:pPr>
          </w:p>
          <w:p w14:paraId="27727CC0" w14:textId="4EA99B65" w:rsidR="00AF1805" w:rsidRPr="000053F4" w:rsidRDefault="00AF1805" w:rsidP="00186D18">
            <w:pPr>
              <w:spacing w:after="0"/>
              <w:rPr>
                <w:rFonts w:asciiTheme="minorHAnsi" w:hAnsiTheme="minorHAnsi"/>
                <w:b/>
                <w:bCs/>
                <w:sz w:val="20"/>
                <w:szCs w:val="20"/>
                <w:u w:val="single"/>
                <w:lang w:val="en-GB"/>
              </w:rPr>
            </w:pPr>
            <w:r w:rsidRPr="000053F4">
              <w:rPr>
                <w:rFonts w:asciiTheme="minorHAnsi" w:hAnsiTheme="minorHAnsi"/>
                <w:b/>
                <w:bCs/>
                <w:sz w:val="20"/>
                <w:szCs w:val="20"/>
                <w:u w:val="single"/>
                <w:lang w:val="en-GB"/>
              </w:rPr>
              <w:t xml:space="preserve">Research Organizations: </w:t>
            </w:r>
          </w:p>
          <w:p w14:paraId="6E289D6D"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additional overheads for research organizations should account 25% of all eligible direct costs; That costs (4) are counted as a multiplication by percentage given above (called x%) and the rest of direct costs for research organizations, excluding subcontracting (2); It means 4=(1+3)*25%. </w:t>
            </w:r>
          </w:p>
          <w:p w14:paraId="272C49F9" w14:textId="77777777" w:rsidR="00AF1805" w:rsidRPr="000053F4" w:rsidRDefault="00AF1805" w:rsidP="00186D18">
            <w:pPr>
              <w:spacing w:after="0"/>
              <w:rPr>
                <w:rFonts w:asciiTheme="minorHAnsi" w:hAnsiTheme="minorHAnsi"/>
                <w:b/>
                <w:bCs/>
                <w:sz w:val="20"/>
                <w:szCs w:val="20"/>
                <w:lang w:val="en-GB"/>
              </w:rPr>
            </w:pPr>
            <w:r w:rsidRPr="000053F4">
              <w:rPr>
                <w:rFonts w:asciiTheme="minorHAnsi" w:hAnsiTheme="minorHAnsi"/>
                <w:b/>
                <w:bCs/>
                <w:sz w:val="20"/>
                <w:szCs w:val="20"/>
                <w:lang w:val="en-GB"/>
              </w:rPr>
              <w:t>Enterprises:</w:t>
            </w:r>
          </w:p>
          <w:p w14:paraId="691E942B"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additional overheads for enterprises include also other operating costs, </w:t>
            </w:r>
            <w:proofErr w:type="spellStart"/>
            <w:r w:rsidRPr="000053F4">
              <w:rPr>
                <w:rFonts w:asciiTheme="minorHAnsi" w:hAnsiTheme="minorHAnsi"/>
                <w:sz w:val="20"/>
                <w:szCs w:val="20"/>
                <w:lang w:val="en-GB"/>
              </w:rPr>
              <w:t>eg.</w:t>
            </w:r>
            <w:proofErr w:type="spellEnd"/>
            <w:r w:rsidRPr="000053F4">
              <w:rPr>
                <w:rFonts w:asciiTheme="minorHAnsi" w:hAnsiTheme="minorHAnsi"/>
                <w:sz w:val="20"/>
                <w:szCs w:val="20"/>
                <w:lang w:val="en-GB"/>
              </w:rPr>
              <w:t xml:space="preserve"> costs of materials, supplies and similar products incurred directly as a result of the research activity, training costs; travel costs including conference fees; cost of required external audit, costs of project promotion (e.g. articles, project webpage). That costs should account 20% of all eligible direct project costs; </w:t>
            </w:r>
          </w:p>
          <w:p w14:paraId="55273719"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 xml:space="preserve">Additional overheads (4) are counted as a multiplication by percentage given above (called x%) and the rest of direct costs for enterprises; It means 4=(1+2+3)*20%. </w:t>
            </w:r>
          </w:p>
          <w:p w14:paraId="5C798F20"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lastRenderedPageBreak/>
              <w:t>Projects requesting more than PLN 3 million funding are entitled to claim the cost of the audit. For more details on eligible costs, please check the guidelines in the call announcement on NCBR webpage.</w:t>
            </w:r>
          </w:p>
          <w:p w14:paraId="3E749EAF"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Funding quota for Polish participants may be up to 100% for universities and research organisations. In case of enterprises, funding quota will be decided on a case-by-case basis depending on the size of the company and type of research/development under Section 2 of the Regulation of the Minister of Science and Higher Education of 19 August 2020 on granting state aid by the National Centre for Research and Development, published in Journal of Laws item 1456, 2020.</w:t>
            </w:r>
          </w:p>
          <w:p w14:paraId="1AF8742C" w14:textId="77777777" w:rsidR="00AF1805" w:rsidRPr="000053F4" w:rsidRDefault="00AF1805" w:rsidP="00186D18">
            <w:pPr>
              <w:spacing w:after="0"/>
              <w:rPr>
                <w:rFonts w:asciiTheme="minorHAnsi" w:hAnsiTheme="minorHAnsi"/>
                <w:sz w:val="20"/>
                <w:szCs w:val="20"/>
                <w:lang w:val="en-GB"/>
              </w:rPr>
            </w:pPr>
            <w:r w:rsidRPr="000053F4">
              <w:rPr>
                <w:rFonts w:asciiTheme="minorHAnsi" w:hAnsiTheme="minorHAnsi"/>
                <w:sz w:val="20"/>
                <w:szCs w:val="20"/>
                <w:lang w:val="en-GB"/>
              </w:rPr>
              <w:t>In any case only Industrial Research and Experimental Development will be funded. Other type of activities (e.g. coordination, dissemination, management) cannot be included into separate task.</w:t>
            </w:r>
          </w:p>
          <w:p w14:paraId="75541A2B" w14:textId="367CE7DF" w:rsidR="00AF1805" w:rsidRPr="00AF1805" w:rsidRDefault="00AF1805" w:rsidP="00AF1805">
            <w:pPr>
              <w:spacing w:after="0"/>
              <w:rPr>
                <w:rFonts w:asciiTheme="minorHAnsi" w:hAnsiTheme="minorHAnsi"/>
                <w:sz w:val="20"/>
                <w:szCs w:val="20"/>
                <w:lang w:val="en-GB"/>
              </w:rPr>
            </w:pPr>
            <w:r w:rsidRPr="000053F4">
              <w:rPr>
                <w:rFonts w:asciiTheme="minorHAnsi" w:hAnsiTheme="minorHAnsi"/>
                <w:sz w:val="20"/>
                <w:szCs w:val="20"/>
                <w:lang w:val="en-GB"/>
              </w:rPr>
              <w:t xml:space="preserve">For entrepreneurs independently undertaking projects at the national level (meaning there is no Polish group of entities or Polish group of enterprises), there is no possibility of increasing the intensity of state aid for industrial research and experimental development based on the condition of effective cooperation between entrepreneurs or between entrepreneurs and research organisations. </w:t>
            </w:r>
          </w:p>
          <w:p w14:paraId="1F627C7B" w14:textId="77777777" w:rsidR="00AF1805" w:rsidRPr="000053F4" w:rsidRDefault="00AF1805" w:rsidP="00186D18">
            <w:pPr>
              <w:spacing w:before="120" w:after="120"/>
              <w:jc w:val="both"/>
              <w:rPr>
                <w:rFonts w:asciiTheme="minorHAnsi" w:hAnsiTheme="minorHAnsi"/>
                <w:sz w:val="20"/>
                <w:szCs w:val="20"/>
                <w:lang w:val="en-GB"/>
              </w:rPr>
            </w:pPr>
            <w:r w:rsidRPr="000053F4">
              <w:rPr>
                <w:rFonts w:asciiTheme="minorHAnsi" w:eastAsia="Calibri" w:hAnsiTheme="minorHAnsi"/>
                <w:spacing w:val="-1"/>
                <w:sz w:val="20"/>
                <w:szCs w:val="20"/>
                <w:lang w:val="en-GB"/>
              </w:rPr>
              <w:t xml:space="preserve">b) </w:t>
            </w:r>
            <w:r w:rsidRPr="000053F4">
              <w:rPr>
                <w:rFonts w:asciiTheme="minorHAnsi" w:hAnsiTheme="minorHAnsi"/>
                <w:sz w:val="20"/>
                <w:szCs w:val="20"/>
                <w:lang w:val="en-GB"/>
              </w:rPr>
              <w:t>Funding rates</w:t>
            </w:r>
          </w:p>
          <w:p w14:paraId="204E308F" w14:textId="77777777" w:rsidR="00AF1805" w:rsidRPr="000053F4" w:rsidRDefault="00AF1805" w:rsidP="00186D18">
            <w:pPr>
              <w:spacing w:before="120" w:after="120"/>
              <w:jc w:val="both"/>
              <w:rPr>
                <w:rFonts w:asciiTheme="minorHAnsi" w:eastAsia="Calibri" w:hAnsiTheme="minorHAnsi"/>
                <w:spacing w:val="-1"/>
                <w:sz w:val="20"/>
                <w:szCs w:val="20"/>
                <w:lang w:val="en-GB"/>
              </w:rPr>
            </w:pPr>
            <w:r w:rsidRPr="000053F4">
              <w:rPr>
                <w:rFonts w:asciiTheme="minorHAnsi" w:hAnsiTheme="minorHAnsi"/>
                <w:sz w:val="20"/>
                <w:szCs w:val="20"/>
                <w:lang w:val="en-GB"/>
              </w:rPr>
              <w:t>Maximum funding</w:t>
            </w:r>
            <w:r w:rsidRPr="000053F4">
              <w:rPr>
                <w:rFonts w:asciiTheme="minorHAnsi" w:eastAsia="Calibri" w:hAnsiTheme="minorHAnsi"/>
                <w:spacing w:val="-1"/>
                <w:sz w:val="20"/>
                <w:szCs w:val="20"/>
                <w:lang w:val="en-GB"/>
              </w:rPr>
              <w:t xml:space="preserve"> percentages:</w:t>
            </w:r>
          </w:p>
          <w:tbl>
            <w:tblPr>
              <w:tblW w:w="0" w:type="auto"/>
              <w:tblCellMar>
                <w:left w:w="70" w:type="dxa"/>
                <w:right w:w="70" w:type="dxa"/>
              </w:tblCellMar>
              <w:tblLook w:val="04A0" w:firstRow="1" w:lastRow="0" w:firstColumn="1" w:lastColumn="0" w:noHBand="0" w:noVBand="1"/>
            </w:tblPr>
            <w:tblGrid>
              <w:gridCol w:w="2777"/>
              <w:gridCol w:w="1291"/>
              <w:gridCol w:w="2399"/>
              <w:gridCol w:w="3290"/>
            </w:tblGrid>
            <w:tr w:rsidR="00AF1805" w:rsidRPr="000053F4" w14:paraId="739273CD" w14:textId="77777777" w:rsidTr="00186D18">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A86D" w14:textId="77777777" w:rsidR="00AF1805" w:rsidRPr="003F6CB7" w:rsidRDefault="00AF1805" w:rsidP="00186D18">
                  <w:pPr>
                    <w:framePr w:hSpace="180" w:wrap="around" w:vAnchor="text" w:hAnchor="text" w:x="-10" w:y="159"/>
                    <w:rPr>
                      <w:rFonts w:asciiTheme="minorHAnsi" w:eastAsia="Times New Roman" w:hAnsiTheme="minorHAnsi"/>
                      <w:color w:val="000000"/>
                      <w:sz w:val="19"/>
                      <w:szCs w:val="19"/>
                      <w:lang w:val="en-GB" w:eastAsia="fr-FR"/>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AF4C90"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Basic research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1930F6"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Industrial/Applied Research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7848EC"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Experimental development/innovation</w:t>
                  </w:r>
                </w:p>
              </w:tc>
            </w:tr>
            <w:tr w:rsidR="00AF1805" w:rsidRPr="000053F4" w14:paraId="42F3C5C3" w14:textId="77777777" w:rsidTr="00AF1805">
              <w:trPr>
                <w:trHeight w:val="134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5471793B"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Large Enterprises</w:t>
                  </w:r>
                </w:p>
              </w:tc>
              <w:tc>
                <w:tcPr>
                  <w:tcW w:w="0" w:type="auto"/>
                  <w:tcBorders>
                    <w:top w:val="nil"/>
                    <w:left w:val="nil"/>
                    <w:bottom w:val="single" w:sz="4" w:space="0" w:color="auto"/>
                    <w:right w:val="single" w:sz="4" w:space="0" w:color="auto"/>
                  </w:tcBorders>
                  <w:shd w:val="clear" w:color="auto" w:fill="auto"/>
                  <w:vAlign w:val="center"/>
                  <w:hideMark/>
                </w:tcPr>
                <w:p w14:paraId="2044ACB8"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hideMark/>
                </w:tcPr>
                <w:p w14:paraId="05A2D1FC"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Up to</w:t>
                  </w:r>
                </w:p>
                <w:p w14:paraId="525E5A6E"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 xml:space="preserve">50+5/15/25 </w:t>
                  </w:r>
                  <w:r w:rsidRPr="003F6CB7">
                    <w:rPr>
                      <w:rFonts w:asciiTheme="minorHAnsi" w:hAnsiTheme="minorHAnsi"/>
                      <w:sz w:val="19"/>
                      <w:szCs w:val="19"/>
                      <w:lang w:val="en-US"/>
                    </w:rPr>
                    <w:br/>
                    <w:t>(max 75 %)</w:t>
                  </w:r>
                </w:p>
              </w:tc>
              <w:tc>
                <w:tcPr>
                  <w:tcW w:w="0" w:type="auto"/>
                  <w:tcBorders>
                    <w:top w:val="nil"/>
                    <w:left w:val="nil"/>
                    <w:bottom w:val="single" w:sz="4" w:space="0" w:color="auto"/>
                    <w:right w:val="single" w:sz="4" w:space="0" w:color="auto"/>
                  </w:tcBorders>
                  <w:shd w:val="clear" w:color="auto" w:fill="auto"/>
                  <w:vAlign w:val="center"/>
                  <w:hideMark/>
                </w:tcPr>
                <w:p w14:paraId="08C01C69"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Up to</w:t>
                  </w:r>
                </w:p>
                <w:p w14:paraId="4D0E9194"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25+5/15/25 (max 50 %)</w:t>
                  </w:r>
                </w:p>
              </w:tc>
            </w:tr>
            <w:tr w:rsidR="00AF1805" w:rsidRPr="000053F4" w14:paraId="522F8283" w14:textId="77777777" w:rsidTr="00186D18">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1CF6B25E"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Medium Enterprises</w:t>
                  </w:r>
                </w:p>
              </w:tc>
              <w:tc>
                <w:tcPr>
                  <w:tcW w:w="0" w:type="auto"/>
                  <w:tcBorders>
                    <w:top w:val="nil"/>
                    <w:left w:val="nil"/>
                    <w:bottom w:val="single" w:sz="4" w:space="0" w:color="auto"/>
                    <w:right w:val="single" w:sz="4" w:space="0" w:color="auto"/>
                  </w:tcBorders>
                  <w:shd w:val="clear" w:color="auto" w:fill="auto"/>
                  <w:vAlign w:val="center"/>
                  <w:hideMark/>
                </w:tcPr>
                <w:p w14:paraId="3F258289"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hideMark/>
                </w:tcPr>
                <w:p w14:paraId="1D0D9910"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Up to</w:t>
                  </w:r>
                </w:p>
                <w:p w14:paraId="2DB5C5BE"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 xml:space="preserve">50+10+5/15/25 </w:t>
                  </w:r>
                  <w:r w:rsidRPr="003F6CB7">
                    <w:rPr>
                      <w:rFonts w:asciiTheme="minorHAnsi" w:hAnsiTheme="minorHAnsi"/>
                      <w:sz w:val="19"/>
                      <w:szCs w:val="19"/>
                      <w:lang w:val="en-US"/>
                    </w:rPr>
                    <w:br/>
                    <w:t>(max 80 %)</w:t>
                  </w:r>
                </w:p>
              </w:tc>
              <w:tc>
                <w:tcPr>
                  <w:tcW w:w="0" w:type="auto"/>
                  <w:tcBorders>
                    <w:top w:val="nil"/>
                    <w:left w:val="nil"/>
                    <w:bottom w:val="single" w:sz="4" w:space="0" w:color="auto"/>
                    <w:right w:val="single" w:sz="4" w:space="0" w:color="auto"/>
                  </w:tcBorders>
                  <w:shd w:val="clear" w:color="auto" w:fill="auto"/>
                  <w:vAlign w:val="center"/>
                  <w:hideMark/>
                </w:tcPr>
                <w:p w14:paraId="316FD614"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Up to</w:t>
                  </w:r>
                </w:p>
                <w:p w14:paraId="2A747EC1"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 xml:space="preserve">25+10+5/15/25 </w:t>
                  </w:r>
                  <w:r w:rsidRPr="003F6CB7">
                    <w:rPr>
                      <w:rFonts w:asciiTheme="minorHAnsi" w:hAnsiTheme="minorHAnsi"/>
                      <w:sz w:val="19"/>
                      <w:szCs w:val="19"/>
                      <w:lang w:val="en-US"/>
                    </w:rPr>
                    <w:br/>
                    <w:t>(max 60 %)</w:t>
                  </w:r>
                </w:p>
              </w:tc>
            </w:tr>
            <w:tr w:rsidR="00AF1805" w:rsidRPr="000053F4" w14:paraId="604FD81C" w14:textId="77777777" w:rsidTr="00186D18">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03AEB19D"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Small Enterprises</w:t>
                  </w:r>
                </w:p>
              </w:tc>
              <w:tc>
                <w:tcPr>
                  <w:tcW w:w="0" w:type="auto"/>
                  <w:tcBorders>
                    <w:top w:val="nil"/>
                    <w:left w:val="nil"/>
                    <w:bottom w:val="single" w:sz="4" w:space="0" w:color="auto"/>
                    <w:right w:val="single" w:sz="4" w:space="0" w:color="auto"/>
                  </w:tcBorders>
                  <w:shd w:val="clear" w:color="auto" w:fill="auto"/>
                  <w:vAlign w:val="center"/>
                  <w:hideMark/>
                </w:tcPr>
                <w:p w14:paraId="5FE0753A"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vAlign w:val="center"/>
                  <w:hideMark/>
                </w:tcPr>
                <w:p w14:paraId="40FE1DD1"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Up to</w:t>
                  </w:r>
                </w:p>
                <w:p w14:paraId="6FCABC68"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 xml:space="preserve">50+20+5/15/25 </w:t>
                  </w:r>
                  <w:r w:rsidRPr="003F6CB7">
                    <w:rPr>
                      <w:rFonts w:asciiTheme="minorHAnsi" w:hAnsiTheme="minorHAnsi"/>
                      <w:sz w:val="19"/>
                      <w:szCs w:val="19"/>
                      <w:lang w:val="en-US"/>
                    </w:rPr>
                    <w:br/>
                    <w:t>(max 80 %)</w:t>
                  </w:r>
                </w:p>
              </w:tc>
              <w:tc>
                <w:tcPr>
                  <w:tcW w:w="0" w:type="auto"/>
                  <w:tcBorders>
                    <w:top w:val="nil"/>
                    <w:left w:val="nil"/>
                    <w:bottom w:val="single" w:sz="4" w:space="0" w:color="auto"/>
                    <w:right w:val="single" w:sz="4" w:space="0" w:color="auto"/>
                  </w:tcBorders>
                  <w:shd w:val="clear" w:color="auto" w:fill="auto"/>
                  <w:vAlign w:val="center"/>
                  <w:hideMark/>
                </w:tcPr>
                <w:p w14:paraId="4FAAC7AF"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Up to</w:t>
                  </w:r>
                </w:p>
                <w:p w14:paraId="65BB5F9C" w14:textId="77777777" w:rsidR="00AF1805" w:rsidRPr="003F6CB7" w:rsidRDefault="00AF1805" w:rsidP="00186D18">
                  <w:pPr>
                    <w:framePr w:hSpace="180" w:wrap="around" w:vAnchor="text" w:hAnchor="text" w:x="-10" w:y="159"/>
                    <w:contextualSpacing/>
                    <w:jc w:val="center"/>
                    <w:rPr>
                      <w:rFonts w:asciiTheme="minorHAnsi" w:hAnsiTheme="minorHAnsi"/>
                      <w:sz w:val="19"/>
                      <w:szCs w:val="19"/>
                      <w:lang w:val="en-US"/>
                    </w:rPr>
                  </w:pPr>
                  <w:r w:rsidRPr="003F6CB7">
                    <w:rPr>
                      <w:rFonts w:asciiTheme="minorHAnsi" w:hAnsiTheme="minorHAnsi"/>
                      <w:sz w:val="19"/>
                      <w:szCs w:val="19"/>
                      <w:lang w:val="en-US"/>
                    </w:rPr>
                    <w:t xml:space="preserve">25+20+5/15/25 </w:t>
                  </w:r>
                  <w:r w:rsidRPr="003F6CB7">
                    <w:rPr>
                      <w:rFonts w:asciiTheme="minorHAnsi" w:hAnsiTheme="minorHAnsi"/>
                      <w:sz w:val="19"/>
                      <w:szCs w:val="19"/>
                      <w:lang w:val="en-US"/>
                    </w:rPr>
                    <w:br/>
                    <w:t>(max 70 %)</w:t>
                  </w:r>
                </w:p>
              </w:tc>
            </w:tr>
            <w:tr w:rsidR="00AF1805" w:rsidRPr="000053F4" w14:paraId="0E336339" w14:textId="77777777" w:rsidTr="00186D18">
              <w:trPr>
                <w:trHeight w:val="671"/>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72228E59"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lastRenderedPageBreak/>
                    <w:t xml:space="preserve">Universities, public research </w:t>
                  </w:r>
                  <w:proofErr w:type="spellStart"/>
                  <w:r w:rsidRPr="003F6CB7">
                    <w:rPr>
                      <w:rFonts w:asciiTheme="minorHAnsi" w:hAnsiTheme="minorHAnsi"/>
                      <w:b/>
                      <w:bCs/>
                      <w:sz w:val="19"/>
                      <w:szCs w:val="19"/>
                      <w:lang w:val="en-US"/>
                    </w:rPr>
                    <w:t>organisations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BBE6EA"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vAlign w:val="center"/>
                  <w:hideMark/>
                </w:tcPr>
                <w:p w14:paraId="6D967F23"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Up to 100%</w:t>
                  </w:r>
                </w:p>
              </w:tc>
              <w:tc>
                <w:tcPr>
                  <w:tcW w:w="0" w:type="auto"/>
                  <w:tcBorders>
                    <w:top w:val="nil"/>
                    <w:left w:val="nil"/>
                    <w:bottom w:val="single" w:sz="4" w:space="0" w:color="auto"/>
                    <w:right w:val="single" w:sz="4" w:space="0" w:color="auto"/>
                  </w:tcBorders>
                  <w:shd w:val="clear" w:color="auto" w:fill="auto"/>
                  <w:vAlign w:val="center"/>
                  <w:hideMark/>
                </w:tcPr>
                <w:p w14:paraId="419863A4"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Up to 100%</w:t>
                  </w:r>
                </w:p>
              </w:tc>
            </w:tr>
            <w:tr w:rsidR="00AF1805" w:rsidRPr="000053F4" w14:paraId="26045190" w14:textId="77777777" w:rsidTr="00186D18">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6472309C"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 xml:space="preserve">Public authorities </w:t>
                  </w:r>
                </w:p>
              </w:tc>
              <w:tc>
                <w:tcPr>
                  <w:tcW w:w="0" w:type="auto"/>
                  <w:tcBorders>
                    <w:top w:val="nil"/>
                    <w:left w:val="nil"/>
                    <w:bottom w:val="single" w:sz="4" w:space="0" w:color="auto"/>
                    <w:right w:val="single" w:sz="4" w:space="0" w:color="auto"/>
                  </w:tcBorders>
                  <w:shd w:val="clear" w:color="auto" w:fill="auto"/>
                  <w:vAlign w:val="center"/>
                  <w:hideMark/>
                </w:tcPr>
                <w:p w14:paraId="0BBFC5A3"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vAlign w:val="center"/>
                  <w:hideMark/>
                </w:tcPr>
                <w:p w14:paraId="570DC672"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vAlign w:val="center"/>
                  <w:hideMark/>
                </w:tcPr>
                <w:p w14:paraId="4682E126"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r>
            <w:tr w:rsidR="00AF1805" w:rsidRPr="000053F4" w14:paraId="215B7BA1" w14:textId="77777777" w:rsidTr="00186D18">
              <w:trPr>
                <w:trHeight w:val="20"/>
              </w:trPr>
              <w:tc>
                <w:tcPr>
                  <w:tcW w:w="2777" w:type="dxa"/>
                  <w:tcBorders>
                    <w:top w:val="nil"/>
                    <w:left w:val="single" w:sz="4" w:space="0" w:color="auto"/>
                    <w:bottom w:val="single" w:sz="4" w:space="0" w:color="auto"/>
                    <w:right w:val="single" w:sz="4" w:space="0" w:color="auto"/>
                  </w:tcBorders>
                  <w:shd w:val="clear" w:color="auto" w:fill="auto"/>
                  <w:vAlign w:val="center"/>
                  <w:hideMark/>
                </w:tcPr>
                <w:p w14:paraId="0EB9C43A" w14:textId="77777777" w:rsidR="00AF1805" w:rsidRPr="003F6CB7" w:rsidRDefault="00AF1805" w:rsidP="00186D18">
                  <w:pPr>
                    <w:framePr w:hSpace="180" w:wrap="around" w:vAnchor="text" w:hAnchor="text" w:x="-10" w:y="159"/>
                    <w:jc w:val="center"/>
                    <w:rPr>
                      <w:rFonts w:asciiTheme="minorHAnsi" w:hAnsiTheme="minorHAnsi"/>
                      <w:b/>
                      <w:bCs/>
                      <w:sz w:val="19"/>
                      <w:szCs w:val="19"/>
                      <w:lang w:val="en-US"/>
                    </w:rPr>
                  </w:pPr>
                  <w:r w:rsidRPr="003F6CB7">
                    <w:rPr>
                      <w:rFonts w:asciiTheme="minorHAnsi" w:hAnsiTheme="minorHAnsi"/>
                      <w:b/>
                      <w:bCs/>
                      <w:sz w:val="19"/>
                      <w:szCs w:val="19"/>
                      <w:lang w:val="en-US"/>
                    </w:rPr>
                    <w:t>Associations without economic activities, NGOs</w:t>
                  </w:r>
                </w:p>
              </w:tc>
              <w:tc>
                <w:tcPr>
                  <w:tcW w:w="0" w:type="auto"/>
                  <w:tcBorders>
                    <w:top w:val="nil"/>
                    <w:left w:val="nil"/>
                    <w:bottom w:val="single" w:sz="4" w:space="0" w:color="auto"/>
                    <w:right w:val="single" w:sz="4" w:space="0" w:color="auto"/>
                  </w:tcBorders>
                  <w:shd w:val="clear" w:color="auto" w:fill="auto"/>
                  <w:vAlign w:val="center"/>
                  <w:hideMark/>
                </w:tcPr>
                <w:p w14:paraId="07A9A06B"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vAlign w:val="center"/>
                  <w:hideMark/>
                </w:tcPr>
                <w:p w14:paraId="117BD6F5"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c>
                <w:tcPr>
                  <w:tcW w:w="0" w:type="auto"/>
                  <w:tcBorders>
                    <w:top w:val="nil"/>
                    <w:left w:val="nil"/>
                    <w:bottom w:val="single" w:sz="4" w:space="0" w:color="auto"/>
                    <w:right w:val="single" w:sz="4" w:space="0" w:color="auto"/>
                  </w:tcBorders>
                  <w:shd w:val="clear" w:color="auto" w:fill="auto"/>
                  <w:vAlign w:val="center"/>
                  <w:hideMark/>
                </w:tcPr>
                <w:p w14:paraId="56F21D50" w14:textId="77777777" w:rsidR="00AF1805" w:rsidRPr="003F6CB7" w:rsidRDefault="00AF1805" w:rsidP="00186D18">
                  <w:pPr>
                    <w:framePr w:hSpace="180" w:wrap="around" w:vAnchor="text" w:hAnchor="text" w:x="-10" w:y="159"/>
                    <w:jc w:val="center"/>
                    <w:rPr>
                      <w:rFonts w:asciiTheme="minorHAnsi" w:hAnsiTheme="minorHAnsi"/>
                      <w:sz w:val="19"/>
                      <w:szCs w:val="19"/>
                      <w:lang w:val="en-US"/>
                    </w:rPr>
                  </w:pPr>
                  <w:r w:rsidRPr="003F6CB7">
                    <w:rPr>
                      <w:rFonts w:asciiTheme="minorHAnsi" w:hAnsiTheme="minorHAnsi"/>
                      <w:sz w:val="19"/>
                      <w:szCs w:val="19"/>
                      <w:lang w:val="en-US"/>
                    </w:rPr>
                    <w:t>not eligible</w:t>
                  </w:r>
                </w:p>
              </w:tc>
            </w:tr>
          </w:tbl>
          <w:p w14:paraId="4DA282BD" w14:textId="77777777" w:rsidR="00AF1805" w:rsidRPr="000053F4" w:rsidRDefault="00AF1805" w:rsidP="00186D18">
            <w:pPr>
              <w:spacing w:after="0"/>
              <w:rPr>
                <w:rFonts w:asciiTheme="minorHAnsi" w:hAnsiTheme="minorHAnsi"/>
                <w:sz w:val="20"/>
                <w:szCs w:val="20"/>
                <w:lang w:val="en-GB"/>
              </w:rPr>
            </w:pPr>
          </w:p>
        </w:tc>
      </w:tr>
      <w:tr w:rsidR="00AF1805" w:rsidRPr="0095298D" w14:paraId="5335D4FC" w14:textId="77777777" w:rsidTr="00AF1805">
        <w:trPr>
          <w:trHeight w:val="360"/>
        </w:trPr>
        <w:tc>
          <w:tcPr>
            <w:tcW w:w="2491" w:type="dxa"/>
            <w:shd w:val="clear" w:color="auto" w:fill="B4C6E7" w:themeFill="accent1" w:themeFillTint="66"/>
            <w:vAlign w:val="center"/>
          </w:tcPr>
          <w:p w14:paraId="03937E24" w14:textId="77777777" w:rsidR="00AF1805" w:rsidRPr="00E11383" w:rsidRDefault="00AF1805" w:rsidP="00186D18">
            <w:pPr>
              <w:spacing w:after="0"/>
              <w:ind w:left="34"/>
              <w:rPr>
                <w:rFonts w:cs="Calibri"/>
                <w:sz w:val="20"/>
                <w:lang w:val="en-GB" w:eastAsia="de-DE"/>
              </w:rPr>
            </w:pPr>
            <w:r w:rsidRPr="00E11383">
              <w:rPr>
                <w:rFonts w:cs="Calibri"/>
                <w:sz w:val="20"/>
                <w:lang w:val="en-GB" w:eastAsia="de-DE"/>
              </w:rPr>
              <w:lastRenderedPageBreak/>
              <w:t>Funding of public-private partnerships allowed</w:t>
            </w:r>
          </w:p>
        </w:tc>
        <w:tc>
          <w:tcPr>
            <w:tcW w:w="11254" w:type="dxa"/>
            <w:shd w:val="clear" w:color="auto" w:fill="auto"/>
            <w:vAlign w:val="center"/>
          </w:tcPr>
          <w:p w14:paraId="4C5AD1F7" w14:textId="77777777" w:rsidR="00AF1805" w:rsidRPr="000053F4" w:rsidRDefault="00AF1805" w:rsidP="00186D18">
            <w:pPr>
              <w:spacing w:after="0"/>
              <w:ind w:left="33"/>
              <w:rPr>
                <w:rFonts w:asciiTheme="minorHAnsi" w:hAnsiTheme="minorHAnsi"/>
                <w:sz w:val="20"/>
                <w:szCs w:val="20"/>
                <w:highlight w:val="yellow"/>
                <w:lang w:val="en-GB" w:eastAsia="de-DE"/>
              </w:rPr>
            </w:pPr>
            <w:r w:rsidRPr="00897362">
              <w:rPr>
                <w:rFonts w:asciiTheme="minorHAnsi" w:hAnsiTheme="minorHAnsi"/>
                <w:sz w:val="20"/>
                <w:szCs w:val="20"/>
                <w:lang w:eastAsia="de-DE"/>
              </w:rPr>
              <w:t>Yes</w:t>
            </w:r>
          </w:p>
        </w:tc>
      </w:tr>
      <w:tr w:rsidR="00AF1805" w:rsidRPr="0082518E" w14:paraId="7AFD2037" w14:textId="77777777" w:rsidTr="00AF1805">
        <w:trPr>
          <w:trHeight w:val="695"/>
        </w:trPr>
        <w:tc>
          <w:tcPr>
            <w:tcW w:w="2491" w:type="dxa"/>
            <w:shd w:val="clear" w:color="auto" w:fill="B4C6E7" w:themeFill="accent1" w:themeFillTint="66"/>
            <w:vAlign w:val="center"/>
          </w:tcPr>
          <w:p w14:paraId="5338A2BC" w14:textId="77777777" w:rsidR="00AF1805" w:rsidRPr="00E11383" w:rsidRDefault="00AF1805" w:rsidP="00186D18">
            <w:pPr>
              <w:spacing w:after="0"/>
              <w:ind w:left="34"/>
              <w:rPr>
                <w:rFonts w:cs="Calibri"/>
                <w:sz w:val="20"/>
                <w:lang w:val="en-GB" w:eastAsia="de-DE"/>
              </w:rPr>
            </w:pPr>
            <w:r w:rsidRPr="00E11383">
              <w:rPr>
                <w:rFonts w:cs="Calibri"/>
                <w:sz w:val="20"/>
                <w:lang w:val="en-GB" w:eastAsia="de-DE"/>
              </w:rPr>
              <w:t>Further guidance</w:t>
            </w:r>
          </w:p>
        </w:tc>
        <w:tc>
          <w:tcPr>
            <w:tcW w:w="11254" w:type="dxa"/>
            <w:vAlign w:val="center"/>
          </w:tcPr>
          <w:p w14:paraId="49F6E317" w14:textId="1828ECBC" w:rsidR="00AF1805" w:rsidRDefault="00AF1805" w:rsidP="00AF1805">
            <w:pPr>
              <w:spacing w:after="0"/>
              <w:ind w:left="33"/>
              <w:rPr>
                <w:rFonts w:asciiTheme="minorHAnsi" w:hAnsiTheme="minorHAnsi"/>
                <w:sz w:val="20"/>
                <w:szCs w:val="20"/>
                <w:lang w:val="en-GB"/>
              </w:rPr>
            </w:pPr>
            <w:r w:rsidRPr="000053F4">
              <w:rPr>
                <w:rFonts w:asciiTheme="minorHAnsi" w:hAnsiTheme="minorHAnsi"/>
                <w:sz w:val="20"/>
                <w:szCs w:val="20"/>
                <w:lang w:val="en-GB"/>
              </w:rPr>
              <w:t xml:space="preserve">Polish Participants will be informed and invited to submit Polish proposal once the international evaluation and the ranking list will be established. Sample documents are available at: </w:t>
            </w:r>
            <w:hyperlink r:id="rId8" w:history="1">
              <w:r w:rsidRPr="006123AC">
                <w:rPr>
                  <w:rStyle w:val="Hipercze"/>
                  <w:rFonts w:asciiTheme="minorHAnsi" w:hAnsiTheme="minorHAnsi"/>
                  <w:sz w:val="20"/>
                  <w:szCs w:val="20"/>
                </w:rPr>
                <w:t>https://www.gov.pl/web/ncbr/wniosek-krajowy</w:t>
              </w:r>
            </w:hyperlink>
          </w:p>
          <w:p w14:paraId="7B202F9B" w14:textId="772E6573" w:rsidR="00AF1805" w:rsidRPr="000053F4" w:rsidRDefault="00AF1805" w:rsidP="00AF1805">
            <w:pPr>
              <w:spacing w:after="0"/>
              <w:ind w:left="33"/>
              <w:rPr>
                <w:rFonts w:asciiTheme="minorHAnsi" w:hAnsiTheme="minorHAnsi"/>
                <w:sz w:val="20"/>
                <w:szCs w:val="20"/>
                <w:lang w:val="en-GB"/>
              </w:rPr>
            </w:pPr>
            <w:r w:rsidRPr="000053F4">
              <w:rPr>
                <w:rFonts w:asciiTheme="minorHAnsi" w:hAnsiTheme="minorHAnsi"/>
                <w:sz w:val="20"/>
                <w:szCs w:val="20"/>
                <w:lang w:val="en-GB"/>
              </w:rPr>
              <w:t xml:space="preserve"> </w:t>
            </w:r>
          </w:p>
          <w:p w14:paraId="1541CCA4" w14:textId="77777777" w:rsidR="00AF1805" w:rsidRPr="000053F4" w:rsidRDefault="00AF1805" w:rsidP="00186D18">
            <w:pPr>
              <w:spacing w:before="40" w:after="40"/>
              <w:ind w:right="283"/>
              <w:jc w:val="both"/>
              <w:rPr>
                <w:rFonts w:asciiTheme="minorHAnsi" w:hAnsiTheme="minorHAnsi"/>
                <w:sz w:val="20"/>
                <w:szCs w:val="20"/>
                <w:lang w:val="en-GB"/>
              </w:rPr>
            </w:pPr>
            <w:r w:rsidRPr="000053F4">
              <w:rPr>
                <w:rFonts w:asciiTheme="minorHAnsi" w:hAnsiTheme="minorHAnsi"/>
                <w:sz w:val="20"/>
                <w:szCs w:val="20"/>
                <w:lang w:val="en-GB"/>
              </w:rPr>
              <w:t>Only</w:t>
            </w:r>
            <w:r w:rsidRPr="000053F4">
              <w:rPr>
                <w:rFonts w:asciiTheme="minorHAnsi" w:hAnsiTheme="minorHAnsi"/>
                <w:sz w:val="20"/>
                <w:szCs w:val="20"/>
                <w:lang w:val="en-US"/>
              </w:rPr>
              <w:t xml:space="preserve"> </w:t>
            </w:r>
            <w:r w:rsidRPr="000053F4">
              <w:rPr>
                <w:rFonts w:asciiTheme="minorHAnsi" w:hAnsiTheme="minorHAnsi"/>
                <w:sz w:val="20"/>
                <w:szCs w:val="20"/>
                <w:lang w:val="en-GB"/>
              </w:rPr>
              <w:t>projects recommended for funding will be asked to submit a national application form (NAF).</w:t>
            </w:r>
          </w:p>
          <w:p w14:paraId="18545E30" w14:textId="77777777" w:rsidR="00AF1805" w:rsidRPr="000053F4" w:rsidRDefault="00AF1805" w:rsidP="00186D18">
            <w:pPr>
              <w:spacing w:before="40" w:after="40"/>
              <w:ind w:right="283"/>
              <w:jc w:val="both"/>
              <w:rPr>
                <w:rFonts w:asciiTheme="minorHAnsi" w:hAnsiTheme="minorHAnsi"/>
                <w:sz w:val="20"/>
                <w:szCs w:val="20"/>
                <w:lang w:val="en-GB"/>
              </w:rPr>
            </w:pPr>
            <w:r w:rsidRPr="000053F4">
              <w:rPr>
                <w:rFonts w:asciiTheme="minorHAnsi" w:hAnsiTheme="minorHAnsi"/>
                <w:sz w:val="20"/>
                <w:szCs w:val="20"/>
                <w:lang w:val="en-GB"/>
              </w:rPr>
              <w:t>All eligible entities, invited to submit Polish full proposal are obliged to use the rate of exchange of The European Central Bank dated on the day of opening the call.</w:t>
            </w:r>
          </w:p>
          <w:p w14:paraId="77AE0A29" w14:textId="77777777" w:rsidR="00AF1805" w:rsidRPr="000053F4" w:rsidRDefault="00AF1805" w:rsidP="00186D18">
            <w:pPr>
              <w:spacing w:after="0"/>
              <w:ind w:left="33"/>
              <w:rPr>
                <w:rFonts w:asciiTheme="minorHAnsi" w:hAnsiTheme="minorHAnsi"/>
                <w:sz w:val="20"/>
                <w:szCs w:val="20"/>
                <w:lang w:val="en-GB"/>
              </w:rPr>
            </w:pPr>
            <w:r w:rsidRPr="000053F4">
              <w:rPr>
                <w:rFonts w:asciiTheme="minorHAnsi" w:hAnsiTheme="minorHAnsi"/>
                <w:sz w:val="20"/>
                <w:szCs w:val="20"/>
                <w:lang w:val="en-GB"/>
              </w:rPr>
              <w:t>If more than one Polish entity participates in the project, the national application is submitted by a consortium (group of entities) of all Polish entities.</w:t>
            </w:r>
          </w:p>
          <w:p w14:paraId="6AC8C5F8" w14:textId="77777777" w:rsidR="00AF1805" w:rsidRPr="00E23CC9" w:rsidRDefault="00AF1805" w:rsidP="00186D18">
            <w:pPr>
              <w:spacing w:after="0"/>
              <w:ind w:left="33"/>
              <w:rPr>
                <w:rFonts w:asciiTheme="minorHAnsi" w:hAnsiTheme="minorHAnsi"/>
                <w:sz w:val="20"/>
                <w:szCs w:val="20"/>
                <w:lang w:val="en-GB"/>
              </w:rPr>
            </w:pPr>
            <w:r w:rsidRPr="000053F4">
              <w:rPr>
                <w:rFonts w:asciiTheme="minorHAnsi" w:hAnsiTheme="minorHAnsi"/>
                <w:sz w:val="20"/>
                <w:szCs w:val="20"/>
                <w:lang w:val="en-GB"/>
              </w:rPr>
              <w:t>We encourage you to learn about and use our "</w:t>
            </w:r>
            <w:proofErr w:type="spellStart"/>
            <w:r w:rsidRPr="000053F4">
              <w:rPr>
                <w:rFonts w:asciiTheme="minorHAnsi" w:hAnsiTheme="minorHAnsi"/>
                <w:sz w:val="20"/>
                <w:szCs w:val="20"/>
                <w:lang w:val="en-GB"/>
              </w:rPr>
              <w:t>PartFinder</w:t>
            </w:r>
            <w:proofErr w:type="spellEnd"/>
            <w:r w:rsidRPr="000053F4">
              <w:rPr>
                <w:rFonts w:asciiTheme="minorHAnsi" w:hAnsiTheme="minorHAnsi"/>
                <w:sz w:val="20"/>
                <w:szCs w:val="20"/>
                <w:lang w:val="en-GB"/>
              </w:rPr>
              <w:t xml:space="preserve">" (Partner Search Tool), which allows you to match science and industry entities from around the World with each other. The search engine is available at: </w:t>
            </w:r>
            <w:hyperlink r:id="rId9" w:history="1">
              <w:r w:rsidRPr="000053F4">
                <w:rPr>
                  <w:rFonts w:asciiTheme="minorHAnsi" w:hAnsiTheme="minorHAnsi"/>
                  <w:b/>
                  <w:sz w:val="20"/>
                  <w:szCs w:val="20"/>
                  <w:lang w:val="en-GB"/>
                </w:rPr>
                <w:t>https://partfinder.ncbr.gov.pl/</w:t>
              </w:r>
            </w:hyperlink>
          </w:p>
          <w:p w14:paraId="335FBDB2" w14:textId="77777777" w:rsidR="00AF1805" w:rsidRPr="00E23CC9" w:rsidRDefault="00AF1805" w:rsidP="00186D18">
            <w:pPr>
              <w:spacing w:after="0"/>
              <w:ind w:left="33"/>
              <w:rPr>
                <w:rFonts w:asciiTheme="minorHAnsi" w:hAnsiTheme="minorHAnsi"/>
                <w:sz w:val="12"/>
                <w:szCs w:val="20"/>
                <w:highlight w:val="yellow"/>
                <w:lang w:val="en-GB"/>
              </w:rPr>
            </w:pPr>
          </w:p>
        </w:tc>
      </w:tr>
    </w:tbl>
    <w:p w14:paraId="221058F8" w14:textId="77777777" w:rsidR="00D05F64" w:rsidRDefault="00D05F64"/>
    <w:sectPr w:rsidR="00D05F64" w:rsidSect="00AF1805">
      <w:footerReference w:type="even" r:id="rId10"/>
      <w:footerReference w:type="defaul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AB73" w14:textId="77777777" w:rsidR="0046204F" w:rsidRDefault="0046204F" w:rsidP="00AF1805">
      <w:pPr>
        <w:spacing w:after="0" w:line="240" w:lineRule="auto"/>
      </w:pPr>
      <w:r>
        <w:separator/>
      </w:r>
    </w:p>
  </w:endnote>
  <w:endnote w:type="continuationSeparator" w:id="0">
    <w:p w14:paraId="6CC303D9" w14:textId="77777777" w:rsidR="0046204F" w:rsidRDefault="0046204F" w:rsidP="00AF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2718" w14:textId="42BB9CC2" w:rsidR="003038CF" w:rsidRDefault="003038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D16A" w14:textId="1D50E05A" w:rsidR="003038CF" w:rsidRDefault="003038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97A6" w14:textId="4F5C26FF" w:rsidR="003038CF" w:rsidRDefault="003038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C4F6" w14:textId="77777777" w:rsidR="0046204F" w:rsidRDefault="0046204F" w:rsidP="00AF1805">
      <w:pPr>
        <w:spacing w:after="0" w:line="240" w:lineRule="auto"/>
      </w:pPr>
      <w:r>
        <w:separator/>
      </w:r>
    </w:p>
  </w:footnote>
  <w:footnote w:type="continuationSeparator" w:id="0">
    <w:p w14:paraId="119057D7" w14:textId="77777777" w:rsidR="0046204F" w:rsidRDefault="0046204F" w:rsidP="00AF1805">
      <w:pPr>
        <w:spacing w:after="0" w:line="240" w:lineRule="auto"/>
      </w:pPr>
      <w:r>
        <w:continuationSeparator/>
      </w:r>
    </w:p>
  </w:footnote>
  <w:footnote w:id="1">
    <w:p w14:paraId="5BC9D3EB" w14:textId="77777777" w:rsidR="00AF1805" w:rsidRPr="00B143FD" w:rsidRDefault="00AF1805" w:rsidP="00AF1805">
      <w:pPr>
        <w:pStyle w:val="Tekstprzypisudolnego"/>
        <w:spacing w:before="60"/>
        <w:ind w:right="394"/>
        <w:rPr>
          <w:lang w:val="en-US"/>
        </w:rPr>
      </w:pPr>
      <w:r>
        <w:rPr>
          <w:rStyle w:val="Odwoanieprzypisudolnego"/>
        </w:rPr>
        <w:footnoteRef/>
      </w:r>
      <w:r>
        <w:t xml:space="preserve"> Defined in Annex I to Commission Regulation (EU) No 651/2014 of 17 June 2014 declaring certain categories of aid compatible with the internal market in application of Articles 107 and 108 of the Treaty (hereinafter referred to as “Commission Regulation (EU) No 651/2014”);</w:t>
      </w:r>
    </w:p>
  </w:footnote>
  <w:footnote w:id="2">
    <w:p w14:paraId="68D3B49D" w14:textId="77777777" w:rsidR="00AF1805" w:rsidRPr="00A47FA2" w:rsidRDefault="00AF1805" w:rsidP="00AF1805">
      <w:pPr>
        <w:pStyle w:val="Tekstprzypisudolnego"/>
        <w:spacing w:before="60"/>
        <w:ind w:right="394"/>
        <w:rPr>
          <w:lang w:val="en-US"/>
        </w:rPr>
      </w:pPr>
      <w:r>
        <w:rPr>
          <w:rStyle w:val="Odwoanieprzypisudolnego"/>
        </w:rPr>
        <w:footnoteRef/>
      </w:r>
      <w:r>
        <w:t xml:space="preserve"> Defined in Commission Regulation (EU) No 651/2014;</w:t>
      </w:r>
    </w:p>
  </w:footnote>
  <w:footnote w:id="3">
    <w:p w14:paraId="1CC4C780" w14:textId="77777777" w:rsidR="00AF1805" w:rsidRDefault="00AF1805" w:rsidP="00AF1805">
      <w:pPr>
        <w:pStyle w:val="Tekstprzypisudolnego"/>
        <w:spacing w:before="60"/>
        <w:ind w:right="394"/>
      </w:pPr>
      <w:r>
        <w:rPr>
          <w:rStyle w:val="Odwoanieprzypisudolnego"/>
        </w:rPr>
        <w:footnoteRef/>
      </w:r>
      <w:r>
        <w:t xml:space="preserve"> </w:t>
      </w:r>
      <w:r w:rsidRPr="002C4134">
        <w:t>Legal person (juridical person) - an entity that is capable of having and amend legal rights and obligations within a certain legal system, such as to enter into contracts, sue, and be sued, excluding natural persons</w:t>
      </w:r>
      <w:r>
        <w:t>;</w:t>
      </w:r>
    </w:p>
    <w:p w14:paraId="44263285" w14:textId="77777777" w:rsidR="00AF1805" w:rsidRPr="00BD6464" w:rsidRDefault="00AF1805" w:rsidP="00AF1805">
      <w:pPr>
        <w:pStyle w:val="Tekstprzypisudolnego"/>
        <w:spacing w:before="60"/>
      </w:pPr>
      <w:r>
        <w:rPr>
          <w:vertAlign w:val="superscript"/>
        </w:rPr>
        <w:t>4</w:t>
      </w:r>
      <w:r>
        <w:t xml:space="preserve"> </w:t>
      </w:r>
      <w:r w:rsidRPr="00D21F8D">
        <w:t>if applicable</w:t>
      </w:r>
    </w:p>
    <w:p w14:paraId="086CFAED" w14:textId="77777777" w:rsidR="00AF1805" w:rsidRPr="00BD6464" w:rsidRDefault="00AF1805" w:rsidP="00AF1805">
      <w:pPr>
        <w:pStyle w:val="Tekstprzypisudolnego"/>
        <w:spacing w:before="6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9B7"/>
    <w:multiLevelType w:val="multilevel"/>
    <w:tmpl w:val="76622D20"/>
    <w:lvl w:ilvl="0">
      <w:start w:val="1"/>
      <w:numFmt w:val="decimal"/>
      <w:pStyle w:val="Nagwek1"/>
      <w:lvlText w:val="%1"/>
      <w:lvlJc w:val="left"/>
      <w:pPr>
        <w:ind w:left="567" w:hanging="567"/>
      </w:pPr>
      <w:rPr>
        <w:rFonts w:hint="default"/>
      </w:rPr>
    </w:lvl>
    <w:lvl w:ilvl="1">
      <w:start w:val="1"/>
      <w:numFmt w:val="decimal"/>
      <w:pStyle w:val="Nagwek2"/>
      <w:lvlText w:val="%1.%2"/>
      <w:lvlJc w:val="left"/>
      <w:pPr>
        <w:tabs>
          <w:tab w:val="num" w:pos="113"/>
        </w:tabs>
        <w:ind w:left="0" w:firstLine="0"/>
      </w:pPr>
      <w:rPr>
        <w:rFonts w:hint="default"/>
      </w:rPr>
    </w:lvl>
    <w:lvl w:ilvl="2">
      <w:start w:val="1"/>
      <w:numFmt w:val="decimal"/>
      <w:pStyle w:val="Nagwek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0" w:firstLine="0"/>
      </w:pPr>
      <w:rPr>
        <w:rFonts w:hint="default"/>
      </w:rPr>
    </w:lvl>
    <w:lvl w:ilvl="4">
      <w:start w:val="1"/>
      <w:numFmt w:val="decimal"/>
      <w:pStyle w:val="Nagwek5"/>
      <w:lvlText w:val="%1.%2.%3.%4.%5"/>
      <w:lvlJc w:val="left"/>
      <w:pPr>
        <w:ind w:left="0" w:firstLine="0"/>
      </w:pPr>
      <w:rPr>
        <w:rFonts w:hint="default"/>
      </w:rPr>
    </w:lvl>
    <w:lvl w:ilvl="5">
      <w:start w:val="1"/>
      <w:numFmt w:val="decimal"/>
      <w:pStyle w:val="Nagwek6"/>
      <w:lvlText w:val="%1.%2.%3.%4.%5.%6"/>
      <w:lvlJc w:val="left"/>
      <w:pPr>
        <w:ind w:left="0" w:firstLine="0"/>
      </w:pPr>
      <w:rPr>
        <w:rFonts w:hint="default"/>
      </w:rPr>
    </w:lvl>
    <w:lvl w:ilvl="6">
      <w:start w:val="1"/>
      <w:numFmt w:val="decimal"/>
      <w:pStyle w:val="Nagwek7"/>
      <w:lvlText w:val="%1.%2.%3.%4.%5.%6.%7"/>
      <w:lvlJc w:val="left"/>
      <w:pPr>
        <w:ind w:left="0" w:firstLine="0"/>
      </w:pPr>
      <w:rPr>
        <w:rFonts w:hint="default"/>
      </w:rPr>
    </w:lvl>
    <w:lvl w:ilvl="7">
      <w:start w:val="1"/>
      <w:numFmt w:val="decimal"/>
      <w:pStyle w:val="Nagwek8"/>
      <w:lvlText w:val="%1.%2.%3.%4.%5.%6.%7.%8"/>
      <w:lvlJc w:val="left"/>
      <w:pPr>
        <w:ind w:left="0" w:firstLine="0"/>
      </w:pPr>
      <w:rPr>
        <w:rFonts w:hint="default"/>
      </w:rPr>
    </w:lvl>
    <w:lvl w:ilvl="8">
      <w:start w:val="1"/>
      <w:numFmt w:val="decimal"/>
      <w:pStyle w:val="Nagwek9"/>
      <w:lvlText w:val="%1.%2.%3.%4.%5.%6.%7.%8.%9"/>
      <w:lvlJc w:val="left"/>
      <w:pPr>
        <w:ind w:left="0" w:firstLine="0"/>
      </w:pPr>
      <w:rPr>
        <w:rFonts w:hint="default"/>
      </w:rPr>
    </w:lvl>
  </w:abstractNum>
  <w:abstractNum w:abstractNumId="1" w15:restartNumberingAfterBreak="0">
    <w:nsid w:val="23A4084A"/>
    <w:multiLevelType w:val="hybridMultilevel"/>
    <w:tmpl w:val="5E6A66D4"/>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num w:numId="1" w16cid:durableId="1965043263">
    <w:abstractNumId w:val="0"/>
  </w:num>
  <w:num w:numId="2" w16cid:durableId="176907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05"/>
    <w:rsid w:val="003038CF"/>
    <w:rsid w:val="00326C67"/>
    <w:rsid w:val="003C1169"/>
    <w:rsid w:val="0046204F"/>
    <w:rsid w:val="00797F91"/>
    <w:rsid w:val="00AF1805"/>
    <w:rsid w:val="00B02402"/>
    <w:rsid w:val="00D05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9A7E"/>
  <w15:chartTrackingRefBased/>
  <w15:docId w15:val="{69B4D803-4A51-4257-8B02-3AD8223D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AF1805"/>
    <w:pPr>
      <w:spacing w:after="480" w:line="276" w:lineRule="auto"/>
    </w:pPr>
    <w:rPr>
      <w:rFonts w:ascii="Segoe UI" w:hAnsi="Segoe UI" w:cstheme="minorHAnsi"/>
      <w:color w:val="000000" w:themeColor="text1"/>
      <w:spacing w:val="2"/>
      <w:kern w:val="0"/>
      <w:sz w:val="24"/>
      <w:szCs w:val="24"/>
      <w:lang w:val="de-DE"/>
      <w14:ligatures w14:val="none"/>
    </w:rPr>
  </w:style>
  <w:style w:type="paragraph" w:styleId="Nagwek1">
    <w:name w:val="heading 1"/>
    <w:basedOn w:val="Nagwek2"/>
    <w:next w:val="Normalny"/>
    <w:link w:val="Nagwek1Znak"/>
    <w:autoRedefine/>
    <w:uiPriority w:val="4"/>
    <w:qFormat/>
    <w:rsid w:val="00AF1805"/>
    <w:pPr>
      <w:numPr>
        <w:ilvl w:val="0"/>
      </w:numPr>
      <w:spacing w:before="0" w:after="120"/>
      <w:ind w:right="-59"/>
      <w:jc w:val="both"/>
      <w:outlineLvl w:val="0"/>
    </w:pPr>
    <w:rPr>
      <w:sz w:val="32"/>
      <w:szCs w:val="28"/>
    </w:rPr>
  </w:style>
  <w:style w:type="paragraph" w:styleId="Nagwek2">
    <w:name w:val="heading 2"/>
    <w:basedOn w:val="Normalny"/>
    <w:next w:val="Normalny"/>
    <w:link w:val="Nagwek2Znak"/>
    <w:autoRedefine/>
    <w:uiPriority w:val="4"/>
    <w:qFormat/>
    <w:rsid w:val="00AF1805"/>
    <w:pPr>
      <w:keepNext/>
      <w:keepLines/>
      <w:numPr>
        <w:ilvl w:val="1"/>
        <w:numId w:val="1"/>
      </w:numPr>
      <w:tabs>
        <w:tab w:val="left" w:pos="567"/>
        <w:tab w:val="left" w:pos="709"/>
        <w:tab w:val="left" w:pos="851"/>
        <w:tab w:val="left" w:pos="993"/>
      </w:tabs>
      <w:spacing w:before="360" w:after="240" w:line="240" w:lineRule="auto"/>
      <w:outlineLvl w:val="1"/>
    </w:pPr>
    <w:rPr>
      <w:rFonts w:eastAsiaTheme="majorEastAsia"/>
      <w:bCs/>
      <w:sz w:val="28"/>
      <w:lang w:val="en-GB"/>
    </w:rPr>
  </w:style>
  <w:style w:type="paragraph" w:styleId="Nagwek3">
    <w:name w:val="heading 3"/>
    <w:basedOn w:val="Normalny"/>
    <w:next w:val="Normalny"/>
    <w:link w:val="Nagwek3Znak"/>
    <w:autoRedefine/>
    <w:uiPriority w:val="4"/>
    <w:qFormat/>
    <w:rsid w:val="00AF1805"/>
    <w:pPr>
      <w:keepNext/>
      <w:keepLines/>
      <w:numPr>
        <w:ilvl w:val="2"/>
        <w:numId w:val="1"/>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Nagwek4">
    <w:name w:val="heading 4"/>
    <w:basedOn w:val="Normalny"/>
    <w:next w:val="Normalny"/>
    <w:link w:val="Nagwek4Znak"/>
    <w:autoRedefine/>
    <w:uiPriority w:val="4"/>
    <w:qFormat/>
    <w:rsid w:val="00AF1805"/>
    <w:pPr>
      <w:keepNext/>
      <w:keepLines/>
      <w:numPr>
        <w:ilvl w:val="3"/>
        <w:numId w:val="1"/>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Nagwek5">
    <w:name w:val="heading 5"/>
    <w:basedOn w:val="Normalny"/>
    <w:next w:val="Normalny"/>
    <w:link w:val="Nagwek5Znak"/>
    <w:autoRedefine/>
    <w:uiPriority w:val="4"/>
    <w:qFormat/>
    <w:rsid w:val="00AF1805"/>
    <w:pPr>
      <w:keepNext/>
      <w:keepLines/>
      <w:numPr>
        <w:ilvl w:val="4"/>
        <w:numId w:val="1"/>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Nagwek6">
    <w:name w:val="heading 6"/>
    <w:basedOn w:val="Normalny"/>
    <w:next w:val="Normalny"/>
    <w:link w:val="Nagwek6Znak"/>
    <w:uiPriority w:val="4"/>
    <w:unhideWhenUsed/>
    <w:rsid w:val="00AF1805"/>
    <w:pPr>
      <w:keepNext/>
      <w:keepLines/>
      <w:numPr>
        <w:ilvl w:val="5"/>
        <w:numId w:val="1"/>
      </w:numPr>
      <w:spacing w:line="240" w:lineRule="auto"/>
      <w:outlineLvl w:val="5"/>
    </w:pPr>
    <w:rPr>
      <w:rFonts w:asciiTheme="majorHAnsi" w:eastAsiaTheme="majorEastAsia" w:hAnsiTheme="majorHAnsi" w:cstheme="majorBidi"/>
      <w:color w:val="1F3763" w:themeColor="accent1" w:themeShade="7F"/>
      <w:lang w:val="en-GB"/>
    </w:rPr>
  </w:style>
  <w:style w:type="paragraph" w:styleId="Nagwek7">
    <w:name w:val="heading 7"/>
    <w:basedOn w:val="Normalny"/>
    <w:next w:val="Normalny"/>
    <w:link w:val="Nagwek7Znak"/>
    <w:uiPriority w:val="4"/>
    <w:unhideWhenUsed/>
    <w:rsid w:val="00AF1805"/>
    <w:pPr>
      <w:keepNext/>
      <w:keepLines/>
      <w:numPr>
        <w:ilvl w:val="6"/>
        <w:numId w:val="1"/>
      </w:numPr>
      <w:tabs>
        <w:tab w:val="left" w:pos="1560"/>
      </w:tabs>
      <w:spacing w:line="240" w:lineRule="auto"/>
      <w:outlineLvl w:val="6"/>
    </w:pPr>
    <w:rPr>
      <w:rFonts w:asciiTheme="majorHAnsi" w:eastAsiaTheme="majorEastAsia" w:hAnsiTheme="majorHAnsi" w:cstheme="majorBidi"/>
      <w:lang w:val="en-GB"/>
    </w:rPr>
  </w:style>
  <w:style w:type="paragraph" w:styleId="Nagwek8">
    <w:name w:val="heading 8"/>
    <w:basedOn w:val="Normalny"/>
    <w:next w:val="Normalny"/>
    <w:link w:val="Nagwek8Znak"/>
    <w:uiPriority w:val="4"/>
    <w:unhideWhenUsed/>
    <w:rsid w:val="00AF1805"/>
    <w:pPr>
      <w:keepNext/>
      <w:keepLines/>
      <w:numPr>
        <w:ilvl w:val="7"/>
        <w:numId w:val="1"/>
      </w:numPr>
      <w:tabs>
        <w:tab w:val="left" w:pos="1843"/>
      </w:tabs>
      <w:spacing w:line="240" w:lineRule="auto"/>
      <w:outlineLvl w:val="7"/>
    </w:pPr>
    <w:rPr>
      <w:rFonts w:asciiTheme="majorHAnsi" w:eastAsiaTheme="majorEastAsia" w:hAnsiTheme="majorHAnsi" w:cstheme="majorBidi"/>
      <w:szCs w:val="20"/>
      <w:lang w:val="en-GB"/>
    </w:rPr>
  </w:style>
  <w:style w:type="paragraph" w:styleId="Nagwek9">
    <w:name w:val="heading 9"/>
    <w:basedOn w:val="Normalny"/>
    <w:next w:val="Normalny"/>
    <w:link w:val="Nagwek9Znak"/>
    <w:uiPriority w:val="4"/>
    <w:unhideWhenUsed/>
    <w:rsid w:val="00AF1805"/>
    <w:pPr>
      <w:keepNext/>
      <w:keepLines/>
      <w:numPr>
        <w:ilvl w:val="8"/>
        <w:numId w:val="1"/>
      </w:numPr>
      <w:spacing w:line="240" w:lineRule="auto"/>
      <w:outlineLvl w:val="8"/>
    </w:pPr>
    <w:rPr>
      <w:rFonts w:asciiTheme="majorHAnsi" w:eastAsiaTheme="majorEastAsia" w:hAnsiTheme="majorHAnsi" w:cstheme="majorBidi"/>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4"/>
    <w:rsid w:val="00AF1805"/>
    <w:rPr>
      <w:rFonts w:ascii="Segoe UI" w:eastAsiaTheme="majorEastAsia" w:hAnsi="Segoe UI" w:cstheme="minorHAnsi"/>
      <w:bCs/>
      <w:color w:val="000000" w:themeColor="text1"/>
      <w:spacing w:val="2"/>
      <w:kern w:val="0"/>
      <w:sz w:val="32"/>
      <w:szCs w:val="28"/>
      <w:lang w:val="en-GB"/>
      <w14:ligatures w14:val="none"/>
    </w:rPr>
  </w:style>
  <w:style w:type="character" w:customStyle="1" w:styleId="Nagwek2Znak">
    <w:name w:val="Nagłówek 2 Znak"/>
    <w:basedOn w:val="Domylnaczcionkaakapitu"/>
    <w:link w:val="Nagwek2"/>
    <w:uiPriority w:val="4"/>
    <w:rsid w:val="00AF1805"/>
    <w:rPr>
      <w:rFonts w:ascii="Segoe UI" w:eastAsiaTheme="majorEastAsia" w:hAnsi="Segoe UI" w:cstheme="minorHAnsi"/>
      <w:bCs/>
      <w:color w:val="000000" w:themeColor="text1"/>
      <w:spacing w:val="2"/>
      <w:kern w:val="0"/>
      <w:sz w:val="28"/>
      <w:szCs w:val="24"/>
      <w:lang w:val="en-GB"/>
      <w14:ligatures w14:val="none"/>
    </w:rPr>
  </w:style>
  <w:style w:type="character" w:customStyle="1" w:styleId="Nagwek3Znak">
    <w:name w:val="Nagłówek 3 Znak"/>
    <w:basedOn w:val="Domylnaczcionkaakapitu"/>
    <w:link w:val="Nagwek3"/>
    <w:uiPriority w:val="4"/>
    <w:rsid w:val="00AF1805"/>
    <w:rPr>
      <w:rFonts w:ascii="Segoe UI" w:eastAsiaTheme="majorEastAsia" w:hAnsi="Segoe UI" w:cstheme="minorHAnsi"/>
      <w:bCs/>
      <w:color w:val="000000" w:themeColor="text1"/>
      <w:spacing w:val="2"/>
      <w:kern w:val="0"/>
      <w:sz w:val="24"/>
      <w:szCs w:val="20"/>
      <w:lang w:val="en-GB"/>
      <w14:ligatures w14:val="none"/>
    </w:rPr>
  </w:style>
  <w:style w:type="character" w:customStyle="1" w:styleId="Nagwek4Znak">
    <w:name w:val="Nagłówek 4 Znak"/>
    <w:basedOn w:val="Domylnaczcionkaakapitu"/>
    <w:link w:val="Nagwek4"/>
    <w:uiPriority w:val="4"/>
    <w:rsid w:val="00AF1805"/>
    <w:rPr>
      <w:rFonts w:ascii="Segoe UI" w:eastAsiaTheme="majorEastAsia" w:hAnsi="Segoe UI" w:cstheme="minorHAnsi"/>
      <w:bCs/>
      <w:iCs/>
      <w:color w:val="000000" w:themeColor="text1"/>
      <w:spacing w:val="2"/>
      <w:kern w:val="0"/>
      <w:sz w:val="24"/>
      <w:szCs w:val="24"/>
      <w:lang w:val="en-GB"/>
      <w14:ligatures w14:val="none"/>
    </w:rPr>
  </w:style>
  <w:style w:type="character" w:customStyle="1" w:styleId="Nagwek5Znak">
    <w:name w:val="Nagłówek 5 Znak"/>
    <w:basedOn w:val="Domylnaczcionkaakapitu"/>
    <w:link w:val="Nagwek5"/>
    <w:uiPriority w:val="4"/>
    <w:rsid w:val="00AF1805"/>
    <w:rPr>
      <w:rFonts w:ascii="Segoe UI" w:eastAsiaTheme="majorEastAsia" w:hAnsi="Segoe UI" w:cstheme="minorHAnsi"/>
      <w:color w:val="000000" w:themeColor="text1"/>
      <w:spacing w:val="2"/>
      <w:kern w:val="0"/>
      <w:sz w:val="24"/>
      <w:szCs w:val="24"/>
      <w:lang w:val="en-GB"/>
      <w14:ligatures w14:val="none"/>
    </w:rPr>
  </w:style>
  <w:style w:type="character" w:customStyle="1" w:styleId="Nagwek6Znak">
    <w:name w:val="Nagłówek 6 Znak"/>
    <w:basedOn w:val="Domylnaczcionkaakapitu"/>
    <w:link w:val="Nagwek6"/>
    <w:uiPriority w:val="4"/>
    <w:rsid w:val="00AF1805"/>
    <w:rPr>
      <w:rFonts w:asciiTheme="majorHAnsi" w:eastAsiaTheme="majorEastAsia" w:hAnsiTheme="majorHAnsi" w:cstheme="majorBidi"/>
      <w:color w:val="1F3763" w:themeColor="accent1" w:themeShade="7F"/>
      <w:spacing w:val="2"/>
      <w:kern w:val="0"/>
      <w:sz w:val="24"/>
      <w:szCs w:val="24"/>
      <w:lang w:val="en-GB"/>
      <w14:ligatures w14:val="none"/>
    </w:rPr>
  </w:style>
  <w:style w:type="character" w:customStyle="1" w:styleId="Nagwek7Znak">
    <w:name w:val="Nagłówek 7 Znak"/>
    <w:basedOn w:val="Domylnaczcionkaakapitu"/>
    <w:link w:val="Nagwek7"/>
    <w:uiPriority w:val="4"/>
    <w:rsid w:val="00AF1805"/>
    <w:rPr>
      <w:rFonts w:asciiTheme="majorHAnsi" w:eastAsiaTheme="majorEastAsia" w:hAnsiTheme="majorHAnsi" w:cstheme="majorBidi"/>
      <w:color w:val="000000" w:themeColor="text1"/>
      <w:spacing w:val="2"/>
      <w:kern w:val="0"/>
      <w:sz w:val="24"/>
      <w:szCs w:val="24"/>
      <w:lang w:val="en-GB"/>
      <w14:ligatures w14:val="none"/>
    </w:rPr>
  </w:style>
  <w:style w:type="character" w:customStyle="1" w:styleId="Nagwek8Znak">
    <w:name w:val="Nagłówek 8 Znak"/>
    <w:basedOn w:val="Domylnaczcionkaakapitu"/>
    <w:link w:val="Nagwek8"/>
    <w:uiPriority w:val="4"/>
    <w:rsid w:val="00AF1805"/>
    <w:rPr>
      <w:rFonts w:asciiTheme="majorHAnsi" w:eastAsiaTheme="majorEastAsia" w:hAnsiTheme="majorHAnsi" w:cstheme="majorBidi"/>
      <w:color w:val="000000" w:themeColor="text1"/>
      <w:spacing w:val="2"/>
      <w:kern w:val="0"/>
      <w:sz w:val="24"/>
      <w:szCs w:val="20"/>
      <w:lang w:val="en-GB"/>
      <w14:ligatures w14:val="none"/>
    </w:rPr>
  </w:style>
  <w:style w:type="character" w:customStyle="1" w:styleId="Nagwek9Znak">
    <w:name w:val="Nagłówek 9 Znak"/>
    <w:basedOn w:val="Domylnaczcionkaakapitu"/>
    <w:link w:val="Nagwek9"/>
    <w:uiPriority w:val="4"/>
    <w:rsid w:val="00AF1805"/>
    <w:rPr>
      <w:rFonts w:asciiTheme="majorHAnsi" w:eastAsiaTheme="majorEastAsia" w:hAnsiTheme="majorHAnsi" w:cstheme="majorBidi"/>
      <w:color w:val="000000" w:themeColor="text1"/>
      <w:spacing w:val="2"/>
      <w:kern w:val="0"/>
      <w:sz w:val="24"/>
      <w:szCs w:val="20"/>
      <w:lang w:val="en-GB"/>
      <w14:ligatures w14:val="none"/>
    </w:rPr>
  </w:style>
  <w:style w:type="character" w:styleId="Hipercze">
    <w:name w:val="Hyperlink"/>
    <w:basedOn w:val="Domylnaczcionkaakapitu"/>
    <w:uiPriority w:val="99"/>
    <w:rsid w:val="00AF1805"/>
    <w:rPr>
      <w:b/>
      <w:color w:val="0563C1" w:themeColor="hyperlink"/>
      <w:u w:val="thick" w:color="FFC000" w:themeColor="accent4"/>
      <w:lang w:val="en-GB"/>
    </w:rPr>
  </w:style>
  <w:style w:type="paragraph" w:styleId="Tekstprzypisudolnego">
    <w:name w:val="footnote text"/>
    <w:basedOn w:val="Normalny"/>
    <w:link w:val="TekstprzypisudolnegoZnak"/>
    <w:uiPriority w:val="99"/>
    <w:rsid w:val="00AF1805"/>
    <w:pPr>
      <w:spacing w:beforeLines="25" w:before="25" w:after="0"/>
      <w:ind w:left="170" w:hanging="170"/>
    </w:pPr>
    <w:rPr>
      <w:sz w:val="16"/>
      <w:szCs w:val="20"/>
      <w:lang w:val="en-GB"/>
    </w:rPr>
  </w:style>
  <w:style w:type="character" w:customStyle="1" w:styleId="TekstprzypisudolnegoZnak">
    <w:name w:val="Tekst przypisu dolnego Znak"/>
    <w:basedOn w:val="Domylnaczcionkaakapitu"/>
    <w:link w:val="Tekstprzypisudolnego"/>
    <w:uiPriority w:val="99"/>
    <w:rsid w:val="00AF1805"/>
    <w:rPr>
      <w:rFonts w:ascii="Segoe UI" w:hAnsi="Segoe UI" w:cstheme="minorHAnsi"/>
      <w:color w:val="000000" w:themeColor="text1"/>
      <w:spacing w:val="2"/>
      <w:kern w:val="0"/>
      <w:sz w:val="16"/>
      <w:szCs w:val="20"/>
      <w:lang w:val="en-GB"/>
      <w14:ligatures w14:val="none"/>
    </w:rPr>
  </w:style>
  <w:style w:type="character" w:styleId="Odwoanieprzypisudolnego">
    <w:name w:val="footnote reference"/>
    <w:basedOn w:val="Domylnaczcionkaakapitu"/>
    <w:uiPriority w:val="99"/>
    <w:rsid w:val="00AF1805"/>
    <w:rPr>
      <w:vertAlign w:val="superscript"/>
    </w:rPr>
  </w:style>
  <w:style w:type="paragraph" w:styleId="Akapitzlist">
    <w:name w:val="List Paragraph"/>
    <w:aliases w:val="Rot hervorheben,Liste à puces retrait droite,cv list paragraph,List Paragraph1,ITEM NUMBER,Numbered Para 1,Dot pt,No Spacing1,List Paragraph Char Char Char,Indicator Text,Bullet 1,Bullet Points,MAIN CONTENT,List Paragraph12"/>
    <w:basedOn w:val="Normalny"/>
    <w:link w:val="AkapitzlistZnak"/>
    <w:uiPriority w:val="34"/>
    <w:qFormat/>
    <w:rsid w:val="00AF1805"/>
    <w:pPr>
      <w:ind w:left="720"/>
      <w:contextualSpacing/>
    </w:pPr>
  </w:style>
  <w:style w:type="paragraph" w:styleId="NormalnyWeb">
    <w:name w:val="Normal (Web)"/>
    <w:basedOn w:val="Normalny"/>
    <w:uiPriority w:val="99"/>
    <w:rsid w:val="00AF1805"/>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AkapitzlistZnak">
    <w:name w:val="Akapit z listą Znak"/>
    <w:aliases w:val="Rot hervorheben Znak,Liste à puces retrait droite Znak,cv list paragraph Znak,List Paragraph1 Znak,ITEM NUMBER Znak,Numbered Para 1 Znak,Dot pt Znak,No Spacing1 Znak,List Paragraph Char Char Char Znak,Indicator Text Znak"/>
    <w:link w:val="Akapitzlist"/>
    <w:uiPriority w:val="34"/>
    <w:qFormat/>
    <w:locked/>
    <w:rsid w:val="00AF1805"/>
    <w:rPr>
      <w:rFonts w:ascii="Segoe UI" w:hAnsi="Segoe UI" w:cstheme="minorHAnsi"/>
      <w:color w:val="000000" w:themeColor="text1"/>
      <w:spacing w:val="2"/>
      <w:kern w:val="0"/>
      <w:sz w:val="24"/>
      <w:szCs w:val="24"/>
      <w:lang w:val="de-DE"/>
      <w14:ligatures w14:val="none"/>
    </w:rPr>
  </w:style>
  <w:style w:type="character" w:styleId="Nierozpoznanawzmianka">
    <w:name w:val="Unresolved Mention"/>
    <w:basedOn w:val="Domylnaczcionkaakapitu"/>
    <w:uiPriority w:val="99"/>
    <w:semiHidden/>
    <w:unhideWhenUsed/>
    <w:rsid w:val="00AF1805"/>
    <w:rPr>
      <w:color w:val="605E5C"/>
      <w:shd w:val="clear" w:color="auto" w:fill="E1DFDD"/>
    </w:rPr>
  </w:style>
  <w:style w:type="paragraph" w:styleId="Stopka">
    <w:name w:val="footer"/>
    <w:basedOn w:val="Normalny"/>
    <w:link w:val="StopkaZnak"/>
    <w:uiPriority w:val="99"/>
    <w:unhideWhenUsed/>
    <w:rsid w:val="003038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8CF"/>
    <w:rPr>
      <w:rFonts w:ascii="Segoe UI" w:hAnsi="Segoe UI" w:cstheme="minorHAnsi"/>
      <w:color w:val="000000" w:themeColor="text1"/>
      <w:spacing w:val="2"/>
      <w:kern w:val="0"/>
      <w:sz w:val="24"/>
      <w:szCs w:val="24"/>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cbr/wniosek-krajow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stepien@ncbr.gov.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rtfinder.ncb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1364</Words>
  <Characters>8185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Stępień</dc:creator>
  <cp:keywords/>
  <dc:description/>
  <cp:lastModifiedBy>Anna Stępień</cp:lastModifiedBy>
  <cp:revision>2</cp:revision>
  <dcterms:created xsi:type="dcterms:W3CDTF">2024-12-12T09:30:00Z</dcterms:created>
  <dcterms:modified xsi:type="dcterms:W3CDTF">2024-12-12T09:45:00Z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2024-12-12T09:44:56Z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9c5bde43-336a-4384-ac84-d2ddd9eb5445</vt:lpwstr>
  </property>
  <property fmtid="{D5CDD505-2E9C-101B-9397-08002B2CF9AE}" pid="8" name="MSIP_Label_91e939cc-945f-447d-b5c0-f5a8e3aaa77b_ContentBits">
    <vt:lpwstr>0</vt:lpwstr>
  </property>
</Properties>
</file>