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423FD059" w:rsidR="00A82A96" w:rsidRDefault="00A82A96">
      <w:pPr>
        <w:widowControl w:val="0"/>
        <w:ind w:left="1"/>
        <w:jc w:val="both"/>
        <w:textAlignment w:val="baseline"/>
        <w:rPr>
          <w:b/>
          <w:lang w:eastAsia="pl-PL"/>
        </w:rPr>
      </w:pPr>
      <w:r>
        <w:rPr>
          <w:b/>
          <w:lang w:eastAsia="pl-PL"/>
        </w:rPr>
        <w:t xml:space="preserve">w Łodzi </w:t>
      </w:r>
    </w:p>
    <w:p w14:paraId="2528B529" w14:textId="77777777" w:rsidR="00BA2BF5" w:rsidRDefault="00BA2BF5">
      <w:pPr>
        <w:widowControl w:val="0"/>
        <w:ind w:left="1"/>
        <w:jc w:val="both"/>
        <w:textAlignment w:val="baseline"/>
      </w:pPr>
    </w:p>
    <w:p w14:paraId="51793149" w14:textId="77777777" w:rsidR="00BA2BF5" w:rsidRDefault="00BA2BF5" w:rsidP="007752D8">
      <w:pPr>
        <w:jc w:val="right"/>
        <w:rPr>
          <w:b/>
          <w:iCs/>
          <w:sz w:val="20"/>
          <w:szCs w:val="20"/>
          <w:lang w:eastAsia="pl-PL"/>
        </w:rPr>
      </w:pPr>
    </w:p>
    <w:p w14:paraId="0DEFFF57" w14:textId="35624897" w:rsidR="007752D8" w:rsidRPr="00467190" w:rsidRDefault="007752D8" w:rsidP="007752D8">
      <w:pPr>
        <w:jc w:val="right"/>
        <w:rPr>
          <w:b/>
          <w:iCs/>
          <w:sz w:val="20"/>
          <w:szCs w:val="20"/>
          <w:lang w:eastAsia="pl-PL"/>
        </w:rPr>
      </w:pPr>
      <w:r w:rsidRPr="00467190">
        <w:rPr>
          <w:b/>
          <w:iCs/>
          <w:sz w:val="20"/>
          <w:szCs w:val="20"/>
          <w:lang w:eastAsia="pl-PL"/>
        </w:rPr>
        <w:t xml:space="preserve">Załącznik nr </w:t>
      </w:r>
      <w:r w:rsidR="00467190" w:rsidRPr="00467190">
        <w:rPr>
          <w:b/>
          <w:iCs/>
          <w:sz w:val="20"/>
          <w:szCs w:val="20"/>
          <w:lang w:eastAsia="pl-PL"/>
        </w:rPr>
        <w:t>5</w:t>
      </w:r>
      <w:r w:rsidRPr="00467190">
        <w:rPr>
          <w:b/>
          <w:iCs/>
          <w:sz w:val="20"/>
          <w:szCs w:val="20"/>
          <w:lang w:eastAsia="pl-PL"/>
        </w:rPr>
        <w:t xml:space="preserve"> do Umowy</w:t>
      </w:r>
    </w:p>
    <w:p w14:paraId="4B235A76" w14:textId="77777777" w:rsidR="007752D8" w:rsidRPr="00467190" w:rsidRDefault="007752D8" w:rsidP="007752D8">
      <w:pPr>
        <w:pStyle w:val="Nagwek"/>
        <w:rPr>
          <w:b/>
          <w:sz w:val="20"/>
          <w:szCs w:val="20"/>
        </w:rPr>
      </w:pPr>
    </w:p>
    <w:p w14:paraId="6C0E82D6" w14:textId="77777777" w:rsidR="00A82A96" w:rsidRDefault="00981CF6">
      <w:pPr>
        <w:spacing w:line="360" w:lineRule="auto"/>
        <w:jc w:val="center"/>
        <w:rPr>
          <w:b/>
          <w:lang w:eastAsia="pl-PL"/>
        </w:rPr>
      </w:pPr>
      <w:r>
        <w:rPr>
          <w:rFonts w:cs="Calibri"/>
          <w:color w:val="FF0000"/>
        </w:rPr>
        <w:t xml:space="preserve">         </w:t>
      </w:r>
    </w:p>
    <w:p w14:paraId="03BE4B33" w14:textId="77777777" w:rsidR="00A82A96" w:rsidRDefault="00A82A96">
      <w:pPr>
        <w:spacing w:line="360" w:lineRule="auto"/>
        <w:jc w:val="center"/>
        <w:rPr>
          <w:b/>
          <w:lang w:eastAsia="pl-PL"/>
        </w:rPr>
      </w:pPr>
      <w:r>
        <w:rPr>
          <w:b/>
        </w:rPr>
        <w:t xml:space="preserve">Informacja </w:t>
      </w:r>
      <w:r>
        <w:rPr>
          <w:b/>
          <w:lang w:eastAsia="pl-PL"/>
        </w:rPr>
        <w:t xml:space="preserve">o zagrożeniach i zasadach bezpieczeństwa </w:t>
      </w:r>
      <w:r>
        <w:rPr>
          <w:b/>
          <w:lang w:eastAsia="pl-PL"/>
        </w:rPr>
        <w:br/>
        <w:t>w Izbie Administracji Skarbowej w Łodzi</w:t>
      </w:r>
    </w:p>
    <w:p w14:paraId="365795F4" w14:textId="77777777" w:rsidR="004869C8" w:rsidRDefault="004869C8">
      <w:pPr>
        <w:spacing w:line="360" w:lineRule="auto"/>
        <w:jc w:val="center"/>
      </w:pPr>
      <w:r>
        <w:rPr>
          <w:rFonts w:cs="Calibri"/>
          <w:color w:val="FF0000"/>
        </w:rPr>
        <w:t>podpisana w formie elektronicznej z dniem złożenia podpisu</w:t>
      </w:r>
    </w:p>
    <w:p w14:paraId="592094D8" w14:textId="77777777" w:rsidR="00A82A96" w:rsidRDefault="00A82A96" w:rsidP="00471538">
      <w:pPr>
        <w:tabs>
          <w:tab w:val="left" w:pos="540"/>
        </w:tabs>
        <w:spacing w:before="240" w:after="120"/>
        <w:jc w:val="center"/>
      </w:pPr>
      <w:r>
        <w:rPr>
          <w:b/>
          <w:bCs/>
        </w:rPr>
        <w:t>I. Podstawowe zasady bezpieczeństwa</w:t>
      </w:r>
    </w:p>
    <w:p w14:paraId="51FB0F30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</w:pPr>
      <w:r>
        <w:rPr>
          <w:bCs/>
          <w:iCs/>
        </w:rPr>
        <w:t>Podczas pobytu na terenie i w obiektach administrowanych przez Izbę Administracji Skarbowej w Łodzi należy zwracać szczególną uwagę na stan dróg i wyjść ewakuacyjnych, a także tam, gdzie to jest wskazane, przestrzegać przepisów „Prawo o ruchu drogowym”.</w:t>
      </w:r>
    </w:p>
    <w:p w14:paraId="278293C8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</w:pPr>
      <w:r>
        <w:rPr>
          <w:bCs/>
          <w:iCs/>
        </w:rPr>
        <w:t>Zwracać szczególną uwagę na sygnały alarmowe i komunikaty słowne:</w:t>
      </w:r>
    </w:p>
    <w:p w14:paraId="6D6DD43D" w14:textId="77777777" w:rsidR="00A82A96" w:rsidRDefault="00A82A96">
      <w:pPr>
        <w:tabs>
          <w:tab w:val="left" w:pos="396"/>
        </w:tabs>
        <w:spacing w:line="360" w:lineRule="auto"/>
        <w:ind w:left="397"/>
        <w:jc w:val="both"/>
      </w:pPr>
      <w:r>
        <w:rPr>
          <w:b/>
          <w:bCs/>
          <w:iCs/>
        </w:rPr>
        <w:t>UWAGA! POŻAR! ZAGROŻENIE! EWAKUACJA!</w:t>
      </w:r>
    </w:p>
    <w:p w14:paraId="2974152F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 xml:space="preserve">W razie zagrożenia pożarowego, awarii lub innej sytuacji zagrażającej życiu i zdrowiu </w:t>
      </w:r>
      <w:r>
        <w:rPr>
          <w:bCs/>
          <w:iCs/>
        </w:rPr>
        <w:br/>
        <w:t>(np. pożar, silne zadymienie) należy:</w:t>
      </w:r>
    </w:p>
    <w:p w14:paraId="655D6AA3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przerwać pracę;</w:t>
      </w:r>
    </w:p>
    <w:p w14:paraId="4BD0E2C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jeżeli to możliwe odłączyć urządzenia znajdujące się pod napięciem;</w:t>
      </w:r>
    </w:p>
    <w:p w14:paraId="08FB9F5E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postępować zgodnie z poleceniami osób prowadzących akcję ratunkową;</w:t>
      </w:r>
    </w:p>
    <w:p w14:paraId="381D8E6C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</w:pPr>
      <w:r>
        <w:rPr>
          <w:bCs/>
          <w:iCs/>
        </w:rPr>
        <w:t>natychmiast opuścić zagrożony obszar, udając się na wyznaczone miejsce zbiórki;</w:t>
      </w:r>
    </w:p>
    <w:p w14:paraId="60EDA4B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</w:pPr>
      <w:r>
        <w:rPr>
          <w:bCs/>
          <w:iCs/>
        </w:rPr>
        <w:t>zachować spokój, działać szybko, ale bez paniki;</w:t>
      </w:r>
    </w:p>
    <w:p w14:paraId="17D403E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pomagać innym w przypadku, gdy potrzebują Twojej pomocy.</w:t>
      </w:r>
    </w:p>
    <w:p w14:paraId="3BA57F98" w14:textId="77777777" w:rsidR="00A82A96" w:rsidRDefault="00A82A96">
      <w:pPr>
        <w:pageBreakBefore/>
        <w:spacing w:before="240" w:line="360" w:lineRule="auto"/>
        <w:jc w:val="center"/>
      </w:pPr>
      <w:r>
        <w:rPr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86730D" w:rsidRDefault="0086730D">
      <w:pPr>
        <w:spacing w:before="240" w:line="360" w:lineRule="auto"/>
        <w:ind w:left="1077" w:hanging="1077"/>
        <w:rPr>
          <w:b/>
        </w:rPr>
      </w:pPr>
      <w:r w:rsidRPr="0086730D">
        <w:rPr>
          <w:b/>
          <w:iCs/>
        </w:rPr>
        <w:t>1. </w:t>
      </w:r>
      <w:r w:rsidR="00A82A96" w:rsidRPr="0086730D">
        <w:rPr>
          <w:b/>
          <w:iCs/>
        </w:rPr>
        <w:t>Zagrożenia związane z pożarami w obrębie obiektów</w:t>
      </w:r>
    </w:p>
    <w:p w14:paraId="0252EAE3" w14:textId="77777777" w:rsidR="00A82A96" w:rsidRDefault="00A82A96">
      <w:pPr>
        <w:spacing w:before="12" w:line="360" w:lineRule="auto"/>
        <w:jc w:val="both"/>
      </w:pPr>
      <w:r>
        <w:rPr>
          <w:iCs/>
        </w:rPr>
        <w:t>Największym zagrożeniem dla ludzi wynikającym z pożaru jest dym i produkty spalania oraz wysok</w:t>
      </w:r>
      <w:r w:rsidR="00731CE5">
        <w:rPr>
          <w:iCs/>
        </w:rPr>
        <w:t xml:space="preserve">ie temperatury. Powodują one m. </w:t>
      </w:r>
      <w:r>
        <w:rPr>
          <w:iCs/>
        </w:rPr>
        <w:t>in. ograniczenie widoczności, co może u</w:t>
      </w:r>
      <w:r w:rsidR="00731CE5">
        <w:rPr>
          <w:iCs/>
        </w:rPr>
        <w:t xml:space="preserve">trudniać przemieszczanie się, a </w:t>
      </w:r>
      <w:r>
        <w:rPr>
          <w:iCs/>
        </w:rPr>
        <w:t>także trudności z oddychaniem. Dodatkowo istnieje zagrożenie poparzenia skóry oraz dróg oddechowych.</w:t>
      </w:r>
    </w:p>
    <w:p w14:paraId="4209C794" w14:textId="77777777" w:rsidR="00A82A96" w:rsidRPr="0086730D" w:rsidRDefault="00A82A96">
      <w:pPr>
        <w:spacing w:line="360" w:lineRule="auto"/>
        <w:ind w:left="283" w:hanging="283"/>
        <w:jc w:val="both"/>
        <w:rPr>
          <w:b/>
        </w:rPr>
      </w:pPr>
      <w:r w:rsidRPr="0086730D">
        <w:rPr>
          <w:b/>
          <w:iCs/>
        </w:rPr>
        <w:t>2.</w:t>
      </w:r>
      <w:r w:rsidR="0086730D">
        <w:rPr>
          <w:b/>
          <w:iCs/>
        </w:rPr>
        <w:t> </w:t>
      </w:r>
      <w:r w:rsidRPr="0086730D">
        <w:rPr>
          <w:b/>
        </w:rPr>
        <w:t>Zagrożenia</w:t>
      </w:r>
      <w:r w:rsidRPr="0086730D">
        <w:rPr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</w:pPr>
      <w:r>
        <w:rPr>
          <w:iCs/>
        </w:rPr>
        <w:t>możliwość upadku ze schodów;</w:t>
      </w:r>
    </w:p>
    <w:p w14:paraId="339CD734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</w:pPr>
      <w:r>
        <w:rPr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3.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związane z przemieszczającymi się środkami transportu np. na parkingu</w:t>
      </w:r>
    </w:p>
    <w:p w14:paraId="377F2D0B" w14:textId="77777777" w:rsidR="00A82A96" w:rsidRDefault="00A82A96">
      <w:pPr>
        <w:spacing w:line="360" w:lineRule="auto"/>
        <w:jc w:val="both"/>
      </w:pPr>
      <w:r>
        <w:rPr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4.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przy używaniu maszyn, urządzeń i narzędzi</w:t>
      </w:r>
    </w:p>
    <w:p w14:paraId="1FB1E32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wynika z używania niesprawnych maszyn, urządzeń i narzędzi, braku osłon, braku środków ochrony, narażeni</w:t>
      </w:r>
      <w:r w:rsidR="00731CE5">
        <w:rPr>
          <w:iCs/>
        </w:rPr>
        <w:t>a</w:t>
      </w:r>
      <w:r>
        <w:rPr>
          <w:iCs/>
        </w:rPr>
        <w:t xml:space="preserve"> na hałas, ruchome elementy lub niewłaściwe posługiwanie się urządzeniami.</w:t>
      </w:r>
    </w:p>
    <w:p w14:paraId="0664F976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5.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porażeniem prądem elektrycznym</w:t>
      </w:r>
    </w:p>
    <w:p w14:paraId="6AC2DB9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6.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awariami instalacji technicznych</w:t>
      </w:r>
    </w:p>
    <w:p w14:paraId="72212CBC" w14:textId="77777777" w:rsidR="00A82A96" w:rsidRDefault="00A82A96">
      <w:pPr>
        <w:spacing w:line="360" w:lineRule="auto"/>
      </w:pPr>
      <w:r>
        <w:rPr>
          <w:iCs/>
        </w:rPr>
        <w:t>Przy awariach zagrożenie stanowią m.in. prąd elektryczny, gorące elementy urządzeń lub media.</w:t>
      </w:r>
    </w:p>
    <w:p w14:paraId="7DBE0BE0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7.</w:t>
      </w:r>
      <w:r w:rsidR="0086730D" w:rsidRPr="0086730D">
        <w:rPr>
          <w:b/>
          <w:iCs/>
        </w:rPr>
        <w:t> </w:t>
      </w:r>
      <w:r w:rsidRPr="0086730D">
        <w:rPr>
          <w:b/>
          <w:iCs/>
        </w:rPr>
        <w:t>Zagrożenie przy prowadzeniu prac na wysokości</w:t>
      </w:r>
    </w:p>
    <w:p w14:paraId="7EDA79A5" w14:textId="77777777" w:rsidR="00A82A96" w:rsidRDefault="00A82A96">
      <w:pPr>
        <w:spacing w:line="360" w:lineRule="auto"/>
        <w:jc w:val="both"/>
      </w:pPr>
      <w:r>
        <w:rPr>
          <w:iCs/>
        </w:rPr>
        <w:t>Zagrożenie wynika z wkraczania osób nieuprawnionych na teren prac, używania niesprawnego sprzętu, braku środków ochrony indywidualnej lub niewłaściwego ich stosowania.</w:t>
      </w:r>
    </w:p>
    <w:p w14:paraId="1E79B717" w14:textId="77777777" w:rsidR="00A82A96" w:rsidRDefault="00A82A96">
      <w:pPr>
        <w:spacing w:before="240" w:line="360" w:lineRule="auto"/>
        <w:jc w:val="center"/>
        <w:rPr>
          <w:b/>
          <w:bCs/>
          <w:iCs/>
        </w:rPr>
      </w:pPr>
    </w:p>
    <w:p w14:paraId="3E71A27B" w14:textId="77777777" w:rsidR="00A82A96" w:rsidRDefault="00A82A96" w:rsidP="00835E37">
      <w:pPr>
        <w:pageBreakBefore/>
        <w:spacing w:line="360" w:lineRule="auto"/>
        <w:jc w:val="center"/>
      </w:pPr>
      <w:r>
        <w:rPr>
          <w:b/>
          <w:bCs/>
          <w:iCs/>
        </w:rPr>
        <w:lastRenderedPageBreak/>
        <w:t>III. Działania ochronne i zapobiegawcze</w:t>
      </w:r>
    </w:p>
    <w:p w14:paraId="28731A35" w14:textId="77777777" w:rsidR="00A82A96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Należy przestrzegać przepisów bhp i ppoż.</w:t>
      </w:r>
    </w:p>
    <w:p w14:paraId="62C12EB4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Nie wolno zaśmiecać i zanieczyszczać terenu.</w:t>
      </w:r>
    </w:p>
    <w:p w14:paraId="2829AC39" w14:textId="77777777" w:rsidR="00A82A96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 xml:space="preserve">Nie wolno wchodzić </w:t>
      </w:r>
      <w:r w:rsidR="00A82A96">
        <w:rPr>
          <w:iCs/>
        </w:rPr>
        <w:t>do pomieszczeń z zakazem wstępu bez zezwolenia.</w:t>
      </w:r>
    </w:p>
    <w:p w14:paraId="61C0D1B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Należy stosować środki ochrony indywidualnej tam, gdzie jest to wymagane,</w:t>
      </w:r>
      <w:r>
        <w:rPr>
          <w:iCs/>
        </w:rPr>
        <w:br/>
        <w:t>a w szczególności przy wykonywaniu prac szczególnie niebezpiecznych.</w:t>
      </w:r>
    </w:p>
    <w:p w14:paraId="3D3A0623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korzystać z urządzeń i narzędzi, nie mając do tego odpowiednich kwalifikacji i uprawnień.</w:t>
      </w:r>
    </w:p>
    <w:p w14:paraId="04BCF63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pozostawiać bez nadzoru pracujących urządzeń.</w:t>
      </w:r>
    </w:p>
    <w:p w14:paraId="603D621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</w:pPr>
      <w:r>
        <w:rPr>
          <w:iCs/>
        </w:rPr>
        <w:t>Palenie możliwe jest jedynie w pomieszczeniach/miejscach do tego wyznaczonych lub na zewnątrz obiektu.</w:t>
      </w:r>
    </w:p>
    <w:p w14:paraId="2DE8A6E2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Każde zauważone zagrożenie, incydent lub wypadek należy zgłosić koordynatorowi sprawującemu nadzór</w:t>
      </w:r>
      <w:r w:rsidR="00E0585D">
        <w:rPr>
          <w:iCs/>
        </w:rPr>
        <w:t xml:space="preserve"> </w:t>
      </w:r>
      <w:r>
        <w:rPr>
          <w:iCs/>
        </w:rPr>
        <w:t>nad bezpieczeństwem i higieną pracy.</w:t>
      </w:r>
    </w:p>
    <w:p w14:paraId="5156EB1E" w14:textId="77777777" w:rsidR="0027552B" w:rsidRPr="0027552B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Informacje o osobach wyznaczonych do udzielania pierwszej pomocy</w:t>
      </w:r>
      <w:r w:rsidR="0027552B">
        <w:rPr>
          <w:iCs/>
        </w:rPr>
        <w:t>:</w:t>
      </w:r>
    </w:p>
    <w:p w14:paraId="0E86AE86" w14:textId="77777777" w:rsidR="0027552B" w:rsidRDefault="0027552B" w:rsidP="0027552B">
      <w:pPr>
        <w:tabs>
          <w:tab w:val="left" w:pos="450"/>
        </w:tabs>
        <w:ind w:left="454"/>
        <w:jc w:val="both"/>
      </w:pPr>
      <w:r>
        <w:t>…………………………………………………………………………………………………</w:t>
      </w:r>
    </w:p>
    <w:p w14:paraId="5FE20F3D" w14:textId="77777777" w:rsidR="0027552B" w:rsidRPr="0027552B" w:rsidRDefault="0027552B" w:rsidP="0027552B">
      <w:pPr>
        <w:tabs>
          <w:tab w:val="left" w:pos="450"/>
        </w:tabs>
        <w:ind w:left="454"/>
        <w:jc w:val="both"/>
        <w:rPr>
          <w:sz w:val="20"/>
        </w:rPr>
      </w:pPr>
      <w:r w:rsidRPr="0027552B">
        <w:rPr>
          <w:sz w:val="20"/>
        </w:rPr>
        <w:t>(imię i nazwisko, miejsce pracy/służby</w:t>
      </w:r>
      <w:r>
        <w:rPr>
          <w:sz w:val="20"/>
        </w:rPr>
        <w:t>,</w:t>
      </w:r>
      <w:r w:rsidRPr="0027552B">
        <w:rPr>
          <w:sz w:val="20"/>
        </w:rPr>
        <w:t xml:space="preserve"> nr telefonu, adres mailowy)</w:t>
      </w:r>
    </w:p>
    <w:p w14:paraId="7E6F78B7" w14:textId="77777777" w:rsidR="0027552B" w:rsidRPr="0027552B" w:rsidRDefault="0027552B" w:rsidP="00835E37">
      <w:pPr>
        <w:tabs>
          <w:tab w:val="left" w:pos="450"/>
        </w:tabs>
        <w:ind w:left="454"/>
        <w:jc w:val="both"/>
        <w:rPr>
          <w:b/>
          <w:iCs/>
        </w:rPr>
      </w:pPr>
      <w:r w:rsidRPr="0027552B">
        <w:rPr>
          <w:b/>
          <w:iCs/>
        </w:rPr>
        <w:t>Uwaga!</w:t>
      </w:r>
    </w:p>
    <w:p w14:paraId="1576F15B" w14:textId="77777777" w:rsidR="0027552B" w:rsidRDefault="0027552B" w:rsidP="00835E37">
      <w:pPr>
        <w:tabs>
          <w:tab w:val="left" w:pos="450"/>
        </w:tabs>
        <w:spacing w:line="360" w:lineRule="auto"/>
        <w:ind w:left="454"/>
        <w:jc w:val="both"/>
      </w:pPr>
      <w:r>
        <w:rPr>
          <w:iCs/>
        </w:rPr>
        <w:t>Informacje o osobach wyznaczonych do udzielania pierwszej pomocy</w:t>
      </w:r>
      <w:r w:rsidRPr="0027552B">
        <w:rPr>
          <w:iCs/>
        </w:rPr>
        <w:t xml:space="preserve"> </w:t>
      </w:r>
      <w:r>
        <w:rPr>
          <w:iCs/>
        </w:rPr>
        <w:t xml:space="preserve">wraz z telefonem kontaktowym umieszczone są również przy apteczkach pierwszej pomocy. </w:t>
      </w:r>
    </w:p>
    <w:p w14:paraId="0F15E0B1" w14:textId="77777777" w:rsidR="0027552B" w:rsidRPr="0027552B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t xml:space="preserve">Informacje o osobach koordynującymi działaniami ewakuacyjnymi z poszczególnych kondygnacji budynku (w załączeniu). </w:t>
      </w:r>
    </w:p>
    <w:p w14:paraId="5559955B" w14:textId="77777777" w:rsidR="00A82A96" w:rsidRDefault="00A82A96">
      <w:pPr>
        <w:spacing w:before="69" w:line="360" w:lineRule="auto"/>
        <w:ind w:left="737" w:hanging="340"/>
      </w:pPr>
      <w:r>
        <w:rPr>
          <w:b/>
          <w:bCs/>
          <w:iCs/>
        </w:rPr>
        <w:t>TELEFONY ALARMOWE</w:t>
      </w:r>
    </w:p>
    <w:p w14:paraId="68C3A098" w14:textId="77777777" w:rsidR="00A82A96" w:rsidRDefault="0086730D">
      <w:pPr>
        <w:spacing w:line="360" w:lineRule="auto"/>
        <w:ind w:left="737" w:hanging="283"/>
      </w:pPr>
      <w:r w:rsidRPr="0086730D">
        <w:rPr>
          <w:b/>
          <w:iCs/>
        </w:rPr>
        <w:t xml:space="preserve">Jednolity </w:t>
      </w:r>
      <w:r w:rsidR="00A82A96" w:rsidRPr="0086730D">
        <w:rPr>
          <w:b/>
          <w:iCs/>
        </w:rPr>
        <w:t>numer alarmowy</w:t>
      </w:r>
      <w:r w:rsidR="00A82A96">
        <w:rPr>
          <w:iCs/>
        </w:rPr>
        <w:t xml:space="preserve"> </w:t>
      </w:r>
      <w:r w:rsidR="00A82A96">
        <w:rPr>
          <w:b/>
          <w:bCs/>
          <w:iCs/>
        </w:rPr>
        <w:t>112</w:t>
      </w:r>
    </w:p>
    <w:p w14:paraId="33F4CD92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Pogotowie ratunkowe            </w:t>
      </w:r>
      <w:r>
        <w:rPr>
          <w:b/>
          <w:bCs/>
          <w:iCs/>
        </w:rPr>
        <w:t>999</w:t>
      </w:r>
    </w:p>
    <w:p w14:paraId="517F3886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Straż pożarna                         </w:t>
      </w:r>
      <w:r>
        <w:rPr>
          <w:b/>
          <w:bCs/>
          <w:iCs/>
        </w:rPr>
        <w:t>998</w:t>
      </w:r>
    </w:p>
    <w:p w14:paraId="18A84865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Policja                                    </w:t>
      </w:r>
      <w:r>
        <w:rPr>
          <w:b/>
          <w:bCs/>
          <w:iCs/>
        </w:rPr>
        <w:t>997</w:t>
      </w:r>
    </w:p>
    <w:p w14:paraId="0AEE0AC2" w14:textId="77777777" w:rsidR="00A82A96" w:rsidRDefault="00A82A96" w:rsidP="00835E37">
      <w:pPr>
        <w:spacing w:before="240"/>
        <w:jc w:val="both"/>
      </w:pPr>
      <w:r>
        <w:rPr>
          <w:i/>
          <w:iCs/>
        </w:rPr>
        <w:t>Oświadczam, że zapoznałem/</w:t>
      </w:r>
      <w:proofErr w:type="spellStart"/>
      <w:r>
        <w:rPr>
          <w:i/>
          <w:iCs/>
        </w:rPr>
        <w:t>am</w:t>
      </w:r>
      <w:proofErr w:type="spellEnd"/>
      <w:r>
        <w:rPr>
          <w:i/>
          <w:iCs/>
        </w:rPr>
        <w:t xml:space="preserve"> się i przyjmuje do stosowania powyższą informację oraz zobowiązuje się do przekazania jej swoim pracownikom/podwykonawcom.</w:t>
      </w:r>
    </w:p>
    <w:p w14:paraId="691F7390" w14:textId="0CC3DD51" w:rsidR="00835E37" w:rsidRDefault="00835E37">
      <w:pPr>
        <w:spacing w:before="12"/>
        <w:jc w:val="both"/>
        <w:rPr>
          <w:i/>
          <w:iCs/>
        </w:rPr>
      </w:pPr>
    </w:p>
    <w:p w14:paraId="510E322F" w14:textId="77777777" w:rsidR="00636235" w:rsidRDefault="00636235">
      <w:pPr>
        <w:spacing w:before="12"/>
        <w:jc w:val="both"/>
        <w:rPr>
          <w:i/>
          <w:iCs/>
        </w:rPr>
      </w:pPr>
    </w:p>
    <w:p w14:paraId="76A15944" w14:textId="77777777" w:rsidR="00A82A96" w:rsidRDefault="00A82A96">
      <w:pPr>
        <w:spacing w:before="12"/>
        <w:jc w:val="both"/>
      </w:pPr>
      <w:r>
        <w:rPr>
          <w:i/>
          <w:iCs/>
        </w:rPr>
        <w:t xml:space="preserve">…………………………………………       </w:t>
      </w:r>
      <w:r w:rsidR="0086730D">
        <w:rPr>
          <w:i/>
          <w:iCs/>
        </w:rPr>
        <w:t xml:space="preserve">                         ………</w:t>
      </w:r>
      <w:r>
        <w:rPr>
          <w:i/>
          <w:iCs/>
        </w:rPr>
        <w:t>………………………………………</w:t>
      </w:r>
    </w:p>
    <w:p w14:paraId="52EF1191" w14:textId="3881C496" w:rsidR="00636235" w:rsidRPr="00636235" w:rsidRDefault="00A82A96" w:rsidP="00636235">
      <w:pPr>
        <w:tabs>
          <w:tab w:val="left" w:pos="5954"/>
        </w:tabs>
        <w:ind w:left="4820" w:hanging="4678"/>
        <w:jc w:val="both"/>
        <w:rPr>
          <w:b/>
          <w:bCs/>
          <w:iCs/>
          <w:sz w:val="20"/>
        </w:rPr>
      </w:pPr>
      <w:r w:rsidRPr="0086730D">
        <w:rPr>
          <w:bCs/>
          <w:iCs/>
          <w:sz w:val="20"/>
        </w:rPr>
        <w:t>(miejscowość i data)</w:t>
      </w:r>
      <w:r w:rsidRPr="0086730D">
        <w:rPr>
          <w:bCs/>
          <w:iCs/>
          <w:sz w:val="20"/>
        </w:rPr>
        <w:tab/>
      </w:r>
      <w:r w:rsidRPr="0086730D">
        <w:rPr>
          <w:b/>
          <w:bCs/>
          <w:iCs/>
          <w:sz w:val="20"/>
        </w:rPr>
        <w:t xml:space="preserve">(podpis </w:t>
      </w:r>
      <w:r w:rsidR="0086730D" w:rsidRPr="0086730D">
        <w:rPr>
          <w:b/>
          <w:bCs/>
          <w:iCs/>
          <w:sz w:val="20"/>
        </w:rPr>
        <w:t>pracodawcy zewnętrznego</w:t>
      </w:r>
      <w:r w:rsidR="00DA0A3E">
        <w:rPr>
          <w:b/>
          <w:bCs/>
          <w:iCs/>
          <w:sz w:val="20"/>
        </w:rPr>
        <w:t>/</w:t>
      </w:r>
      <w:r w:rsidR="00471538">
        <w:rPr>
          <w:b/>
          <w:bCs/>
          <w:iCs/>
          <w:sz w:val="20"/>
        </w:rPr>
        <w:t>pracowników innego niż IAS w Łodzi pracodawców</w:t>
      </w:r>
      <w:r w:rsidRPr="0086730D">
        <w:rPr>
          <w:b/>
          <w:bCs/>
          <w:iCs/>
          <w:sz w:val="20"/>
        </w:rPr>
        <w:t>)</w:t>
      </w:r>
      <w:r w:rsidR="00471538">
        <w:rPr>
          <w:b/>
          <w:bCs/>
          <w:iCs/>
          <w:sz w:val="20"/>
        </w:rPr>
        <w:t>*</w:t>
      </w:r>
    </w:p>
    <w:p w14:paraId="0A5172CC" w14:textId="77777777" w:rsidR="00A82A96" w:rsidRPr="00471538" w:rsidRDefault="00471538" w:rsidP="00471538">
      <w:pPr>
        <w:spacing w:before="240" w:line="360" w:lineRule="auto"/>
        <w:ind w:left="142"/>
        <w:jc w:val="both"/>
        <w:rPr>
          <w:bCs/>
          <w:iCs/>
          <w:sz w:val="20"/>
        </w:rPr>
      </w:pPr>
      <w:r w:rsidRPr="00471538">
        <w:rPr>
          <w:bCs/>
          <w:iCs/>
          <w:sz w:val="20"/>
        </w:rPr>
        <w:t>*niepotrzebne skreślić</w:t>
      </w:r>
    </w:p>
    <w:sectPr w:rsidR="00A82A96" w:rsidRPr="00471538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9AD6" w14:textId="77777777" w:rsidR="003562C1" w:rsidRDefault="003562C1">
      <w:r>
        <w:separator/>
      </w:r>
    </w:p>
  </w:endnote>
  <w:endnote w:type="continuationSeparator" w:id="0">
    <w:p w14:paraId="1E9BC8DF" w14:textId="77777777" w:rsidR="003562C1" w:rsidRDefault="0035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EFD5" w14:textId="77777777" w:rsidR="003562C1" w:rsidRDefault="003562C1">
      <w:r>
        <w:separator/>
      </w:r>
    </w:p>
  </w:footnote>
  <w:footnote w:type="continuationSeparator" w:id="0">
    <w:p w14:paraId="306DEB7D" w14:textId="77777777" w:rsidR="003562C1" w:rsidRDefault="0035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23969"/>
    <w:rsid w:val="000716C3"/>
    <w:rsid w:val="001C6594"/>
    <w:rsid w:val="002234E1"/>
    <w:rsid w:val="0027552B"/>
    <w:rsid w:val="002841F5"/>
    <w:rsid w:val="00291C6E"/>
    <w:rsid w:val="002A49CB"/>
    <w:rsid w:val="003562C1"/>
    <w:rsid w:val="00454CA8"/>
    <w:rsid w:val="00467190"/>
    <w:rsid w:val="00471538"/>
    <w:rsid w:val="004869C8"/>
    <w:rsid w:val="00525854"/>
    <w:rsid w:val="005922EC"/>
    <w:rsid w:val="005B5BCF"/>
    <w:rsid w:val="005F4645"/>
    <w:rsid w:val="0062022C"/>
    <w:rsid w:val="00636235"/>
    <w:rsid w:val="006534F2"/>
    <w:rsid w:val="006C607A"/>
    <w:rsid w:val="006E1FF0"/>
    <w:rsid w:val="006F4C75"/>
    <w:rsid w:val="00712C45"/>
    <w:rsid w:val="00715CD7"/>
    <w:rsid w:val="00717D59"/>
    <w:rsid w:val="00731CE5"/>
    <w:rsid w:val="00755852"/>
    <w:rsid w:val="00762E64"/>
    <w:rsid w:val="007752D8"/>
    <w:rsid w:val="00805528"/>
    <w:rsid w:val="00835E37"/>
    <w:rsid w:val="0086730D"/>
    <w:rsid w:val="009122E4"/>
    <w:rsid w:val="009526B4"/>
    <w:rsid w:val="00966262"/>
    <w:rsid w:val="00981CF6"/>
    <w:rsid w:val="00A105A9"/>
    <w:rsid w:val="00A33581"/>
    <w:rsid w:val="00A64923"/>
    <w:rsid w:val="00A82A96"/>
    <w:rsid w:val="00AD224D"/>
    <w:rsid w:val="00AF70C3"/>
    <w:rsid w:val="00AF73A4"/>
    <w:rsid w:val="00B35F23"/>
    <w:rsid w:val="00B712DF"/>
    <w:rsid w:val="00BA2BF5"/>
    <w:rsid w:val="00C52755"/>
    <w:rsid w:val="00C6261E"/>
    <w:rsid w:val="00C80158"/>
    <w:rsid w:val="00DA0A3E"/>
    <w:rsid w:val="00DB2027"/>
    <w:rsid w:val="00E0585D"/>
    <w:rsid w:val="00E15FA4"/>
    <w:rsid w:val="00E561E2"/>
    <w:rsid w:val="00EF77E5"/>
    <w:rsid w:val="00F11912"/>
    <w:rsid w:val="00F531B2"/>
    <w:rsid w:val="00FC453A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Standard">
    <w:name w:val="Standard"/>
    <w:rsid w:val="00BA2B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2024-10-18T13:00:00Z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