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5466" w:rsidRDefault="00945466" w:rsidP="00945466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Załącznik nr 1.</w:t>
      </w:r>
    </w:p>
    <w:p w:rsidR="00945466" w:rsidRDefault="00945466" w:rsidP="00945466">
      <w:pPr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Specyfikacja techniczna: Łącze BGP –</w:t>
      </w:r>
      <w:r>
        <w:rPr>
          <w:b/>
          <w:sz w:val="24"/>
          <w:szCs w:val="24"/>
        </w:rPr>
        <w:t xml:space="preserve"> podstawowe </w:t>
      </w:r>
    </w:p>
    <w:p w:rsidR="00945466" w:rsidRDefault="00945466" w:rsidP="00945466">
      <w:pPr>
        <w:spacing w:line="276" w:lineRule="auto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6"/>
        <w:gridCol w:w="5176"/>
      </w:tblGrid>
      <w:tr w:rsidR="00945466" w:rsidTr="00945466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Lokalizacja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Rzeszów, ul. Grunwaldzka 15 (budynek Podkarpackiego Urzędu Wojewódzkiego w Rzeszowie - PUW), III piętro, pokój nr 304</w:t>
            </w:r>
          </w:p>
        </w:tc>
      </w:tr>
      <w:tr w:rsidR="00945466" w:rsidTr="00945466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Przepływność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500 </w:t>
            </w:r>
            <w:proofErr w:type="spellStart"/>
            <w:r>
              <w:rPr>
                <w:sz w:val="24"/>
                <w:szCs w:val="24"/>
              </w:rPr>
              <w:t>Mbit</w:t>
            </w:r>
            <w:proofErr w:type="spellEnd"/>
            <w:r>
              <w:rPr>
                <w:sz w:val="24"/>
                <w:szCs w:val="24"/>
              </w:rPr>
              <w:t>/s – łącze symetryczne</w:t>
            </w:r>
          </w:p>
        </w:tc>
      </w:tr>
      <w:tr w:rsidR="00945466" w:rsidTr="00945466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Technologia wykonania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Łącze światłowodowe.</w:t>
            </w:r>
          </w:p>
        </w:tc>
      </w:tr>
      <w:tr w:rsidR="00945466" w:rsidTr="00945466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Urządzenia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Wszystkie urządzenia pasywne/aktywne (np. modemy, konwertery mediów) służące do zestawienia łącza będą podczas trwania umowy  własnością operatora i będą przez niego zarządzane.</w:t>
            </w:r>
          </w:p>
        </w:tc>
      </w:tr>
      <w:tr w:rsidR="00945466" w:rsidTr="00945466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Technologia zakończenia łącza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Port </w:t>
            </w:r>
            <w:proofErr w:type="spellStart"/>
            <w:r>
              <w:rPr>
                <w:sz w:val="24"/>
                <w:szCs w:val="24"/>
              </w:rPr>
              <w:t>GigabitEthernet</w:t>
            </w:r>
            <w:proofErr w:type="spellEnd"/>
          </w:p>
        </w:tc>
      </w:tr>
      <w:tr w:rsidR="00945466" w:rsidTr="00945466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LIR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before="100" w:beforeAutospacing="1" w:after="100" w:afterAutospacing="1" w:line="276" w:lineRule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Operator musi posiadać status </w:t>
            </w:r>
            <w:proofErr w:type="spellStart"/>
            <w:r>
              <w:rPr>
                <w:color w:val="000000"/>
                <w:sz w:val="24"/>
                <w:szCs w:val="24"/>
              </w:rPr>
              <w:t>LIR’a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(istnieć na wykazie podmiotów znajdujących się na </w:t>
            </w:r>
            <w:hyperlink r:id="rId4" w:history="1">
              <w:r>
                <w:rPr>
                  <w:rStyle w:val="Hipercze"/>
                  <w:sz w:val="24"/>
                  <w:szCs w:val="24"/>
                </w:rPr>
                <w:t>https://www.ripe.net/membership/indices/PL.html</w:t>
              </w:r>
            </w:hyperlink>
            <w:r>
              <w:rPr>
                <w:color w:val="000000"/>
                <w:sz w:val="24"/>
                <w:szCs w:val="24"/>
              </w:rPr>
              <w:t xml:space="preserve">). </w:t>
            </w:r>
          </w:p>
        </w:tc>
      </w:tr>
      <w:tr w:rsidR="00945466" w:rsidTr="00945466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Adresy IPv4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Operator dostarczy adresację połączeniową dla styku z infrastruktura BGP PUW w protokole IPv4. Adresacją połączeniowa musi być adresacją routowaną w sieci internetowej. Ilość adresów w sieci połączeniowej nie mniej niż 2szt. (prefiks /31)</w:t>
            </w:r>
          </w:p>
        </w:tc>
      </w:tr>
      <w:tr w:rsidR="00945466" w:rsidTr="00945466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Adresy IPv6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napToGrid w:val="0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Operator dostarczy adresację połączeniową dla styku z infrastruktura BGP PUW w protokole IPv6.</w:t>
            </w:r>
          </w:p>
          <w:p w:rsidR="00945466" w:rsidRDefault="00945466" w:rsidP="00945466">
            <w:pPr>
              <w:snapToGrid w:val="0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Adresacją połączeniowa musi być adresacją routowaną w sieci internetowej. Ilość adresów w sieci połączeniowej nie mniej niż ilość adresów wynikających z prefiksu /64</w:t>
            </w:r>
          </w:p>
        </w:tc>
      </w:tr>
      <w:tr w:rsidR="00945466" w:rsidTr="00945466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BGP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Operator umożliwi PUW z jego własnym numerem ASN uruchomienie protokołu BGP poprzez podłączenie jego do infrastruktury BGP operatora. Operator umożliwi uruchomienie sesji BGP w protokole IPv4 oraz IPv6. Operator umożliwi dostęp do pełnej tablicy routingu BGP zarówno w protokole IPv4 i IPv6.</w:t>
            </w:r>
          </w:p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Sesja BGP zabezpieczona hasłem </w:t>
            </w:r>
          </w:p>
        </w:tc>
      </w:tr>
      <w:tr w:rsidR="00945466" w:rsidTr="00945466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SLA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466" w:rsidRDefault="00945466" w:rsidP="00945466">
            <w:pPr>
              <w:tabs>
                <w:tab w:val="num" w:pos="720"/>
                <w:tab w:val="center" w:pos="4536"/>
                <w:tab w:val="right" w:pos="9072"/>
              </w:tabs>
              <w:spacing w:line="276" w:lineRule="auto"/>
              <w:ind w:left="720" w:hanging="36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Miesięczną Dostępność Usługi (dalej: MDU) na poziomie min. 99.7% </w:t>
            </w:r>
          </w:p>
          <w:p w:rsidR="00945466" w:rsidRDefault="00945466" w:rsidP="00945466">
            <w:pPr>
              <w:tabs>
                <w:tab w:val="num" w:pos="720"/>
                <w:tab w:val="center" w:pos="4536"/>
                <w:tab w:val="right" w:pos="9072"/>
              </w:tabs>
              <w:spacing w:line="276" w:lineRule="auto"/>
              <w:ind w:left="720" w:hanging="36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Czas usunięcia awarii (dalej: CZUA) od momentu zgłoszenia: max. 8h</w:t>
            </w:r>
          </w:p>
          <w:p w:rsidR="00945466" w:rsidRDefault="00945466" w:rsidP="00945466">
            <w:pPr>
              <w:tabs>
                <w:tab w:val="center" w:pos="4536"/>
                <w:tab w:val="right" w:pos="9072"/>
              </w:tabs>
              <w:spacing w:line="276" w:lineRule="auto"/>
              <w:ind w:left="720"/>
              <w:rPr>
                <w:sz w:val="24"/>
                <w:szCs w:val="24"/>
                <w:lang w:eastAsia="en-US"/>
              </w:rPr>
            </w:pPr>
          </w:p>
          <w:p w:rsidR="00945466" w:rsidRDefault="00945466" w:rsidP="00945466">
            <w:pPr>
              <w:tabs>
                <w:tab w:val="center" w:pos="4536"/>
                <w:tab w:val="right" w:pos="9072"/>
              </w:tabs>
              <w:spacing w:line="276" w:lineRule="auto"/>
              <w:ind w:left="720" w:hanging="36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MDU [%] =  (1- </w:t>
            </w:r>
            <w:proofErr w:type="spellStart"/>
            <w:r>
              <w:rPr>
                <w:sz w:val="24"/>
                <w:szCs w:val="24"/>
                <w:lang w:eastAsia="en-US"/>
              </w:rPr>
              <w:t>SCUAwM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/</w:t>
            </w:r>
            <w:proofErr w:type="spellStart"/>
            <w:r>
              <w:rPr>
                <w:sz w:val="24"/>
                <w:szCs w:val="24"/>
                <w:lang w:eastAsia="en-US"/>
              </w:rPr>
              <w:t>CLGwM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) x 100% </w:t>
            </w:r>
          </w:p>
          <w:p w:rsidR="00945466" w:rsidRDefault="00945466" w:rsidP="00945466">
            <w:pPr>
              <w:tabs>
                <w:tab w:val="center" w:pos="4536"/>
                <w:tab w:val="right" w:pos="9072"/>
              </w:tabs>
              <w:spacing w:line="276" w:lineRule="auto"/>
              <w:ind w:left="720"/>
              <w:rPr>
                <w:sz w:val="24"/>
                <w:szCs w:val="24"/>
                <w:lang w:eastAsia="en-US"/>
              </w:rPr>
            </w:pPr>
          </w:p>
          <w:p w:rsidR="00945466" w:rsidRDefault="00945466" w:rsidP="00945466">
            <w:pPr>
              <w:tabs>
                <w:tab w:val="center" w:pos="4536"/>
                <w:tab w:val="right" w:pos="9072"/>
              </w:tabs>
              <w:spacing w:line="276" w:lineRule="auto"/>
              <w:ind w:left="72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Sumaryczny czas usuwania awarii w miesiącu (ilość rozpoczętych godzin) = </w:t>
            </w:r>
            <w:proofErr w:type="spellStart"/>
            <w:r>
              <w:rPr>
                <w:sz w:val="24"/>
                <w:szCs w:val="24"/>
                <w:lang w:eastAsia="en-US"/>
              </w:rPr>
              <w:t>SCUAwM</w:t>
            </w:r>
            <w:proofErr w:type="spellEnd"/>
          </w:p>
          <w:p w:rsidR="00945466" w:rsidRDefault="00945466" w:rsidP="00945466">
            <w:pPr>
              <w:tabs>
                <w:tab w:val="center" w:pos="4536"/>
                <w:tab w:val="right" w:pos="9072"/>
              </w:tabs>
              <w:spacing w:line="276" w:lineRule="auto"/>
              <w:ind w:left="72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Całkowita liczba godzin w miesiącu = </w:t>
            </w:r>
            <w:proofErr w:type="spellStart"/>
            <w:r>
              <w:rPr>
                <w:sz w:val="24"/>
                <w:szCs w:val="24"/>
                <w:lang w:eastAsia="en-US"/>
              </w:rPr>
              <w:t>CLGwM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= 720</w:t>
            </w:r>
          </w:p>
          <w:p w:rsidR="00945466" w:rsidRDefault="00945466" w:rsidP="00945466">
            <w:pPr>
              <w:tabs>
                <w:tab w:val="center" w:pos="4536"/>
                <w:tab w:val="right" w:pos="9072"/>
              </w:tabs>
              <w:spacing w:line="276" w:lineRule="auto"/>
              <w:ind w:left="720"/>
              <w:rPr>
                <w:sz w:val="24"/>
                <w:szCs w:val="24"/>
                <w:lang w:eastAsia="en-US"/>
              </w:rPr>
            </w:pPr>
          </w:p>
          <w:p w:rsidR="00945466" w:rsidRDefault="00945466" w:rsidP="00945466">
            <w:pPr>
              <w:tabs>
                <w:tab w:val="center" w:pos="4536"/>
                <w:tab w:val="right" w:pos="9072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W przypadku nie dotrzymania przez operatora w/w parametrów będzie on zobowiązany do udzielenia bonifikaty na następujących zasadach:</w:t>
            </w:r>
          </w:p>
          <w:p w:rsidR="00945466" w:rsidRDefault="00945466" w:rsidP="00945466">
            <w:pPr>
              <w:tabs>
                <w:tab w:val="center" w:pos="4536"/>
                <w:tab w:val="right" w:pos="9072"/>
              </w:tabs>
              <w:spacing w:line="276" w:lineRule="auto"/>
              <w:ind w:left="720"/>
              <w:rPr>
                <w:sz w:val="24"/>
                <w:szCs w:val="24"/>
                <w:lang w:eastAsia="en-US"/>
              </w:rPr>
            </w:pPr>
          </w:p>
          <w:p w:rsidR="00945466" w:rsidRDefault="00945466" w:rsidP="00945466">
            <w:pPr>
              <w:tabs>
                <w:tab w:val="center" w:pos="4536"/>
                <w:tab w:val="right" w:pos="9072"/>
              </w:tabs>
              <w:spacing w:line="276" w:lineRule="auto"/>
              <w:ind w:left="36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Za każdą rozpoczętą godzinę przekroczenia MDU bonifikata będzie wynosić min. 1/720 miesięcznych opłat abonamentowych</w:t>
            </w:r>
          </w:p>
          <w:p w:rsidR="00945466" w:rsidRDefault="00945466" w:rsidP="00945466">
            <w:pPr>
              <w:tabs>
                <w:tab w:val="center" w:pos="4536"/>
                <w:tab w:val="right" w:pos="9072"/>
              </w:tabs>
              <w:spacing w:line="276" w:lineRule="auto"/>
              <w:ind w:left="720"/>
              <w:rPr>
                <w:sz w:val="24"/>
                <w:szCs w:val="24"/>
                <w:lang w:eastAsia="en-US"/>
              </w:rPr>
            </w:pPr>
          </w:p>
          <w:p w:rsidR="00945466" w:rsidRDefault="00945466" w:rsidP="00945466">
            <w:pPr>
              <w:tabs>
                <w:tab w:val="center" w:pos="4536"/>
                <w:tab w:val="right" w:pos="9072"/>
              </w:tabs>
              <w:spacing w:line="276" w:lineRule="auto"/>
              <w:ind w:left="360"/>
              <w:rPr>
                <w:color w:val="80808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Za każdą rozpoczętą godzinę przekroczenia CZUA bonifikata będzie wynosić min. 1/720 miesięcznych opłat abonamentowych</w:t>
            </w:r>
          </w:p>
          <w:p w:rsidR="00945466" w:rsidRDefault="00945466" w:rsidP="00945466">
            <w:pPr>
              <w:tabs>
                <w:tab w:val="center" w:pos="4536"/>
                <w:tab w:val="right" w:pos="9072"/>
              </w:tabs>
              <w:spacing w:line="276" w:lineRule="auto"/>
              <w:ind w:left="720" w:hanging="360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80808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945466" w:rsidTr="00945466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Infolinia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5466" w:rsidRDefault="00945466" w:rsidP="00945466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Operator  udostępni PUW dostęp do całodobowego,  kontaktu telefonicznego (numer 0-800 lub 0-801) oraz numer stacjonarny w celu bieżącej obsługi klienta (zgłaszanie awarii i innych spraw dotyczących obsługi klienta).</w:t>
            </w:r>
          </w:p>
        </w:tc>
      </w:tr>
      <w:tr w:rsidR="00945466" w:rsidTr="00945466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Bezpieczeństwo</w:t>
            </w:r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Łącze będzie gwarantowało, że żadne informacje przez nie przepływające nie zostaną przechwycone, bądź obserwowane przez nieuprawnione osoby.</w:t>
            </w:r>
          </w:p>
        </w:tc>
      </w:tr>
      <w:tr w:rsidR="00945466" w:rsidTr="00945466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AntyDDOS</w:t>
            </w:r>
            <w:proofErr w:type="spellEnd"/>
          </w:p>
        </w:tc>
        <w:tc>
          <w:tcPr>
            <w:tcW w:w="5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Łącze winno posiadać ochronę przed atakami </w:t>
            </w:r>
            <w:proofErr w:type="spellStart"/>
            <w:r>
              <w:rPr>
                <w:sz w:val="24"/>
                <w:szCs w:val="24"/>
              </w:rPr>
              <w:t>DDoS</w:t>
            </w:r>
            <w:proofErr w:type="spellEnd"/>
            <w:r>
              <w:rPr>
                <w:sz w:val="24"/>
                <w:szCs w:val="24"/>
              </w:rPr>
              <w:t xml:space="preserve"> na poziomie min. 10 </w:t>
            </w:r>
            <w:proofErr w:type="spellStart"/>
            <w:r>
              <w:rPr>
                <w:sz w:val="24"/>
                <w:szCs w:val="24"/>
              </w:rPr>
              <w:t>Gbps</w:t>
            </w:r>
            <w:proofErr w:type="spellEnd"/>
            <w:r>
              <w:rPr>
                <w:sz w:val="24"/>
                <w:szCs w:val="24"/>
              </w:rPr>
              <w:t xml:space="preserve"> obejmującą:</w:t>
            </w:r>
          </w:p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automatyczną analizę ruchu w celu identyfikacji typu i natury ataku,</w:t>
            </w:r>
          </w:p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definiowanie wielkości ruchu (</w:t>
            </w:r>
            <w:proofErr w:type="spellStart"/>
            <w:r>
              <w:rPr>
                <w:sz w:val="24"/>
                <w:szCs w:val="24"/>
              </w:rPr>
              <w:t>pps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bps</w:t>
            </w:r>
            <w:proofErr w:type="spellEnd"/>
            <w:r>
              <w:rPr>
                <w:sz w:val="24"/>
                <w:szCs w:val="24"/>
              </w:rPr>
              <w:t xml:space="preserve">) dla poszczególnych adresów IP dla której zastąpi automatyczne uruchomienie </w:t>
            </w:r>
            <w:proofErr w:type="spellStart"/>
            <w:r>
              <w:rPr>
                <w:sz w:val="24"/>
                <w:szCs w:val="24"/>
              </w:rPr>
              <w:t>mitygacji</w:t>
            </w:r>
            <w:proofErr w:type="spellEnd"/>
            <w:r>
              <w:rPr>
                <w:sz w:val="24"/>
                <w:szCs w:val="24"/>
              </w:rPr>
              <w:t>,</w:t>
            </w:r>
          </w:p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definiowanie obiektów, list portów i protokołów,</w:t>
            </w:r>
            <w:r>
              <w:rPr>
                <w:sz w:val="24"/>
                <w:szCs w:val="24"/>
              </w:rPr>
              <w:br/>
              <w:t>- definiowanie własnych białych i czarnych list portów i protokołów,</w:t>
            </w:r>
          </w:p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automatyczne rozpoczęcie usuwania ataku i informacja dla Zamawiającego o jego wykryciu,</w:t>
            </w:r>
          </w:p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dostęp do portalu klienta ze statystykami,</w:t>
            </w:r>
          </w:p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automatyczna </w:t>
            </w:r>
            <w:proofErr w:type="spellStart"/>
            <w:r>
              <w:rPr>
                <w:sz w:val="24"/>
                <w:szCs w:val="24"/>
              </w:rPr>
              <w:t>mitygacja</w:t>
            </w:r>
            <w:proofErr w:type="spellEnd"/>
            <w:r>
              <w:rPr>
                <w:sz w:val="24"/>
                <w:szCs w:val="24"/>
              </w:rPr>
              <w:t xml:space="preserve"> (reakcja na zdarzenie) musi nastąpić w ciągu 5 min od wykrycia ataku,</w:t>
            </w:r>
          </w:p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modyfikację zestawu użytych mechanizmów przeciwdziałania tak, aby uzyskać maksymalny </w:t>
            </w:r>
            <w:r>
              <w:rPr>
                <w:sz w:val="24"/>
                <w:szCs w:val="24"/>
              </w:rPr>
              <w:lastRenderedPageBreak/>
              <w:t>poziom filtracji ruchu niepożądanego przy minimalnym wpływie na ruch prawidłowy,</w:t>
            </w:r>
          </w:p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Wykonawca zobowiązuje się, że ruch w sieci Zamawiającego  przekierowany do oczyszczania będzie wysyłany wyłącznie na obszar znajdujący się pod bezpośrednim nadzorem służb technicznych Wykonawcy. </w:t>
            </w:r>
            <w:r>
              <w:rPr>
                <w:sz w:val="24"/>
                <w:szCs w:val="24"/>
              </w:rPr>
              <w:br/>
              <w:t xml:space="preserve">- </w:t>
            </w:r>
            <w:bookmarkStart w:id="0" w:name="_GoBack"/>
            <w:bookmarkEnd w:id="0"/>
            <w:r>
              <w:rPr>
                <w:sz w:val="24"/>
                <w:szCs w:val="24"/>
              </w:rPr>
              <w:t xml:space="preserve">Usługa ochrony przed </w:t>
            </w:r>
            <w:proofErr w:type="spellStart"/>
            <w:r>
              <w:rPr>
                <w:sz w:val="24"/>
                <w:szCs w:val="24"/>
              </w:rPr>
              <w:t>DDoS</w:t>
            </w:r>
            <w:proofErr w:type="spellEnd"/>
            <w:r>
              <w:rPr>
                <w:sz w:val="24"/>
                <w:szCs w:val="24"/>
              </w:rPr>
              <w:t xml:space="preserve"> świadczona będzie w trybie 24/7/365,</w:t>
            </w:r>
          </w:p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możliwość ustalania polityk </w:t>
            </w:r>
            <w:proofErr w:type="spellStart"/>
            <w:r>
              <w:rPr>
                <w:sz w:val="24"/>
                <w:szCs w:val="24"/>
              </w:rPr>
              <w:t>mitygacji</w:t>
            </w:r>
            <w:proofErr w:type="spellEnd"/>
            <w:r>
              <w:rPr>
                <w:sz w:val="24"/>
                <w:szCs w:val="24"/>
              </w:rPr>
              <w:t xml:space="preserve"> dla różnych krajów, w tym ograniczania adresów źródłowych do terytorium RP podczas ataku,</w:t>
            </w:r>
          </w:p>
          <w:p w:rsidR="00945466" w:rsidRDefault="00945466" w:rsidP="00945466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Wykonawca w ofercie przedstawi informację </w:t>
            </w:r>
            <w:r>
              <w:rPr>
                <w:sz w:val="24"/>
                <w:szCs w:val="24"/>
              </w:rPr>
              <w:br/>
              <w:t xml:space="preserve">o sposobie realizacji usługi </w:t>
            </w:r>
            <w:proofErr w:type="spellStart"/>
            <w:r>
              <w:rPr>
                <w:sz w:val="24"/>
                <w:szCs w:val="24"/>
              </w:rPr>
              <w:t>DDoS</w:t>
            </w:r>
            <w:proofErr w:type="spellEnd"/>
          </w:p>
          <w:p w:rsidR="00945466" w:rsidRDefault="00945466" w:rsidP="00945466">
            <w:pPr>
              <w:spacing w:line="276" w:lineRule="auto"/>
              <w:rPr>
                <w:sz w:val="24"/>
                <w:szCs w:val="24"/>
              </w:rPr>
            </w:pPr>
          </w:p>
        </w:tc>
      </w:tr>
    </w:tbl>
    <w:p w:rsidR="00945466" w:rsidRDefault="00945466" w:rsidP="00945466">
      <w:pPr>
        <w:pStyle w:val="Tekstprzypisukocowego"/>
        <w:spacing w:line="276" w:lineRule="auto"/>
      </w:pPr>
    </w:p>
    <w:p w:rsidR="00821E4E" w:rsidRDefault="00821E4E" w:rsidP="00945466">
      <w:pPr>
        <w:spacing w:line="276" w:lineRule="auto"/>
      </w:pPr>
    </w:p>
    <w:sectPr w:rsidR="00821E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2F7"/>
    <w:rsid w:val="002B42F7"/>
    <w:rsid w:val="00821E4E"/>
    <w:rsid w:val="00945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BE0253-DF47-4C7B-AFF7-536102C81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454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45466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4546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94546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235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ripe.net/membership/indices/PL.htm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562</Words>
  <Characters>3378</Characters>
  <Application>Microsoft Office Word</Application>
  <DocSecurity>0</DocSecurity>
  <Lines>28</Lines>
  <Paragraphs>7</Paragraphs>
  <ScaleCrop>false</ScaleCrop>
  <Company/>
  <LinksUpToDate>false</LinksUpToDate>
  <CharactersWithSpaces>3933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Głód</dc:creator>
  <cp:keywords/>
  <dc:description/>
  <cp:lastModifiedBy>Marcin Głód</cp:lastModifiedBy>
  <cp:revision>2</cp:revision>
  <dcterms:created xsi:type="dcterms:W3CDTF">2022-03-14T12:58:00Z</dcterms:created>
  <dcterms:modified xsi:type="dcterms:W3CDTF">2022-03-14T13:00:00Z</dcterms:modified>
</cp:coreProperties>
</file>