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6BC49328" w14:textId="77777777"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4CAD3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6" o:title=""/>
          </v:shape>
          <o:OLEObject Type="Embed" ProgID="Word.Picture.8" ShapeID="_x0000_i1025" DrawAspect="Content" ObjectID="_1812452241" r:id="rId7"/>
        </w:object>
      </w:r>
    </w:p>
    <w:p w14:paraId="6F4E522D"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2AB370E0" w14:textId="6621EEC4"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w:t>
      </w:r>
      <w:r w:rsidR="006C783A">
        <w:rPr>
          <w:rFonts w:ascii="Calibri" w:eastAsia="Lucida Sans Unicode" w:hAnsi="Calibri" w:cs="Calibri"/>
          <w:bCs/>
          <w:kern w:val="28"/>
          <w:sz w:val="24"/>
          <w:szCs w:val="24"/>
        </w:rPr>
        <w:t>egionalny Dyrektor Ochrony Środowiska w Olsztynie</w:t>
      </w:r>
    </w:p>
    <w:p w14:paraId="40FE03D6" w14:textId="22423FD3" w:rsidR="00F432E6" w:rsidRDefault="006C783A"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WSTE.</w:t>
      </w:r>
      <w:r w:rsidR="00ED0646">
        <w:rPr>
          <w:rFonts w:ascii="Calibri" w:eastAsia="Lucida Sans Unicode" w:hAnsi="Calibri" w:cs="Calibri"/>
          <w:bCs/>
          <w:kern w:val="28"/>
          <w:sz w:val="24"/>
          <w:szCs w:val="24"/>
        </w:rPr>
        <w:t>420.</w:t>
      </w:r>
      <w:r w:rsidR="00093A0F">
        <w:rPr>
          <w:rFonts w:ascii="Calibri" w:eastAsia="Lucida Sans Unicode" w:hAnsi="Calibri" w:cs="Calibri"/>
          <w:bCs/>
          <w:kern w:val="28"/>
          <w:sz w:val="24"/>
          <w:szCs w:val="24"/>
        </w:rPr>
        <w:t>1</w:t>
      </w:r>
      <w:r w:rsidR="00091EB3">
        <w:rPr>
          <w:rFonts w:ascii="Calibri" w:eastAsia="Lucida Sans Unicode" w:hAnsi="Calibri" w:cs="Calibri"/>
          <w:bCs/>
          <w:kern w:val="28"/>
          <w:sz w:val="24"/>
          <w:szCs w:val="24"/>
        </w:rPr>
        <w:t>.202</w:t>
      </w:r>
      <w:r w:rsidR="00093A0F">
        <w:rPr>
          <w:rFonts w:ascii="Calibri" w:eastAsia="Lucida Sans Unicode" w:hAnsi="Calibri" w:cs="Calibri"/>
          <w:bCs/>
          <w:kern w:val="28"/>
          <w:sz w:val="24"/>
          <w:szCs w:val="24"/>
        </w:rPr>
        <w:t>5</w:t>
      </w:r>
      <w:r w:rsidR="00091EB3">
        <w:rPr>
          <w:rFonts w:ascii="Calibri" w:eastAsia="Lucida Sans Unicode" w:hAnsi="Calibri" w:cs="Calibri"/>
          <w:bCs/>
          <w:kern w:val="28"/>
          <w:sz w:val="24"/>
          <w:szCs w:val="24"/>
        </w:rPr>
        <w:t>.</w:t>
      </w:r>
      <w:r w:rsidR="00A925ED">
        <w:rPr>
          <w:rFonts w:ascii="Calibri" w:eastAsia="Lucida Sans Unicode" w:hAnsi="Calibri" w:cs="Calibri"/>
          <w:bCs/>
          <w:kern w:val="28"/>
          <w:sz w:val="24"/>
          <w:szCs w:val="24"/>
        </w:rPr>
        <w:t>BW.</w:t>
      </w:r>
      <w:r w:rsidR="00093A0F">
        <w:rPr>
          <w:rFonts w:ascii="Calibri" w:eastAsia="Lucida Sans Unicode" w:hAnsi="Calibri" w:cs="Calibri"/>
          <w:bCs/>
          <w:kern w:val="28"/>
          <w:sz w:val="24"/>
          <w:szCs w:val="24"/>
        </w:rPr>
        <w:t>10</w:t>
      </w:r>
    </w:p>
    <w:p w14:paraId="6BE60700" w14:textId="20BE333C" w:rsidR="00E74C48" w:rsidRDefault="00267220"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093A0F">
        <w:rPr>
          <w:rFonts w:ascii="Calibri" w:eastAsia="Lucida Sans Unicode" w:hAnsi="Calibri" w:cs="Calibri"/>
          <w:bCs/>
          <w:kern w:val="28"/>
          <w:sz w:val="24"/>
          <w:szCs w:val="24"/>
        </w:rPr>
        <w:t>26 czerwca</w:t>
      </w:r>
      <w:r w:rsidR="00091EB3">
        <w:rPr>
          <w:rFonts w:ascii="Calibri" w:eastAsia="Lucida Sans Unicode" w:hAnsi="Calibri" w:cs="Calibri"/>
          <w:bCs/>
          <w:kern w:val="28"/>
          <w:sz w:val="24"/>
          <w:szCs w:val="24"/>
        </w:rPr>
        <w:t xml:space="preserve"> 2025</w:t>
      </w:r>
      <w:r w:rsidR="00D150E7">
        <w:rPr>
          <w:rFonts w:ascii="Calibri" w:eastAsia="Lucida Sans Unicode" w:hAnsi="Calibri" w:cs="Calibri"/>
          <w:bCs/>
          <w:kern w:val="28"/>
          <w:sz w:val="24"/>
          <w:szCs w:val="24"/>
        </w:rPr>
        <w:t xml:space="preserve"> r.</w:t>
      </w:r>
    </w:p>
    <w:p w14:paraId="72A7782B" w14:textId="3F4A4EF2"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925ED">
        <w:rPr>
          <w:rFonts w:asciiTheme="minorHAnsi" w:eastAsia="SimSun" w:hAnsiTheme="minorHAnsi" w:cstheme="minorHAnsi"/>
          <w:color w:val="auto"/>
          <w:sz w:val="28"/>
          <w:szCs w:val="28"/>
          <w:lang w:eastAsia="zh-CN" w:bidi="hi-IN"/>
        </w:rPr>
        <w:t>o środowiskowych uwarunkowaniach</w:t>
      </w:r>
    </w:p>
    <w:p w14:paraId="1F17C41C" w14:textId="1432C730" w:rsidR="00093A0F" w:rsidRDefault="00D150E7" w:rsidP="0067347E">
      <w:pPr>
        <w:spacing w:after="100" w:afterAutospacing="1" w:line="360" w:lineRule="auto"/>
        <w:rPr>
          <w:sz w:val="24"/>
          <w:szCs w:val="24"/>
          <w:lang w:eastAsia="zh-CN" w:bidi="hi-IN"/>
        </w:rPr>
      </w:pPr>
      <w:r w:rsidRPr="00D150E7">
        <w:rPr>
          <w:sz w:val="24"/>
          <w:szCs w:val="24"/>
          <w:lang w:eastAsia="zh-CN" w:bidi="hi-IN"/>
        </w:rPr>
        <w:t xml:space="preserve">Na </w:t>
      </w:r>
      <w:r w:rsidR="00093A0F" w:rsidRPr="00093A0F">
        <w:rPr>
          <w:sz w:val="24"/>
          <w:szCs w:val="24"/>
          <w:lang w:eastAsia="zh-CN" w:bidi="hi-IN"/>
        </w:rPr>
        <w:t xml:space="preserve">podstawie art. 104 i 155 ustawy z dnia 14 czerwca 1960 r. Kodeks postępowania administracyjnego  (Dz. U. z 2024 r. poz. 572) oraz art. 71 ust. 2 pkt 2, art. 75 ust. 1 lit. c oraz art. 84 i 85, w związku z art. 87 ustawy z dnia 3 października 2008 r. o udostępnianiu informacji o środowisku i jego ochronie, udziale społeczeństwa w ochronie środowiska oraz o ocenach oddziaływania na środowisko (Dz. U. z  2024 r. poz. 1112 ze zm.) dalej </w:t>
      </w:r>
      <w:proofErr w:type="spellStart"/>
      <w:r w:rsidR="00093A0F" w:rsidRPr="00093A0F">
        <w:rPr>
          <w:sz w:val="24"/>
          <w:szCs w:val="24"/>
          <w:lang w:eastAsia="zh-CN" w:bidi="hi-IN"/>
        </w:rPr>
        <w:t>ooś</w:t>
      </w:r>
      <w:proofErr w:type="spellEnd"/>
      <w:r w:rsidR="00093A0F" w:rsidRPr="00093A0F">
        <w:rPr>
          <w:sz w:val="24"/>
          <w:szCs w:val="24"/>
          <w:lang w:eastAsia="zh-CN" w:bidi="hi-IN"/>
        </w:rPr>
        <w:t xml:space="preserve">, a także § 2 ust. 1 pkt 34 w związku z § 3 ust. 2 pkt 1 rozporządzenia Rady Ministrów z dnia 10 września 2019 r. w sprawie przedsięwzięć mogących znacząco oddziaływać na środowisko (Dz. U. z  2019 r. poz. 1839 ze zm.), po rozpatrzeniu wniosku </w:t>
      </w:r>
      <w:proofErr w:type="spellStart"/>
      <w:r w:rsidR="00093A0F" w:rsidRPr="00093A0F">
        <w:rPr>
          <w:sz w:val="24"/>
          <w:szCs w:val="24"/>
          <w:lang w:eastAsia="zh-CN" w:bidi="hi-IN"/>
        </w:rPr>
        <w:t>ws</w:t>
      </w:r>
      <w:proofErr w:type="spellEnd"/>
      <w:r w:rsidR="00093A0F" w:rsidRPr="00093A0F">
        <w:rPr>
          <w:sz w:val="24"/>
          <w:szCs w:val="24"/>
          <w:lang w:eastAsia="zh-CN" w:bidi="hi-IN"/>
        </w:rPr>
        <w:t xml:space="preserve">. zmiany decyzji  środowiskowej złożonego przez </w:t>
      </w:r>
      <w:r w:rsidR="00093A0F">
        <w:rPr>
          <w:sz w:val="24"/>
          <w:szCs w:val="24"/>
          <w:lang w:eastAsia="zh-CN" w:bidi="hi-IN"/>
        </w:rPr>
        <w:t>(</w:t>
      </w:r>
      <w:proofErr w:type="spellStart"/>
      <w:r w:rsidR="00093A0F">
        <w:rPr>
          <w:sz w:val="24"/>
          <w:szCs w:val="24"/>
          <w:lang w:eastAsia="zh-CN" w:bidi="hi-IN"/>
        </w:rPr>
        <w:t>anonimizacja</w:t>
      </w:r>
      <w:proofErr w:type="spellEnd"/>
      <w:r w:rsidR="00093A0F">
        <w:rPr>
          <w:sz w:val="24"/>
          <w:szCs w:val="24"/>
          <w:lang w:eastAsia="zh-CN" w:bidi="hi-IN"/>
        </w:rPr>
        <w:t xml:space="preserve">) </w:t>
      </w:r>
      <w:r w:rsidR="00093A0F" w:rsidRPr="00093A0F">
        <w:rPr>
          <w:sz w:val="24"/>
          <w:szCs w:val="24"/>
          <w:lang w:eastAsia="zh-CN" w:bidi="hi-IN"/>
        </w:rPr>
        <w:t>pełnomocnika Prezydenta Miasta Elbląg,</w:t>
      </w:r>
    </w:p>
    <w:p w14:paraId="26C5A083" w14:textId="7C85661E" w:rsidR="00ED0646" w:rsidRDefault="00093A0F" w:rsidP="00ED0646">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O</w:t>
      </w:r>
      <w:r w:rsidR="00ED0646">
        <w:rPr>
          <w:rFonts w:asciiTheme="minorHAnsi" w:hAnsiTheme="minorHAnsi" w:cstheme="minorHAnsi"/>
          <w:color w:val="auto"/>
          <w:sz w:val="28"/>
          <w:szCs w:val="28"/>
        </w:rPr>
        <w:t>rzekam</w:t>
      </w:r>
    </w:p>
    <w:p w14:paraId="5763F1D8" w14:textId="77777777" w:rsidR="00CA6C47" w:rsidRDefault="00093A0F" w:rsidP="00093A0F">
      <w:pPr>
        <w:pStyle w:val="Akapitzlist"/>
        <w:numPr>
          <w:ilvl w:val="0"/>
          <w:numId w:val="69"/>
        </w:numPr>
        <w:spacing w:after="0" w:line="360" w:lineRule="auto"/>
        <w:rPr>
          <w:rFonts w:ascii="Calibri" w:hAnsi="Calibri" w:cs="Calibri"/>
          <w:sz w:val="24"/>
          <w:szCs w:val="24"/>
        </w:rPr>
      </w:pPr>
      <w:r w:rsidRPr="00CA6C47">
        <w:rPr>
          <w:rFonts w:ascii="Calibri" w:hAnsi="Calibri" w:cs="Calibri"/>
          <w:sz w:val="24"/>
          <w:szCs w:val="24"/>
        </w:rPr>
        <w:t>brak potrzeby przeprowadzenia oceny oddziaływania na środowisko dla zmiany decyzji o środowiskowych uwarunkowaniach z 10 kwietnia 2024 r. znak: WSTE.420.2.2023.BW.35 wydanej dla przedsięwzięcia polegającego na przebudowie zachodniego nabrzeża rzeki Elbląg wzdłuż linii Wyspy Spichrzów w Elblągu, woj. warmińsko-mazurskie;</w:t>
      </w:r>
    </w:p>
    <w:p w14:paraId="0E741BC3" w14:textId="77777777" w:rsidR="00CA6C47" w:rsidRDefault="00093A0F" w:rsidP="00093A0F">
      <w:pPr>
        <w:pStyle w:val="Akapitzlist"/>
        <w:numPr>
          <w:ilvl w:val="0"/>
          <w:numId w:val="69"/>
        </w:numPr>
        <w:spacing w:after="0" w:line="360" w:lineRule="auto"/>
        <w:rPr>
          <w:rFonts w:ascii="Calibri" w:hAnsi="Calibri" w:cs="Calibri"/>
          <w:sz w:val="24"/>
          <w:szCs w:val="24"/>
        </w:rPr>
      </w:pPr>
      <w:r w:rsidRPr="00CA6C47">
        <w:rPr>
          <w:rFonts w:ascii="Calibri" w:hAnsi="Calibri" w:cs="Calibri"/>
          <w:sz w:val="24"/>
          <w:szCs w:val="24"/>
        </w:rPr>
        <w:t xml:space="preserve">zmieniam w decyzji z 10 kwietnia 2024 r. znak: WSTE.420.2.2023.BW.35 pkt. II </w:t>
      </w:r>
      <w:proofErr w:type="spellStart"/>
      <w:r w:rsidRPr="00CA6C47">
        <w:rPr>
          <w:rFonts w:ascii="Calibri" w:hAnsi="Calibri" w:cs="Calibri"/>
          <w:sz w:val="24"/>
          <w:szCs w:val="24"/>
        </w:rPr>
        <w:t>ppkt</w:t>
      </w:r>
      <w:proofErr w:type="spellEnd"/>
      <w:r w:rsidRPr="00CA6C47">
        <w:rPr>
          <w:rFonts w:ascii="Calibri" w:hAnsi="Calibri" w:cs="Calibri"/>
          <w:sz w:val="24"/>
          <w:szCs w:val="24"/>
        </w:rPr>
        <w:t>. 2 w brzmieniu: „Wycinkę drzew prowadzić poza okresem lęgowym ptaków, tj. poza okresem od 1 marca do 31 sierpnia”, który otrzymuje brzmienie:</w:t>
      </w:r>
    </w:p>
    <w:p w14:paraId="0E48F6DA" w14:textId="77777777" w:rsidR="00CA6C47" w:rsidRDefault="00093A0F" w:rsidP="00093A0F">
      <w:pPr>
        <w:spacing w:after="0" w:line="360" w:lineRule="auto"/>
        <w:rPr>
          <w:rFonts w:ascii="Calibri" w:hAnsi="Calibri" w:cs="Calibri"/>
          <w:sz w:val="24"/>
          <w:szCs w:val="24"/>
        </w:rPr>
      </w:pPr>
      <w:r w:rsidRPr="00CA6C47">
        <w:rPr>
          <w:rFonts w:ascii="Calibri" w:hAnsi="Calibri" w:cs="Calibri"/>
          <w:sz w:val="24"/>
          <w:szCs w:val="24"/>
        </w:rPr>
        <w:t xml:space="preserve">„Wycinkę drzew i krzewów prowadzić poza okresem lęgowym ptaków, tj. poza okresem od 1 marca do 31 sierpnia. Dopuszcza się wycinkę drzew i krzewów w okresie od 1 lipca do 31 sierpnia pod nadzorem przyrodniczym (ornitologicznym) w trakcie wycinki.” </w:t>
      </w:r>
    </w:p>
    <w:p w14:paraId="7A09C253" w14:textId="7805B6F6" w:rsidR="00093A0F" w:rsidRPr="00CA6C47" w:rsidRDefault="00093A0F" w:rsidP="00CA6C47">
      <w:pPr>
        <w:pStyle w:val="Akapitzlist"/>
        <w:numPr>
          <w:ilvl w:val="0"/>
          <w:numId w:val="69"/>
        </w:numPr>
        <w:spacing w:after="100" w:afterAutospacing="1" w:line="360" w:lineRule="auto"/>
        <w:ind w:left="714" w:hanging="357"/>
        <w:rPr>
          <w:rFonts w:ascii="Calibri" w:hAnsi="Calibri" w:cs="Calibri"/>
          <w:sz w:val="24"/>
          <w:szCs w:val="24"/>
        </w:rPr>
      </w:pPr>
      <w:r w:rsidRPr="00CA6C47">
        <w:rPr>
          <w:rFonts w:ascii="Calibri" w:hAnsi="Calibri" w:cs="Calibri"/>
          <w:sz w:val="24"/>
          <w:szCs w:val="24"/>
        </w:rPr>
        <w:t xml:space="preserve">pozostałe warunki określone w sentencji ww. decyzji Regionalnego Dyrektora Ochrony Środowiska w Olsztynie z 10 kwietnia 2024 r. znak: WSTE.420.2.2023.BW.35 oraz </w:t>
      </w:r>
      <w:r w:rsidRPr="00CA6C47">
        <w:rPr>
          <w:rFonts w:ascii="Calibri" w:hAnsi="Calibri" w:cs="Calibri"/>
          <w:sz w:val="24"/>
          <w:szCs w:val="24"/>
        </w:rPr>
        <w:lastRenderedPageBreak/>
        <w:t>charakterystyka planowanego przedsięwzięcia, stanowiąca  załącznik do tej decyzji, pozostają bez zmian.</w:t>
      </w:r>
    </w:p>
    <w:p w14:paraId="6C0211B2" w14:textId="77777777"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14:paraId="58D62DA0"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Przedmiotowa inwestycja polega na przebudowie zachodniego nabrzeża rzeki Elbląg wzdłuż linii Wyspy Spichrzów w Elblągu, woj. warmińsko – mazurskie. Zgodnie z § 2 ust. 1 pkt 34 w związku z § 3 ust. 2 pkt 1 rozporządzenia Rady Ministrów z dnia 10 września 2019 r. w sprawie przedsięwzięć mogących znacząco oddziaływać na środowisko (Dz. U. z 2019 r. poz. 1839 ze zm.), porty lub przystanie morskie w rozumieniu art. 2 pkt 2 ustawy z dnia 20 grudnia 1996 r. o portach i przystaniach morskich, inne niż wymienione w § 2 ust. 1 pkt 34, lub infrastruktura portowa związana z tymi portami; polegające na rozbudowie, przebudowie lub montażu realizowanego lub zrealizowanego przedsięwzięcia wymienionego w § 2 ust. 1 i niespełniające kryteriów, o których mowa w § 2 ust. 2 pkt 1; kwalifikują się do przedsięwzięć mogących potencjalnie znacząco oddziaływać na środowisko.</w:t>
      </w:r>
    </w:p>
    <w:p w14:paraId="439C58B7"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 xml:space="preserve">Zgodnie z art. 71 ust. 2 pkt 2 ustawy z dnia 3 października 2008 r. o udostępnianiu informacji o środowisku i jego ochronie, udziale społeczeństwa w ochronie środowiska oraz o ocenach oddziaływania na środowisko (Dz. U. z  2024 r. poz. 1112 ze zm.) dalej </w:t>
      </w:r>
      <w:proofErr w:type="spellStart"/>
      <w:r w:rsidRPr="00CA6C47">
        <w:rPr>
          <w:rFonts w:ascii="Calibri" w:hAnsi="Calibri" w:cs="Calibri"/>
          <w:sz w:val="24"/>
          <w:szCs w:val="24"/>
          <w:lang w:eastAsia="zh-CN"/>
        </w:rPr>
        <w:t>ooś</w:t>
      </w:r>
      <w:proofErr w:type="spellEnd"/>
      <w:r w:rsidRPr="00CA6C47">
        <w:rPr>
          <w:rFonts w:ascii="Calibri" w:hAnsi="Calibri" w:cs="Calibri"/>
          <w:sz w:val="24"/>
          <w:szCs w:val="24"/>
          <w:lang w:eastAsia="zh-CN"/>
        </w:rPr>
        <w:t xml:space="preserve"> dla planowanego przedsięwzięcia mogącego potencjalnie znacząco oddziaływać na środowisko wymagane jest uzyskanie decyzji o środowiskowych uwarunkowaniach.</w:t>
      </w:r>
    </w:p>
    <w:p w14:paraId="397896BD"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 xml:space="preserve">Inwestycji będzie częściowo realizowana na terenach morskich – rzeka Elbląg. Zgodnie z art. 75 ust. 1 lit. c ustawy </w:t>
      </w:r>
      <w:proofErr w:type="spellStart"/>
      <w:r w:rsidRPr="00CA6C47">
        <w:rPr>
          <w:rFonts w:ascii="Calibri" w:hAnsi="Calibri" w:cs="Calibri"/>
          <w:sz w:val="24"/>
          <w:szCs w:val="24"/>
          <w:lang w:eastAsia="zh-CN"/>
        </w:rPr>
        <w:t>ooś</w:t>
      </w:r>
      <w:proofErr w:type="spellEnd"/>
      <w:r w:rsidRPr="00CA6C47">
        <w:rPr>
          <w:rFonts w:ascii="Calibri" w:hAnsi="Calibri" w:cs="Calibri"/>
          <w:sz w:val="24"/>
          <w:szCs w:val="24"/>
          <w:lang w:eastAsia="zh-CN"/>
        </w:rPr>
        <w:t>, w przypadku przedsięwzięcia realizowanego na obszarach morskich decyzję o środowiskowych uwarunkowaniach wydaje regionalny dyrektor ochrony środowiska.</w:t>
      </w:r>
    </w:p>
    <w:p w14:paraId="5E87A04A"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 xml:space="preserve">W związku z powyższym Pan </w:t>
      </w:r>
      <w:r>
        <w:rPr>
          <w:rFonts w:ascii="Calibri" w:hAnsi="Calibri" w:cs="Calibri"/>
          <w:sz w:val="24"/>
          <w:szCs w:val="24"/>
          <w:lang w:eastAsia="zh-CN"/>
        </w:rPr>
        <w:t>(</w:t>
      </w:r>
      <w:proofErr w:type="spellStart"/>
      <w:r>
        <w:rPr>
          <w:rFonts w:ascii="Calibri" w:hAnsi="Calibri" w:cs="Calibri"/>
          <w:sz w:val="24"/>
          <w:szCs w:val="24"/>
          <w:lang w:eastAsia="zh-CN"/>
        </w:rPr>
        <w:t>anonimizacja</w:t>
      </w:r>
      <w:proofErr w:type="spellEnd"/>
      <w:r>
        <w:rPr>
          <w:rFonts w:ascii="Calibri" w:hAnsi="Calibri" w:cs="Calibri"/>
          <w:sz w:val="24"/>
          <w:szCs w:val="24"/>
          <w:lang w:eastAsia="zh-CN"/>
        </w:rPr>
        <w:t>)</w:t>
      </w:r>
      <w:r w:rsidRPr="00CA6C47">
        <w:rPr>
          <w:rFonts w:ascii="Calibri" w:hAnsi="Calibri" w:cs="Calibri"/>
          <w:sz w:val="24"/>
          <w:szCs w:val="24"/>
          <w:lang w:eastAsia="zh-CN"/>
        </w:rPr>
        <w:t>, działając z pełnomocnictwa Inwestora Prezydenta Miasta Elbląg, zwrócił się do Regionalnego Dyrektora Ochrony Środowiska w Olsztynie z wnioskiem z 5 maja 2025 r. o zmianę decyzji o środowiskowych uwarunkowaniach z 10 kwietnia 2024 r. znak: WSTE.420.2.2023.BW.35 dla przedsięwzięcia polegającego na przebudowie zachodniego nabrzeża rzeki Elbląg wzdłuż linii Wyspy Spichrzów w Elblągu.</w:t>
      </w:r>
    </w:p>
    <w:p w14:paraId="190F1A76"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Do wniosku o zmianę decyzji o środowiskowych uwarunkowaniach dołączono opinię ornitologiczną dotyczącą gniazdowania ptaków w obrębie drzew przeznaczonych do wycinki.</w:t>
      </w:r>
    </w:p>
    <w:p w14:paraId="0DA8FCF0"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 xml:space="preserve">Zgodnie z art. 61 § 4 k.p.a. zawiadomieniem z dnia 9.05.2025 r. znak: WSTE.420.1.2025.BW.1, tut. organ poinformował strony postępowania o wszczęciu postępowania administracyjnego w sprawie wydania zmiany decyzji o środowiskowych uwarunkowaniach z 10 kwietnia 2024 r. </w:t>
      </w:r>
      <w:r w:rsidRPr="00CA6C47">
        <w:rPr>
          <w:rFonts w:ascii="Calibri" w:hAnsi="Calibri" w:cs="Calibri"/>
          <w:sz w:val="24"/>
          <w:szCs w:val="24"/>
          <w:lang w:eastAsia="zh-CN"/>
        </w:rPr>
        <w:lastRenderedPageBreak/>
        <w:t>znak: WSTE.420.2.2023.BW.35 dla przedmiotowego przedsięwzięcia. Ponieważ liczba stron postępowania przekracza 10, strony zostały zawiadamiane o prowadzonym postępowaniu w formie obwieszczenia.</w:t>
      </w:r>
    </w:p>
    <w:p w14:paraId="60BE008D"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Stosownie do wymogu art. 64 ust. 1a, ust. 1 pkt 2 oraz ust. 1 pkt 4 ww. ustawy, Regionalny Dyrektor Ochrony Środowiska w Olsztynie wystąpił pismem z dnia 9 maja 2025 r. znak: WSTE.420.1.2025.BW.3, znak: WSTE.420.1.2025.BW.4, znak: WSTE.420.1.2025.BW.5 do Dyrektora Urzędu Morskiego w Gdyni, Państwowego Gospodarstwa Wodnego Wody Polskie Regionalny Zarząd Gospodarki Wodnej w Gdańsku oraz Państwowego Granicznego Inspektora Sanitarnego w Elblągu o opinię w sprawie potrzeby przeprowadzenia dla przedmiotowego przedsięwzięcia oceny oddziaływania na środowisko.</w:t>
      </w:r>
    </w:p>
    <w:p w14:paraId="1114FAFD"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Państwowy Graniczny Inspektor Sanitarny w Elblągu pismem z 19 maja 2025 r. znak: ZNS.5512.1.2025 wydał opinię, w której stwierdził brak potrzeby przeprowadzenia oceny oddziaływania przedmiotowego przedsięwzięcia na środowisko.</w:t>
      </w:r>
    </w:p>
    <w:p w14:paraId="0FD74A62"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W dniu 19 maja 2025 r. wpłynęła opinia znak: G.RZŚ.4901.38.2025.MP Państwowego Gospodarstwa Wodnego Wody Regionalny Zarządu Gospodarki Wodnej w Gdańsku, w której stwierdził brak potrzeby przeprowadzenia oceny oddziaływania przedmiotowego przedsięwzięcia na środowisko.</w:t>
      </w:r>
    </w:p>
    <w:p w14:paraId="7837B2D2"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Dyrektor Urzędu Morskiego w Gdyni postanowieniem z 28 maja 2025 r., znak: INZ1.9202.71.2025.AC stwierdził brak potrzeby przeprowadzenia oceny oddziaływania na środowisko dla ww. przedsięwzięcia i określił warunki realizacji inwestycji.</w:t>
      </w:r>
    </w:p>
    <w:p w14:paraId="550B0D03"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Po zgromadzeniu wszystkich dokumentów, w tym wymaganych opinii, obwieszczeniem z dnia 29.05.2025 r., znak: WSTE.420..2025.BW.8, Regionalny Dyrektor Ochrony Środowiska w Olsztynie, działając zgodnie z art. 10 § 1 kpa, zawiadomił strony postępowania o przysługującym im prawie do zapoznania się z aktami sprawy i wypowiedzenia się odnośnie dotychczas zgromadzonych dowodów i materiałów oraz zgłoszonych żądań. W określonym terminie żadna ze stron nie wniosła uwag i wniosków do planowanego przedsięwzięcia.</w:t>
      </w:r>
    </w:p>
    <w:p w14:paraId="4382989F"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 xml:space="preserve">Zgodnie z art. 84 ustawy </w:t>
      </w:r>
      <w:proofErr w:type="spellStart"/>
      <w:r w:rsidRPr="00CA6C47">
        <w:rPr>
          <w:rFonts w:ascii="Calibri" w:hAnsi="Calibri" w:cs="Calibri"/>
          <w:sz w:val="24"/>
          <w:szCs w:val="24"/>
          <w:lang w:eastAsia="zh-CN"/>
        </w:rPr>
        <w:t>ooś</w:t>
      </w:r>
      <w:proofErr w:type="spellEnd"/>
      <w:r w:rsidRPr="00CA6C47">
        <w:rPr>
          <w:rFonts w:ascii="Calibri" w:hAnsi="Calibri" w:cs="Calibri"/>
          <w:sz w:val="24"/>
          <w:szCs w:val="24"/>
          <w:lang w:eastAsia="zh-CN"/>
        </w:rPr>
        <w:t>, w przypadku gdy nie została przeprowadzona ocena oddziaływania przedsięwzięcia na środowisko, w decyzji o środowiskowych uwarunkowaniach właściwy organ stwierdza brak potrzeby przeprowadzenia oceny oddziaływania przedsięwzięcia na środowisko.</w:t>
      </w:r>
    </w:p>
    <w:p w14:paraId="348C6FD3"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 xml:space="preserve">Planowane przedsięwzięcie polega na przebudowie zachodniego nabrzeża rzeki Elbląg wzdłuż linii Wyspy Spichrzów i uwzględnia wykonanie nowej ścianki szczelnej o konstrukcji stalowej, pogłębienie dna na torze wodnym, wykonanie nowej nawierzchni komunikacji pieszej i </w:t>
      </w:r>
      <w:r w:rsidRPr="00CA6C47">
        <w:rPr>
          <w:rFonts w:ascii="Calibri" w:hAnsi="Calibri" w:cs="Calibri"/>
          <w:sz w:val="24"/>
          <w:szCs w:val="24"/>
          <w:lang w:eastAsia="zh-CN"/>
        </w:rPr>
        <w:lastRenderedPageBreak/>
        <w:t>drogowej, wykonanie wyposażenia nabrzeży dla potrzeb żeglugi oraz wykonanie parkingu do 220 miejsc postojowych.</w:t>
      </w:r>
    </w:p>
    <w:p w14:paraId="64EBECBB"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Teren inwestycji wchodzi w skład portu morskiego w Elblągu. Plan zagospodarowania akwenów portu morskiego w Elblągu nie został jeszcze uchwalony i nie jest ujęty w Rozporządzeniu Ministra Infrastruktury i Rozwoju z dnia 7 maja 2015 r. w sprawie określenia akwenów portowych oraz ogólnodostępnych obiektów, urządzeń i instalacji wchodzących w skład infrastruktury zapewniającej dostęp do portu o podstawowym znaczeniu dla gospodarki narodowej. Na części obszaru objętego wnioskiem obowiązuje miejscowy plan</w:t>
      </w:r>
      <w:r>
        <w:rPr>
          <w:rFonts w:ascii="Calibri" w:hAnsi="Calibri" w:cs="Calibri"/>
          <w:sz w:val="24"/>
          <w:szCs w:val="24"/>
          <w:lang w:eastAsia="zh-CN"/>
        </w:rPr>
        <w:t xml:space="preserve"> </w:t>
      </w:r>
      <w:r w:rsidRPr="00CA6C47">
        <w:rPr>
          <w:rFonts w:ascii="Calibri" w:hAnsi="Calibri" w:cs="Calibri"/>
          <w:sz w:val="24"/>
          <w:szCs w:val="24"/>
          <w:lang w:eastAsia="zh-CN"/>
        </w:rPr>
        <w:t>zagospodarowania przestrzennego Wyspy Spichrzów (uchwała Nr XIII/395/2020 Rady Miejskiej w Elblągu z 24 września 2020 r.) oraz miejscowy plan zagospodarowania przestrzennego obszaru położonego wzdłuż ulicy Grochowskiej w Elblągu (uchwała Nr XXVIII/701/2006 Rady Miejskiej w Elblągu z 16.02.2006 r.). Zgodnie z ustaleniami planu w większości jest to teren portu morskiego. Planowane zagospodarowanie terenu nie narusza ustaleń miejscowych planów zagospodarowania przestrzennego.</w:t>
      </w:r>
    </w:p>
    <w:p w14:paraId="01022782"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Teren inwestycji obejmuje obszar położony wzdłuż Wybrzeża Gdańskiego, między ulicami Prowiantową i Orlą, Giełdową do Kanału Miejskiego oraz rejon ulicy Warszawskiej w obrębie parkingu. Jest to obszar o charakterze rekreacyjno-wypoczynkowym. W najbliższym otoczeniu znajduje się m.in. pojedyncza zabudowa mieszkaniowa, budynki usługowe, drogi publiczne, place, nabrzeża, przystanie wodne oraz bazy sportowe.</w:t>
      </w:r>
    </w:p>
    <w:p w14:paraId="0371A03E"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Na terenie objętym inwestycję zinwentaryzowano 134 drzewa i ok. 364 m2 krzewów. Wyspa Spichrzów jest to teren w większości zainwestowany i przekształcony antropogenicznie i nie stanowi istotnego miejsca gniazdowania ptaków.</w:t>
      </w:r>
    </w:p>
    <w:p w14:paraId="66C169DB"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W związku z realizacja inwestycja planowana jest wycinka części drzew i krzewów, które kolidują z planowaną przebudową. Wśród drzew przeznaczonych do usunięcia dominują gatunki: klon jawor, jesion wyniosły i klon zwyczajny o obwodach pni ok. 50 – 60 cm. Największy okaz, jesion wyniosły, ma obwód 114 cm. Największe skupiska krzewów stanowi śliwa mirabelka. Roślinność lokalnie porasta konstrukcję nabrzeża, prowadząc jednocześnie do pogarszania jej stanu technicznego.</w:t>
      </w:r>
    </w:p>
    <w:p w14:paraId="0D953E7B"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 xml:space="preserve">Przedmiotowa inwestycja pn. „Przebudowa zachodniego nabrzeża rzeki Elbląg wzdłuż linii Wyspy Spichrzów”, dla której inwestor uzyskał w dniu 10.04.2024 r. decyzję o środowiskowych uwarunkowaniach realizacji przedsięwzięcia, polega na rozbudowie istniejących odcinków nabrzeży Wyspy Spichrzów w celu dostosowania ich do nowych warunków użytkowania (nowe parametry nabrzeży), jak również na budowie nowego parkingu dla aut osobowych, </w:t>
      </w:r>
      <w:r w:rsidRPr="00CA6C47">
        <w:rPr>
          <w:rFonts w:ascii="Calibri" w:hAnsi="Calibri" w:cs="Calibri"/>
          <w:sz w:val="24"/>
          <w:szCs w:val="24"/>
          <w:lang w:eastAsia="zh-CN"/>
        </w:rPr>
        <w:lastRenderedPageBreak/>
        <w:t>zlokalizowanego wzdłuż ulicy Warszawskiej, na obszarze Wyspy Spichrzów w Elblągu. W ramach inwestycji, obok prac budowlanych związanych z rozbiórkami istniejących konstrukcji i budową nowych obiektów, w celu umożliwienia realizacji przedsięwzięcia przewidziana jest wycinka wybranych drzew i krzewów. Wycinka jest niezbędna do przygotowania miejsca dla maszyn budowlanych, które będą pogrążać nowe ścianki szczelne rozbudowywanych nabrzeży, oraz które będą wykonywać prace ziemne przy budowie parkingu dla samochodów.</w:t>
      </w:r>
    </w:p>
    <w:p w14:paraId="5A66E72A"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Zgodnie z  warunkami realizacji inwestycji określonymi w sentencji decyzji środowiskowej z dnia 10.04.2024 r., wycinkę drzew należy prowadzić poza okresem lęgowym ptaków, tj. poza okresem od 1 marca do 31 sierpnia. Ograniczenie to wynika z konieczności ochrony ptaków, które we wskazanym okresie budują gniazda i opiekują się pisklętami i mogą występować na obszarze, na którym planowana jest wycinka.</w:t>
      </w:r>
    </w:p>
    <w:p w14:paraId="50BF9218" w14:textId="350BE704" w:rsidR="00CA6C47" w:rsidRP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 xml:space="preserve">W związku z napiętym harmonogramem prac związanych z realizacją inwestycji oraz  finansowaniem ze środków programu Polski Ład, zaistniała potrzeba wykonania planowanych wycinek przed zakończeniem okresu ochronnego. Z tego względu Generalny Wykonawca, spółka KB </w:t>
      </w:r>
      <w:proofErr w:type="spellStart"/>
      <w:r w:rsidRPr="00CA6C47">
        <w:rPr>
          <w:rFonts w:ascii="Calibri" w:hAnsi="Calibri" w:cs="Calibri"/>
          <w:sz w:val="24"/>
          <w:szCs w:val="24"/>
          <w:lang w:eastAsia="zh-CN"/>
        </w:rPr>
        <w:t>Doraco</w:t>
      </w:r>
      <w:proofErr w:type="spellEnd"/>
      <w:r w:rsidRPr="00CA6C47">
        <w:rPr>
          <w:rFonts w:ascii="Calibri" w:hAnsi="Calibri" w:cs="Calibri"/>
          <w:sz w:val="24"/>
          <w:szCs w:val="24"/>
          <w:lang w:eastAsia="zh-CN"/>
        </w:rPr>
        <w:t xml:space="preserve"> Sp. z o.o., zlecił wykonanie ekspertyzy ornitologicznej. Ornitolog Pan </w:t>
      </w:r>
      <w:r>
        <w:rPr>
          <w:rFonts w:ascii="Calibri" w:hAnsi="Calibri" w:cs="Calibri"/>
          <w:sz w:val="24"/>
          <w:szCs w:val="24"/>
          <w:lang w:eastAsia="zh-CN"/>
        </w:rPr>
        <w:t>(</w:t>
      </w:r>
      <w:proofErr w:type="spellStart"/>
      <w:r>
        <w:rPr>
          <w:rFonts w:ascii="Calibri" w:hAnsi="Calibri" w:cs="Calibri"/>
          <w:sz w:val="24"/>
          <w:szCs w:val="24"/>
          <w:lang w:eastAsia="zh-CN"/>
        </w:rPr>
        <w:t>anonimizacja</w:t>
      </w:r>
      <w:proofErr w:type="spellEnd"/>
      <w:r>
        <w:rPr>
          <w:rFonts w:ascii="Calibri" w:hAnsi="Calibri" w:cs="Calibri"/>
          <w:sz w:val="24"/>
          <w:szCs w:val="24"/>
          <w:lang w:eastAsia="zh-CN"/>
        </w:rPr>
        <w:t>)</w:t>
      </w:r>
      <w:r w:rsidRPr="00CA6C47">
        <w:rPr>
          <w:rFonts w:ascii="Calibri" w:hAnsi="Calibri" w:cs="Calibri"/>
          <w:sz w:val="24"/>
          <w:szCs w:val="24"/>
          <w:lang w:eastAsia="zh-CN"/>
        </w:rPr>
        <w:t xml:space="preserve"> w kwietniu 2025 r. przeprowadził badania ornitologiczne, które polegały na dokładnej kontroli drzew i krzewów przeznaczonych do wycinki oraz ich najbliższego otoczenia. Podczas kontroli notowane były wszystkie stwierdzone gatunki ptaków, rejestrowano także ich zachowanie. </w:t>
      </w:r>
    </w:p>
    <w:p w14:paraId="000B44FC"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W trakcie prace terenowych łącznie stwierdzono 12 gatunków ptaków. Żaden ze stwierdzonych gatunków w trakcie prowadzonych badań nie gniazdował bezpośrednio na drzewach i krzewach przeznaczonych do wycinki. W obrębie drzew nie znaleziono resztek gniazd świadczących o tym, że w ostatnim czasie drzewa i krzewy przeznaczone do wycinki były miejscem odbywania lęgów.</w:t>
      </w:r>
    </w:p>
    <w:p w14:paraId="4DB7F354"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 xml:space="preserve">W rejonie drzew i krzewów przeznaczonych do wycinki a także na terenie przeznaczonym pod inwestycję nie stwierdzono gniazdowania ptaków. Najbliższe prawdopodobne stanowiska lęgowe wróbla </w:t>
      </w:r>
      <w:proofErr w:type="spellStart"/>
      <w:r w:rsidRPr="00CA6C47">
        <w:rPr>
          <w:rFonts w:ascii="Calibri" w:hAnsi="Calibri" w:cs="Calibri"/>
          <w:sz w:val="24"/>
          <w:szCs w:val="24"/>
          <w:lang w:eastAsia="zh-CN"/>
        </w:rPr>
        <w:t>Passer</w:t>
      </w:r>
      <w:proofErr w:type="spellEnd"/>
      <w:r w:rsidRPr="00CA6C47">
        <w:rPr>
          <w:rFonts w:ascii="Calibri" w:hAnsi="Calibri" w:cs="Calibri"/>
          <w:sz w:val="24"/>
          <w:szCs w:val="24"/>
          <w:lang w:eastAsia="zh-CN"/>
        </w:rPr>
        <w:t xml:space="preserve"> </w:t>
      </w:r>
      <w:proofErr w:type="spellStart"/>
      <w:r w:rsidRPr="00CA6C47">
        <w:rPr>
          <w:rFonts w:ascii="Calibri" w:hAnsi="Calibri" w:cs="Calibri"/>
          <w:sz w:val="24"/>
          <w:szCs w:val="24"/>
          <w:lang w:eastAsia="zh-CN"/>
        </w:rPr>
        <w:t>domesticus</w:t>
      </w:r>
      <w:proofErr w:type="spellEnd"/>
      <w:r w:rsidRPr="00CA6C47">
        <w:rPr>
          <w:rFonts w:ascii="Calibri" w:hAnsi="Calibri" w:cs="Calibri"/>
          <w:sz w:val="24"/>
          <w:szCs w:val="24"/>
          <w:lang w:eastAsia="zh-CN"/>
        </w:rPr>
        <w:t xml:space="preserve"> oraz mazurka </w:t>
      </w:r>
      <w:proofErr w:type="spellStart"/>
      <w:r w:rsidRPr="00CA6C47">
        <w:rPr>
          <w:rFonts w:ascii="Calibri" w:hAnsi="Calibri" w:cs="Calibri"/>
          <w:sz w:val="24"/>
          <w:szCs w:val="24"/>
          <w:lang w:eastAsia="zh-CN"/>
        </w:rPr>
        <w:t>Passer</w:t>
      </w:r>
      <w:proofErr w:type="spellEnd"/>
      <w:r w:rsidRPr="00CA6C47">
        <w:rPr>
          <w:rFonts w:ascii="Calibri" w:hAnsi="Calibri" w:cs="Calibri"/>
          <w:sz w:val="24"/>
          <w:szCs w:val="24"/>
          <w:lang w:eastAsia="zh-CN"/>
        </w:rPr>
        <w:t xml:space="preserve"> </w:t>
      </w:r>
      <w:proofErr w:type="spellStart"/>
      <w:r w:rsidRPr="00CA6C47">
        <w:rPr>
          <w:rFonts w:ascii="Calibri" w:hAnsi="Calibri" w:cs="Calibri"/>
          <w:sz w:val="24"/>
          <w:szCs w:val="24"/>
          <w:lang w:eastAsia="zh-CN"/>
        </w:rPr>
        <w:t>montanus</w:t>
      </w:r>
      <w:proofErr w:type="spellEnd"/>
      <w:r w:rsidRPr="00CA6C47">
        <w:rPr>
          <w:rFonts w:ascii="Calibri" w:hAnsi="Calibri" w:cs="Calibri"/>
          <w:sz w:val="24"/>
          <w:szCs w:val="24"/>
          <w:lang w:eastAsia="zh-CN"/>
        </w:rPr>
        <w:t xml:space="preserve"> znajdują się w budynkach sąsiadujących bezpośrednio z inwestycją, na ul. Warszawskiej 53-55. Gniazdo sroki Pica </w:t>
      </w:r>
      <w:proofErr w:type="spellStart"/>
      <w:r w:rsidRPr="00CA6C47">
        <w:rPr>
          <w:rFonts w:ascii="Calibri" w:hAnsi="Calibri" w:cs="Calibri"/>
          <w:sz w:val="24"/>
          <w:szCs w:val="24"/>
          <w:lang w:eastAsia="zh-CN"/>
        </w:rPr>
        <w:t>pica</w:t>
      </w:r>
      <w:proofErr w:type="spellEnd"/>
      <w:r w:rsidRPr="00CA6C47">
        <w:rPr>
          <w:rFonts w:ascii="Calibri" w:hAnsi="Calibri" w:cs="Calibri"/>
          <w:sz w:val="24"/>
          <w:szCs w:val="24"/>
          <w:lang w:eastAsia="zh-CN"/>
        </w:rPr>
        <w:t xml:space="preserve"> zlokalizowane jest na wierzbie białej </w:t>
      </w:r>
      <w:proofErr w:type="spellStart"/>
      <w:r w:rsidRPr="00CA6C47">
        <w:rPr>
          <w:rFonts w:ascii="Calibri" w:hAnsi="Calibri" w:cs="Calibri"/>
          <w:sz w:val="24"/>
          <w:szCs w:val="24"/>
          <w:lang w:eastAsia="zh-CN"/>
        </w:rPr>
        <w:t>Salix</w:t>
      </w:r>
      <w:proofErr w:type="spellEnd"/>
      <w:r w:rsidRPr="00CA6C47">
        <w:rPr>
          <w:rFonts w:ascii="Calibri" w:hAnsi="Calibri" w:cs="Calibri"/>
          <w:sz w:val="24"/>
          <w:szCs w:val="24"/>
          <w:lang w:eastAsia="zh-CN"/>
        </w:rPr>
        <w:t xml:space="preserve"> alba w odległości około 80 m na północ od granic inwestycji. Śpiewający (terytorialny) kos </w:t>
      </w:r>
      <w:proofErr w:type="spellStart"/>
      <w:r w:rsidRPr="00CA6C47">
        <w:rPr>
          <w:rFonts w:ascii="Calibri" w:hAnsi="Calibri" w:cs="Calibri"/>
          <w:sz w:val="24"/>
          <w:szCs w:val="24"/>
          <w:lang w:eastAsia="zh-CN"/>
        </w:rPr>
        <w:t>Turdus</w:t>
      </w:r>
      <w:proofErr w:type="spellEnd"/>
      <w:r w:rsidRPr="00CA6C47">
        <w:rPr>
          <w:rFonts w:ascii="Calibri" w:hAnsi="Calibri" w:cs="Calibri"/>
          <w:sz w:val="24"/>
          <w:szCs w:val="24"/>
          <w:lang w:eastAsia="zh-CN"/>
        </w:rPr>
        <w:t xml:space="preserve"> </w:t>
      </w:r>
      <w:proofErr w:type="spellStart"/>
      <w:r w:rsidRPr="00CA6C47">
        <w:rPr>
          <w:rFonts w:ascii="Calibri" w:hAnsi="Calibri" w:cs="Calibri"/>
          <w:sz w:val="24"/>
          <w:szCs w:val="24"/>
          <w:lang w:eastAsia="zh-CN"/>
        </w:rPr>
        <w:t>merula</w:t>
      </w:r>
      <w:proofErr w:type="spellEnd"/>
      <w:r w:rsidRPr="00CA6C47">
        <w:rPr>
          <w:rFonts w:ascii="Calibri" w:hAnsi="Calibri" w:cs="Calibri"/>
          <w:sz w:val="24"/>
          <w:szCs w:val="24"/>
          <w:lang w:eastAsia="zh-CN"/>
        </w:rPr>
        <w:t xml:space="preserve"> stwierdzony był w zaroślach o charakterze parkowym w odległości około 80 m na południe od terenu inwestycji.</w:t>
      </w:r>
    </w:p>
    <w:p w14:paraId="5799A3C9"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 xml:space="preserve">Dokument został sporządzony w celu uaktualnienia stanu wiedzy w zakresie walorów ornitologicznych obszarów przyległych do terenu inwestycji. Wnioski z ekspertyzy, oparte na dwukrotnej kontroli wskazują, że możliwe jest prowadzenie wycinki przedmiotowych drzew i krzewów w okresie lęgowym ptaków, z zastrzeżeniem, iż prace te należy bezwzględnie </w:t>
      </w:r>
      <w:r w:rsidRPr="00CA6C47">
        <w:rPr>
          <w:rFonts w:ascii="Calibri" w:hAnsi="Calibri" w:cs="Calibri"/>
          <w:sz w:val="24"/>
          <w:szCs w:val="24"/>
          <w:lang w:eastAsia="zh-CN"/>
        </w:rPr>
        <w:lastRenderedPageBreak/>
        <w:t>poprzedzić dodatkowymi badaniami ornitologicznymi i opinią ornitologa wystawioną bezpośrednio przed wycinką. Ponadto wskazano, że wycinkę drzew i krzewów należy wykonać pod nadzorem przyrodniczym. Przy zachowaniu warunków określonych w sentencji zmienianej decyzji stwierdzono, że istnieje możliwość warunkowego usunięcia drzew w trakcie okresu lęgowego. W przypadku stwierdzenia lęgów, prace należy przerwać do czasu zakończenia i bezpiecznego wyprowadzenia lęgów.</w:t>
      </w:r>
    </w:p>
    <w:p w14:paraId="352DD568"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W związku z powyższym, biorąc pod uwagę wyniki badań oraz wiedzę specjalistyczną tutejszego organu uznano, że możliwe jest skrócenie terminu, w którym prace związane z usuwaniem drzew mogą być skrócone. W tym okresie większość zinwentaryzowanych gatunków ptaków kończy swoje lęgi, a nadzór przyrodniczy będzie czuwał nad bezpieczeństwem prowadzonych prac.</w:t>
      </w:r>
    </w:p>
    <w:p w14:paraId="79D3E45B"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Z uwagi na niewielki zakres planowanych zmian, dotyczący modyfikacji jednego warunku realizacji inwestycji w odniesieniu do ochrony ornitofauny, oddziaływanie przedsięwzięcia na środowisko będzie zbliżone do określonego w zmienianej decyzji środowiskowej. Nie przewiduje się żadnych zmian przedsięwzięcia mogących mieć wpływ na zużycie surowców, oddziaływanie akustyczne czy emisję zanieczyszczeń do powietrza. W związku z powyższym dotychczasowe założenia i wyniki obliczeń w ww. zakresie pozostają bez zmian. Nie zmieni się także w wyniku planowanych zmian oddziaływanie przedsięwzięcia w zakresie ilości i rodzaju wytwarzanych ścieków czy odpadów. Nie przewiduje się również zwiększenia ryzyka wystąpienia poważnej awarii lub katastrofy naturalnej i budowlanej w wyniku wprowadzanych zmian, jak również niekorzystnego wpływu przedsięwzięcia na klimat.</w:t>
      </w:r>
    </w:p>
    <w:p w14:paraId="3F83B934"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 xml:space="preserve">Drzewa nieprzewidziane do wycinki, a znajdujące się w sąsiedztwie prowadzonych prac, zostaną zabezpieczone przed uszkodzeniami mechanicznymi poprzez oszalowanie z desek osłaniających pnie. Ponadto w sąsiedztwie drzew nie będą składowane materiały budowlane czy ziemia z wykopów. </w:t>
      </w:r>
    </w:p>
    <w:p w14:paraId="49DA4190"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Odpady powstające podczas budowy gromadzone będą selektywnie w specjalnie do tego przystosowanych pojemnikach, a następnie zostaną przekazane podmiotom posiadającym stosowne zezwolenia do ich odzysku lub utylizacji.</w:t>
      </w:r>
    </w:p>
    <w:p w14:paraId="24951210" w14:textId="55842708" w:rsidR="00CA6C47" w:rsidRP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 xml:space="preserve">Na czas budowy zostanie udostępniony plac postojowy dla maszyn budowlanych na </w:t>
      </w:r>
    </w:p>
    <w:p w14:paraId="5B97DFF8"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 xml:space="preserve">sąsiedniej działce. Maszyny budowlane oraz pojazdy transportowe wykorzystywane podczas budowy będą sprawne technicznie i zabezpieczone przed wyciekiem paliw i olejów. Ponadto plac budowy zostanie wyposażony w sorbenty i maty sorpcyjne na wypadek awarii w celu wyeliminowania zanieczyszczenia środowiska gruntowo-wodnego substancjami </w:t>
      </w:r>
      <w:r w:rsidRPr="00CA6C47">
        <w:rPr>
          <w:rFonts w:ascii="Calibri" w:hAnsi="Calibri" w:cs="Calibri"/>
          <w:sz w:val="24"/>
          <w:szCs w:val="24"/>
          <w:lang w:eastAsia="zh-CN"/>
        </w:rPr>
        <w:lastRenderedPageBreak/>
        <w:t>ropopochodnymi. Plac budowy zostanie wyposażony w przenośne toalety, które będą systematycznie opróżniane a ścieki wywożone do oczyszczalni.</w:t>
      </w:r>
    </w:p>
    <w:p w14:paraId="725E8F74"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Faza realizacji planowanego przedsięwzięcia wiązać się będzie z okresowym wzrostem emisji spalin, poziomu hałasu, zapylenia spowodowanego pracą sprzętu budowlanego oraz ruchem pojazdów po terenie inwestycji (m.in.: koparko - ładowarka, spychacz, wibracyjny zagęszczacz gruntu, samochody ciężarowe, wiertnica i barka). W celu ich zminimalizowania czas pracy sprzętu mechanicznego będzie ograniczony wyłącznie do pory dnia. Stosowany sprzęt będzie posiadać właściwe atesty oraz spełniać wymogi w zakresie dopuszczalnej wielkości emisji hałasu do środowiska. Ponadto stan techniczny maszyn i urządzeń wykorzystywanych przy realizacji przedsięwzięcia będzie na bieżąco kontrolowany.</w:t>
      </w:r>
    </w:p>
    <w:p w14:paraId="56F7648D"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Przewiduje się, że zasięg uciążliwości powodowanych w fazie realizacji przedmiotowego przedsięwzięcia ograniczy się do najbliższego otoczenia, a emisja substancji zanieczyszczających powietrze oraz hałas będzie miała charakter średnioterminowy i ustanie wraz z zakończeniem prac budowlanych i nie przewiduje się negatywnego oddziaływania na zdrowie i życie ludzi na etapie realizacji i eksploatacji obiektu.</w:t>
      </w:r>
    </w:p>
    <w:p w14:paraId="2E974777"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Teren inwestycji położony jest poza formami ochrony przyrody, o których mowa w ustawie z 16 kwietnia 2024 r. o ochronie przyrody oraz korytarzami ekologicznymi. Najbliższe obszary Natura 2000 obszar specjalnej ochrony ptaków Jezioro Drużno PLB280013 oraz specjalny obszar ochrony siedlisk Ostoja Drużno PLH280028 znajduje się w odległości od ok. 1,1 km do 1,7 km na południe od miejsca inwestycji. Uwzględniając zakres planowej inwestycji stwierdzono, że przebudowa nadbrzeża nie spowoduje ograniczenia migracji zwierząt na tym terenie i nie będzie miało znacząca negatywnego wpływu na cel i przedmiot ochrony obszarów Natura 2000.</w:t>
      </w:r>
    </w:p>
    <w:p w14:paraId="1DD3335F"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Przedsięwzięcie jest zlokalizowane na terenie obszarów szczególnego zagrożenia powodzią w rozumieniu art. 16 pkt 34 ustawy z dnia 20 lipca 2017 r. Prawo wodne.</w:t>
      </w:r>
    </w:p>
    <w:p w14:paraId="68B9DC6F"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Na podstawie danych z Planu gospodarowania wodami na obszarze dorzecza Wisły opublikowanym w Rozporządzeniu Ministra Infrastruktury dnia 4 listopada 2022 r. (Dz. U. z 2023, poz. 300), stwierdzono że przedsięwzięcie znajduje się w regionie wodnym Dolnej Wisły, na obszarze następujących jednolitych części wód:</w:t>
      </w:r>
    </w:p>
    <w:p w14:paraId="116DF46E" w14:textId="77777777" w:rsidR="00CA6C47" w:rsidRDefault="00CA6C47" w:rsidP="00CA6C47">
      <w:pPr>
        <w:pStyle w:val="Akapitzlist"/>
        <w:numPr>
          <w:ilvl w:val="0"/>
          <w:numId w:val="71"/>
        </w:numPr>
        <w:spacing w:after="0" w:line="360" w:lineRule="auto"/>
        <w:rPr>
          <w:rFonts w:ascii="Calibri" w:hAnsi="Calibri" w:cs="Calibri"/>
          <w:sz w:val="24"/>
          <w:szCs w:val="24"/>
          <w:lang w:eastAsia="zh-CN"/>
        </w:rPr>
      </w:pPr>
      <w:r w:rsidRPr="00CA6C47">
        <w:rPr>
          <w:rFonts w:ascii="Calibri" w:hAnsi="Calibri" w:cs="Calibri"/>
          <w:sz w:val="24"/>
          <w:szCs w:val="24"/>
          <w:lang w:eastAsia="zh-CN"/>
        </w:rPr>
        <w:t xml:space="preserve">powierzchniowych rzecznych - kod RWRW2000165499 Elbląg od Młynówki do ujścia. Stanowi ona silnie zmienioną część wód, jest monitorowana. Jej stan ogólny określono jako zły (zły potencjał ekologiczny, stan chemiczny poniżej dobrego). JCWP jest zagrożona ryzykiem nieosiągnięcia celów środowiskowych. Cel środowiskowy dla JCWP to dobry potencjał ekologiczny, zapewnienie drożności cieku dla migracji gatunków o </w:t>
      </w:r>
      <w:r w:rsidRPr="00CA6C47">
        <w:rPr>
          <w:rFonts w:ascii="Calibri" w:hAnsi="Calibri" w:cs="Calibri"/>
          <w:sz w:val="24"/>
          <w:szCs w:val="24"/>
          <w:lang w:eastAsia="zh-CN"/>
        </w:rPr>
        <w:lastRenderedPageBreak/>
        <w:t>znaczeniu gospodarczym na odcinku cieku głównego Elbląg od jez. Drużno do ujścia (dla węgorza europejskiego) oraz stan chemiczny: dla złagodzonych wskaźników [</w:t>
      </w:r>
      <w:proofErr w:type="spellStart"/>
      <w:r w:rsidRPr="00CA6C47">
        <w:rPr>
          <w:rFonts w:ascii="Calibri" w:hAnsi="Calibri" w:cs="Calibri"/>
          <w:sz w:val="24"/>
          <w:szCs w:val="24"/>
          <w:lang w:eastAsia="zh-CN"/>
        </w:rPr>
        <w:t>benzo</w:t>
      </w:r>
      <w:proofErr w:type="spellEnd"/>
      <w:r w:rsidRPr="00CA6C47">
        <w:rPr>
          <w:rFonts w:ascii="Calibri" w:hAnsi="Calibri" w:cs="Calibri"/>
          <w:sz w:val="24"/>
          <w:szCs w:val="24"/>
          <w:lang w:eastAsia="zh-CN"/>
        </w:rPr>
        <w:t>(a)</w:t>
      </w:r>
      <w:proofErr w:type="spellStart"/>
      <w:r w:rsidRPr="00CA6C47">
        <w:rPr>
          <w:rFonts w:ascii="Calibri" w:hAnsi="Calibri" w:cs="Calibri"/>
          <w:sz w:val="24"/>
          <w:szCs w:val="24"/>
          <w:lang w:eastAsia="zh-CN"/>
        </w:rPr>
        <w:t>piren</w:t>
      </w:r>
      <w:proofErr w:type="spellEnd"/>
      <w:r w:rsidRPr="00CA6C47">
        <w:rPr>
          <w:rFonts w:ascii="Calibri" w:hAnsi="Calibri" w:cs="Calibri"/>
          <w:sz w:val="24"/>
          <w:szCs w:val="24"/>
          <w:lang w:eastAsia="zh-CN"/>
        </w:rPr>
        <w:t>(w)] poniżej stanu dobrego, dla pozostałych wskaźników - stan dobry. W JCWP znajdują się obszary chronione przeznaczone do ochrony siedlisk lub gatunków, o których mowa w przepisach ustawy z dnia 16 kwietnia 2004 r. o ochronie przyrody, dla którego utrzymanie lub poprawa stanu wód jest ważnym czynnikiem w jego ochronie, dla którego cele środowiskowe zostały określone w akcie będącym podstawą prawną obszaru. Niemniej jednak, planowane przedsięwzięcie znajduje się poza obszarami objętymi ochroną prawną.</w:t>
      </w:r>
    </w:p>
    <w:p w14:paraId="61AF93EC" w14:textId="77777777" w:rsidR="00CA6C47" w:rsidRDefault="00CA6C47" w:rsidP="00CA6C47">
      <w:pPr>
        <w:pStyle w:val="Akapitzlist"/>
        <w:numPr>
          <w:ilvl w:val="0"/>
          <w:numId w:val="71"/>
        </w:numPr>
        <w:spacing w:after="0" w:line="360" w:lineRule="auto"/>
        <w:rPr>
          <w:rFonts w:ascii="Calibri" w:hAnsi="Calibri" w:cs="Calibri"/>
          <w:sz w:val="24"/>
          <w:szCs w:val="24"/>
          <w:lang w:eastAsia="zh-CN"/>
        </w:rPr>
      </w:pPr>
      <w:r w:rsidRPr="00CA6C47">
        <w:rPr>
          <w:rFonts w:ascii="Calibri" w:hAnsi="Calibri" w:cs="Calibri"/>
          <w:sz w:val="24"/>
          <w:szCs w:val="24"/>
          <w:lang w:eastAsia="zh-CN"/>
        </w:rPr>
        <w:t xml:space="preserve">podziemnych: kod GW200018 – </w:t>
      </w:r>
      <w:proofErr w:type="spellStart"/>
      <w:r w:rsidRPr="00CA6C47">
        <w:rPr>
          <w:rFonts w:ascii="Calibri" w:hAnsi="Calibri" w:cs="Calibri"/>
          <w:sz w:val="24"/>
          <w:szCs w:val="24"/>
          <w:lang w:eastAsia="zh-CN"/>
        </w:rPr>
        <w:t>JCWPd</w:t>
      </w:r>
      <w:proofErr w:type="spellEnd"/>
      <w:r w:rsidRPr="00CA6C47">
        <w:rPr>
          <w:rFonts w:ascii="Calibri" w:hAnsi="Calibri" w:cs="Calibri"/>
          <w:sz w:val="24"/>
          <w:szCs w:val="24"/>
          <w:lang w:eastAsia="zh-CN"/>
        </w:rPr>
        <w:t xml:space="preserve"> charakteryzuje się dobrym stanem ilościowym oraz dobrym stanem chemicznym. </w:t>
      </w:r>
      <w:proofErr w:type="spellStart"/>
      <w:r w:rsidRPr="00CA6C47">
        <w:rPr>
          <w:rFonts w:ascii="Calibri" w:hAnsi="Calibri" w:cs="Calibri"/>
          <w:sz w:val="24"/>
          <w:szCs w:val="24"/>
          <w:lang w:eastAsia="zh-CN"/>
        </w:rPr>
        <w:t>JCWPd</w:t>
      </w:r>
      <w:proofErr w:type="spellEnd"/>
      <w:r w:rsidRPr="00CA6C47">
        <w:rPr>
          <w:rFonts w:ascii="Calibri" w:hAnsi="Calibri" w:cs="Calibri"/>
          <w:sz w:val="24"/>
          <w:szCs w:val="24"/>
          <w:lang w:eastAsia="zh-CN"/>
        </w:rPr>
        <w:t xml:space="preserve"> nie jest zagrożona ryzykiem nieosiągnięcia celów środowiskowych. Cel środowiskowy dla </w:t>
      </w:r>
      <w:proofErr w:type="spellStart"/>
      <w:r w:rsidRPr="00CA6C47">
        <w:rPr>
          <w:rFonts w:ascii="Calibri" w:hAnsi="Calibri" w:cs="Calibri"/>
          <w:sz w:val="24"/>
          <w:szCs w:val="24"/>
          <w:lang w:eastAsia="zh-CN"/>
        </w:rPr>
        <w:t>JCWPd</w:t>
      </w:r>
      <w:proofErr w:type="spellEnd"/>
      <w:r w:rsidRPr="00CA6C47">
        <w:rPr>
          <w:rFonts w:ascii="Calibri" w:hAnsi="Calibri" w:cs="Calibri"/>
          <w:sz w:val="24"/>
          <w:szCs w:val="24"/>
          <w:lang w:eastAsia="zh-CN"/>
        </w:rPr>
        <w:t xml:space="preserve"> to dobry stan ilościowy oraz chemiczny.</w:t>
      </w:r>
    </w:p>
    <w:p w14:paraId="713CCD19"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Z uwagi na fakt, iż celem środowiskowym jest zapewnienie drożności cieku dla migracji gatunków o znaczeniu gospodarczym na odcinku cieku głównego Elbląg od jez. Drużno do ujścia (dla węgorza europejskiego) nałożono na Inwestora warunek, aby w okresie migracji zstępującej węgorza tj. od 1 września do 30 listopada, prace prowadzić w ciągu jasnej części doby, tj. od wschodu do zachodu słońca.</w:t>
      </w:r>
    </w:p>
    <w:p w14:paraId="14E6F400"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Presje wywierane w trakcie realizacji niniejszego przedsięwzięcia nie będą trwale oddziaływać na elementy fizykochemiczne w wodach rzeki Elbląg. Realizacja przedmiotowego przedsięwzięcia nie spowoduje również zmian w reżimie hydrologicznym, ciągłości rzeki i panujących w niej warunków morfologicznych. Wszelkie prace tj. prace pogłębiarskie oraz przebudowa nabrzeża, ograniczają się tylko do obszaru realizacji inwestycji i nie spowodują istotnej zmiany w strukturze ilościowej i dna rzeki.</w:t>
      </w:r>
    </w:p>
    <w:p w14:paraId="05B06A92"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W związku z powyższym, uwzględniając charakter, skalę i lokalizację przedsięwzięcia nie przewiduje się negatywnego oddziaływania w związku ze zmianą decyzji środowiskowej (polegającą na zmianie jednego warunku) w kwestiach ornitologicznych a wprowadzona zmiana nie wpłynie na realizacją celów środowiskowych określonych dla jednolitych części wód oraz na realizację celów środowiskowych określonych dla nich w Planie gospodarowania wodami na obszarze dorzecza Wisły przyjętym rozporządzeniem Ministra Infrastruktury z dnia 4 listopada 2022 r. (Dz. U. z 2023, poz. 300).</w:t>
      </w:r>
    </w:p>
    <w:p w14:paraId="661E05A6" w14:textId="55F07B20" w:rsidR="00CA6C47" w:rsidRP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 xml:space="preserve">Planowane przedsięwzięcie nie wpłynie znacząco na ogólny poziom zanieczyszczenia powietrza, a tym samym na zmiany klimatu oraz zwiększenie wrażliwości elementów środowiska na zmiany </w:t>
      </w:r>
      <w:r w:rsidRPr="00CA6C47">
        <w:rPr>
          <w:rFonts w:ascii="Calibri" w:hAnsi="Calibri" w:cs="Calibri"/>
          <w:sz w:val="24"/>
          <w:szCs w:val="24"/>
          <w:lang w:eastAsia="zh-CN"/>
        </w:rPr>
        <w:lastRenderedPageBreak/>
        <w:t xml:space="preserve">klimatu. Z uwagi na rodzaj i skalę przedsięwzięcia, oddziaływania będą miały zasięg lokalny bez ryzyka transgranicznych oddziaływań i nie spowodują istotnych zmian w środowisku. Ponadto, </w:t>
      </w:r>
    </w:p>
    <w:p w14:paraId="33A145BE"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z uwagi na zakres oddziaływań planowanej inwestycji oraz istniejący sposób zagospodarowania terenów sąsiednich nie przewiduje się możliwości kumulowania negatywnych oddziaływań, ani ryzyka wystąpienia poważnej awarii przemysłowej.</w:t>
      </w:r>
    </w:p>
    <w:p w14:paraId="0508187D"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Planowana inwestycja nie będzie zlokalizowana na obszarach górskich, obszarach kompleksów leśnych, obszarach ochrony ujęć wód i obszarach ochronnych zbiorników wód śródlądowych, obszarach ochrony uzdrowiskowej.</w:t>
      </w:r>
    </w:p>
    <w:p w14:paraId="0B04E226"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Analizowany teren znajduje się na obszarach o krajobrazie mającym znaczenie historyczne i kulturowe. Projektowana inwestycja będzie stanowiła kontynuację istniejącego zagospodarowania i wpisuje się w historyczne i kulturowe zagospodarowanie tej części Elbląga.</w:t>
      </w:r>
    </w:p>
    <w:p w14:paraId="05E3B658"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Regionalny Dyrektor Ochrony Środowiska w Olsztynie wziął pod uwagę, opinie wydane przez Regionalny Zarządu Gospodarki Wodnej w Gdańsku, Urząd Morski w Gdyni oraz Państwowego Granicznego Inspektora Sanitarnego w Elblągu. W sentencji decyzji pominięto część warunków zawartych w opiniach, które zostały uwzględnione w zmienianej decyzji o środowiskowych uwarunkowaniach oraz te, które stanowiły ogólne zapisy dotyczące właściwego prowadzenia robót budowlanych, eksploatacji obiektu, gospodarki odpadami, ponieważ regulują to inne przepisy prawa,  w tym:  ustawa o odpadach, Prawo budowlane, Prawo ochrony środowiska, rozporządzenie Ministra Pracy i Polityki Socjalnej.</w:t>
      </w:r>
    </w:p>
    <w:p w14:paraId="4C79D67C" w14:textId="07092BD8" w:rsidR="00CA6C47" w:rsidRPr="00CA6C47" w:rsidRDefault="00CA6C47" w:rsidP="00CA6C47">
      <w:pPr>
        <w:spacing w:after="100" w:afterAutospacing="1" w:line="360" w:lineRule="auto"/>
        <w:rPr>
          <w:rFonts w:ascii="Calibri" w:hAnsi="Calibri" w:cs="Calibri"/>
          <w:sz w:val="24"/>
          <w:szCs w:val="24"/>
          <w:lang w:eastAsia="zh-CN"/>
        </w:rPr>
      </w:pPr>
      <w:r w:rsidRPr="00CA6C47">
        <w:rPr>
          <w:rFonts w:ascii="Calibri" w:hAnsi="Calibri" w:cs="Calibri"/>
          <w:sz w:val="24"/>
          <w:szCs w:val="24"/>
          <w:lang w:eastAsia="zh-CN"/>
        </w:rPr>
        <w:t>Analizując wniosek pod kątem uwarunkowań związanych z kwalifikowaniem przedsięwzięcia do przeprowadzenia oceny oddziaływania na środowisko określonych w art. 63 ust. 1 ustawy o udostępnianiu informacji o środowisku i jego ochronie, udziale społeczeństwa w ochronie środowiska oraz o ocenach oddziaływania na środowisko, a w szczególności rodzaju, usytuowania iskali możliwego oddziaływania stwierdzono, że dla przedmiotowego przedsięwzięcia nie istnieje konieczność przeprowadzenia oceny oddziaływania na środowisko.</w:t>
      </w:r>
    </w:p>
    <w:p w14:paraId="79263D11" w14:textId="387EAC9C" w:rsidR="00CA6C47" w:rsidRPr="00CA6C47" w:rsidRDefault="00CA6C47" w:rsidP="00CA6C47">
      <w:pPr>
        <w:pStyle w:val="Nagwek1"/>
        <w:spacing w:before="0" w:after="100" w:afterAutospacing="1" w:line="240" w:lineRule="auto"/>
        <w:rPr>
          <w:rFonts w:ascii="Calibri" w:hAnsi="Calibri" w:cs="Calibri"/>
          <w:color w:val="auto"/>
          <w:sz w:val="28"/>
          <w:szCs w:val="28"/>
          <w:lang w:eastAsia="zh-CN"/>
        </w:rPr>
      </w:pPr>
      <w:r w:rsidRPr="00CA6C47">
        <w:rPr>
          <w:rFonts w:ascii="Calibri" w:hAnsi="Calibri" w:cs="Calibri"/>
          <w:color w:val="auto"/>
          <w:sz w:val="28"/>
          <w:szCs w:val="28"/>
          <w:lang w:eastAsia="zh-CN"/>
        </w:rPr>
        <w:t>P</w:t>
      </w:r>
      <w:r w:rsidRPr="00CA6C47">
        <w:rPr>
          <w:rFonts w:ascii="Calibri" w:hAnsi="Calibri" w:cs="Calibri"/>
          <w:color w:val="auto"/>
          <w:sz w:val="28"/>
          <w:szCs w:val="28"/>
          <w:lang w:eastAsia="zh-CN"/>
        </w:rPr>
        <w:t>ouczenie</w:t>
      </w:r>
    </w:p>
    <w:p w14:paraId="7BA5E336"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Od niniejszej decyzji, stosownie do art. 127 § 1 kodeksu postępowania administracyjnego służy stronom odwołanie do Generalnego Dyrektora Ochrony Środowiska za pośrednictwem Regionalnego Dyrektora Ochrony Środowiska w Olsztynie w terminie 14 dni od dnia doręczenia decyzji.</w:t>
      </w:r>
    </w:p>
    <w:p w14:paraId="67AD5EC9"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 xml:space="preserve">W trakcie biegu terminu do wniesienia odwołania strona może zrzec się prawa do wniesienia odwołania wobec organu administracji publicznej, który wydał decyzję. Z dniem doręczenia </w:t>
      </w:r>
      <w:r w:rsidRPr="00CA6C47">
        <w:rPr>
          <w:rFonts w:ascii="Calibri" w:hAnsi="Calibri" w:cs="Calibri"/>
          <w:sz w:val="24"/>
          <w:szCs w:val="24"/>
          <w:lang w:eastAsia="zh-CN"/>
        </w:rPr>
        <w:lastRenderedPageBreak/>
        <w:t>organowi administracji publicznej oświadczenia o zrzeczeniu się prawa do wniesienia odwołania przez ostatnią ze stron postępowania, decyzja staje się ostateczna i prawomocna, co oznacza, iż brak jest możliwości zaskarżenia decyzji do Wojewódzkiego Sądu Administracyjnego.</w:t>
      </w:r>
    </w:p>
    <w:p w14:paraId="21E7BC7D" w14:textId="77777777" w:rsid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Zgodnie z art. 57 § 5 Kodeksu postępowania administracyjnego termin uważa się za zachowany, jeżeli przed jego upływem pismo zostało:</w:t>
      </w:r>
    </w:p>
    <w:p w14:paraId="54ACD765" w14:textId="77777777" w:rsidR="00CA6C47" w:rsidRDefault="00CA6C47" w:rsidP="00CA6C47">
      <w:pPr>
        <w:pStyle w:val="Akapitzlist"/>
        <w:numPr>
          <w:ilvl w:val="0"/>
          <w:numId w:val="72"/>
        </w:numPr>
        <w:spacing w:after="0" w:line="360" w:lineRule="auto"/>
        <w:rPr>
          <w:rFonts w:ascii="Calibri" w:hAnsi="Calibri" w:cs="Calibri"/>
          <w:sz w:val="24"/>
          <w:szCs w:val="24"/>
          <w:lang w:eastAsia="zh-CN"/>
        </w:rPr>
      </w:pPr>
      <w:r w:rsidRPr="00CA6C47">
        <w:rPr>
          <w:rFonts w:ascii="Calibri" w:hAnsi="Calibri" w:cs="Calibri"/>
          <w:sz w:val="24"/>
          <w:szCs w:val="24"/>
          <w:lang w:eastAsia="zh-CN"/>
        </w:rPr>
        <w:t>wysłane w formie dokumentu elektronicznego do organu administracji publicznej, a nadawca otrzymał urzędowe poświadczenie odbioru;</w:t>
      </w:r>
    </w:p>
    <w:p w14:paraId="5D60488F" w14:textId="77777777" w:rsidR="00CA6C47" w:rsidRDefault="00CA6C47" w:rsidP="00CA6C47">
      <w:pPr>
        <w:pStyle w:val="Akapitzlist"/>
        <w:numPr>
          <w:ilvl w:val="0"/>
          <w:numId w:val="72"/>
        </w:numPr>
        <w:spacing w:after="0" w:line="360" w:lineRule="auto"/>
        <w:rPr>
          <w:rFonts w:ascii="Calibri" w:hAnsi="Calibri" w:cs="Calibri"/>
          <w:sz w:val="24"/>
          <w:szCs w:val="24"/>
          <w:lang w:eastAsia="zh-CN"/>
        </w:rPr>
      </w:pPr>
      <w:r w:rsidRPr="00CA6C47">
        <w:rPr>
          <w:rFonts w:ascii="Calibri" w:hAnsi="Calibri" w:cs="Calibri"/>
          <w:sz w:val="24"/>
          <w:szCs w:val="24"/>
          <w:lang w:eastAsia="zh-CN"/>
        </w:rPr>
        <w:t>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r>
        <w:rPr>
          <w:rFonts w:ascii="Calibri" w:hAnsi="Calibri" w:cs="Calibri"/>
          <w:sz w:val="24"/>
          <w:szCs w:val="24"/>
          <w:lang w:eastAsia="zh-CN"/>
        </w:rPr>
        <w:t>;</w:t>
      </w:r>
    </w:p>
    <w:p w14:paraId="6B873386" w14:textId="77777777" w:rsidR="00CA6C47" w:rsidRDefault="00CA6C47" w:rsidP="00CA6C47">
      <w:pPr>
        <w:pStyle w:val="Akapitzlist"/>
        <w:numPr>
          <w:ilvl w:val="0"/>
          <w:numId w:val="72"/>
        </w:numPr>
        <w:spacing w:after="0" w:line="360" w:lineRule="auto"/>
        <w:rPr>
          <w:rFonts w:ascii="Calibri" w:hAnsi="Calibri" w:cs="Calibri"/>
          <w:sz w:val="24"/>
          <w:szCs w:val="24"/>
          <w:lang w:eastAsia="zh-CN"/>
        </w:rPr>
      </w:pPr>
      <w:r w:rsidRPr="00CA6C47">
        <w:rPr>
          <w:rFonts w:ascii="Calibri" w:hAnsi="Calibri" w:cs="Calibri"/>
          <w:sz w:val="24"/>
          <w:szCs w:val="24"/>
          <w:lang w:eastAsia="zh-CN"/>
        </w:rPr>
        <w:t>złożone w polskim urzędzie konsularnym;</w:t>
      </w:r>
    </w:p>
    <w:p w14:paraId="182742F3" w14:textId="77777777" w:rsidR="00CA6C47" w:rsidRDefault="00CA6C47" w:rsidP="00CA6C47">
      <w:pPr>
        <w:pStyle w:val="Akapitzlist"/>
        <w:numPr>
          <w:ilvl w:val="0"/>
          <w:numId w:val="72"/>
        </w:numPr>
        <w:spacing w:after="0" w:line="360" w:lineRule="auto"/>
        <w:rPr>
          <w:rFonts w:ascii="Calibri" w:hAnsi="Calibri" w:cs="Calibri"/>
          <w:sz w:val="24"/>
          <w:szCs w:val="24"/>
          <w:lang w:eastAsia="zh-CN"/>
        </w:rPr>
      </w:pPr>
      <w:r w:rsidRPr="00CA6C47">
        <w:rPr>
          <w:rFonts w:ascii="Calibri" w:hAnsi="Calibri" w:cs="Calibri"/>
          <w:sz w:val="24"/>
          <w:szCs w:val="24"/>
          <w:lang w:eastAsia="zh-CN"/>
        </w:rPr>
        <w:t>złożone przez żołnierza w dowództwie jednostki wojskowej;</w:t>
      </w:r>
    </w:p>
    <w:p w14:paraId="3766C4C3" w14:textId="77777777" w:rsidR="00CA6C47" w:rsidRDefault="00CA6C47" w:rsidP="00CA6C47">
      <w:pPr>
        <w:pStyle w:val="Akapitzlist"/>
        <w:numPr>
          <w:ilvl w:val="0"/>
          <w:numId w:val="72"/>
        </w:numPr>
        <w:spacing w:after="0" w:line="360" w:lineRule="auto"/>
        <w:rPr>
          <w:rFonts w:ascii="Calibri" w:hAnsi="Calibri" w:cs="Calibri"/>
          <w:sz w:val="24"/>
          <w:szCs w:val="24"/>
          <w:lang w:eastAsia="zh-CN"/>
        </w:rPr>
      </w:pPr>
      <w:r w:rsidRPr="00CA6C47">
        <w:rPr>
          <w:rFonts w:ascii="Calibri" w:hAnsi="Calibri" w:cs="Calibri"/>
          <w:sz w:val="24"/>
          <w:szCs w:val="24"/>
          <w:lang w:eastAsia="zh-CN"/>
        </w:rPr>
        <w:t>złożone przez członka załogi statku morskiego kapitanowi statku;</w:t>
      </w:r>
    </w:p>
    <w:p w14:paraId="422254D9" w14:textId="73A86693" w:rsidR="00CA6C47" w:rsidRPr="00CA6C47" w:rsidRDefault="00CA6C47" w:rsidP="00CA6C47">
      <w:pPr>
        <w:pStyle w:val="Akapitzlist"/>
        <w:numPr>
          <w:ilvl w:val="0"/>
          <w:numId w:val="72"/>
        </w:numPr>
        <w:spacing w:after="100" w:afterAutospacing="1" w:line="360" w:lineRule="auto"/>
        <w:ind w:left="714" w:hanging="357"/>
        <w:rPr>
          <w:rFonts w:ascii="Calibri" w:hAnsi="Calibri" w:cs="Calibri"/>
          <w:sz w:val="24"/>
          <w:szCs w:val="24"/>
          <w:lang w:eastAsia="zh-CN"/>
        </w:rPr>
      </w:pPr>
      <w:r w:rsidRPr="00CA6C47">
        <w:rPr>
          <w:rFonts w:ascii="Calibri" w:hAnsi="Calibri" w:cs="Calibri"/>
          <w:sz w:val="24"/>
          <w:szCs w:val="24"/>
          <w:lang w:eastAsia="zh-CN"/>
        </w:rPr>
        <w:t>złożone przez osobę pozbawioną wolności w administracji zakładu karnego.</w:t>
      </w:r>
    </w:p>
    <w:p w14:paraId="3A1DCEAB" w14:textId="1A07FBF9" w:rsidR="00CA6C47" w:rsidRP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 xml:space="preserve">Z up. </w:t>
      </w:r>
      <w:r w:rsidR="004A287C">
        <w:rPr>
          <w:rFonts w:ascii="Calibri" w:hAnsi="Calibri" w:cs="Calibri"/>
          <w:sz w:val="24"/>
          <w:szCs w:val="24"/>
          <w:lang w:eastAsia="zh-CN"/>
        </w:rPr>
        <w:t>Regionalnego Dyrektora</w:t>
      </w:r>
    </w:p>
    <w:p w14:paraId="248E4027" w14:textId="42563FC6" w:rsidR="00CA6C47" w:rsidRP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 xml:space="preserve"> </w:t>
      </w:r>
      <w:r w:rsidR="004A287C">
        <w:rPr>
          <w:rFonts w:ascii="Calibri" w:hAnsi="Calibri" w:cs="Calibri"/>
          <w:sz w:val="24"/>
          <w:szCs w:val="24"/>
          <w:lang w:eastAsia="zh-CN"/>
        </w:rPr>
        <w:t>Ochrony Środowiska</w:t>
      </w:r>
    </w:p>
    <w:p w14:paraId="003FDD55" w14:textId="21DA2BC8" w:rsidR="00CA6C47" w:rsidRPr="00CA6C47" w:rsidRDefault="004A287C" w:rsidP="00CA6C47">
      <w:pPr>
        <w:spacing w:after="0" w:line="360" w:lineRule="auto"/>
        <w:rPr>
          <w:rFonts w:ascii="Calibri" w:hAnsi="Calibri" w:cs="Calibri"/>
          <w:sz w:val="24"/>
          <w:szCs w:val="24"/>
          <w:lang w:eastAsia="zh-CN"/>
        </w:rPr>
      </w:pPr>
      <w:r>
        <w:rPr>
          <w:rFonts w:ascii="Calibri" w:hAnsi="Calibri" w:cs="Calibri"/>
          <w:sz w:val="24"/>
          <w:szCs w:val="24"/>
          <w:lang w:eastAsia="zh-CN"/>
        </w:rPr>
        <w:t>W Olsztynie</w:t>
      </w:r>
    </w:p>
    <w:p w14:paraId="2D1AAC18" w14:textId="77777777" w:rsidR="00CA6C47" w:rsidRP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Gabriela Kwapiszewska</w:t>
      </w:r>
    </w:p>
    <w:p w14:paraId="7348E09F" w14:textId="77777777" w:rsidR="00CA6C47" w:rsidRP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Naczelnik</w:t>
      </w:r>
    </w:p>
    <w:p w14:paraId="4DDE1C10" w14:textId="77777777" w:rsidR="00CA6C47" w:rsidRPr="00CA6C47" w:rsidRDefault="00CA6C47" w:rsidP="00CA6C47">
      <w:pPr>
        <w:spacing w:after="0" w:line="360" w:lineRule="auto"/>
        <w:rPr>
          <w:rFonts w:ascii="Calibri" w:hAnsi="Calibri" w:cs="Calibri"/>
          <w:sz w:val="24"/>
          <w:szCs w:val="24"/>
          <w:lang w:eastAsia="zh-CN"/>
        </w:rPr>
      </w:pPr>
      <w:r w:rsidRPr="00CA6C47">
        <w:rPr>
          <w:rFonts w:ascii="Calibri" w:hAnsi="Calibri" w:cs="Calibri"/>
          <w:sz w:val="24"/>
          <w:szCs w:val="24"/>
          <w:lang w:eastAsia="zh-CN"/>
        </w:rPr>
        <w:t>Wydziału Spraw Terenowych I</w:t>
      </w:r>
    </w:p>
    <w:p w14:paraId="5CE765A8" w14:textId="77777777" w:rsidR="00CA6C47" w:rsidRPr="00CA6C47" w:rsidRDefault="00CA6C47" w:rsidP="004A287C">
      <w:pPr>
        <w:spacing w:after="100" w:afterAutospacing="1" w:line="360" w:lineRule="auto"/>
        <w:rPr>
          <w:rFonts w:ascii="Calibri" w:hAnsi="Calibri" w:cs="Calibri"/>
          <w:sz w:val="24"/>
          <w:szCs w:val="24"/>
          <w:lang w:eastAsia="zh-CN"/>
        </w:rPr>
      </w:pPr>
      <w:r w:rsidRPr="00CA6C47">
        <w:rPr>
          <w:rFonts w:ascii="Calibri" w:hAnsi="Calibri" w:cs="Calibri"/>
          <w:sz w:val="24"/>
          <w:szCs w:val="24"/>
          <w:lang w:eastAsia="zh-CN"/>
        </w:rPr>
        <w:t>/podpis elektroniczny/</w:t>
      </w:r>
    </w:p>
    <w:p w14:paraId="4CA57F93" w14:textId="5346E6E2" w:rsidR="000B7FBF" w:rsidRDefault="00CA6C47" w:rsidP="000B7FBF">
      <w:pPr>
        <w:spacing w:after="0" w:line="360" w:lineRule="auto"/>
        <w:rPr>
          <w:rFonts w:ascii="Calibri" w:hAnsi="Calibri" w:cs="Calibri"/>
          <w:sz w:val="24"/>
          <w:szCs w:val="24"/>
          <w:lang w:eastAsia="zh-CN"/>
        </w:rPr>
      </w:pPr>
      <w:r w:rsidRPr="00CA6C47">
        <w:rPr>
          <w:rFonts w:ascii="Calibri" w:hAnsi="Calibri" w:cs="Calibri"/>
          <w:sz w:val="24"/>
          <w:szCs w:val="24"/>
          <w:lang w:eastAsia="zh-CN"/>
        </w:rPr>
        <w:t>Otrzymują:</w:t>
      </w:r>
    </w:p>
    <w:p w14:paraId="33860C36" w14:textId="77777777" w:rsidR="007E0FFB" w:rsidRDefault="007E0FFB" w:rsidP="007E0FFB">
      <w:pPr>
        <w:pStyle w:val="Akapitzlist"/>
        <w:numPr>
          <w:ilvl w:val="0"/>
          <w:numId w:val="73"/>
        </w:numPr>
        <w:spacing w:after="0" w:line="360" w:lineRule="auto"/>
        <w:rPr>
          <w:rFonts w:ascii="Calibri" w:hAnsi="Calibri" w:cs="Calibri"/>
          <w:sz w:val="24"/>
          <w:szCs w:val="24"/>
          <w:lang w:eastAsia="zh-CN"/>
        </w:rPr>
      </w:pPr>
      <w:r>
        <w:rPr>
          <w:rFonts w:ascii="Calibri" w:hAnsi="Calibri" w:cs="Calibri"/>
          <w:sz w:val="24"/>
          <w:szCs w:val="24"/>
          <w:lang w:eastAsia="zh-CN"/>
        </w:rPr>
        <w:t>(</w:t>
      </w:r>
      <w:proofErr w:type="spellStart"/>
      <w:r>
        <w:rPr>
          <w:rFonts w:ascii="Calibri" w:hAnsi="Calibri" w:cs="Calibri"/>
          <w:sz w:val="24"/>
          <w:szCs w:val="24"/>
          <w:lang w:eastAsia="zh-CN"/>
        </w:rPr>
        <w:t>anonimizacja</w:t>
      </w:r>
      <w:proofErr w:type="spellEnd"/>
      <w:r>
        <w:rPr>
          <w:rFonts w:ascii="Calibri" w:hAnsi="Calibri" w:cs="Calibri"/>
          <w:sz w:val="24"/>
          <w:szCs w:val="24"/>
          <w:lang w:eastAsia="zh-CN"/>
        </w:rPr>
        <w:t>)</w:t>
      </w:r>
      <w:r w:rsidRPr="007E0FFB">
        <w:rPr>
          <w:rFonts w:ascii="Calibri" w:hAnsi="Calibri" w:cs="Calibri"/>
          <w:sz w:val="24"/>
          <w:szCs w:val="24"/>
          <w:lang w:eastAsia="zh-CN"/>
        </w:rPr>
        <w:t xml:space="preserve"> - Pełnomocnik Inwestora (doręczenie elektroniczne e-doręczenia</w:t>
      </w:r>
      <w:r>
        <w:rPr>
          <w:rFonts w:ascii="Calibri" w:hAnsi="Calibri" w:cs="Calibri"/>
          <w:sz w:val="24"/>
          <w:szCs w:val="24"/>
          <w:lang w:eastAsia="zh-CN"/>
        </w:rPr>
        <w:t>)</w:t>
      </w:r>
    </w:p>
    <w:p w14:paraId="4A7CAD02" w14:textId="77777777" w:rsidR="007E0FFB" w:rsidRDefault="007E0FFB" w:rsidP="007E0FFB">
      <w:pPr>
        <w:pStyle w:val="Akapitzlist"/>
        <w:numPr>
          <w:ilvl w:val="0"/>
          <w:numId w:val="73"/>
        </w:numPr>
        <w:spacing w:after="0" w:line="360" w:lineRule="auto"/>
        <w:rPr>
          <w:rFonts w:ascii="Calibri" w:hAnsi="Calibri" w:cs="Calibri"/>
          <w:sz w:val="24"/>
          <w:szCs w:val="24"/>
          <w:lang w:eastAsia="zh-CN"/>
        </w:rPr>
      </w:pPr>
      <w:r w:rsidRPr="007E0FFB">
        <w:rPr>
          <w:rFonts w:ascii="Calibri" w:hAnsi="Calibri" w:cs="Calibri"/>
          <w:sz w:val="24"/>
          <w:szCs w:val="24"/>
          <w:lang w:eastAsia="zh-CN"/>
        </w:rPr>
        <w:t>pozostałe strony postępowania poprzez obwieszczenie, zgodnie z art. 49 kpa</w:t>
      </w:r>
    </w:p>
    <w:p w14:paraId="11E3B4E8" w14:textId="77777777" w:rsidR="007E0FFB" w:rsidRDefault="007E0FFB" w:rsidP="007E0FFB">
      <w:pPr>
        <w:pStyle w:val="Akapitzlist"/>
        <w:numPr>
          <w:ilvl w:val="0"/>
          <w:numId w:val="73"/>
        </w:numPr>
        <w:spacing w:after="100" w:afterAutospacing="1" w:line="360" w:lineRule="auto"/>
        <w:ind w:left="714" w:hanging="357"/>
        <w:rPr>
          <w:rFonts w:ascii="Calibri" w:hAnsi="Calibri" w:cs="Calibri"/>
          <w:sz w:val="24"/>
          <w:szCs w:val="24"/>
          <w:lang w:eastAsia="zh-CN"/>
        </w:rPr>
      </w:pPr>
      <w:r w:rsidRPr="007E0FFB">
        <w:rPr>
          <w:rFonts w:ascii="Calibri" w:hAnsi="Calibri" w:cs="Calibri"/>
          <w:sz w:val="24"/>
          <w:szCs w:val="24"/>
          <w:lang w:eastAsia="zh-CN"/>
        </w:rPr>
        <w:t>aa</w:t>
      </w:r>
    </w:p>
    <w:p w14:paraId="4C4CCCE8" w14:textId="77777777" w:rsidR="007E0FFB" w:rsidRDefault="007E0FFB" w:rsidP="007E0FFB">
      <w:pPr>
        <w:spacing w:after="0" w:line="360" w:lineRule="auto"/>
        <w:rPr>
          <w:rFonts w:ascii="Calibri" w:hAnsi="Calibri" w:cs="Calibri"/>
          <w:sz w:val="24"/>
          <w:szCs w:val="24"/>
          <w:lang w:eastAsia="zh-CN"/>
        </w:rPr>
      </w:pPr>
      <w:r w:rsidRPr="007E0FFB">
        <w:rPr>
          <w:rFonts w:ascii="Calibri" w:hAnsi="Calibri" w:cs="Calibri"/>
          <w:sz w:val="24"/>
          <w:szCs w:val="24"/>
          <w:lang w:eastAsia="zh-CN"/>
        </w:rPr>
        <w:t>Do wiadomości:</w:t>
      </w:r>
    </w:p>
    <w:p w14:paraId="51757391" w14:textId="77777777" w:rsidR="007E0FFB" w:rsidRDefault="007E0FFB" w:rsidP="007E0FFB">
      <w:pPr>
        <w:pStyle w:val="Akapitzlist"/>
        <w:numPr>
          <w:ilvl w:val="0"/>
          <w:numId w:val="74"/>
        </w:numPr>
        <w:spacing w:after="0" w:line="360" w:lineRule="auto"/>
        <w:rPr>
          <w:rFonts w:ascii="Calibri" w:hAnsi="Calibri" w:cs="Calibri"/>
          <w:sz w:val="24"/>
          <w:szCs w:val="24"/>
          <w:lang w:eastAsia="zh-CN"/>
        </w:rPr>
      </w:pPr>
      <w:r w:rsidRPr="007E0FFB">
        <w:rPr>
          <w:rFonts w:ascii="Calibri" w:hAnsi="Calibri" w:cs="Calibri"/>
          <w:sz w:val="24"/>
          <w:szCs w:val="24"/>
          <w:lang w:eastAsia="zh-CN"/>
        </w:rPr>
        <w:t>Państwowy Graniczny Inspektor Sanitarny w Elblągu (doręczenie elektroniczne e-doręczenia)</w:t>
      </w:r>
    </w:p>
    <w:p w14:paraId="19D34831" w14:textId="77777777" w:rsidR="007E0FFB" w:rsidRDefault="007E0FFB" w:rsidP="007E0FFB">
      <w:pPr>
        <w:pStyle w:val="Akapitzlist"/>
        <w:numPr>
          <w:ilvl w:val="0"/>
          <w:numId w:val="74"/>
        </w:numPr>
        <w:spacing w:after="0" w:line="360" w:lineRule="auto"/>
        <w:rPr>
          <w:rFonts w:ascii="Calibri" w:hAnsi="Calibri" w:cs="Calibri"/>
          <w:sz w:val="24"/>
          <w:szCs w:val="24"/>
          <w:lang w:eastAsia="zh-CN"/>
        </w:rPr>
      </w:pPr>
      <w:r w:rsidRPr="007E0FFB">
        <w:rPr>
          <w:rFonts w:ascii="Calibri" w:hAnsi="Calibri" w:cs="Calibri"/>
          <w:sz w:val="24"/>
          <w:szCs w:val="24"/>
          <w:lang w:eastAsia="zh-CN"/>
        </w:rPr>
        <w:lastRenderedPageBreak/>
        <w:t>PGW Regionalny Zarząd Gospodarki Wodnej w Gdańsku (doręczenie elektroniczne e-doręczenia)</w:t>
      </w:r>
    </w:p>
    <w:p w14:paraId="322499C1" w14:textId="77777777" w:rsidR="007E0FFB" w:rsidRDefault="007E0FFB" w:rsidP="007E0FFB">
      <w:pPr>
        <w:pStyle w:val="Akapitzlist"/>
        <w:numPr>
          <w:ilvl w:val="0"/>
          <w:numId w:val="74"/>
        </w:numPr>
        <w:spacing w:after="100" w:afterAutospacing="1" w:line="360" w:lineRule="auto"/>
        <w:ind w:left="714" w:hanging="357"/>
        <w:rPr>
          <w:rFonts w:ascii="Calibri" w:hAnsi="Calibri" w:cs="Calibri"/>
          <w:sz w:val="24"/>
          <w:szCs w:val="24"/>
          <w:lang w:eastAsia="zh-CN"/>
        </w:rPr>
      </w:pPr>
      <w:r w:rsidRPr="007E0FFB">
        <w:rPr>
          <w:rFonts w:ascii="Calibri" w:hAnsi="Calibri" w:cs="Calibri"/>
          <w:sz w:val="24"/>
          <w:szCs w:val="24"/>
          <w:lang w:eastAsia="zh-CN"/>
        </w:rPr>
        <w:t>Urząd Morski w Gdyni (doręczenie elektroniczne e-doręczenia)</w:t>
      </w:r>
    </w:p>
    <w:p w14:paraId="4013B17B" w14:textId="6B4E33C2" w:rsidR="004A287C" w:rsidRPr="007E0FFB" w:rsidRDefault="007E0FFB" w:rsidP="007E0FFB">
      <w:pPr>
        <w:spacing w:after="0" w:line="360" w:lineRule="auto"/>
        <w:rPr>
          <w:rFonts w:ascii="Calibri" w:hAnsi="Calibri" w:cs="Calibri"/>
          <w:sz w:val="24"/>
          <w:szCs w:val="24"/>
          <w:lang w:eastAsia="zh-CN"/>
        </w:rPr>
      </w:pPr>
      <w:r w:rsidRPr="007E0FFB">
        <w:rPr>
          <w:rFonts w:ascii="Calibri" w:hAnsi="Calibri" w:cs="Calibri"/>
          <w:sz w:val="24"/>
          <w:szCs w:val="24"/>
          <w:lang w:eastAsia="zh-CN"/>
        </w:rPr>
        <w:t xml:space="preserve">Na podstawie art. 7 pkt 3 ustawy z dnia 16 listopada 2006 r. o opłacie skarbowej (Dz.U. z 2023 r., poz. 2111 z </w:t>
      </w:r>
      <w:proofErr w:type="spellStart"/>
      <w:r w:rsidRPr="007E0FFB">
        <w:rPr>
          <w:rFonts w:ascii="Calibri" w:hAnsi="Calibri" w:cs="Calibri"/>
          <w:sz w:val="24"/>
          <w:szCs w:val="24"/>
          <w:lang w:eastAsia="zh-CN"/>
        </w:rPr>
        <w:t>późn</w:t>
      </w:r>
      <w:proofErr w:type="spellEnd"/>
      <w:r w:rsidRPr="007E0FFB">
        <w:rPr>
          <w:rFonts w:ascii="Calibri" w:hAnsi="Calibri" w:cs="Calibri"/>
          <w:sz w:val="24"/>
          <w:szCs w:val="24"/>
          <w:lang w:eastAsia="zh-CN"/>
        </w:rPr>
        <w:t>. zm.) – Inwestor Miasto Elbląg jako jednostka samorządu terytorialnego, jest zwolniona z opłaty skarbowej za wydanie decyzji o środowiskowych uwarunkowaniach.</w:t>
      </w:r>
    </w:p>
    <w:sectPr w:rsidR="004A287C" w:rsidRPr="007E0FFB" w:rsidSect="008779D4">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1E066A0"/>
    <w:name w:val="WW8Num2"/>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6A2DBA"/>
    <w:multiLevelType w:val="hybridMultilevel"/>
    <w:tmpl w:val="CEB22C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E43636"/>
    <w:multiLevelType w:val="hybridMultilevel"/>
    <w:tmpl w:val="4E80EEB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E05189B"/>
    <w:multiLevelType w:val="hybridMultilevel"/>
    <w:tmpl w:val="B770D3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A4772"/>
    <w:multiLevelType w:val="hybridMultilevel"/>
    <w:tmpl w:val="69B023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4E4B0D"/>
    <w:multiLevelType w:val="hybridMultilevel"/>
    <w:tmpl w:val="FC7CB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E13F8F"/>
    <w:multiLevelType w:val="hybridMultilevel"/>
    <w:tmpl w:val="23642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A65404"/>
    <w:multiLevelType w:val="hybridMultilevel"/>
    <w:tmpl w:val="ED1262E0"/>
    <w:lvl w:ilvl="0" w:tplc="0415000F">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1" w15:restartNumberingAfterBreak="0">
    <w:nsid w:val="1CE655DC"/>
    <w:multiLevelType w:val="hybridMultilevel"/>
    <w:tmpl w:val="27368DF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2015A"/>
    <w:multiLevelType w:val="hybridMultilevel"/>
    <w:tmpl w:val="A6E07E82"/>
    <w:lvl w:ilvl="0" w:tplc="04150013">
      <w:start w:val="1"/>
      <w:numFmt w:val="upperRoman"/>
      <w:lvlText w:val="%1."/>
      <w:lvlJc w:val="right"/>
      <w:pPr>
        <w:ind w:left="1004" w:hanging="360"/>
      </w:pPr>
      <w:rPr>
        <w:rFonts w:hint="default"/>
      </w:rPr>
    </w:lvl>
    <w:lvl w:ilvl="1" w:tplc="1BAE5A94">
      <w:start w:val="1"/>
      <w:numFmt w:val="lowerLetter"/>
      <w:lvlText w:val="%2."/>
      <w:lvlJc w:val="left"/>
      <w:pPr>
        <w:ind w:left="1724" w:hanging="360"/>
      </w:pPr>
      <w:rPr>
        <w:rFonts w:ascii="Arial"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2BB1FE0"/>
    <w:multiLevelType w:val="hybridMultilevel"/>
    <w:tmpl w:val="30AEE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D904B8"/>
    <w:multiLevelType w:val="hybridMultilevel"/>
    <w:tmpl w:val="7A569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D06FC4"/>
    <w:multiLevelType w:val="hybridMultilevel"/>
    <w:tmpl w:val="101C3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D03577"/>
    <w:multiLevelType w:val="hybridMultilevel"/>
    <w:tmpl w:val="CD3E43D6"/>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064DBE"/>
    <w:multiLevelType w:val="hybridMultilevel"/>
    <w:tmpl w:val="5EB6FC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35587A"/>
    <w:multiLevelType w:val="hybridMultilevel"/>
    <w:tmpl w:val="E9062B16"/>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4A4D40"/>
    <w:multiLevelType w:val="hybridMultilevel"/>
    <w:tmpl w:val="B824EF96"/>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8B71E69"/>
    <w:multiLevelType w:val="hybridMultilevel"/>
    <w:tmpl w:val="C51E9B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99F7FCF"/>
    <w:multiLevelType w:val="hybridMultilevel"/>
    <w:tmpl w:val="D916B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CD650F6"/>
    <w:multiLevelType w:val="hybridMultilevel"/>
    <w:tmpl w:val="5DBA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D136B7A"/>
    <w:multiLevelType w:val="hybridMultilevel"/>
    <w:tmpl w:val="D5BAC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B95CF3"/>
    <w:multiLevelType w:val="hybridMultilevel"/>
    <w:tmpl w:val="4CF0F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CB636B"/>
    <w:multiLevelType w:val="hybridMultilevel"/>
    <w:tmpl w:val="A8AE8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F107E9"/>
    <w:multiLevelType w:val="hybridMultilevel"/>
    <w:tmpl w:val="3D9CE5E0"/>
    <w:lvl w:ilvl="0" w:tplc="0415000F">
      <w:start w:val="1"/>
      <w:numFmt w:val="decimal"/>
      <w:lvlText w:val="%1."/>
      <w:lvlJc w:val="left"/>
      <w:pPr>
        <w:ind w:left="1366" w:hanging="360"/>
      </w:pPr>
    </w:lvl>
    <w:lvl w:ilvl="1" w:tplc="04150019" w:tentative="1">
      <w:start w:val="1"/>
      <w:numFmt w:val="lowerLetter"/>
      <w:lvlText w:val="%2."/>
      <w:lvlJc w:val="left"/>
      <w:pPr>
        <w:ind w:left="2086" w:hanging="360"/>
      </w:pPr>
    </w:lvl>
    <w:lvl w:ilvl="2" w:tplc="0415001B" w:tentative="1">
      <w:start w:val="1"/>
      <w:numFmt w:val="lowerRoman"/>
      <w:lvlText w:val="%3."/>
      <w:lvlJc w:val="right"/>
      <w:pPr>
        <w:ind w:left="2806" w:hanging="180"/>
      </w:pPr>
    </w:lvl>
    <w:lvl w:ilvl="3" w:tplc="0415000F" w:tentative="1">
      <w:start w:val="1"/>
      <w:numFmt w:val="decimal"/>
      <w:lvlText w:val="%4."/>
      <w:lvlJc w:val="left"/>
      <w:pPr>
        <w:ind w:left="3526" w:hanging="360"/>
      </w:pPr>
    </w:lvl>
    <w:lvl w:ilvl="4" w:tplc="04150019" w:tentative="1">
      <w:start w:val="1"/>
      <w:numFmt w:val="lowerLetter"/>
      <w:lvlText w:val="%5."/>
      <w:lvlJc w:val="left"/>
      <w:pPr>
        <w:ind w:left="4246" w:hanging="360"/>
      </w:pPr>
    </w:lvl>
    <w:lvl w:ilvl="5" w:tplc="0415001B" w:tentative="1">
      <w:start w:val="1"/>
      <w:numFmt w:val="lowerRoman"/>
      <w:lvlText w:val="%6."/>
      <w:lvlJc w:val="right"/>
      <w:pPr>
        <w:ind w:left="4966" w:hanging="180"/>
      </w:pPr>
    </w:lvl>
    <w:lvl w:ilvl="6" w:tplc="0415000F" w:tentative="1">
      <w:start w:val="1"/>
      <w:numFmt w:val="decimal"/>
      <w:lvlText w:val="%7."/>
      <w:lvlJc w:val="left"/>
      <w:pPr>
        <w:ind w:left="5686" w:hanging="360"/>
      </w:pPr>
    </w:lvl>
    <w:lvl w:ilvl="7" w:tplc="04150019" w:tentative="1">
      <w:start w:val="1"/>
      <w:numFmt w:val="lowerLetter"/>
      <w:lvlText w:val="%8."/>
      <w:lvlJc w:val="left"/>
      <w:pPr>
        <w:ind w:left="6406" w:hanging="360"/>
      </w:pPr>
    </w:lvl>
    <w:lvl w:ilvl="8" w:tplc="0415001B" w:tentative="1">
      <w:start w:val="1"/>
      <w:numFmt w:val="lowerRoman"/>
      <w:lvlText w:val="%9."/>
      <w:lvlJc w:val="right"/>
      <w:pPr>
        <w:ind w:left="7126" w:hanging="180"/>
      </w:pPr>
    </w:lvl>
  </w:abstractNum>
  <w:abstractNum w:abstractNumId="29" w15:restartNumberingAfterBreak="0">
    <w:nsid w:val="32F21999"/>
    <w:multiLevelType w:val="hybridMultilevel"/>
    <w:tmpl w:val="54E427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E9243B"/>
    <w:multiLevelType w:val="hybridMultilevel"/>
    <w:tmpl w:val="5754B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4985E04"/>
    <w:multiLevelType w:val="hybridMultilevel"/>
    <w:tmpl w:val="EE8E7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5C15D4E"/>
    <w:multiLevelType w:val="hybridMultilevel"/>
    <w:tmpl w:val="A71ED7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6021E16"/>
    <w:multiLevelType w:val="hybridMultilevel"/>
    <w:tmpl w:val="DD70C2D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361F7270"/>
    <w:multiLevelType w:val="hybridMultilevel"/>
    <w:tmpl w:val="1820D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71A15CF"/>
    <w:multiLevelType w:val="hybridMultilevel"/>
    <w:tmpl w:val="A51ED838"/>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78403E"/>
    <w:multiLevelType w:val="hybridMultilevel"/>
    <w:tmpl w:val="6FB4D5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F5553BB"/>
    <w:multiLevelType w:val="hybridMultilevel"/>
    <w:tmpl w:val="34D057CE"/>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05130C4"/>
    <w:multiLevelType w:val="hybridMultilevel"/>
    <w:tmpl w:val="08146456"/>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25A42D2"/>
    <w:multiLevelType w:val="hybridMultilevel"/>
    <w:tmpl w:val="67AEEF9A"/>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1" w15:restartNumberingAfterBreak="0">
    <w:nsid w:val="44344368"/>
    <w:multiLevelType w:val="hybridMultilevel"/>
    <w:tmpl w:val="3F66B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45F24F6"/>
    <w:multiLevelType w:val="hybridMultilevel"/>
    <w:tmpl w:val="3286C09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0F03E3"/>
    <w:multiLevelType w:val="hybridMultilevel"/>
    <w:tmpl w:val="70725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AF25867"/>
    <w:multiLevelType w:val="hybridMultilevel"/>
    <w:tmpl w:val="8ACE6AC0"/>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BA704AC"/>
    <w:multiLevelType w:val="hybridMultilevel"/>
    <w:tmpl w:val="F71A33E0"/>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E804791"/>
    <w:multiLevelType w:val="hybridMultilevel"/>
    <w:tmpl w:val="94608E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F123DEF"/>
    <w:multiLevelType w:val="hybridMultilevel"/>
    <w:tmpl w:val="775A2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05C1302"/>
    <w:multiLevelType w:val="hybridMultilevel"/>
    <w:tmpl w:val="B5DC557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138231B"/>
    <w:multiLevelType w:val="hybridMultilevel"/>
    <w:tmpl w:val="B770D3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1F61CE8"/>
    <w:multiLevelType w:val="hybridMultilevel"/>
    <w:tmpl w:val="845C3822"/>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3ED7DB6"/>
    <w:multiLevelType w:val="hybridMultilevel"/>
    <w:tmpl w:val="EE74704C"/>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5F0517FA"/>
    <w:multiLevelType w:val="hybridMultilevel"/>
    <w:tmpl w:val="F47A80C8"/>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F3702B2"/>
    <w:multiLevelType w:val="hybridMultilevel"/>
    <w:tmpl w:val="2398D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1541147"/>
    <w:multiLevelType w:val="hybridMultilevel"/>
    <w:tmpl w:val="24C64B74"/>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1E972FF"/>
    <w:multiLevelType w:val="hybridMultilevel"/>
    <w:tmpl w:val="6FB4D5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689C70A2"/>
    <w:multiLevelType w:val="hybridMultilevel"/>
    <w:tmpl w:val="A00A2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DC5D8A"/>
    <w:multiLevelType w:val="hybridMultilevel"/>
    <w:tmpl w:val="57C22E4A"/>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A93688B"/>
    <w:multiLevelType w:val="hybridMultilevel"/>
    <w:tmpl w:val="573E78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B0B5CAA"/>
    <w:multiLevelType w:val="hybridMultilevel"/>
    <w:tmpl w:val="59580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557C0C"/>
    <w:multiLevelType w:val="hybridMultilevel"/>
    <w:tmpl w:val="7764D4FA"/>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C817089"/>
    <w:multiLevelType w:val="hybridMultilevel"/>
    <w:tmpl w:val="0F48A7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D187E18"/>
    <w:multiLevelType w:val="hybridMultilevel"/>
    <w:tmpl w:val="6F3A8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D7C0637"/>
    <w:multiLevelType w:val="hybridMultilevel"/>
    <w:tmpl w:val="338842C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9767650"/>
    <w:multiLevelType w:val="hybridMultilevel"/>
    <w:tmpl w:val="5860D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B287269"/>
    <w:multiLevelType w:val="hybridMultilevel"/>
    <w:tmpl w:val="E78EB5C4"/>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D6A0F32"/>
    <w:multiLevelType w:val="hybridMultilevel"/>
    <w:tmpl w:val="6E02E4E4"/>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1790755">
    <w:abstractNumId w:val="20"/>
  </w:num>
  <w:num w:numId="2" w16cid:durableId="1606380786">
    <w:abstractNumId w:val="1"/>
  </w:num>
  <w:num w:numId="3" w16cid:durableId="720127976">
    <w:abstractNumId w:val="60"/>
  </w:num>
  <w:num w:numId="4" w16cid:durableId="392432716">
    <w:abstractNumId w:val="52"/>
  </w:num>
  <w:num w:numId="5" w16cid:durableId="1728796631">
    <w:abstractNumId w:val="8"/>
  </w:num>
  <w:num w:numId="6" w16cid:durableId="2054692442">
    <w:abstractNumId w:val="36"/>
  </w:num>
  <w:num w:numId="7" w16cid:durableId="2057122643">
    <w:abstractNumId w:val="6"/>
  </w:num>
  <w:num w:numId="8" w16cid:durableId="646398185">
    <w:abstractNumId w:val="3"/>
  </w:num>
  <w:num w:numId="9" w16cid:durableId="1431580102">
    <w:abstractNumId w:val="47"/>
  </w:num>
  <w:num w:numId="10" w16cid:durableId="2069106985">
    <w:abstractNumId w:val="55"/>
  </w:num>
  <w:num w:numId="11" w16cid:durableId="528882098">
    <w:abstractNumId w:val="54"/>
  </w:num>
  <w:num w:numId="12" w16cid:durableId="599069451">
    <w:abstractNumId w:val="69"/>
  </w:num>
  <w:num w:numId="13" w16cid:durableId="1712412904">
    <w:abstractNumId w:val="15"/>
  </w:num>
  <w:num w:numId="14" w16cid:durableId="145128225">
    <w:abstractNumId w:val="12"/>
  </w:num>
  <w:num w:numId="15" w16cid:durableId="44569857">
    <w:abstractNumId w:val="67"/>
  </w:num>
  <w:num w:numId="16" w16cid:durableId="791367456">
    <w:abstractNumId w:val="0"/>
  </w:num>
  <w:num w:numId="17" w16cid:durableId="1880313646">
    <w:abstractNumId w:val="3"/>
  </w:num>
  <w:num w:numId="18" w16cid:durableId="1318414157">
    <w:abstractNumId w:val="40"/>
  </w:num>
  <w:num w:numId="19" w16cid:durableId="249430880">
    <w:abstractNumId w:val="32"/>
  </w:num>
  <w:num w:numId="20" w16cid:durableId="121074475">
    <w:abstractNumId w:val="7"/>
  </w:num>
  <w:num w:numId="21" w16cid:durableId="815342034">
    <w:abstractNumId w:val="10"/>
  </w:num>
  <w:num w:numId="22" w16cid:durableId="2053723911">
    <w:abstractNumId w:val="71"/>
  </w:num>
  <w:num w:numId="23" w16cid:durableId="937906772">
    <w:abstractNumId w:val="17"/>
  </w:num>
  <w:num w:numId="24" w16cid:durableId="1681618657">
    <w:abstractNumId w:val="57"/>
  </w:num>
  <w:num w:numId="25" w16cid:durableId="672759580">
    <w:abstractNumId w:val="22"/>
  </w:num>
  <w:num w:numId="26" w16cid:durableId="1080373632">
    <w:abstractNumId w:val="24"/>
  </w:num>
  <w:num w:numId="27" w16cid:durableId="114912237">
    <w:abstractNumId w:val="41"/>
  </w:num>
  <w:num w:numId="28" w16cid:durableId="986126965">
    <w:abstractNumId w:val="30"/>
  </w:num>
  <w:num w:numId="29" w16cid:durableId="1370569189">
    <w:abstractNumId w:val="33"/>
  </w:num>
  <w:num w:numId="30" w16cid:durableId="222571065">
    <w:abstractNumId w:val="70"/>
  </w:num>
  <w:num w:numId="31" w16cid:durableId="1068040197">
    <w:abstractNumId w:val="58"/>
  </w:num>
  <w:num w:numId="32" w16cid:durableId="393890192">
    <w:abstractNumId w:val="62"/>
  </w:num>
  <w:num w:numId="33" w16cid:durableId="1810634678">
    <w:abstractNumId w:val="48"/>
  </w:num>
  <w:num w:numId="34" w16cid:durableId="233661346">
    <w:abstractNumId w:val="2"/>
  </w:num>
  <w:num w:numId="35" w16cid:durableId="2006322108">
    <w:abstractNumId w:val="64"/>
  </w:num>
  <w:num w:numId="36" w16cid:durableId="681933739">
    <w:abstractNumId w:val="28"/>
  </w:num>
  <w:num w:numId="37" w16cid:durableId="1806581699">
    <w:abstractNumId w:val="56"/>
  </w:num>
  <w:num w:numId="38" w16cid:durableId="652610465">
    <w:abstractNumId w:val="51"/>
  </w:num>
  <w:num w:numId="39" w16cid:durableId="674580141">
    <w:abstractNumId w:val="25"/>
  </w:num>
  <w:num w:numId="40" w16cid:durableId="1537961349">
    <w:abstractNumId w:val="61"/>
  </w:num>
  <w:num w:numId="41" w16cid:durableId="562984478">
    <w:abstractNumId w:val="27"/>
  </w:num>
  <w:num w:numId="42" w16cid:durableId="736325740">
    <w:abstractNumId w:val="18"/>
  </w:num>
  <w:num w:numId="43" w16cid:durableId="510292071">
    <w:abstractNumId w:val="66"/>
  </w:num>
  <w:num w:numId="44" w16cid:durableId="1715733334">
    <w:abstractNumId w:val="29"/>
  </w:num>
  <w:num w:numId="45" w16cid:durableId="171842989">
    <w:abstractNumId w:val="11"/>
  </w:num>
  <w:num w:numId="46" w16cid:durableId="533929923">
    <w:abstractNumId w:val="34"/>
  </w:num>
  <w:num w:numId="47" w16cid:durableId="137038926">
    <w:abstractNumId w:val="42"/>
  </w:num>
  <w:num w:numId="48" w16cid:durableId="1186601352">
    <w:abstractNumId w:val="26"/>
  </w:num>
  <w:num w:numId="49" w16cid:durableId="1689015804">
    <w:abstractNumId w:val="65"/>
  </w:num>
  <w:num w:numId="50" w16cid:durableId="146943706">
    <w:abstractNumId w:val="21"/>
  </w:num>
  <w:num w:numId="51" w16cid:durableId="467936236">
    <w:abstractNumId w:val="39"/>
  </w:num>
  <w:num w:numId="52" w16cid:durableId="193811952">
    <w:abstractNumId w:val="23"/>
  </w:num>
  <w:num w:numId="53" w16cid:durableId="1625962714">
    <w:abstractNumId w:val="31"/>
  </w:num>
  <w:num w:numId="54" w16cid:durableId="596594677">
    <w:abstractNumId w:val="13"/>
  </w:num>
  <w:num w:numId="55" w16cid:durableId="153303935">
    <w:abstractNumId w:val="43"/>
  </w:num>
  <w:num w:numId="56" w16cid:durableId="91244776">
    <w:abstractNumId w:val="19"/>
  </w:num>
  <w:num w:numId="57" w16cid:durableId="1394502910">
    <w:abstractNumId w:val="9"/>
  </w:num>
  <w:num w:numId="58" w16cid:durableId="1986887410">
    <w:abstractNumId w:val="63"/>
  </w:num>
  <w:num w:numId="59" w16cid:durableId="1589843931">
    <w:abstractNumId w:val="53"/>
  </w:num>
  <w:num w:numId="60" w16cid:durableId="1570656623">
    <w:abstractNumId w:val="45"/>
  </w:num>
  <w:num w:numId="61" w16cid:durableId="2013484243">
    <w:abstractNumId w:val="68"/>
  </w:num>
  <w:num w:numId="62" w16cid:durableId="748386684">
    <w:abstractNumId w:val="44"/>
  </w:num>
  <w:num w:numId="63" w16cid:durableId="645860613">
    <w:abstractNumId w:val="35"/>
  </w:num>
  <w:num w:numId="64" w16cid:durableId="423385062">
    <w:abstractNumId w:val="46"/>
  </w:num>
  <w:num w:numId="65" w16cid:durableId="829175193">
    <w:abstractNumId w:val="72"/>
  </w:num>
  <w:num w:numId="66" w16cid:durableId="1153793796">
    <w:abstractNumId w:val="5"/>
  </w:num>
  <w:num w:numId="67" w16cid:durableId="1112743707">
    <w:abstractNumId w:val="4"/>
  </w:num>
  <w:num w:numId="68" w16cid:durableId="12538501">
    <w:abstractNumId w:val="50"/>
  </w:num>
  <w:num w:numId="69" w16cid:durableId="1976258594">
    <w:abstractNumId w:val="59"/>
  </w:num>
  <w:num w:numId="70" w16cid:durableId="994646815">
    <w:abstractNumId w:val="16"/>
  </w:num>
  <w:num w:numId="71" w16cid:durableId="405222084">
    <w:abstractNumId w:val="38"/>
  </w:num>
  <w:num w:numId="72" w16cid:durableId="1825510748">
    <w:abstractNumId w:val="14"/>
  </w:num>
  <w:num w:numId="73" w16cid:durableId="1569993377">
    <w:abstractNumId w:val="37"/>
  </w:num>
  <w:num w:numId="74" w16cid:durableId="77478612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528E7"/>
    <w:rsid w:val="00080B48"/>
    <w:rsid w:val="000810F4"/>
    <w:rsid w:val="00091EB3"/>
    <w:rsid w:val="00093A0F"/>
    <w:rsid w:val="000B373D"/>
    <w:rsid w:val="000B7FBF"/>
    <w:rsid w:val="000E12CC"/>
    <w:rsid w:val="00152063"/>
    <w:rsid w:val="001947A7"/>
    <w:rsid w:val="001B44C4"/>
    <w:rsid w:val="001B5B56"/>
    <w:rsid w:val="00222587"/>
    <w:rsid w:val="0026188F"/>
    <w:rsid w:val="00267220"/>
    <w:rsid w:val="002A142B"/>
    <w:rsid w:val="002E129B"/>
    <w:rsid w:val="00342738"/>
    <w:rsid w:val="00384379"/>
    <w:rsid w:val="003A51F9"/>
    <w:rsid w:val="003D0F6B"/>
    <w:rsid w:val="00403DE4"/>
    <w:rsid w:val="00414A88"/>
    <w:rsid w:val="00463EB7"/>
    <w:rsid w:val="004A287C"/>
    <w:rsid w:val="004D7E42"/>
    <w:rsid w:val="00565A42"/>
    <w:rsid w:val="005726A9"/>
    <w:rsid w:val="00586F86"/>
    <w:rsid w:val="0059430B"/>
    <w:rsid w:val="006021BE"/>
    <w:rsid w:val="00613DA4"/>
    <w:rsid w:val="00665B79"/>
    <w:rsid w:val="0067347E"/>
    <w:rsid w:val="006C783A"/>
    <w:rsid w:val="006E0E17"/>
    <w:rsid w:val="007352DF"/>
    <w:rsid w:val="00753934"/>
    <w:rsid w:val="0077526D"/>
    <w:rsid w:val="007A5294"/>
    <w:rsid w:val="007C3957"/>
    <w:rsid w:val="007D755D"/>
    <w:rsid w:val="007E0FFB"/>
    <w:rsid w:val="0081118A"/>
    <w:rsid w:val="00824D9D"/>
    <w:rsid w:val="00825D9D"/>
    <w:rsid w:val="008779D4"/>
    <w:rsid w:val="008C033D"/>
    <w:rsid w:val="008E1960"/>
    <w:rsid w:val="008E3B98"/>
    <w:rsid w:val="008F64EA"/>
    <w:rsid w:val="00921D97"/>
    <w:rsid w:val="009F0EDF"/>
    <w:rsid w:val="00A55D8E"/>
    <w:rsid w:val="00A77D11"/>
    <w:rsid w:val="00A925ED"/>
    <w:rsid w:val="00A94971"/>
    <w:rsid w:val="00AA7C36"/>
    <w:rsid w:val="00AD624D"/>
    <w:rsid w:val="00AF7616"/>
    <w:rsid w:val="00B675D6"/>
    <w:rsid w:val="00B77F25"/>
    <w:rsid w:val="00BA742A"/>
    <w:rsid w:val="00BB7AE9"/>
    <w:rsid w:val="00BB7E65"/>
    <w:rsid w:val="00BC16E6"/>
    <w:rsid w:val="00C503ED"/>
    <w:rsid w:val="00C576CD"/>
    <w:rsid w:val="00C806FA"/>
    <w:rsid w:val="00C83D6B"/>
    <w:rsid w:val="00C87AFC"/>
    <w:rsid w:val="00CA5A82"/>
    <w:rsid w:val="00CA6C47"/>
    <w:rsid w:val="00D0663F"/>
    <w:rsid w:val="00D150E7"/>
    <w:rsid w:val="00D233B4"/>
    <w:rsid w:val="00D84FB0"/>
    <w:rsid w:val="00DC2748"/>
    <w:rsid w:val="00DD1A15"/>
    <w:rsid w:val="00E00B34"/>
    <w:rsid w:val="00E1292A"/>
    <w:rsid w:val="00E258B9"/>
    <w:rsid w:val="00E74C48"/>
    <w:rsid w:val="00ED0646"/>
    <w:rsid w:val="00F069F7"/>
    <w:rsid w:val="00F20082"/>
    <w:rsid w:val="00F40174"/>
    <w:rsid w:val="00F432E6"/>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D115"/>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 w:type="table" w:styleId="Tabela-Siatka">
    <w:name w:val="Table Grid"/>
    <w:basedOn w:val="Standardowy"/>
    <w:uiPriority w:val="39"/>
    <w:rsid w:val="00C87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63CA2-BE40-4E30-9F1E-83C8D4B3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3558</Words>
  <Characters>21354</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Decyzja o środowiskowych uwarunkowaniach</vt:lpstr>
    </vt:vector>
  </TitlesOfParts>
  <Company/>
  <LinksUpToDate>false</LinksUpToDate>
  <CharactersWithSpaces>24863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Iwona Bobek</cp:lastModifiedBy>
  <cp:revision>4</cp:revision>
  <dcterms:created xsi:type="dcterms:W3CDTF">2025-06-26T11:58:00Z</dcterms:created>
  <dcterms:modified xsi:type="dcterms:W3CDTF">2025-06-26T12:11:00Z</dcterms:modified>
</cp:coreProperties>
</file>