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33" w:rsidRDefault="001C4333" w:rsidP="00726A40">
      <w:pPr>
        <w:pStyle w:val="Nagwek1"/>
        <w:jc w:val="center"/>
        <w:rPr>
          <w:rFonts w:cs="Arial"/>
          <w:b/>
          <w:color w:val="auto"/>
          <w:szCs w:val="20"/>
        </w:rPr>
      </w:pPr>
    </w:p>
    <w:p w:rsidR="00816D03" w:rsidRDefault="00E57D8D" w:rsidP="00C42693">
      <w:pPr>
        <w:pStyle w:val="Nagwek1"/>
        <w:jc w:val="center"/>
        <w:rPr>
          <w:rFonts w:cs="Arial"/>
          <w:b/>
          <w:color w:val="auto"/>
          <w:szCs w:val="20"/>
        </w:rPr>
      </w:pPr>
      <w:r>
        <w:rPr>
          <w:rFonts w:cs="Arial"/>
          <w:b/>
          <w:color w:val="auto"/>
          <w:szCs w:val="20"/>
        </w:rPr>
        <w:t>Szczegółowy opis przedmiotu zamówienia</w:t>
      </w:r>
      <w:r w:rsidR="00956B02">
        <w:rPr>
          <w:rFonts w:cs="Arial"/>
          <w:b/>
          <w:color w:val="auto"/>
          <w:szCs w:val="20"/>
        </w:rPr>
        <w:t xml:space="preserve"> </w:t>
      </w:r>
    </w:p>
    <w:p w:rsidR="0083456C" w:rsidRDefault="00726A40" w:rsidP="00C42693">
      <w:pPr>
        <w:pStyle w:val="Nagwek1"/>
        <w:jc w:val="center"/>
        <w:rPr>
          <w:rFonts w:cs="Arial"/>
          <w:b/>
          <w:i/>
          <w:color w:val="auto"/>
          <w:szCs w:val="20"/>
        </w:rPr>
      </w:pPr>
      <w:r w:rsidRPr="00726A40">
        <w:rPr>
          <w:rFonts w:cs="Arial"/>
          <w:b/>
          <w:color w:val="auto"/>
          <w:szCs w:val="20"/>
        </w:rPr>
        <w:t>dot</w:t>
      </w:r>
      <w:r w:rsidRPr="001C4333">
        <w:rPr>
          <w:rFonts w:cs="Arial"/>
          <w:b/>
          <w:color w:val="auto"/>
          <w:szCs w:val="20"/>
        </w:rPr>
        <w:t>.</w:t>
      </w:r>
      <w:r w:rsidR="00696DAA" w:rsidRPr="00696DAA">
        <w:rPr>
          <w:rFonts w:cs="Arial"/>
          <w:b/>
          <w:color w:val="auto"/>
          <w:szCs w:val="20"/>
        </w:rPr>
        <w:t xml:space="preserve"> </w:t>
      </w:r>
      <w:r w:rsidR="00547007">
        <w:rPr>
          <w:rFonts w:cs="Arial"/>
          <w:b/>
          <w:color w:val="auto"/>
          <w:szCs w:val="20"/>
        </w:rPr>
        <w:t>opracowania</w:t>
      </w:r>
      <w:r w:rsidR="00547007" w:rsidRPr="00547007">
        <w:rPr>
          <w:rFonts w:cs="Arial"/>
          <w:b/>
          <w:color w:val="auto"/>
          <w:szCs w:val="20"/>
        </w:rPr>
        <w:t xml:space="preserve"> </w:t>
      </w:r>
      <w:r w:rsidR="005F44B6">
        <w:rPr>
          <w:rFonts w:cs="Arial"/>
          <w:b/>
          <w:color w:val="auto"/>
          <w:szCs w:val="20"/>
        </w:rPr>
        <w:t>p</w:t>
      </w:r>
      <w:r w:rsidR="005F44B6" w:rsidRPr="005F44B6">
        <w:rPr>
          <w:rFonts w:cs="Arial"/>
          <w:b/>
          <w:color w:val="auto"/>
          <w:szCs w:val="20"/>
        </w:rPr>
        <w:t>rzewodnik</w:t>
      </w:r>
      <w:r w:rsidR="001D5C10">
        <w:rPr>
          <w:rFonts w:cs="Arial"/>
          <w:b/>
          <w:color w:val="auto"/>
          <w:szCs w:val="20"/>
        </w:rPr>
        <w:t>a</w:t>
      </w:r>
      <w:r w:rsidR="005F44B6" w:rsidRPr="005F44B6">
        <w:rPr>
          <w:rFonts w:cs="Arial"/>
          <w:b/>
          <w:color w:val="auto"/>
          <w:szCs w:val="20"/>
        </w:rPr>
        <w:t xml:space="preserve"> dla przedsiębiorców nt. kategoryzacji funkcji produktów nawozowych, kategorii materiałów składowych oraz procedur oceny zgodności produktów nawozowych przewidzianych w Rozporządzeniu Parlamentu Europejskiego i Rady (UE) 2019/1009 z dnia 5 czerwca 2019 r. ustanawiającym przepisy dotyczące udostępniania na rynku produktów nawozowych UE, zmieniającym rozporządzenia (WE) nr 1069/2009 i (WE) </w:t>
      </w:r>
      <w:r w:rsidR="009D6AFD">
        <w:rPr>
          <w:rFonts w:cs="Arial"/>
          <w:b/>
          <w:color w:val="auto"/>
          <w:szCs w:val="20"/>
        </w:rPr>
        <w:br/>
      </w:r>
      <w:r w:rsidR="005F44B6" w:rsidRPr="005F44B6">
        <w:rPr>
          <w:rFonts w:cs="Arial"/>
          <w:b/>
          <w:color w:val="auto"/>
          <w:szCs w:val="20"/>
        </w:rPr>
        <w:t>nr 1107/2009 oraz uchylającym rozporządzenie (WE) nr 2003/2003</w:t>
      </w:r>
    </w:p>
    <w:p w:rsidR="00067FEC" w:rsidRPr="00067FEC" w:rsidRDefault="00067FEC" w:rsidP="00067FEC"/>
    <w:p w:rsidR="00BF36D5" w:rsidRPr="00BF36D5" w:rsidRDefault="000B4D3A" w:rsidP="00067FE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459D4">
        <w:rPr>
          <w:rFonts w:ascii="Arial" w:hAnsi="Arial" w:cs="Arial"/>
          <w:b/>
          <w:sz w:val="20"/>
          <w:szCs w:val="20"/>
        </w:rPr>
        <w:t>Opis Przedmiotu Zamówienia</w:t>
      </w:r>
    </w:p>
    <w:p w:rsidR="00BF36D5" w:rsidRPr="00BF36D5" w:rsidRDefault="00BF36D5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Postanowienia ogólne</w:t>
      </w:r>
    </w:p>
    <w:p w:rsidR="00BF36D5" w:rsidRPr="00C42693" w:rsidRDefault="00BF36D5" w:rsidP="00C42693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Pr="00BF36D5">
        <w:rPr>
          <w:rFonts w:ascii="Arial" w:hAnsi="Arial" w:cs="Arial"/>
          <w:sz w:val="20"/>
          <w:szCs w:val="20"/>
        </w:rPr>
        <w:t>,</w:t>
      </w:r>
      <w:r w:rsidR="00C42693">
        <w:rPr>
          <w:rFonts w:ascii="Arial" w:hAnsi="Arial" w:cs="Arial"/>
          <w:sz w:val="20"/>
          <w:szCs w:val="20"/>
        </w:rPr>
        <w:t xml:space="preserve"> Pracy i Technologii,</w:t>
      </w:r>
      <w:r w:rsidRPr="00BF36D5">
        <w:rPr>
          <w:rFonts w:ascii="Arial" w:hAnsi="Arial" w:cs="Arial"/>
          <w:sz w:val="20"/>
          <w:szCs w:val="20"/>
        </w:rPr>
        <w:t xml:space="preserve"> Departament Innowacji</w:t>
      </w:r>
      <w:r w:rsidR="00C42693">
        <w:rPr>
          <w:rFonts w:ascii="Arial" w:hAnsi="Arial" w:cs="Arial"/>
          <w:sz w:val="20"/>
          <w:szCs w:val="20"/>
        </w:rPr>
        <w:t xml:space="preserve"> i Polityki Przemysłowej</w:t>
      </w:r>
      <w:r w:rsidRPr="00BF36D5">
        <w:rPr>
          <w:rFonts w:ascii="Arial" w:hAnsi="Arial" w:cs="Arial"/>
          <w:sz w:val="20"/>
          <w:szCs w:val="20"/>
        </w:rPr>
        <w:t xml:space="preserve">, </w:t>
      </w:r>
      <w:r w:rsidR="008164A8">
        <w:rPr>
          <w:rFonts w:ascii="Arial" w:hAnsi="Arial" w:cs="Arial"/>
          <w:sz w:val="20"/>
          <w:szCs w:val="20"/>
        </w:rPr>
        <w:br/>
      </w:r>
      <w:r w:rsidRPr="00BF36D5">
        <w:rPr>
          <w:rFonts w:ascii="Arial" w:hAnsi="Arial" w:cs="Arial"/>
          <w:sz w:val="20"/>
          <w:szCs w:val="20"/>
        </w:rPr>
        <w:t>z siedzi</w:t>
      </w:r>
      <w:r w:rsidR="009C07E6">
        <w:rPr>
          <w:rFonts w:ascii="Arial" w:hAnsi="Arial" w:cs="Arial"/>
          <w:sz w:val="20"/>
          <w:szCs w:val="20"/>
        </w:rPr>
        <w:t xml:space="preserve">bą przy Pl. Trzech Krzyży 3/5, </w:t>
      </w:r>
      <w:r w:rsidRPr="00BF36D5">
        <w:rPr>
          <w:rFonts w:ascii="Arial" w:hAnsi="Arial" w:cs="Arial"/>
          <w:sz w:val="20"/>
          <w:szCs w:val="20"/>
        </w:rPr>
        <w:t xml:space="preserve">00-507 </w:t>
      </w:r>
      <w:r w:rsidR="000F6E30">
        <w:rPr>
          <w:rFonts w:ascii="Arial" w:hAnsi="Arial" w:cs="Arial"/>
          <w:sz w:val="20"/>
          <w:szCs w:val="20"/>
        </w:rPr>
        <w:t xml:space="preserve">Warszawa, </w:t>
      </w:r>
      <w:r w:rsidR="00527F7B">
        <w:rPr>
          <w:rFonts w:ascii="Arial" w:hAnsi="Arial" w:cs="Arial"/>
          <w:sz w:val="20"/>
          <w:szCs w:val="20"/>
        </w:rPr>
        <w:t xml:space="preserve">zaprasza do składania ofert na merytoryczne opracowanie </w:t>
      </w:r>
      <w:r w:rsidR="00C42693">
        <w:rPr>
          <w:rFonts w:ascii="Arial" w:hAnsi="Arial" w:cs="Arial"/>
          <w:sz w:val="20"/>
          <w:szCs w:val="20"/>
        </w:rPr>
        <w:t>p</w:t>
      </w:r>
      <w:r w:rsidR="00C42693" w:rsidRPr="00C42693">
        <w:rPr>
          <w:rFonts w:ascii="Arial" w:hAnsi="Arial" w:cs="Arial"/>
          <w:sz w:val="20"/>
          <w:szCs w:val="20"/>
        </w:rPr>
        <w:t>rzewodnik</w:t>
      </w:r>
      <w:r w:rsidR="00C42693">
        <w:rPr>
          <w:rFonts w:ascii="Arial" w:hAnsi="Arial" w:cs="Arial"/>
          <w:sz w:val="20"/>
          <w:szCs w:val="20"/>
        </w:rPr>
        <w:t>a</w:t>
      </w:r>
      <w:r w:rsidR="00C42693" w:rsidRPr="00C42693">
        <w:rPr>
          <w:rFonts w:ascii="Arial" w:hAnsi="Arial" w:cs="Arial"/>
          <w:sz w:val="20"/>
          <w:szCs w:val="20"/>
        </w:rPr>
        <w:t xml:space="preserve"> dla przedsiębiorców</w:t>
      </w:r>
      <w:r w:rsidR="00956B02">
        <w:rPr>
          <w:rFonts w:ascii="Arial" w:hAnsi="Arial" w:cs="Arial"/>
          <w:sz w:val="20"/>
          <w:szCs w:val="20"/>
        </w:rPr>
        <w:t xml:space="preserve"> (w formie</w:t>
      </w:r>
      <w:r w:rsidR="005F0CD9">
        <w:rPr>
          <w:rFonts w:ascii="Arial" w:hAnsi="Arial" w:cs="Arial"/>
          <w:sz w:val="20"/>
          <w:szCs w:val="20"/>
        </w:rPr>
        <w:t xml:space="preserve"> elektronicznej </w:t>
      </w:r>
      <w:r w:rsidR="00956B02">
        <w:rPr>
          <w:rFonts w:ascii="Arial" w:hAnsi="Arial" w:cs="Arial"/>
          <w:sz w:val="20"/>
          <w:szCs w:val="20"/>
        </w:rPr>
        <w:t>publikacji)</w:t>
      </w:r>
      <w:r w:rsidR="00C42693" w:rsidRPr="00C42693">
        <w:rPr>
          <w:rFonts w:ascii="Arial" w:hAnsi="Arial" w:cs="Arial"/>
          <w:sz w:val="20"/>
          <w:szCs w:val="20"/>
        </w:rPr>
        <w:t xml:space="preserve"> nt. kategoryzacji funkcji produktów nawozowych, kategorii materiałów składowych oraz procedur oceny zgodności produktów nawozowych przewidzianych w Rozporządzeniu Parlamentu Europejskiego i Rady (UE) 2019/1009 z dnia 5 czerwca 2019 r. ustanawiającym przepisy dotyczące udostępniania na rynku produktów nawozowych UE, zmieniającym rozporządzenia (WE) nr 1069/2009 i (WE) nr 1107/2009 oraz uchylającym rozporządzenie (WE) nr 2003/2003</w:t>
      </w:r>
      <w:r w:rsidR="00C42693">
        <w:rPr>
          <w:rFonts w:ascii="Arial" w:hAnsi="Arial" w:cs="Arial"/>
          <w:sz w:val="20"/>
          <w:szCs w:val="20"/>
        </w:rPr>
        <w:t>.</w:t>
      </w:r>
    </w:p>
    <w:p w:rsidR="00F6124F" w:rsidRPr="005B0BDF" w:rsidRDefault="00F6124F" w:rsidP="0004049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B0BDF">
        <w:rPr>
          <w:rFonts w:ascii="Arial" w:hAnsi="Arial" w:cs="Arial"/>
          <w:sz w:val="20"/>
          <w:szCs w:val="20"/>
        </w:rPr>
        <w:t>Niniejsze ogłoszenie nie stanowi oferty w rozumieniu przepisów ustawy z dnia 23 kwietnia 1964 r. Kodeks Cywilny</w:t>
      </w:r>
      <w:r w:rsidR="00182B66" w:rsidRPr="005B0BDF">
        <w:rPr>
          <w:rFonts w:ascii="Arial" w:hAnsi="Arial" w:cs="Arial"/>
          <w:sz w:val="20"/>
          <w:szCs w:val="20"/>
        </w:rPr>
        <w:t xml:space="preserve"> (Dz. U. z </w:t>
      </w:r>
      <w:r w:rsidR="009C3C35" w:rsidRPr="005B0BDF">
        <w:rPr>
          <w:rFonts w:ascii="Arial" w:hAnsi="Arial" w:cs="Arial"/>
          <w:sz w:val="20"/>
          <w:szCs w:val="20"/>
        </w:rPr>
        <w:t xml:space="preserve">2020 </w:t>
      </w:r>
      <w:r w:rsidR="00182B66" w:rsidRPr="005B0BDF">
        <w:rPr>
          <w:rFonts w:ascii="Arial" w:hAnsi="Arial" w:cs="Arial"/>
          <w:sz w:val="20"/>
          <w:szCs w:val="20"/>
        </w:rPr>
        <w:t xml:space="preserve">r. poz. </w:t>
      </w:r>
      <w:r w:rsidR="009C3C35" w:rsidRPr="005B0BDF">
        <w:rPr>
          <w:rFonts w:ascii="Arial" w:hAnsi="Arial" w:cs="Arial"/>
          <w:sz w:val="20"/>
          <w:szCs w:val="20"/>
        </w:rPr>
        <w:t>1740</w:t>
      </w:r>
      <w:r w:rsidR="00182B66" w:rsidRPr="005B0BDF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182B66" w:rsidRPr="005B0BDF">
        <w:rPr>
          <w:rFonts w:ascii="Arial" w:hAnsi="Arial" w:cs="Arial"/>
          <w:sz w:val="20"/>
          <w:szCs w:val="20"/>
        </w:rPr>
        <w:t>p</w:t>
      </w:r>
      <w:r w:rsidRPr="005B0BDF">
        <w:rPr>
          <w:rFonts w:ascii="Arial" w:hAnsi="Arial" w:cs="Arial"/>
          <w:sz w:val="20"/>
          <w:szCs w:val="20"/>
        </w:rPr>
        <w:t>óźn</w:t>
      </w:r>
      <w:proofErr w:type="spellEnd"/>
      <w:r w:rsidRPr="005B0BDF">
        <w:rPr>
          <w:rFonts w:ascii="Arial" w:hAnsi="Arial" w:cs="Arial"/>
          <w:sz w:val="20"/>
          <w:szCs w:val="20"/>
        </w:rPr>
        <w:t>. zm.), jak również nie jest ogłoszeniem w rozumieniu ustawy - Prawo zamówień publicznych.</w:t>
      </w:r>
    </w:p>
    <w:p w:rsidR="0005031F" w:rsidRDefault="0005031F" w:rsidP="00790946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5031F">
        <w:rPr>
          <w:rFonts w:ascii="Arial" w:hAnsi="Arial" w:cs="Arial"/>
          <w:sz w:val="20"/>
          <w:szCs w:val="20"/>
        </w:rPr>
        <w:t>Zamówienie jest współfinansowane ze środków Europejskiego Funduszu Rozwoju Regionalnego</w:t>
      </w:r>
      <w:r>
        <w:rPr>
          <w:rFonts w:ascii="Arial" w:hAnsi="Arial" w:cs="Arial"/>
          <w:sz w:val="20"/>
          <w:szCs w:val="20"/>
        </w:rPr>
        <w:t xml:space="preserve"> </w:t>
      </w:r>
      <w:r w:rsidRPr="0005031F">
        <w:rPr>
          <w:rFonts w:ascii="Arial" w:hAnsi="Arial" w:cs="Arial"/>
          <w:sz w:val="20"/>
          <w:szCs w:val="20"/>
        </w:rPr>
        <w:t xml:space="preserve">w ramach </w:t>
      </w:r>
      <w:r>
        <w:rPr>
          <w:rFonts w:ascii="Arial" w:hAnsi="Arial" w:cs="Arial"/>
          <w:sz w:val="20"/>
          <w:szCs w:val="20"/>
        </w:rPr>
        <w:t xml:space="preserve">projektu pozakonkursowego 2.4.2. pn. </w:t>
      </w:r>
      <w:r w:rsidR="00DF08A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onitoring Krajowej Inteligentnej Specjalizacji Programu Operacyjnego Inteligentny Rozwój 2014-2020. </w:t>
      </w:r>
    </w:p>
    <w:p w:rsidR="00BF36D5" w:rsidRDefault="00BF36D5" w:rsidP="003E0A43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>Osobą uprawnioną do kontaktów roboczych w ramach niniejszego zamówienia ze strony zamawiającego jest</w:t>
      </w:r>
      <w:r w:rsidR="00AB284B">
        <w:rPr>
          <w:rFonts w:ascii="Arial" w:hAnsi="Arial" w:cs="Arial"/>
          <w:sz w:val="20"/>
          <w:szCs w:val="20"/>
        </w:rPr>
        <w:t xml:space="preserve"> </w:t>
      </w:r>
      <w:r w:rsidR="00C42693">
        <w:rPr>
          <w:rFonts w:ascii="Arial" w:hAnsi="Arial" w:cs="Arial"/>
          <w:sz w:val="20"/>
          <w:szCs w:val="20"/>
        </w:rPr>
        <w:t>Monika Gładysz (tel. 22 411 95 38</w:t>
      </w:r>
      <w:r w:rsidRPr="00BF36D5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6378C9" w:rsidRPr="005D6882">
          <w:rPr>
            <w:rStyle w:val="Hipercze"/>
            <w:rFonts w:ascii="Arial" w:hAnsi="Arial" w:cs="Arial"/>
            <w:sz w:val="20"/>
            <w:szCs w:val="20"/>
          </w:rPr>
          <w:t>monika.gladysz@mrpit.gov.pl</w:t>
        </w:r>
      </w:hyperlink>
      <w:r w:rsidRPr="00BF36D5">
        <w:rPr>
          <w:rFonts w:ascii="Arial" w:hAnsi="Arial" w:cs="Arial"/>
          <w:sz w:val="20"/>
          <w:szCs w:val="20"/>
        </w:rPr>
        <w:t>).</w:t>
      </w:r>
    </w:p>
    <w:p w:rsidR="000E0FA7" w:rsidRPr="00BF36D5" w:rsidRDefault="000E0FA7" w:rsidP="000E0FA7">
      <w:pPr>
        <w:keepNext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7D74F3" w:rsidRPr="00BF36D5" w:rsidRDefault="00796030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Przedmiot zamówienia:</w:t>
      </w:r>
    </w:p>
    <w:p w:rsidR="00040496" w:rsidRDefault="006378C9" w:rsidP="00991937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6378C9">
        <w:rPr>
          <w:rFonts w:ascii="Arial" w:hAnsi="Arial" w:cs="Arial"/>
          <w:sz w:val="20"/>
          <w:szCs w:val="20"/>
        </w:rPr>
        <w:t xml:space="preserve">Przedmiotem zamówienia jest opracowanie </w:t>
      </w:r>
      <w:r w:rsidR="00816D03">
        <w:rPr>
          <w:rFonts w:ascii="Arial" w:hAnsi="Arial" w:cs="Arial"/>
          <w:sz w:val="20"/>
          <w:szCs w:val="20"/>
        </w:rPr>
        <w:t xml:space="preserve">merytoryczne </w:t>
      </w:r>
      <w:r w:rsidRPr="006378C9">
        <w:rPr>
          <w:rFonts w:ascii="Arial" w:hAnsi="Arial" w:cs="Arial"/>
          <w:sz w:val="20"/>
          <w:szCs w:val="20"/>
        </w:rPr>
        <w:t xml:space="preserve">przewodnika dla przedsiębiorców </w:t>
      </w:r>
      <w:r w:rsidR="008019E3" w:rsidRPr="008019E3">
        <w:rPr>
          <w:rFonts w:ascii="Arial" w:hAnsi="Arial" w:cs="Arial"/>
          <w:sz w:val="20"/>
          <w:szCs w:val="20"/>
        </w:rPr>
        <w:t xml:space="preserve">(w formie </w:t>
      </w:r>
      <w:r w:rsidR="000B5FA8">
        <w:rPr>
          <w:rFonts w:ascii="Arial" w:hAnsi="Arial" w:cs="Arial"/>
          <w:sz w:val="20"/>
          <w:szCs w:val="20"/>
        </w:rPr>
        <w:t xml:space="preserve">elektronicznej </w:t>
      </w:r>
      <w:r w:rsidR="008019E3" w:rsidRPr="008019E3">
        <w:rPr>
          <w:rFonts w:ascii="Arial" w:hAnsi="Arial" w:cs="Arial"/>
          <w:sz w:val="20"/>
          <w:szCs w:val="20"/>
        </w:rPr>
        <w:t xml:space="preserve">publikacji) </w:t>
      </w:r>
      <w:r w:rsidRPr="006378C9">
        <w:rPr>
          <w:rFonts w:ascii="Arial" w:hAnsi="Arial" w:cs="Arial"/>
          <w:sz w:val="20"/>
          <w:szCs w:val="20"/>
        </w:rPr>
        <w:t>nt. kategoryzacji funkcji, materiałów składowych oraz procedur oceny zgodności nawozów i produktów nawozowych przewidzianych w Rozporządzeniu Parlamentu Europejskiego i Rady (UE) 2019/1009 z dnia 5 czerwca 2019 r. ustanawiającym przepisy dotyczące udostępniania na rynku produktów nawozowych UE, zmieniającym rozporządzenia (WE) nr 1069/2009 i (WE) nr 1107/2009 oraz uchylającym rozporządzenie (WE) nr 2003/2003 (Tekst mający znaczenie dla EOG) zgodnie z</w:t>
      </w:r>
      <w:r>
        <w:rPr>
          <w:rFonts w:ascii="Arial" w:hAnsi="Arial" w:cs="Arial"/>
          <w:sz w:val="20"/>
          <w:szCs w:val="20"/>
        </w:rPr>
        <w:t xml:space="preserve"> zamieszczonymi poniżej</w:t>
      </w:r>
      <w:r w:rsidRPr="006378C9">
        <w:rPr>
          <w:rFonts w:ascii="Arial" w:hAnsi="Arial" w:cs="Arial"/>
          <w:sz w:val="20"/>
          <w:szCs w:val="20"/>
        </w:rPr>
        <w:t xml:space="preserve"> wytycznymi.</w:t>
      </w:r>
    </w:p>
    <w:p w:rsidR="001F4316" w:rsidRDefault="001F4316" w:rsidP="00991937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1F4316">
        <w:rPr>
          <w:rFonts w:ascii="Arial" w:hAnsi="Arial" w:cs="Arial"/>
          <w:sz w:val="20"/>
          <w:szCs w:val="20"/>
        </w:rPr>
        <w:t>Realizacja zamówienia uwzględniać będzie następujące części tematyczne:</w:t>
      </w:r>
    </w:p>
    <w:p w:rsidR="001F4316" w:rsidRPr="001F4316" w:rsidRDefault="001F4316" w:rsidP="001F4316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1F4316">
        <w:rPr>
          <w:rFonts w:ascii="Arial" w:hAnsi="Arial" w:cs="Arial"/>
          <w:sz w:val="20"/>
          <w:szCs w:val="20"/>
        </w:rPr>
        <w:t>1.</w:t>
      </w:r>
      <w:r w:rsidRPr="001F4316">
        <w:rPr>
          <w:rFonts w:ascii="Arial" w:hAnsi="Arial" w:cs="Arial"/>
          <w:sz w:val="20"/>
          <w:szCs w:val="20"/>
        </w:rPr>
        <w:tab/>
        <w:t xml:space="preserve">Materiały składowe (Component </w:t>
      </w:r>
      <w:proofErr w:type="spellStart"/>
      <w:r w:rsidRPr="001F4316">
        <w:rPr>
          <w:rFonts w:ascii="Arial" w:hAnsi="Arial" w:cs="Arial"/>
          <w:sz w:val="20"/>
          <w:szCs w:val="20"/>
        </w:rPr>
        <w:t>Material</w:t>
      </w:r>
      <w:proofErr w:type="spellEnd"/>
      <w:r w:rsidRPr="001F43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4316">
        <w:rPr>
          <w:rFonts w:ascii="Arial" w:hAnsi="Arial" w:cs="Arial"/>
          <w:sz w:val="20"/>
          <w:szCs w:val="20"/>
        </w:rPr>
        <w:t>Categories</w:t>
      </w:r>
      <w:proofErr w:type="spellEnd"/>
      <w:r w:rsidRPr="001F4316">
        <w:rPr>
          <w:rFonts w:ascii="Arial" w:hAnsi="Arial" w:cs="Arial"/>
          <w:sz w:val="20"/>
          <w:szCs w:val="20"/>
        </w:rPr>
        <w:t xml:space="preserve"> - CMC)  - opis i wymagania dla poszczególnych CMC zgodnie z rozporządzeniem (UE) 2019/1009.</w:t>
      </w:r>
    </w:p>
    <w:p w:rsidR="001F4316" w:rsidRPr="001F4316" w:rsidRDefault="001F4316" w:rsidP="001F4316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1F4316">
        <w:rPr>
          <w:rFonts w:ascii="Arial" w:hAnsi="Arial" w:cs="Arial"/>
          <w:sz w:val="20"/>
          <w:szCs w:val="20"/>
        </w:rPr>
        <w:t>2.</w:t>
      </w:r>
      <w:r w:rsidRPr="001F4316">
        <w:rPr>
          <w:rFonts w:ascii="Arial" w:hAnsi="Arial" w:cs="Arial"/>
          <w:sz w:val="20"/>
          <w:szCs w:val="20"/>
        </w:rPr>
        <w:tab/>
        <w:t>Klasyfikacja produktów nawozowych zgodnie z rozporządzeniem (UE) 2019/1009.</w:t>
      </w:r>
    </w:p>
    <w:p w:rsidR="001F4316" w:rsidRPr="001F4316" w:rsidRDefault="00754179" w:rsidP="001F4316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</w:t>
      </w:r>
      <w:r>
        <w:rPr>
          <w:rFonts w:ascii="Arial" w:hAnsi="Arial" w:cs="Arial"/>
          <w:sz w:val="20"/>
          <w:szCs w:val="20"/>
        </w:rPr>
        <w:tab/>
        <w:t xml:space="preserve">Wprowadzanie </w:t>
      </w:r>
      <w:r w:rsidR="001F4316" w:rsidRPr="001F4316">
        <w:rPr>
          <w:rFonts w:ascii="Arial" w:hAnsi="Arial" w:cs="Arial"/>
          <w:sz w:val="20"/>
          <w:szCs w:val="20"/>
        </w:rPr>
        <w:t xml:space="preserve">do obrotu produktów nawozowych. Omówienie kategorii funkcji produktów PFC 1-7 (PFC - Product </w:t>
      </w:r>
      <w:proofErr w:type="spellStart"/>
      <w:r w:rsidR="001F4316" w:rsidRPr="001F4316">
        <w:rPr>
          <w:rFonts w:ascii="Arial" w:hAnsi="Arial" w:cs="Arial"/>
          <w:sz w:val="20"/>
          <w:szCs w:val="20"/>
        </w:rPr>
        <w:t>Function</w:t>
      </w:r>
      <w:proofErr w:type="spellEnd"/>
      <w:r w:rsidR="001F4316" w:rsidRPr="001F431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4316" w:rsidRPr="001F4316">
        <w:rPr>
          <w:rFonts w:ascii="Arial" w:hAnsi="Arial" w:cs="Arial"/>
          <w:sz w:val="20"/>
          <w:szCs w:val="20"/>
        </w:rPr>
        <w:t>Categories</w:t>
      </w:r>
      <w:proofErr w:type="spellEnd"/>
      <w:r w:rsidR="001F4316" w:rsidRPr="001F4316">
        <w:rPr>
          <w:rFonts w:ascii="Arial" w:hAnsi="Arial" w:cs="Arial"/>
          <w:sz w:val="20"/>
          <w:szCs w:val="20"/>
        </w:rPr>
        <w:t>). Określenie dla każdego typu produktu nawozowego możliwych CMC, dopuszczalnych zanieczyszczeń, minimalnych wymagań oraz zalecanego modułu oceny zgodności.</w:t>
      </w:r>
    </w:p>
    <w:p w:rsidR="001F4316" w:rsidRPr="001C4333" w:rsidRDefault="001F4316" w:rsidP="001F4316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1F4316">
        <w:rPr>
          <w:rFonts w:ascii="Arial" w:hAnsi="Arial" w:cs="Arial"/>
          <w:sz w:val="20"/>
          <w:szCs w:val="20"/>
        </w:rPr>
        <w:t>4.</w:t>
      </w:r>
      <w:r w:rsidRPr="001F4316">
        <w:rPr>
          <w:rFonts w:ascii="Arial" w:hAnsi="Arial" w:cs="Arial"/>
          <w:sz w:val="20"/>
          <w:szCs w:val="20"/>
        </w:rPr>
        <w:tab/>
        <w:t>Procedury oceny zgodności - opis modułów oceny zgodności zgodnie z rozporządzeniem (UE) 2019/1009.</w:t>
      </w:r>
    </w:p>
    <w:p w:rsidR="000E0FA7" w:rsidRDefault="000E0FA7" w:rsidP="004D7A31">
      <w:pPr>
        <w:pStyle w:val="Tekstpodstawowywcity"/>
        <w:jc w:val="both"/>
        <w:rPr>
          <w:rFonts w:ascii="Arial" w:hAnsi="Arial" w:cs="Arial"/>
          <w:sz w:val="20"/>
          <w:szCs w:val="20"/>
        </w:rPr>
      </w:pPr>
    </w:p>
    <w:p w:rsidR="007D74F3" w:rsidRPr="00104183" w:rsidRDefault="00726A40" w:rsidP="00790946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 </w:t>
      </w:r>
      <w:r w:rsidR="0043451C">
        <w:rPr>
          <w:rFonts w:ascii="Arial" w:hAnsi="Arial" w:cs="Arial"/>
          <w:b/>
          <w:sz w:val="20"/>
          <w:szCs w:val="20"/>
        </w:rPr>
        <w:t>i zakres przedmiotowy zamówienia</w:t>
      </w:r>
    </w:p>
    <w:p w:rsidR="00D4636C" w:rsidRPr="00D4636C" w:rsidRDefault="00D4636C" w:rsidP="00DC029A">
      <w:pPr>
        <w:pStyle w:val="Tekstpodstawowyzwciciem"/>
        <w:ind w:left="284" w:firstLine="0"/>
        <w:jc w:val="both"/>
        <w:rPr>
          <w:rFonts w:ascii="Arial" w:hAnsi="Arial" w:cs="Arial"/>
          <w:sz w:val="20"/>
          <w:szCs w:val="20"/>
        </w:rPr>
      </w:pPr>
      <w:r w:rsidRPr="00D4636C">
        <w:rPr>
          <w:rFonts w:ascii="Arial" w:hAnsi="Arial" w:cs="Arial"/>
          <w:sz w:val="20"/>
          <w:szCs w:val="20"/>
        </w:rPr>
        <w:t>Podejmowane działanie realizowane jest jako wsparcie</w:t>
      </w:r>
      <w:r w:rsidR="00FE3C91">
        <w:rPr>
          <w:rFonts w:ascii="Arial" w:hAnsi="Arial" w:cs="Arial"/>
          <w:sz w:val="20"/>
          <w:szCs w:val="20"/>
        </w:rPr>
        <w:t xml:space="preserve"> dla</w:t>
      </w:r>
      <w:r w:rsidRPr="00D4636C">
        <w:rPr>
          <w:rFonts w:ascii="Arial" w:hAnsi="Arial" w:cs="Arial"/>
          <w:sz w:val="20"/>
          <w:szCs w:val="20"/>
        </w:rPr>
        <w:t xml:space="preserve"> przedsiębiorców zajmujących się różnymi aspektami dotyczącymi rynku nawozowego, w szczególności producentów, jak również jednostek badających zgodność nawozów z przepisami prawa w tym zakresie oraz jednostek certyfikujących nawozy. </w:t>
      </w:r>
    </w:p>
    <w:p w:rsidR="008F19EC" w:rsidRDefault="00D4636C" w:rsidP="00DC029A">
      <w:pPr>
        <w:pStyle w:val="Tekstpodstawowyzwciciem"/>
        <w:ind w:left="284" w:firstLine="0"/>
        <w:jc w:val="both"/>
        <w:rPr>
          <w:rFonts w:ascii="Arial" w:hAnsi="Arial" w:cs="Arial"/>
          <w:sz w:val="20"/>
          <w:szCs w:val="20"/>
        </w:rPr>
      </w:pPr>
      <w:r w:rsidRPr="00D4636C">
        <w:rPr>
          <w:rFonts w:ascii="Arial" w:hAnsi="Arial" w:cs="Arial"/>
          <w:sz w:val="20"/>
          <w:szCs w:val="20"/>
        </w:rPr>
        <w:t xml:space="preserve">Nowe unijne rozporządzenie nawozowe 2019/1009, które znajdzie zastosowanie od 16 lipca 2022 r. w sposób zasadniczy zmieni funkcjonowanie unijnego rynku nawozowego, co rodzi liczne pytania </w:t>
      </w:r>
      <w:r w:rsidR="00FE3C91" w:rsidRPr="00D4636C">
        <w:rPr>
          <w:rFonts w:ascii="Arial" w:hAnsi="Arial" w:cs="Arial"/>
          <w:sz w:val="20"/>
          <w:szCs w:val="20"/>
        </w:rPr>
        <w:t>wśród</w:t>
      </w:r>
      <w:r w:rsidRPr="00D4636C">
        <w:rPr>
          <w:rFonts w:ascii="Arial" w:hAnsi="Arial" w:cs="Arial"/>
          <w:sz w:val="20"/>
          <w:szCs w:val="20"/>
        </w:rPr>
        <w:t xml:space="preserve"> podmiotów na krajowym rynku nawozów. Opracowanie przewodnika ma na celu ułatwienie podmiotom na polskim rynku nawozowym, w szczególności producentom nawozów, dostosowanie działalności gospodarczej do nowych unijnych regulacji nawozowych i utrzymanie lub poprawę konkurencyjnej pozycji na rynku UE.</w:t>
      </w:r>
    </w:p>
    <w:p w:rsidR="00793A86" w:rsidRDefault="00793A86" w:rsidP="00DC029A">
      <w:pPr>
        <w:pStyle w:val="Tekstpodstawowyzwciciem"/>
        <w:ind w:left="284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Szczegółowy zakres zamówienia</w:t>
      </w:r>
    </w:p>
    <w:p w:rsidR="00927AE6" w:rsidRPr="006D61E2" w:rsidRDefault="00927AE6" w:rsidP="00DC029A">
      <w:pPr>
        <w:pStyle w:val="NormalnyWeb"/>
        <w:ind w:left="284"/>
        <w:jc w:val="both"/>
        <w:rPr>
          <w:rFonts w:ascii="Arial" w:hAnsi="Arial" w:cs="Arial"/>
          <w:sz w:val="20"/>
          <w:szCs w:val="20"/>
        </w:rPr>
      </w:pPr>
      <w:r w:rsidRPr="006D61E2">
        <w:rPr>
          <w:rFonts w:ascii="Arial" w:hAnsi="Arial" w:cs="Arial"/>
          <w:sz w:val="20"/>
          <w:szCs w:val="20"/>
        </w:rPr>
        <w:t>25 czerwca 2019 r.</w:t>
      </w:r>
      <w:r w:rsidRPr="006D61E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61E2">
        <w:rPr>
          <w:rFonts w:ascii="Arial" w:hAnsi="Arial" w:cs="Arial"/>
          <w:sz w:val="20"/>
          <w:szCs w:val="20"/>
        </w:rPr>
        <w:t>zostało</w:t>
      </w:r>
      <w:r w:rsidRPr="006D61E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61E2">
        <w:rPr>
          <w:rFonts w:ascii="Arial" w:hAnsi="Arial" w:cs="Arial"/>
          <w:sz w:val="20"/>
          <w:szCs w:val="20"/>
        </w:rPr>
        <w:t xml:space="preserve">opublikowane nowe rozporządzenie Parlamentu Europejskiego </w:t>
      </w:r>
      <w:r w:rsidRPr="006D61E2">
        <w:rPr>
          <w:rFonts w:ascii="Arial" w:hAnsi="Arial" w:cs="Arial"/>
          <w:sz w:val="20"/>
          <w:szCs w:val="20"/>
        </w:rPr>
        <w:br/>
        <w:t xml:space="preserve">i Rady (UE) 2019/1009 z dnia 5 czerwca 2019 r. ustanawiające przepisy dotyczące udostępniania na rynku produktów nawozowych UE, zmieniające rozporządzenia (WE) nr 1069/2009 i (WE) nr 1107/2009 oraz uchylające rozporządzenie (WE) nr 2003/2003. </w:t>
      </w:r>
    </w:p>
    <w:p w:rsidR="00927AE6" w:rsidRPr="006D61E2" w:rsidRDefault="00927AE6" w:rsidP="00DC029A">
      <w:p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Nowe rozporządzenie (UE) 2019/1009 zastępuje rozporządzenie Parlamentu Europejskiego </w:t>
      </w:r>
      <w:r w:rsidRPr="006D61E2">
        <w:rPr>
          <w:rFonts w:ascii="Arial" w:eastAsia="Times New Roman" w:hAnsi="Arial" w:cs="Arial"/>
          <w:sz w:val="20"/>
          <w:szCs w:val="20"/>
          <w:lang w:eastAsia="pl-PL"/>
        </w:rPr>
        <w:br/>
        <w:t>i Rady (UE) o nawozach z 2003 r. i obejmuje wszystkie rodzaje nawozów (mineralne, organiczne) oraz inne produkty nawozowe: polepszacze gleby, podłoża do upraw, stymulatory wzrostu itd.</w:t>
      </w:r>
    </w:p>
    <w:p w:rsidR="00927AE6" w:rsidRPr="006D61E2" w:rsidRDefault="00927AE6" w:rsidP="00DC029A">
      <w:p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Rozporządzenie jest częścią unijnego planu działania dotyczącego gospodarki o obiegu zamkniętym bowiem harmonizuje normy dotyczące nawozów uzyskiwanych z surowców organicznych lub wtórnych w UE i stwarza nowe możliwości ich produkcji i sprzedaży na dużą skalę zgodnie z modelem gospodarki o obiegu zamkniętym, w której odpady przekształca się w składniki odżywcze dla upraw. Aby korzystać ze swobodnego obrotu na rynku wewnętrznym, unijne produkty nawozowe noszące oznakowanie CE będą musiały jednak spełnić ustalone wymogi w zakresie m.in. dopuszczalnych poziomów substancji zanieczyszczających (np. kadmu), stosowania określonych kategorii składników oraz etykietowania. Przepisy te mają wpłynąć na zwiększenie asortymentu produkowanych nawozów i produktów nawozowych zapewniając rolnikom dostęp do większej liczby produktów.</w:t>
      </w:r>
    </w:p>
    <w:p w:rsidR="00927AE6" w:rsidRPr="006D61E2" w:rsidRDefault="00927AE6" w:rsidP="00DC029A">
      <w:pPr>
        <w:tabs>
          <w:tab w:val="left" w:pos="9072"/>
        </w:tabs>
        <w:autoSpaceDE w:val="0"/>
        <w:autoSpaceDN w:val="0"/>
        <w:adjustRightInd w:val="0"/>
        <w:spacing w:after="0" w:line="264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61E2">
        <w:rPr>
          <w:rFonts w:ascii="Arial" w:hAnsi="Arial" w:cs="Arial"/>
          <w:sz w:val="20"/>
          <w:szCs w:val="20"/>
        </w:rPr>
        <w:t xml:space="preserve">Złożoność zagadnień kategoryzacji materiałów składowych, kategorii funkcji produktów oraz procedur oceny zgodności przewidzianych w przepisach nowej unijnej regulacji nawozowej wymaga przeprowadzenia ich pogłębionej analizy oraz interpretacji w przystępnej formie przewodnika, który ułatwi przedsiębiorcom, w szczególności producentom nawozów, zapoznanie się z nowymi unijnymi regulacjami nawozowymi, dostosowanie działalności do nowych wymogów prawnych, aby utrzymać lub poprawić konkurencyjną pozycję na rynku UE. </w:t>
      </w:r>
    </w:p>
    <w:p w:rsidR="00927AE6" w:rsidRPr="006D61E2" w:rsidRDefault="00927AE6" w:rsidP="00DC029A">
      <w:pPr>
        <w:tabs>
          <w:tab w:val="left" w:pos="9072"/>
        </w:tabs>
        <w:autoSpaceDE w:val="0"/>
        <w:autoSpaceDN w:val="0"/>
        <w:adjustRightInd w:val="0"/>
        <w:spacing w:after="0" w:line="264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27AE6" w:rsidRPr="006D61E2" w:rsidRDefault="00927AE6" w:rsidP="00DC029A">
      <w:pPr>
        <w:tabs>
          <w:tab w:val="left" w:pos="9072"/>
        </w:tabs>
        <w:autoSpaceDE w:val="0"/>
        <w:autoSpaceDN w:val="0"/>
        <w:adjustRightInd w:val="0"/>
        <w:spacing w:line="264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61E2">
        <w:rPr>
          <w:rFonts w:ascii="Arial" w:hAnsi="Arial" w:cs="Arial"/>
          <w:sz w:val="20"/>
          <w:szCs w:val="20"/>
        </w:rPr>
        <w:t>Ww. opracowanie w formie przewodnika zostanie udostępnione przez Ministerstwo Rozwoju</w:t>
      </w:r>
      <w:r>
        <w:rPr>
          <w:rFonts w:ascii="Arial" w:hAnsi="Arial" w:cs="Arial"/>
          <w:sz w:val="20"/>
          <w:szCs w:val="20"/>
        </w:rPr>
        <w:t>, Pracy i Technologii</w:t>
      </w:r>
      <w:r w:rsidRPr="006D61E2">
        <w:rPr>
          <w:rFonts w:ascii="Arial" w:hAnsi="Arial" w:cs="Arial"/>
          <w:sz w:val="20"/>
          <w:szCs w:val="20"/>
        </w:rPr>
        <w:t xml:space="preserve"> przedsiębiorcom, aby przybliżyć im nowe unijne regulacje nawozowe celem </w:t>
      </w:r>
      <w:r w:rsidRPr="006D61E2">
        <w:rPr>
          <w:rFonts w:ascii="Arial" w:hAnsi="Arial" w:cs="Arial"/>
          <w:sz w:val="20"/>
          <w:szCs w:val="20"/>
        </w:rPr>
        <w:lastRenderedPageBreak/>
        <w:t>dostosowania ich działalności do nowych wymogów prawnych i utrzymania lub poprawy konkurencyjnej pozycji na rynku UE.</w:t>
      </w:r>
    </w:p>
    <w:p w:rsidR="00927AE6" w:rsidRPr="006D61E2" w:rsidRDefault="00897AAA" w:rsidP="00DC029A">
      <w:pPr>
        <w:tabs>
          <w:tab w:val="left" w:pos="9072"/>
        </w:tabs>
        <w:spacing w:line="264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zadań Wykonaw</w:t>
      </w:r>
      <w:r w:rsidR="00927AE6" w:rsidRPr="006D61E2">
        <w:rPr>
          <w:rFonts w:ascii="Arial" w:hAnsi="Arial" w:cs="Arial"/>
          <w:sz w:val="20"/>
          <w:szCs w:val="20"/>
        </w:rPr>
        <w:t xml:space="preserve">cy obejmuje opracowanie </w:t>
      </w:r>
      <w:r w:rsidR="001A66A7">
        <w:rPr>
          <w:rFonts w:ascii="Arial" w:hAnsi="Arial" w:cs="Arial"/>
          <w:sz w:val="20"/>
          <w:szCs w:val="20"/>
        </w:rPr>
        <w:t xml:space="preserve">merytoryczne </w:t>
      </w:r>
      <w:r w:rsidR="00927AE6" w:rsidRPr="006D61E2">
        <w:rPr>
          <w:rFonts w:ascii="Arial" w:hAnsi="Arial" w:cs="Arial"/>
          <w:sz w:val="20"/>
          <w:szCs w:val="20"/>
        </w:rPr>
        <w:t>następujących obszarów tematycznych w formie przewodnika dla przedsiębiorców:</w:t>
      </w:r>
    </w:p>
    <w:p w:rsidR="00927AE6" w:rsidRPr="006D61E2" w:rsidRDefault="00927AE6" w:rsidP="00DC029A">
      <w:pPr>
        <w:numPr>
          <w:ilvl w:val="0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Opis kategorii materiałów składowych w rozporządzeniu </w:t>
      </w:r>
      <w:r w:rsidR="00FF170D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>UE</w:t>
      </w:r>
      <w:r w:rsidR="00FF170D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2019/1009 (Component </w:t>
      </w:r>
      <w:proofErr w:type="spellStart"/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>material</w:t>
      </w:r>
      <w:proofErr w:type="spellEnd"/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>categories</w:t>
      </w:r>
      <w:proofErr w:type="spellEnd"/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 CMC) oraz opis wymagań dla poszczególnych CMC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1 – Pierwotne surowce i mieszaniny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2 – Rośliny, części roślin lub wyciągi z roślin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3 – Kompost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4 – Produkt pofermentacyjny świeżych roślin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5 – Produkt pofermentacyjny inny niż produkt pofermentacyjny świeżych roślin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6 – Produkty uboczne przemysłu spożywczego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7 – Mikroorganizmy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CMC 8 – Polimerowe składniki pokarmowe 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9 – Polimery inne niż polimerowe składniki pokarmowe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10 – Produkty pochodne w rozumieniu rozporządzenia (WE) nr 1069/2009</w:t>
      </w:r>
    </w:p>
    <w:p w:rsidR="00927AE6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11 – Produkty uboczne w rozumieniu dyrektywy 2008/98/WE</w:t>
      </w:r>
    </w:p>
    <w:p w:rsidR="00DE6327" w:rsidRPr="006D61E2" w:rsidRDefault="00DE6327" w:rsidP="00DE6327">
      <w:pPr>
        <w:spacing w:after="160" w:line="259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27AE6" w:rsidRDefault="00927AE6" w:rsidP="00DC029A">
      <w:pPr>
        <w:numPr>
          <w:ilvl w:val="0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>Klasyfikacja produktów nawozowych - schemat przedstawiający klasyfikację produktów nawozowych</w:t>
      </w:r>
    </w:p>
    <w:p w:rsidR="00DE6327" w:rsidRPr="006D61E2" w:rsidRDefault="00DE6327" w:rsidP="00DE6327">
      <w:pPr>
        <w:spacing w:after="160" w:line="259" w:lineRule="auto"/>
        <w:ind w:left="284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27AE6" w:rsidRPr="006D61E2" w:rsidRDefault="00927AE6" w:rsidP="00DC029A">
      <w:pPr>
        <w:numPr>
          <w:ilvl w:val="0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>Wprowadzanie  do obrotu produktów nawozowych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PFC 1(A)(I) – Stały nawóz organiczny 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PFC 1(A)(II) – Płynny nawóz organiczny 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(B)(I) – Stały nawóz organiczno-mineralny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(B)(II) – Stały nawóz organiczno-mineralny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(C)(I)(a)(i) – Prosty stały nieorganiczny nawóz makroskładnikowy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(C)(I)(a)(ii) – Wieloskładnikowy stały nieorganiczny nawóz makroskładnikowy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(C)(I)(a)(i-ii) – Prosty lub wieloskładnikowy stały nieorganiczny nawóz makroskładnikowy o wysokiej zawartość azotu na bazie azotanu amonu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PFC 1 (C)(I)(b)(i) – Prosty płynny nieorganiczny nawóz makroskładnikowy 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(C)(I)(b)(ii) – Wieloskładnikowy płynny nieorganiczny nawóz makroskładnikowy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PFC 1 (C)(II)(a) – Prosty nieorganiczny nawóz mikroskładnikowy 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(C)(II)(b) – Wieloskładnikowy nieorganiczny nawóz mikroskładnikowy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2 – Środek wapnujący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PFC 3(A) – Organiczny polepszacz gleby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3(B) – Nieorganiczny polepszacz gleby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4 – Podłoże do upraw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5(A) – Inhibitor nitryfikacji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5(B) – Inhibitor denitryfikacji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5(C) – Inhibitor ureazy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6(A) – Biostymulator mikrobiologiczny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6(B) – Biostymulator niemikrobiologiczny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 7 – Mieszanina produktów nawozowych</w:t>
      </w:r>
    </w:p>
    <w:p w:rsidR="00927AE6" w:rsidRPr="006D61E2" w:rsidRDefault="00DE6327" w:rsidP="00DC029A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27AE6" w:rsidRPr="006D61E2">
        <w:rPr>
          <w:rFonts w:ascii="Arial" w:hAnsi="Arial" w:cs="Arial"/>
          <w:sz w:val="20"/>
          <w:szCs w:val="20"/>
        </w:rPr>
        <w:t>la każdego typu produktu zostaną określone możliwe kategorie materiałów składowych (CMC), dopuszczalne zanieczyszczenia, minimalne wymagania oraz przedstawione propozycje zalecanego modułu oceny zgodności.</w:t>
      </w:r>
    </w:p>
    <w:p w:rsidR="00927AE6" w:rsidRPr="006D61E2" w:rsidRDefault="00927AE6" w:rsidP="00DC029A">
      <w:pPr>
        <w:numPr>
          <w:ilvl w:val="0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>Procedury oceny zgodności - uproszczony, schematyczny opis modułów oceny zgodności.</w:t>
      </w:r>
    </w:p>
    <w:p w:rsidR="00927AE6" w:rsidRDefault="00927AE6" w:rsidP="00DC029A">
      <w:pPr>
        <w:spacing w:before="200" w:after="100"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3C91" w:rsidRPr="006D61E2" w:rsidRDefault="00FE3C91" w:rsidP="00DC029A">
      <w:pPr>
        <w:spacing w:before="200" w:after="100"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27AE6" w:rsidRDefault="00DE6327" w:rsidP="00DC029A">
      <w:pPr>
        <w:tabs>
          <w:tab w:val="left" w:pos="8789"/>
        </w:tabs>
        <w:spacing w:after="120"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N</w:t>
      </w:r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iniejszy przewodnik powinien zostać wykonany w oparciu o m.in. teksty aktów normatywnych, w szczególności rozporządzenia (UE) 2019/1009, materiały opracowane w ramach prac Eksperckiej Grupy ds. produktów nawozowych przy Komisji Europejskiej i udostępnione </w:t>
      </w:r>
      <w:r w:rsidR="00927AE6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przez Ministerstwo Rozwoju,</w:t>
      </w:r>
      <w:r w:rsidR="00927AE6">
        <w:rPr>
          <w:rFonts w:ascii="Arial" w:eastAsia="Times New Roman" w:hAnsi="Arial" w:cs="Arial"/>
          <w:sz w:val="20"/>
          <w:szCs w:val="20"/>
          <w:lang w:eastAsia="pl-PL"/>
        </w:rPr>
        <w:t xml:space="preserve"> Pracy i Technologii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w szczególności dokument pt. „</w:t>
      </w:r>
      <w:proofErr w:type="spellStart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Frequently</w:t>
      </w:r>
      <w:proofErr w:type="spellEnd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asked</w:t>
      </w:r>
      <w:proofErr w:type="spellEnd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questions</w:t>
      </w:r>
      <w:proofErr w:type="spellEnd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proofErr w:type="spellStart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Regulation</w:t>
      </w:r>
      <w:proofErr w:type="spellEnd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(EU) 2019/1009 – the </w:t>
      </w:r>
      <w:proofErr w:type="spellStart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Fertilising</w:t>
      </w:r>
      <w:proofErr w:type="spellEnd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Products </w:t>
      </w:r>
      <w:proofErr w:type="spellStart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Regulation</w:t>
      </w:r>
      <w:proofErr w:type="spellEnd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” oraz branżowe, ogólnodostępne informacje tematycznie związane z przedmiotem zamówienia: raporty, opracowania itp.</w:t>
      </w:r>
    </w:p>
    <w:p w:rsidR="006C66AE" w:rsidRPr="006D61E2" w:rsidRDefault="006C66AE" w:rsidP="006C66AE">
      <w:pPr>
        <w:tabs>
          <w:tab w:val="left" w:pos="8789"/>
        </w:tabs>
        <w:spacing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Tekst rozporządzenia Parlamentu Europejskiego i Rady (UE) 2019/1009 z dnia 5 czerwca 2019 r. ustanawiającego przepisy dotyczące udostępniania na rynku produktów nawozowych UE, zmieniającego rozporządzenia (WE) nr 1069/2009 i (WE) nr 1107/2009 oraz uchylającego rozporządzenie (WE) nr 2003/2003 udostępniono pod następującym adresem internetowym:  </w:t>
      </w:r>
      <w:hyperlink r:id="rId10" w:history="1">
        <w:r w:rsidRPr="006D61E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https://eur-lex.europa.eu/legal-content/PL/TXT/?uri=CELEX%3A32019R1009</w:t>
        </w:r>
      </w:hyperlink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E6327" w:rsidRPr="006D61E2" w:rsidRDefault="00DE6327" w:rsidP="00DC029A">
      <w:pPr>
        <w:tabs>
          <w:tab w:val="left" w:pos="8789"/>
        </w:tabs>
        <w:spacing w:after="120"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C66AE" w:rsidRDefault="00927AE6" w:rsidP="006C66AE">
      <w:pPr>
        <w:tabs>
          <w:tab w:val="left" w:pos="8789"/>
        </w:tabs>
        <w:spacing w:after="120"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Przewodnik </w:t>
      </w:r>
      <w:r w:rsidR="005F0CD9">
        <w:rPr>
          <w:rFonts w:ascii="Arial" w:eastAsia="Times New Roman" w:hAnsi="Arial" w:cs="Arial"/>
          <w:sz w:val="20"/>
          <w:szCs w:val="20"/>
          <w:lang w:eastAsia="pl-PL"/>
        </w:rPr>
        <w:t>zostanie</w:t>
      </w: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udostępniony przez </w:t>
      </w:r>
      <w:r w:rsidR="000B5FA8">
        <w:rPr>
          <w:rFonts w:ascii="Arial" w:eastAsia="Times New Roman" w:hAnsi="Arial" w:cs="Arial"/>
          <w:sz w:val="20"/>
          <w:szCs w:val="20"/>
          <w:lang w:eastAsia="pl-PL"/>
        </w:rPr>
        <w:t>Wykonawcę</w:t>
      </w:r>
      <w:r w:rsidR="000B5FA8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D61E2">
        <w:rPr>
          <w:rFonts w:ascii="Arial" w:eastAsia="Times New Roman" w:hAnsi="Arial" w:cs="Arial"/>
          <w:sz w:val="20"/>
          <w:szCs w:val="20"/>
          <w:lang w:eastAsia="pl-PL"/>
        </w:rPr>
        <w:t>w formacie pliku pdf</w:t>
      </w:r>
      <w:r w:rsidR="0014193F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5F0CD9">
        <w:rPr>
          <w:rFonts w:ascii="Arial" w:eastAsia="Times New Roman" w:hAnsi="Arial" w:cs="Arial"/>
          <w:sz w:val="20"/>
          <w:szCs w:val="20"/>
          <w:lang w:eastAsia="pl-PL"/>
        </w:rPr>
        <w:t>w formacie edytowalnym, a także:</w:t>
      </w:r>
    </w:p>
    <w:p w:rsidR="0014193F" w:rsidRPr="007A577D" w:rsidRDefault="0014193F" w:rsidP="0014193F">
      <w:pPr>
        <w:pStyle w:val="Tekstpodstawowyzwciciem"/>
        <w:numPr>
          <w:ilvl w:val="0"/>
          <w:numId w:val="31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A577D">
        <w:rPr>
          <w:rFonts w:ascii="Arial" w:hAnsi="Arial" w:cs="Arial"/>
          <w:sz w:val="20"/>
          <w:szCs w:val="20"/>
        </w:rPr>
        <w:t>zostanie sporządzony poprawnie pod względem stylistycznym i ortograficznym, zgod</w:t>
      </w:r>
      <w:r w:rsidR="009D7CA5">
        <w:rPr>
          <w:rFonts w:ascii="Arial" w:hAnsi="Arial" w:cs="Arial"/>
          <w:sz w:val="20"/>
          <w:szCs w:val="20"/>
        </w:rPr>
        <w:t>nie z regułami języka polskiego;</w:t>
      </w:r>
    </w:p>
    <w:p w:rsidR="0014193F" w:rsidRPr="007A577D" w:rsidRDefault="005F0CD9" w:rsidP="0014193F">
      <w:pPr>
        <w:pStyle w:val="Tekstpodstawowyzwciciem"/>
        <w:numPr>
          <w:ilvl w:val="0"/>
          <w:numId w:val="31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zostanie poddany</w:t>
      </w:r>
      <w:r w:rsidR="0014193F" w:rsidRPr="007A577D">
        <w:rPr>
          <w:rFonts w:ascii="Arial" w:hAnsi="Arial" w:cs="Arial"/>
          <w:sz w:val="20"/>
          <w:szCs w:val="20"/>
        </w:rPr>
        <w:t xml:space="preserve"> korekci</w:t>
      </w:r>
      <w:r>
        <w:rPr>
          <w:rFonts w:ascii="Arial" w:hAnsi="Arial" w:cs="Arial"/>
          <w:sz w:val="20"/>
          <w:szCs w:val="20"/>
        </w:rPr>
        <w:t xml:space="preserve">e językowej, stylistycznej, </w:t>
      </w:r>
      <w:r w:rsidR="0014193F" w:rsidRPr="007A577D">
        <w:rPr>
          <w:rFonts w:ascii="Arial" w:hAnsi="Arial" w:cs="Arial"/>
          <w:sz w:val="20"/>
          <w:szCs w:val="20"/>
        </w:rPr>
        <w:t>edytorskiej itp.</w:t>
      </w:r>
      <w:r w:rsidR="009D7CA5">
        <w:rPr>
          <w:rFonts w:ascii="Arial" w:hAnsi="Arial" w:cs="Arial"/>
          <w:sz w:val="20"/>
          <w:szCs w:val="20"/>
        </w:rPr>
        <w:t>;</w:t>
      </w:r>
    </w:p>
    <w:p w:rsidR="0014193F" w:rsidRPr="007A577D" w:rsidRDefault="0014193F" w:rsidP="0014193F">
      <w:pPr>
        <w:pStyle w:val="Tekstpodstawowyzwciciem"/>
        <w:numPr>
          <w:ilvl w:val="0"/>
          <w:numId w:val="31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A577D">
        <w:rPr>
          <w:rFonts w:ascii="Arial" w:hAnsi="Arial" w:cs="Arial"/>
          <w:sz w:val="20"/>
          <w:szCs w:val="20"/>
        </w:rPr>
        <w:t>będzie uporządkowany pod względem wizualnym, tzn. formatowanie tekstu oraz rozwiązania graficzne (tabele, grafy, mapy oraz inne narzędzia prezentacji informacji) zastosowane zostaną w sposób jednolity oraz powodujący, że będzie on czytelny i przejrzysty.</w:t>
      </w:r>
    </w:p>
    <w:p w:rsidR="0014193F" w:rsidRDefault="0014193F" w:rsidP="006C66AE">
      <w:pPr>
        <w:tabs>
          <w:tab w:val="left" w:pos="8789"/>
        </w:tabs>
        <w:spacing w:after="120"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B9A" w:rsidRPr="00973FEE" w:rsidRDefault="005F0CD9" w:rsidP="00DC029A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Przewodnik </w:t>
      </w:r>
      <w:r w:rsidR="00450B9A" w:rsidRPr="00973FEE">
        <w:rPr>
          <w:rFonts w:ascii="Arial" w:hAnsi="Arial" w:cs="Arial"/>
          <w:sz w:val="20"/>
          <w:szCs w:val="20"/>
        </w:rPr>
        <w:t>powinien zawierać minimum następujące elementy:</w:t>
      </w:r>
    </w:p>
    <w:p w:rsidR="00927AE6" w:rsidRDefault="005F0CD9" w:rsidP="00DC029A">
      <w:pPr>
        <w:widowControl w:val="0"/>
        <w:numPr>
          <w:ilvl w:val="0"/>
          <w:numId w:val="13"/>
        </w:numPr>
        <w:adjustRightInd w:val="0"/>
        <w:spacing w:after="0"/>
        <w:ind w:left="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27AE6">
        <w:rPr>
          <w:rFonts w:ascii="Arial" w:hAnsi="Arial" w:cs="Arial"/>
          <w:sz w:val="20"/>
          <w:szCs w:val="20"/>
        </w:rPr>
        <w:t>stęp</w:t>
      </w:r>
      <w:r>
        <w:rPr>
          <w:rFonts w:ascii="Arial" w:hAnsi="Arial" w:cs="Arial"/>
          <w:sz w:val="20"/>
          <w:szCs w:val="20"/>
        </w:rPr>
        <w:t>;</w:t>
      </w:r>
    </w:p>
    <w:p w:rsidR="00927AE6" w:rsidRDefault="00927AE6" w:rsidP="00DC029A">
      <w:pPr>
        <w:widowControl w:val="0"/>
        <w:numPr>
          <w:ilvl w:val="0"/>
          <w:numId w:val="13"/>
        </w:numPr>
        <w:adjustRightInd w:val="0"/>
        <w:spacing w:after="0"/>
        <w:ind w:left="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 treści</w:t>
      </w:r>
      <w:r w:rsidR="005F0CD9">
        <w:rPr>
          <w:rFonts w:ascii="Arial" w:hAnsi="Arial" w:cs="Arial"/>
          <w:sz w:val="20"/>
          <w:szCs w:val="20"/>
        </w:rPr>
        <w:t>;</w:t>
      </w:r>
    </w:p>
    <w:p w:rsidR="00927AE6" w:rsidRDefault="00927AE6" w:rsidP="00DC029A">
      <w:pPr>
        <w:widowControl w:val="0"/>
        <w:numPr>
          <w:ilvl w:val="0"/>
          <w:numId w:val="13"/>
        </w:numPr>
        <w:adjustRightInd w:val="0"/>
        <w:spacing w:after="0"/>
        <w:ind w:left="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streszczenie</w:t>
      </w:r>
      <w:r w:rsidR="005F0CD9">
        <w:rPr>
          <w:rFonts w:ascii="Arial" w:hAnsi="Arial" w:cs="Arial"/>
          <w:sz w:val="20"/>
          <w:szCs w:val="20"/>
        </w:rPr>
        <w:t>;</w:t>
      </w:r>
    </w:p>
    <w:p w:rsidR="00950EFD" w:rsidRDefault="00950EFD" w:rsidP="00DC029A">
      <w:pPr>
        <w:widowControl w:val="0"/>
        <w:numPr>
          <w:ilvl w:val="0"/>
          <w:numId w:val="13"/>
        </w:numPr>
        <w:adjustRightInd w:val="0"/>
        <w:spacing w:after="0"/>
        <w:ind w:left="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opracowanie merytoryczne zgodne z obszarem tematycznym określonym powyżej</w:t>
      </w:r>
      <w:r w:rsidR="005F0CD9">
        <w:rPr>
          <w:rFonts w:ascii="Arial" w:hAnsi="Arial" w:cs="Arial"/>
          <w:sz w:val="20"/>
          <w:szCs w:val="20"/>
        </w:rPr>
        <w:t>;</w:t>
      </w:r>
    </w:p>
    <w:p w:rsidR="00927AE6" w:rsidRDefault="00927AE6" w:rsidP="00DC029A">
      <w:pPr>
        <w:widowControl w:val="0"/>
        <w:numPr>
          <w:ilvl w:val="0"/>
          <w:numId w:val="13"/>
        </w:numPr>
        <w:adjustRightInd w:val="0"/>
        <w:spacing w:after="0"/>
        <w:ind w:left="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zakończenie</w:t>
      </w:r>
      <w:r w:rsidR="005F0CD9">
        <w:rPr>
          <w:rFonts w:ascii="Arial" w:hAnsi="Arial" w:cs="Arial"/>
          <w:sz w:val="20"/>
          <w:szCs w:val="20"/>
        </w:rPr>
        <w:t>.</w:t>
      </w:r>
    </w:p>
    <w:p w:rsidR="00450B9A" w:rsidRPr="00973FEE" w:rsidRDefault="00450B9A" w:rsidP="00DC029A">
      <w:pPr>
        <w:widowControl w:val="0"/>
        <w:adjustRightInd w:val="0"/>
        <w:spacing w:after="0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2225D9" w:rsidRDefault="005F0CD9" w:rsidP="00DC029A">
      <w:pPr>
        <w:widowControl w:val="0"/>
        <w:adjustRightInd w:val="0"/>
        <w:spacing w:after="0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Poza przewodni</w:t>
      </w:r>
      <w:r w:rsidR="00FE3C91">
        <w:rPr>
          <w:rFonts w:ascii="Arial" w:hAnsi="Arial" w:cs="Arial"/>
          <w:sz w:val="20"/>
          <w:szCs w:val="20"/>
        </w:rPr>
        <w:t>kiem</w:t>
      </w:r>
      <w:r w:rsidR="002225D9">
        <w:rPr>
          <w:rFonts w:ascii="Arial" w:hAnsi="Arial" w:cs="Arial"/>
          <w:sz w:val="20"/>
          <w:szCs w:val="20"/>
        </w:rPr>
        <w:t xml:space="preserve"> Wykonawca opracuje:</w:t>
      </w:r>
    </w:p>
    <w:p w:rsidR="00450B9A" w:rsidRPr="00A16C3E" w:rsidRDefault="00927AE6" w:rsidP="00DC029A">
      <w:pPr>
        <w:pStyle w:val="Akapitzlist"/>
        <w:widowControl w:val="0"/>
        <w:numPr>
          <w:ilvl w:val="0"/>
          <w:numId w:val="18"/>
        </w:numPr>
        <w:adjustRightInd w:val="0"/>
        <w:spacing w:after="0"/>
        <w:ind w:left="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27AE6">
        <w:rPr>
          <w:rFonts w:ascii="Arial" w:hAnsi="Arial" w:cs="Arial"/>
          <w:sz w:val="20"/>
          <w:szCs w:val="20"/>
        </w:rPr>
        <w:t>prezentację w formacie .</w:t>
      </w:r>
      <w:proofErr w:type="spellStart"/>
      <w:r w:rsidRPr="00927AE6">
        <w:rPr>
          <w:rFonts w:ascii="Arial" w:hAnsi="Arial" w:cs="Arial"/>
          <w:sz w:val="20"/>
          <w:szCs w:val="20"/>
        </w:rPr>
        <w:t>ppt</w:t>
      </w:r>
      <w:proofErr w:type="spellEnd"/>
      <w:r w:rsidRPr="00927AE6">
        <w:rPr>
          <w:rFonts w:ascii="Arial" w:hAnsi="Arial" w:cs="Arial"/>
          <w:sz w:val="20"/>
          <w:szCs w:val="20"/>
        </w:rPr>
        <w:t xml:space="preserve"> zawierającą </w:t>
      </w:r>
      <w:r>
        <w:rPr>
          <w:rFonts w:ascii="Arial" w:hAnsi="Arial" w:cs="Arial"/>
          <w:sz w:val="20"/>
          <w:szCs w:val="20"/>
        </w:rPr>
        <w:t xml:space="preserve">streszczenie przewodnika. </w:t>
      </w:r>
    </w:p>
    <w:p w:rsidR="00450B9A" w:rsidRPr="00973FEE" w:rsidRDefault="00450B9A" w:rsidP="00DC029A">
      <w:pPr>
        <w:pStyle w:val="Lista4"/>
        <w:ind w:left="284" w:firstLine="0"/>
        <w:jc w:val="both"/>
        <w:rPr>
          <w:rFonts w:ascii="Arial" w:hAnsi="Arial" w:cs="Arial"/>
          <w:sz w:val="20"/>
          <w:szCs w:val="20"/>
        </w:rPr>
      </w:pPr>
    </w:p>
    <w:p w:rsidR="00450B9A" w:rsidRPr="00973FEE" w:rsidRDefault="0059291C" w:rsidP="00DC029A">
      <w:pPr>
        <w:pStyle w:val="Lista4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podręczniku</w:t>
      </w:r>
      <w:r w:rsidR="00450B9A" w:rsidRPr="00973FEE">
        <w:rPr>
          <w:rFonts w:ascii="Arial" w:hAnsi="Arial" w:cs="Arial"/>
          <w:sz w:val="20"/>
          <w:szCs w:val="20"/>
        </w:rPr>
        <w:t xml:space="preserve"> Wykonawca zamieści logo Unii Europejskiej i Programu Operacyjnego Inteligentny Rozwój</w:t>
      </w:r>
      <w:r w:rsidR="00D02839">
        <w:rPr>
          <w:rFonts w:ascii="Arial" w:hAnsi="Arial" w:cs="Arial"/>
          <w:sz w:val="20"/>
          <w:szCs w:val="20"/>
        </w:rPr>
        <w:t xml:space="preserve">, flagi RP, </w:t>
      </w:r>
      <w:r w:rsidR="006C66AE">
        <w:rPr>
          <w:rFonts w:ascii="Arial" w:hAnsi="Arial" w:cs="Arial"/>
          <w:sz w:val="20"/>
          <w:szCs w:val="20"/>
        </w:rPr>
        <w:t xml:space="preserve">LOGO </w:t>
      </w:r>
      <w:r w:rsidR="00D02839">
        <w:rPr>
          <w:rFonts w:ascii="Arial" w:hAnsi="Arial" w:cs="Arial"/>
          <w:sz w:val="20"/>
          <w:szCs w:val="20"/>
        </w:rPr>
        <w:t>Ministerstwa Rozwoju</w:t>
      </w:r>
      <w:r w:rsidR="00927AE6">
        <w:rPr>
          <w:rFonts w:ascii="Arial" w:hAnsi="Arial" w:cs="Arial"/>
          <w:sz w:val="20"/>
          <w:szCs w:val="20"/>
        </w:rPr>
        <w:t>, Pracy i Technologii</w:t>
      </w:r>
      <w:r w:rsidR="00D02839">
        <w:rPr>
          <w:rFonts w:ascii="Arial" w:hAnsi="Arial" w:cs="Arial"/>
          <w:sz w:val="20"/>
          <w:szCs w:val="20"/>
        </w:rPr>
        <w:t xml:space="preserve"> i Krajowej Inteligentnej Specjalizacji</w:t>
      </w:r>
      <w:r w:rsidR="00450B9A" w:rsidRPr="00973FEE">
        <w:rPr>
          <w:rFonts w:ascii="Arial" w:hAnsi="Arial" w:cs="Arial"/>
          <w:sz w:val="20"/>
          <w:szCs w:val="20"/>
        </w:rPr>
        <w:t xml:space="preserve"> oraz informację, że raport powstał w ramach projektu współfinansowanego z Europejskiego Funduszu Rozwoju Regionalnego, zgod</w:t>
      </w:r>
      <w:r w:rsidR="00D02839">
        <w:rPr>
          <w:rFonts w:ascii="Arial" w:hAnsi="Arial" w:cs="Arial"/>
          <w:sz w:val="20"/>
          <w:szCs w:val="20"/>
        </w:rPr>
        <w:t xml:space="preserve">nie z zasadami wizualizacji: </w:t>
      </w:r>
      <w:hyperlink r:id="rId11" w:history="1">
        <w:r w:rsidR="000B5FA8" w:rsidRPr="009B4428">
          <w:rPr>
            <w:rStyle w:val="Hipercze"/>
            <w:rFonts w:ascii="Arial" w:hAnsi="Arial" w:cs="Arial"/>
            <w:sz w:val="20"/>
            <w:szCs w:val="20"/>
          </w:rPr>
          <w:t>https://www.poir.gov.pl/strony/o-programie/promocja/zasady-promocji-i-oznakowania-projektow-w-programie-1/zasady-dla-umow-podpisanych-od-1-stycznia-2018-roku/</w:t>
        </w:r>
      </w:hyperlink>
      <w:r w:rsidR="000B5FA8">
        <w:rPr>
          <w:rFonts w:ascii="Arial" w:hAnsi="Arial" w:cs="Arial"/>
          <w:sz w:val="20"/>
          <w:szCs w:val="20"/>
        </w:rPr>
        <w:t xml:space="preserve"> </w:t>
      </w:r>
    </w:p>
    <w:p w:rsidR="00450B9A" w:rsidRPr="00973FEE" w:rsidRDefault="00450B9A" w:rsidP="00DC029A">
      <w:pPr>
        <w:pStyle w:val="Lista4"/>
        <w:ind w:left="284" w:firstLine="0"/>
        <w:jc w:val="both"/>
        <w:rPr>
          <w:rFonts w:ascii="Arial" w:hAnsi="Arial" w:cs="Arial"/>
          <w:sz w:val="20"/>
          <w:szCs w:val="20"/>
        </w:rPr>
      </w:pPr>
    </w:p>
    <w:p w:rsidR="001A5A78" w:rsidRDefault="00450B9A" w:rsidP="006C66AE">
      <w:pPr>
        <w:pStyle w:val="Lista4"/>
        <w:ind w:left="284" w:firstLine="0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Wykonawca na dowolnym etapie prac, na prośbę Zamawiającego, pr</w:t>
      </w:r>
      <w:r w:rsidR="006038B6">
        <w:rPr>
          <w:rFonts w:ascii="Arial" w:hAnsi="Arial" w:cs="Arial"/>
          <w:sz w:val="20"/>
          <w:szCs w:val="20"/>
        </w:rPr>
        <w:t xml:space="preserve">zedstawi rezultaty </w:t>
      </w:r>
      <w:r w:rsidR="001C04D4">
        <w:rPr>
          <w:rFonts w:ascii="Arial" w:hAnsi="Arial" w:cs="Arial"/>
          <w:sz w:val="20"/>
          <w:szCs w:val="20"/>
        </w:rPr>
        <w:t xml:space="preserve">i stan prac </w:t>
      </w:r>
      <w:r w:rsidR="006038B6">
        <w:rPr>
          <w:rFonts w:ascii="Arial" w:hAnsi="Arial" w:cs="Arial"/>
          <w:sz w:val="20"/>
          <w:szCs w:val="20"/>
        </w:rPr>
        <w:t>zamówienia.</w:t>
      </w:r>
    </w:p>
    <w:p w:rsidR="00816D03" w:rsidRDefault="00816D03" w:rsidP="006C66AE">
      <w:pPr>
        <w:pStyle w:val="Lista4"/>
        <w:ind w:left="284" w:firstLine="0"/>
        <w:jc w:val="both"/>
        <w:rPr>
          <w:rFonts w:ascii="Arial" w:hAnsi="Arial" w:cs="Arial"/>
          <w:sz w:val="20"/>
          <w:szCs w:val="20"/>
        </w:rPr>
      </w:pPr>
    </w:p>
    <w:p w:rsidR="00FE5284" w:rsidRPr="00063483" w:rsidRDefault="00816D03" w:rsidP="00063483">
      <w:pPr>
        <w:pStyle w:val="Lista4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FE5284">
        <w:rPr>
          <w:rFonts w:ascii="Arial" w:hAnsi="Arial" w:cs="Arial"/>
          <w:b/>
          <w:sz w:val="20"/>
          <w:szCs w:val="20"/>
          <w:highlight w:val="lightGray"/>
        </w:rPr>
        <w:t>Warunki udziału w postępowaniu</w:t>
      </w:r>
      <w:r w:rsidR="00B501C0">
        <w:rPr>
          <w:rFonts w:ascii="Arial" w:hAnsi="Arial" w:cs="Arial"/>
          <w:b/>
          <w:sz w:val="20"/>
          <w:szCs w:val="20"/>
          <w:highlight w:val="lightGray"/>
        </w:rPr>
        <w:t xml:space="preserve">                                                                                    </w:t>
      </w:r>
      <w:r w:rsidRPr="00FE5284">
        <w:rPr>
          <w:rFonts w:ascii="Arial" w:hAnsi="Arial" w:cs="Arial"/>
          <w:b/>
          <w:sz w:val="20"/>
          <w:szCs w:val="20"/>
          <w:highlight w:val="lightGray"/>
        </w:rPr>
        <w:tab/>
      </w:r>
    </w:p>
    <w:p w:rsidR="00897AAA" w:rsidRDefault="007E63CE" w:rsidP="00897AAA">
      <w:pPr>
        <w:tabs>
          <w:tab w:val="left" w:pos="426"/>
        </w:tabs>
        <w:spacing w:before="150" w:after="150"/>
        <w:ind w:left="284" w:right="284"/>
        <w:jc w:val="both"/>
        <w:rPr>
          <w:rFonts w:ascii="Arial" w:hAnsi="Arial" w:cs="Arial"/>
          <w:sz w:val="20"/>
          <w:szCs w:val="20"/>
        </w:rPr>
      </w:pPr>
      <w:r w:rsidRPr="007E63CE">
        <w:rPr>
          <w:rFonts w:ascii="Arial" w:hAnsi="Arial" w:cs="Arial"/>
          <w:sz w:val="20"/>
          <w:szCs w:val="20"/>
        </w:rPr>
        <w:t>Za spełniających warunki udziału w postępowaniu Zamawiający uzna Wykonawców, którzy wykażą, że</w:t>
      </w:r>
      <w:r w:rsidR="00C00FAF">
        <w:rPr>
          <w:rFonts w:ascii="Arial" w:hAnsi="Arial" w:cs="Arial"/>
          <w:sz w:val="20"/>
          <w:szCs w:val="20"/>
        </w:rPr>
        <w:t>:</w:t>
      </w:r>
      <w:r w:rsidR="00897AAA">
        <w:rPr>
          <w:rFonts w:ascii="Arial" w:hAnsi="Arial" w:cs="Arial"/>
          <w:sz w:val="20"/>
          <w:szCs w:val="20"/>
        </w:rPr>
        <w:t xml:space="preserve"> </w:t>
      </w:r>
    </w:p>
    <w:p w:rsidR="007E63CE" w:rsidRPr="007E63CE" w:rsidRDefault="00897AAA" w:rsidP="00897AAA">
      <w:pPr>
        <w:tabs>
          <w:tab w:val="left" w:pos="426"/>
        </w:tabs>
        <w:spacing w:before="150" w:after="150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E63CE" w:rsidRPr="007E63CE">
        <w:rPr>
          <w:rFonts w:ascii="Arial" w:hAnsi="Arial" w:cs="Arial"/>
          <w:sz w:val="20"/>
          <w:szCs w:val="20"/>
        </w:rPr>
        <w:t>posiadają</w:t>
      </w:r>
      <w:r w:rsidR="007E63CE">
        <w:rPr>
          <w:rFonts w:ascii="Arial" w:hAnsi="Arial" w:cs="Arial"/>
          <w:sz w:val="20"/>
          <w:szCs w:val="20"/>
        </w:rPr>
        <w:t xml:space="preserve"> </w:t>
      </w:r>
      <w:r w:rsidR="007E63CE" w:rsidRPr="007E63CE">
        <w:rPr>
          <w:rFonts w:ascii="Arial" w:hAnsi="Arial" w:cs="Arial"/>
          <w:sz w:val="20"/>
          <w:szCs w:val="20"/>
        </w:rPr>
        <w:t>zespół</w:t>
      </w:r>
      <w:r>
        <w:rPr>
          <w:rFonts w:ascii="Arial" w:hAnsi="Arial" w:cs="Arial"/>
          <w:sz w:val="20"/>
          <w:szCs w:val="20"/>
        </w:rPr>
        <w:t xml:space="preserve"> (co najmniej 3-</w:t>
      </w:r>
      <w:r w:rsidR="007E63CE">
        <w:rPr>
          <w:rFonts w:ascii="Arial" w:hAnsi="Arial" w:cs="Arial"/>
          <w:sz w:val="20"/>
          <w:szCs w:val="20"/>
        </w:rPr>
        <w:t>osobowy)</w:t>
      </w:r>
      <w:r w:rsidR="007E63CE" w:rsidRPr="007E63CE">
        <w:rPr>
          <w:rFonts w:ascii="Arial" w:hAnsi="Arial" w:cs="Arial"/>
          <w:sz w:val="20"/>
          <w:szCs w:val="20"/>
        </w:rPr>
        <w:t>, którego członkowie posiadają potwierdzone opracowaniami/publikacjami/raportami/analizami d</w:t>
      </w:r>
      <w:r w:rsidR="00981678">
        <w:rPr>
          <w:rFonts w:ascii="Arial" w:hAnsi="Arial" w:cs="Arial"/>
          <w:sz w:val="20"/>
          <w:szCs w:val="20"/>
        </w:rPr>
        <w:t>oświadczenie w następujących o</w:t>
      </w:r>
      <w:r w:rsidR="007E63CE" w:rsidRPr="007E63CE">
        <w:rPr>
          <w:rFonts w:ascii="Arial" w:hAnsi="Arial" w:cs="Arial"/>
          <w:sz w:val="20"/>
          <w:szCs w:val="20"/>
        </w:rPr>
        <w:t>bszarach:</w:t>
      </w:r>
    </w:p>
    <w:p w:rsidR="00897AAA" w:rsidRDefault="00897AAA" w:rsidP="00897AAA">
      <w:pPr>
        <w:tabs>
          <w:tab w:val="left" w:pos="426"/>
        </w:tabs>
        <w:spacing w:before="150" w:after="150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</w:t>
      </w:r>
      <w:r w:rsidR="007E63CE" w:rsidRPr="007E63CE">
        <w:rPr>
          <w:rFonts w:ascii="Arial" w:hAnsi="Arial" w:cs="Arial"/>
          <w:sz w:val="20"/>
          <w:szCs w:val="20"/>
        </w:rPr>
        <w:t xml:space="preserve"> znajomość i wiedza ekspercka z zakresu krajowych i unijnych regulacji nawozowych (w tym zwłaszcza rozporządzenia (UE) 20</w:t>
      </w:r>
      <w:r w:rsidR="007E63CE">
        <w:rPr>
          <w:rFonts w:ascii="Arial" w:hAnsi="Arial" w:cs="Arial"/>
          <w:sz w:val="20"/>
          <w:szCs w:val="20"/>
        </w:rPr>
        <w:t>19/1009),</w:t>
      </w:r>
    </w:p>
    <w:p w:rsidR="00897AAA" w:rsidRDefault="00897AAA" w:rsidP="00897AAA">
      <w:pPr>
        <w:tabs>
          <w:tab w:val="left" w:pos="426"/>
        </w:tabs>
        <w:spacing w:before="150" w:after="150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D031C" w:rsidRPr="00AD031C">
        <w:rPr>
          <w:rFonts w:ascii="Arial" w:hAnsi="Arial" w:cs="Arial"/>
          <w:sz w:val="20"/>
          <w:szCs w:val="20"/>
        </w:rPr>
        <w:t>posiadają praktyczną znajomość rynku nawozów w PL,</w:t>
      </w:r>
    </w:p>
    <w:p w:rsidR="007E63CE" w:rsidRPr="00E216B5" w:rsidRDefault="00897AAA" w:rsidP="00044891">
      <w:pPr>
        <w:tabs>
          <w:tab w:val="left" w:pos="426"/>
        </w:tabs>
        <w:spacing w:before="150" w:after="150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D031C" w:rsidRPr="00AD031C">
        <w:rPr>
          <w:rFonts w:ascii="Arial" w:hAnsi="Arial" w:cs="Arial"/>
          <w:sz w:val="20"/>
          <w:szCs w:val="20"/>
        </w:rPr>
        <w:t>posiadają wiedzę na temat rozwiązań z zakresu systemu oceny zgodności</w:t>
      </w:r>
      <w:r w:rsidR="00044891">
        <w:rPr>
          <w:rFonts w:ascii="Arial" w:hAnsi="Arial" w:cs="Arial"/>
          <w:sz w:val="20"/>
          <w:szCs w:val="20"/>
        </w:rPr>
        <w:t xml:space="preserve">, w tym zwłaszcza w obszarze </w:t>
      </w:r>
      <w:r w:rsidR="006230CA">
        <w:rPr>
          <w:rFonts w:ascii="Arial" w:hAnsi="Arial" w:cs="Arial"/>
          <w:sz w:val="20"/>
          <w:szCs w:val="20"/>
        </w:rPr>
        <w:t>procedur</w:t>
      </w:r>
      <w:r w:rsidR="007E63CE" w:rsidRPr="00E216B5">
        <w:rPr>
          <w:rFonts w:ascii="Arial" w:hAnsi="Arial" w:cs="Arial"/>
          <w:sz w:val="20"/>
          <w:szCs w:val="20"/>
        </w:rPr>
        <w:t xml:space="preserve"> oceny zgodności zgodnie z rozporządzeniem (UE) 2019/1009</w:t>
      </w:r>
    </w:p>
    <w:p w:rsidR="00FE5284" w:rsidRPr="00E216B5" w:rsidRDefault="00E216B5" w:rsidP="00377954">
      <w:pPr>
        <w:tabs>
          <w:tab w:val="left" w:pos="426"/>
        </w:tabs>
        <w:spacing w:before="150" w:after="150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okresie ostatnich </w:t>
      </w:r>
      <w:r w:rsidR="00AD031C">
        <w:rPr>
          <w:rFonts w:ascii="Arial" w:hAnsi="Arial" w:cs="Arial"/>
          <w:sz w:val="20"/>
          <w:szCs w:val="20"/>
        </w:rPr>
        <w:t>5</w:t>
      </w:r>
      <w:r w:rsidR="007E63CE" w:rsidRPr="00E216B5">
        <w:rPr>
          <w:rFonts w:ascii="Arial" w:hAnsi="Arial" w:cs="Arial"/>
          <w:sz w:val="20"/>
          <w:szCs w:val="20"/>
        </w:rPr>
        <w:t xml:space="preserve"> lat przed terminem złożenia oferty.</w:t>
      </w:r>
      <w:r w:rsidR="00DD3723">
        <w:rPr>
          <w:rFonts w:ascii="Arial" w:hAnsi="Arial" w:cs="Arial"/>
          <w:sz w:val="20"/>
          <w:szCs w:val="20"/>
        </w:rPr>
        <w:t xml:space="preserve"> </w:t>
      </w:r>
      <w:r w:rsidR="0046046D">
        <w:rPr>
          <w:rFonts w:ascii="Arial" w:hAnsi="Arial" w:cs="Arial"/>
          <w:sz w:val="20"/>
          <w:szCs w:val="20"/>
        </w:rPr>
        <w:t>Szczegółowe w</w:t>
      </w:r>
      <w:r w:rsidR="00DD3723">
        <w:rPr>
          <w:rFonts w:ascii="Arial" w:hAnsi="Arial" w:cs="Arial"/>
          <w:sz w:val="20"/>
          <w:szCs w:val="20"/>
        </w:rPr>
        <w:t xml:space="preserve">ymagania zostały </w:t>
      </w:r>
      <w:r w:rsidR="0046046D">
        <w:rPr>
          <w:rFonts w:ascii="Arial" w:hAnsi="Arial" w:cs="Arial"/>
          <w:sz w:val="20"/>
          <w:szCs w:val="20"/>
        </w:rPr>
        <w:t>określone w Rozdziale V SOPZ „Kryteria oceny ofert”.</w:t>
      </w:r>
    </w:p>
    <w:p w:rsidR="00E216B5" w:rsidRDefault="00E216B5" w:rsidP="00E216B5">
      <w:pPr>
        <w:tabs>
          <w:tab w:val="left" w:pos="426"/>
        </w:tabs>
        <w:spacing w:before="150" w:after="150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Wykaz osób powinien zostać sporządzony zgodnie z załącznikiem nr 2 do SOPZ. </w:t>
      </w:r>
    </w:p>
    <w:p w:rsidR="00897AAA" w:rsidRDefault="00897AAA" w:rsidP="00E216B5">
      <w:pPr>
        <w:tabs>
          <w:tab w:val="left" w:pos="426"/>
        </w:tabs>
        <w:spacing w:before="150" w:after="15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EE7018" w:rsidRPr="00973FEE" w:rsidRDefault="00EE7018" w:rsidP="00EE7018">
      <w:pPr>
        <w:pStyle w:val="1pkt"/>
        <w:numPr>
          <w:ilvl w:val="0"/>
          <w:numId w:val="4"/>
        </w:numPr>
      </w:pPr>
      <w:r w:rsidRPr="00973FEE">
        <w:t>Kryteria oceny ofert:</w:t>
      </w:r>
    </w:p>
    <w:p w:rsidR="00EE7018" w:rsidRPr="00973FEE" w:rsidRDefault="00EE7018" w:rsidP="00EE701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5190"/>
        <w:gridCol w:w="1949"/>
      </w:tblGrid>
      <w:tr w:rsidR="00EE7018" w:rsidRPr="00973FEE" w:rsidTr="00FA4259">
        <w:trPr>
          <w:trHeight w:val="31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E7018" w:rsidRPr="00973FEE" w:rsidRDefault="00EE7018" w:rsidP="00FA4259">
            <w:pPr>
              <w:widowControl w:val="0"/>
              <w:tabs>
                <w:tab w:val="left" w:pos="34"/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E7018" w:rsidRPr="00973FEE" w:rsidRDefault="00EE7018" w:rsidP="00FA425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E7018" w:rsidRPr="00973FEE" w:rsidRDefault="00EE7018" w:rsidP="00FA425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Waga %</w:t>
            </w:r>
          </w:p>
        </w:tc>
      </w:tr>
      <w:tr w:rsidR="00EE7018" w:rsidRPr="00973FEE" w:rsidTr="00FA4259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018" w:rsidRPr="00973FEE" w:rsidRDefault="00EE7018" w:rsidP="00FA425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018" w:rsidRPr="00973FEE" w:rsidRDefault="00EE7018" w:rsidP="00FA425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 w:rsidRPr="00973FEE">
              <w:rPr>
                <w:rFonts w:ascii="Arial" w:hAnsi="Arial" w:cs="Arial"/>
                <w:sz w:val="20"/>
                <w:szCs w:val="20"/>
              </w:rPr>
              <w:t>Zespół</w:t>
            </w:r>
            <w:r w:rsidRPr="00973FE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73FEE">
              <w:rPr>
                <w:rFonts w:ascii="Arial" w:hAnsi="Arial" w:cs="Arial"/>
                <w:sz w:val="20"/>
                <w:szCs w:val="20"/>
              </w:rPr>
              <w:t>badawczy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018" w:rsidRPr="00973FEE" w:rsidRDefault="00981678" w:rsidP="00FA425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EE701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EE7018" w:rsidRPr="00973FEE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EE7018" w:rsidRPr="00973FEE" w:rsidTr="00FA4259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018" w:rsidRPr="00973FEE" w:rsidRDefault="00EE7018" w:rsidP="00FA425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018" w:rsidRPr="00973FEE" w:rsidRDefault="00EE7018" w:rsidP="00FA425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 w:rsidRPr="00973FEE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018" w:rsidRPr="00973FEE" w:rsidRDefault="0016795E" w:rsidP="00656BD5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EE7018" w:rsidRPr="00973FEE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656BD5" w:rsidRPr="00973FEE" w:rsidTr="00FA4259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D5" w:rsidRPr="00981678" w:rsidRDefault="00656BD5" w:rsidP="00FA425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 w:rsidRPr="00981678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BD5" w:rsidRPr="00981678" w:rsidRDefault="00656BD5" w:rsidP="00FA4259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 w:rsidRPr="00981678">
              <w:rPr>
                <w:rFonts w:ascii="Arial" w:hAnsi="Arial" w:cs="Arial"/>
                <w:sz w:val="20"/>
                <w:szCs w:val="20"/>
              </w:rPr>
              <w:t>Spójność koncepcji realizacji zlecenia oraz plan pracy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BD5" w:rsidRPr="00981678" w:rsidRDefault="00981678" w:rsidP="00FA4259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56BD5" w:rsidRPr="00981678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</w:tbl>
    <w:p w:rsidR="00EE7018" w:rsidRPr="00973FEE" w:rsidRDefault="00EE7018" w:rsidP="00EE7018">
      <w:pPr>
        <w:pStyle w:val="Akapitzlist"/>
        <w:ind w:left="644"/>
        <w:rPr>
          <w:rFonts w:ascii="Arial" w:hAnsi="Arial" w:cs="Arial"/>
          <w:sz w:val="20"/>
          <w:szCs w:val="20"/>
          <w:lang w:val="en-GB"/>
        </w:rPr>
      </w:pPr>
    </w:p>
    <w:p w:rsidR="00EE7018" w:rsidRDefault="00EE7018" w:rsidP="00EE7018">
      <w:pPr>
        <w:pStyle w:val="Akapitzlist"/>
        <w:ind w:left="644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Łącznie Wykonawca może uzyskać </w:t>
      </w:r>
      <w:r>
        <w:rPr>
          <w:rFonts w:ascii="Arial" w:hAnsi="Arial" w:cs="Arial"/>
          <w:sz w:val="20"/>
          <w:szCs w:val="20"/>
        </w:rPr>
        <w:t>10</w:t>
      </w:r>
      <w:r w:rsidRPr="00973FEE">
        <w:rPr>
          <w:rFonts w:ascii="Arial" w:hAnsi="Arial" w:cs="Arial"/>
          <w:sz w:val="20"/>
          <w:szCs w:val="20"/>
        </w:rPr>
        <w:t>0 punktów.</w:t>
      </w:r>
    </w:p>
    <w:p w:rsidR="00D90ECD" w:rsidRPr="00973FEE" w:rsidRDefault="00D90ECD" w:rsidP="00EE7018">
      <w:pPr>
        <w:pStyle w:val="Akapitzlist"/>
        <w:ind w:left="644"/>
        <w:rPr>
          <w:rFonts w:ascii="Arial" w:hAnsi="Arial" w:cs="Arial"/>
          <w:sz w:val="20"/>
          <w:szCs w:val="20"/>
        </w:rPr>
      </w:pPr>
    </w:p>
    <w:p w:rsidR="00D90ECD" w:rsidRPr="00981678" w:rsidRDefault="00D90ECD" w:rsidP="00D90ECD">
      <w:pPr>
        <w:pStyle w:val="Akapitzlist"/>
        <w:numPr>
          <w:ilvl w:val="0"/>
          <w:numId w:val="37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Zespół badawczy</w:t>
      </w:r>
      <w:r w:rsidRPr="00981678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max</w:t>
      </w:r>
      <w:r w:rsidRPr="00D90EC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50</w:t>
      </w:r>
      <w:r w:rsidRPr="00D90ECD">
        <w:rPr>
          <w:rFonts w:ascii="Arial" w:hAnsi="Arial" w:cs="Arial"/>
          <w:b/>
          <w:sz w:val="20"/>
          <w:szCs w:val="20"/>
        </w:rPr>
        <w:t xml:space="preserve"> pkt</w:t>
      </w:r>
      <w:r w:rsidRPr="00981678">
        <w:rPr>
          <w:rFonts w:ascii="Arial" w:hAnsi="Arial" w:cs="Arial"/>
          <w:b/>
          <w:sz w:val="20"/>
          <w:szCs w:val="20"/>
        </w:rPr>
        <w:t xml:space="preserve"> </w:t>
      </w:r>
    </w:p>
    <w:p w:rsidR="00EE7018" w:rsidRPr="00CF66F9" w:rsidRDefault="00EE7018" w:rsidP="00EE7018">
      <w:pPr>
        <w:tabs>
          <w:tab w:val="num" w:pos="426"/>
          <w:tab w:val="num" w:pos="5040"/>
        </w:tabs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F66F9">
        <w:rPr>
          <w:rFonts w:ascii="Arial" w:hAnsi="Arial" w:cs="Arial"/>
          <w:sz w:val="20"/>
          <w:szCs w:val="20"/>
        </w:rPr>
        <w:t>W kryterium „</w:t>
      </w:r>
      <w:r w:rsidRPr="00CF66F9">
        <w:rPr>
          <w:rFonts w:ascii="Arial" w:hAnsi="Arial" w:cs="Arial"/>
          <w:b/>
          <w:sz w:val="20"/>
          <w:szCs w:val="20"/>
        </w:rPr>
        <w:t>Zespół badawczy</w:t>
      </w:r>
      <w:r w:rsidRPr="00CF66F9">
        <w:rPr>
          <w:rFonts w:ascii="Arial" w:hAnsi="Arial" w:cs="Arial"/>
          <w:sz w:val="20"/>
          <w:szCs w:val="20"/>
        </w:rPr>
        <w:t>” ocenie podlegać będzie personel</w:t>
      </w:r>
      <w:r w:rsidR="00B23E5F">
        <w:rPr>
          <w:rFonts w:ascii="Arial" w:hAnsi="Arial" w:cs="Arial"/>
          <w:sz w:val="20"/>
          <w:szCs w:val="20"/>
        </w:rPr>
        <w:t xml:space="preserve"> </w:t>
      </w:r>
      <w:r w:rsidR="00F44977">
        <w:rPr>
          <w:rFonts w:ascii="Arial" w:hAnsi="Arial" w:cs="Arial"/>
          <w:sz w:val="20"/>
          <w:szCs w:val="20"/>
        </w:rPr>
        <w:t xml:space="preserve">wskazany przez Wykonawcę do </w:t>
      </w:r>
      <w:r>
        <w:rPr>
          <w:rFonts w:ascii="Arial" w:hAnsi="Arial" w:cs="Arial"/>
          <w:sz w:val="20"/>
          <w:szCs w:val="20"/>
        </w:rPr>
        <w:t>realizacj</w:t>
      </w:r>
      <w:r w:rsidR="00F4497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CF66F9">
        <w:rPr>
          <w:rFonts w:ascii="Arial" w:hAnsi="Arial" w:cs="Arial"/>
          <w:sz w:val="20"/>
          <w:szCs w:val="20"/>
        </w:rPr>
        <w:t>zamówienia. Punkty za kryterium „Zespół badawczy”</w:t>
      </w:r>
      <w:r w:rsidRPr="00CF66F9">
        <w:rPr>
          <w:rFonts w:ascii="Arial" w:hAnsi="Arial" w:cs="Arial"/>
          <w:b/>
          <w:sz w:val="20"/>
          <w:szCs w:val="20"/>
        </w:rPr>
        <w:t xml:space="preserve"> </w:t>
      </w:r>
      <w:r w:rsidRPr="00CF66F9">
        <w:rPr>
          <w:rFonts w:ascii="Arial" w:hAnsi="Arial" w:cs="Arial"/>
          <w:sz w:val="20"/>
          <w:szCs w:val="20"/>
        </w:rPr>
        <w:t xml:space="preserve">zostaną przyznane w skali punktowej do </w:t>
      </w:r>
      <w:r w:rsidR="00F41B2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</w:t>
      </w:r>
      <w:r w:rsidRPr="00CF66F9">
        <w:rPr>
          <w:rFonts w:ascii="Arial" w:hAnsi="Arial" w:cs="Arial"/>
          <w:sz w:val="20"/>
          <w:szCs w:val="20"/>
        </w:rPr>
        <w:t xml:space="preserve"> punktów, w następujący sposób: </w:t>
      </w:r>
    </w:p>
    <w:p w:rsidR="00EE7018" w:rsidRPr="00973FEE" w:rsidRDefault="00EE7018" w:rsidP="00EE7018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EE7018" w:rsidRPr="00D45F5B" w:rsidRDefault="00EE7018" w:rsidP="00C80511">
      <w:pPr>
        <w:pStyle w:val="Akapitzlist"/>
        <w:numPr>
          <w:ilvl w:val="1"/>
          <w:numId w:val="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740FFA">
        <w:rPr>
          <w:rFonts w:ascii="Arial" w:hAnsi="Arial" w:cs="Arial"/>
          <w:color w:val="000000"/>
          <w:sz w:val="20"/>
          <w:szCs w:val="20"/>
        </w:rPr>
        <w:t>najomość i wiedza ekspercka</w:t>
      </w:r>
      <w:r w:rsidR="00F46209">
        <w:rPr>
          <w:rFonts w:ascii="Arial" w:hAnsi="Arial" w:cs="Arial"/>
          <w:color w:val="000000"/>
          <w:sz w:val="20"/>
          <w:szCs w:val="20"/>
        </w:rPr>
        <w:t xml:space="preserve"> wszystkich członków </w:t>
      </w:r>
      <w:r w:rsidR="000B2918">
        <w:rPr>
          <w:rFonts w:ascii="Arial" w:hAnsi="Arial" w:cs="Arial"/>
          <w:color w:val="000000"/>
          <w:sz w:val="20"/>
          <w:szCs w:val="20"/>
        </w:rPr>
        <w:t xml:space="preserve">zgłoszonego </w:t>
      </w:r>
      <w:r w:rsidR="00F46209">
        <w:rPr>
          <w:rFonts w:ascii="Arial" w:hAnsi="Arial" w:cs="Arial"/>
          <w:color w:val="000000"/>
          <w:sz w:val="20"/>
          <w:szCs w:val="20"/>
        </w:rPr>
        <w:t>zespołu badawczego</w:t>
      </w:r>
      <w:r w:rsidRPr="00740FFA">
        <w:rPr>
          <w:rFonts w:ascii="Arial" w:hAnsi="Arial" w:cs="Arial"/>
          <w:color w:val="000000"/>
          <w:sz w:val="20"/>
          <w:szCs w:val="20"/>
        </w:rPr>
        <w:t xml:space="preserve"> z </w:t>
      </w:r>
      <w:r w:rsidRPr="00740FFA">
        <w:rPr>
          <w:rFonts w:ascii="Arial" w:hAnsi="Arial" w:cs="Arial"/>
          <w:sz w:val="20"/>
          <w:szCs w:val="20"/>
        </w:rPr>
        <w:t>zakresu krajowych i unijnych regulacji nawozowych (w tym zwłaszcza rozporządzenia (UE) 2019/1009)</w:t>
      </w:r>
      <w:r w:rsidRPr="00740FFA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na podstawie przedstawionych analiz</w:t>
      </w:r>
      <w:r w:rsidR="0014541A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opracowań</w:t>
      </w:r>
      <w:r w:rsidR="0014541A">
        <w:rPr>
          <w:rFonts w:ascii="Arial" w:hAnsi="Arial" w:cs="Arial"/>
          <w:color w:val="000000"/>
          <w:sz w:val="20"/>
          <w:szCs w:val="20"/>
        </w:rPr>
        <w:t>/</w:t>
      </w:r>
      <w:r w:rsidR="00503E30">
        <w:rPr>
          <w:rFonts w:ascii="Arial" w:hAnsi="Arial" w:cs="Arial"/>
          <w:sz w:val="20"/>
          <w:szCs w:val="20"/>
        </w:rPr>
        <w:t>publikacji</w:t>
      </w:r>
      <w:r w:rsidR="00C06F2F">
        <w:rPr>
          <w:rFonts w:ascii="Arial" w:hAnsi="Arial" w:cs="Arial"/>
          <w:sz w:val="20"/>
          <w:szCs w:val="20"/>
        </w:rPr>
        <w:t xml:space="preserve"> </w:t>
      </w:r>
      <w:r w:rsidR="00503E30" w:rsidRPr="00740FFA">
        <w:rPr>
          <w:rFonts w:ascii="Arial" w:hAnsi="Arial" w:cs="Arial"/>
          <w:sz w:val="20"/>
          <w:szCs w:val="20"/>
        </w:rPr>
        <w:t>naukow</w:t>
      </w:r>
      <w:r w:rsidR="00503E30">
        <w:rPr>
          <w:rFonts w:ascii="Arial" w:hAnsi="Arial" w:cs="Arial"/>
          <w:sz w:val="20"/>
          <w:szCs w:val="20"/>
        </w:rPr>
        <w:t xml:space="preserve">ych </w:t>
      </w:r>
      <w:r w:rsidR="00503E30" w:rsidRPr="00740FFA">
        <w:rPr>
          <w:rFonts w:ascii="Arial" w:hAnsi="Arial" w:cs="Arial"/>
          <w:sz w:val="20"/>
          <w:szCs w:val="20"/>
        </w:rPr>
        <w:t xml:space="preserve">nt. </w:t>
      </w:r>
      <w:r w:rsidR="0014541A">
        <w:rPr>
          <w:rFonts w:ascii="Arial" w:hAnsi="Arial" w:cs="Arial"/>
          <w:sz w:val="20"/>
          <w:szCs w:val="20"/>
        </w:rPr>
        <w:t xml:space="preserve">nawozów, </w:t>
      </w:r>
      <w:r w:rsidR="00503E30" w:rsidRPr="00740FFA">
        <w:rPr>
          <w:rFonts w:ascii="Arial" w:hAnsi="Arial" w:cs="Arial"/>
          <w:sz w:val="20"/>
          <w:szCs w:val="20"/>
        </w:rPr>
        <w:t>produktów naw</w:t>
      </w:r>
      <w:r w:rsidR="00503E30">
        <w:rPr>
          <w:rFonts w:ascii="Arial" w:hAnsi="Arial" w:cs="Arial"/>
          <w:sz w:val="20"/>
          <w:szCs w:val="20"/>
        </w:rPr>
        <w:t xml:space="preserve">ozowych, </w:t>
      </w:r>
      <w:r w:rsidR="0014541A">
        <w:rPr>
          <w:rFonts w:ascii="Arial" w:hAnsi="Arial" w:cs="Arial"/>
          <w:sz w:val="20"/>
          <w:szCs w:val="20"/>
        </w:rPr>
        <w:t xml:space="preserve">krajowej i unijnej </w:t>
      </w:r>
      <w:r w:rsidR="00EF57AA">
        <w:rPr>
          <w:rFonts w:ascii="Arial" w:hAnsi="Arial" w:cs="Arial"/>
          <w:sz w:val="20"/>
          <w:szCs w:val="20"/>
        </w:rPr>
        <w:t>legislacji chemicznej, procedur</w:t>
      </w:r>
      <w:r w:rsidR="0014541A">
        <w:rPr>
          <w:rFonts w:ascii="Arial" w:hAnsi="Arial" w:cs="Arial"/>
          <w:sz w:val="20"/>
          <w:szCs w:val="20"/>
        </w:rPr>
        <w:t xml:space="preserve"> oceny zgodności</w:t>
      </w:r>
      <w:r w:rsidR="00B37E0B">
        <w:rPr>
          <w:rFonts w:ascii="Arial" w:hAnsi="Arial" w:cs="Arial"/>
          <w:sz w:val="20"/>
          <w:szCs w:val="20"/>
        </w:rPr>
        <w:t xml:space="preserve"> dla produktów nawozowych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D478C7">
        <w:rPr>
          <w:rFonts w:ascii="Arial" w:hAnsi="Arial" w:cs="Arial"/>
          <w:color w:val="000000"/>
          <w:sz w:val="20"/>
          <w:szCs w:val="20"/>
          <w:u w:val="single"/>
        </w:rPr>
        <w:t xml:space="preserve">max. </w:t>
      </w:r>
      <w:r w:rsidR="005A3CE6" w:rsidRPr="00D478C7">
        <w:rPr>
          <w:rFonts w:ascii="Arial" w:hAnsi="Arial" w:cs="Arial"/>
          <w:color w:val="000000"/>
          <w:sz w:val="20"/>
          <w:szCs w:val="20"/>
          <w:u w:val="single"/>
        </w:rPr>
        <w:t>2</w:t>
      </w:r>
      <w:r w:rsidRPr="00D478C7">
        <w:rPr>
          <w:rFonts w:ascii="Arial" w:hAnsi="Arial" w:cs="Arial"/>
          <w:color w:val="000000"/>
          <w:sz w:val="20"/>
          <w:szCs w:val="20"/>
          <w:u w:val="single"/>
        </w:rPr>
        <w:t>0 pkt</w:t>
      </w:r>
      <w:r w:rsidR="00083462">
        <w:rPr>
          <w:rFonts w:ascii="Arial" w:hAnsi="Arial" w:cs="Arial"/>
          <w:color w:val="000000"/>
          <w:sz w:val="20"/>
          <w:szCs w:val="20"/>
        </w:rPr>
        <w:t>:</w:t>
      </w:r>
    </w:p>
    <w:p w:rsidR="00D45F5B" w:rsidRDefault="00D45F5B" w:rsidP="00D45F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1831" w:rsidRDefault="00BC2BD5" w:rsidP="00C80511">
      <w:pPr>
        <w:pStyle w:val="Akapitzlist"/>
        <w:numPr>
          <w:ilvl w:val="0"/>
          <w:numId w:val="38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C80511">
        <w:rPr>
          <w:rFonts w:ascii="Arial" w:hAnsi="Arial" w:cs="Arial"/>
          <w:sz w:val="20"/>
          <w:szCs w:val="20"/>
        </w:rPr>
        <w:t xml:space="preserve">za wykazanie łącznie przez wszystkich członków Zespołu badawczego raportów/analiz/opracowań/publikacji naukowych w ww. obszarze tematycznym </w:t>
      </w:r>
      <w:r w:rsidR="00441831">
        <w:rPr>
          <w:rFonts w:ascii="Arial" w:hAnsi="Arial" w:cs="Arial"/>
          <w:sz w:val="20"/>
          <w:szCs w:val="20"/>
        </w:rPr>
        <w:br/>
      </w:r>
      <w:r w:rsidRPr="00C80511">
        <w:rPr>
          <w:rFonts w:ascii="Arial" w:hAnsi="Arial" w:cs="Arial"/>
          <w:sz w:val="20"/>
          <w:szCs w:val="20"/>
        </w:rPr>
        <w:t xml:space="preserve">w okresie ostatnich 5 lat przed terminem złożenia oferty </w:t>
      </w:r>
    </w:p>
    <w:p w:rsidR="00BC2BD5" w:rsidRDefault="00441831" w:rsidP="00C80511">
      <w:pPr>
        <w:pStyle w:val="Akapitzlist"/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 </w:t>
      </w:r>
      <w:r w:rsidRPr="00E03D1E">
        <w:rPr>
          <w:rFonts w:ascii="Arial" w:hAnsi="Arial" w:cs="Arial"/>
          <w:sz w:val="20"/>
          <w:szCs w:val="20"/>
        </w:rPr>
        <w:t>liczb</w:t>
      </w:r>
      <w:r>
        <w:rPr>
          <w:rFonts w:ascii="Arial" w:hAnsi="Arial" w:cs="Arial"/>
          <w:sz w:val="20"/>
          <w:szCs w:val="20"/>
        </w:rPr>
        <w:t>ie</w:t>
      </w:r>
      <w:r w:rsidRPr="00E03D1E">
        <w:rPr>
          <w:rFonts w:ascii="Arial" w:hAnsi="Arial" w:cs="Arial"/>
          <w:sz w:val="20"/>
          <w:szCs w:val="20"/>
        </w:rPr>
        <w:t xml:space="preserve"> od 0 do </w:t>
      </w:r>
      <w:r w:rsidR="00457A08">
        <w:rPr>
          <w:rFonts w:ascii="Arial" w:hAnsi="Arial" w:cs="Arial"/>
          <w:sz w:val="20"/>
          <w:szCs w:val="20"/>
        </w:rPr>
        <w:t>8</w:t>
      </w:r>
      <w:r w:rsidRPr="00E03D1E">
        <w:rPr>
          <w:rFonts w:ascii="Arial" w:hAnsi="Arial" w:cs="Arial"/>
          <w:sz w:val="20"/>
          <w:szCs w:val="20"/>
        </w:rPr>
        <w:t xml:space="preserve"> </w:t>
      </w:r>
      <w:r w:rsidR="00BC2BD5" w:rsidRPr="00C80511">
        <w:rPr>
          <w:rFonts w:ascii="Arial" w:hAnsi="Arial" w:cs="Arial"/>
          <w:sz w:val="20"/>
          <w:szCs w:val="20"/>
        </w:rPr>
        <w:t>- 0 pkt;</w:t>
      </w:r>
    </w:p>
    <w:p w:rsidR="00441831" w:rsidRPr="00C80511" w:rsidRDefault="00441831" w:rsidP="00C80511">
      <w:pPr>
        <w:pStyle w:val="Akapitzlist"/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46046D">
        <w:rPr>
          <w:rFonts w:ascii="Arial" w:hAnsi="Arial" w:cs="Arial"/>
          <w:sz w:val="20"/>
          <w:szCs w:val="20"/>
        </w:rPr>
        <w:t>- w liczbie</w:t>
      </w:r>
      <w:r w:rsidRPr="00DD3723">
        <w:rPr>
          <w:rFonts w:ascii="Arial" w:hAnsi="Arial" w:cs="Arial"/>
          <w:sz w:val="20"/>
          <w:szCs w:val="20"/>
        </w:rPr>
        <w:t xml:space="preserve"> od </w:t>
      </w:r>
      <w:r w:rsidR="00516A62">
        <w:rPr>
          <w:rFonts w:ascii="Arial" w:hAnsi="Arial" w:cs="Arial"/>
          <w:sz w:val="20"/>
          <w:szCs w:val="20"/>
        </w:rPr>
        <w:t>9</w:t>
      </w:r>
      <w:r w:rsidRPr="0046046D">
        <w:rPr>
          <w:rFonts w:ascii="Arial" w:hAnsi="Arial" w:cs="Arial"/>
          <w:sz w:val="20"/>
          <w:szCs w:val="20"/>
        </w:rPr>
        <w:t xml:space="preserve"> </w:t>
      </w:r>
      <w:r w:rsidR="00516A62">
        <w:rPr>
          <w:rFonts w:ascii="Arial" w:hAnsi="Arial" w:cs="Arial"/>
          <w:sz w:val="20"/>
          <w:szCs w:val="20"/>
        </w:rPr>
        <w:t xml:space="preserve">i </w:t>
      </w:r>
      <w:r w:rsidR="00457A08">
        <w:rPr>
          <w:rFonts w:ascii="Arial" w:hAnsi="Arial" w:cs="Arial"/>
          <w:sz w:val="20"/>
          <w:szCs w:val="20"/>
        </w:rPr>
        <w:t>więcej</w:t>
      </w:r>
      <w:r w:rsidR="00457A08" w:rsidRPr="0046046D">
        <w:rPr>
          <w:rFonts w:ascii="Arial" w:hAnsi="Arial" w:cs="Arial"/>
          <w:sz w:val="20"/>
          <w:szCs w:val="20"/>
        </w:rPr>
        <w:t xml:space="preserve"> </w:t>
      </w:r>
      <w:r w:rsidRPr="00DD3723">
        <w:rPr>
          <w:rFonts w:ascii="Arial" w:hAnsi="Arial" w:cs="Arial"/>
          <w:sz w:val="20"/>
          <w:szCs w:val="20"/>
        </w:rPr>
        <w:t>– 5 pkt;</w:t>
      </w:r>
    </w:p>
    <w:p w:rsidR="00441831" w:rsidRDefault="00D45F5B" w:rsidP="00C80511">
      <w:pPr>
        <w:pStyle w:val="Akapitzlist"/>
        <w:numPr>
          <w:ilvl w:val="0"/>
          <w:numId w:val="38"/>
        </w:numPr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wykazanie </w:t>
      </w:r>
      <w:r w:rsidR="00E97A26" w:rsidRPr="00E97A26">
        <w:rPr>
          <w:rFonts w:ascii="Arial" w:hAnsi="Arial" w:cs="Arial"/>
          <w:sz w:val="20"/>
          <w:szCs w:val="20"/>
        </w:rPr>
        <w:t xml:space="preserve">łącznie przez wszystkich członków Zespołu badawczego </w:t>
      </w:r>
      <w:r w:rsidRPr="00D45F5B">
        <w:rPr>
          <w:rFonts w:ascii="Arial" w:hAnsi="Arial" w:cs="Arial"/>
          <w:sz w:val="20"/>
          <w:szCs w:val="20"/>
        </w:rPr>
        <w:t>raportów/analiz/</w:t>
      </w:r>
      <w:r w:rsidR="0014541A">
        <w:rPr>
          <w:rFonts w:ascii="Arial" w:hAnsi="Arial" w:cs="Arial"/>
          <w:sz w:val="20"/>
          <w:szCs w:val="20"/>
        </w:rPr>
        <w:t>opracowań</w:t>
      </w:r>
      <w:r w:rsidRPr="00D45F5B">
        <w:rPr>
          <w:rFonts w:ascii="Arial" w:hAnsi="Arial" w:cs="Arial"/>
          <w:sz w:val="20"/>
          <w:szCs w:val="20"/>
        </w:rPr>
        <w:t xml:space="preserve">/publikacji w </w:t>
      </w:r>
      <w:r w:rsidR="0014541A">
        <w:rPr>
          <w:rFonts w:ascii="Arial" w:hAnsi="Arial" w:cs="Arial"/>
          <w:sz w:val="20"/>
          <w:szCs w:val="20"/>
        </w:rPr>
        <w:t xml:space="preserve">ww. </w:t>
      </w:r>
      <w:r w:rsidRPr="00D45F5B">
        <w:rPr>
          <w:rFonts w:ascii="Arial" w:hAnsi="Arial" w:cs="Arial"/>
          <w:sz w:val="20"/>
          <w:szCs w:val="20"/>
        </w:rPr>
        <w:t xml:space="preserve">obszarze </w:t>
      </w:r>
      <w:r w:rsidR="0014541A">
        <w:rPr>
          <w:rFonts w:ascii="Arial" w:hAnsi="Arial" w:cs="Arial"/>
          <w:sz w:val="20"/>
          <w:szCs w:val="20"/>
        </w:rPr>
        <w:t xml:space="preserve">tematycznym </w:t>
      </w:r>
      <w:r w:rsidRPr="00D45F5B">
        <w:rPr>
          <w:rFonts w:ascii="Arial" w:hAnsi="Arial" w:cs="Arial"/>
          <w:sz w:val="20"/>
          <w:szCs w:val="20"/>
        </w:rPr>
        <w:t>i o wartości</w:t>
      </w:r>
      <w:r>
        <w:rPr>
          <w:rFonts w:ascii="Arial" w:hAnsi="Arial" w:cs="Arial"/>
          <w:sz w:val="20"/>
          <w:szCs w:val="20"/>
        </w:rPr>
        <w:t xml:space="preserve"> nie</w:t>
      </w:r>
      <w:r w:rsidRPr="00D45F5B">
        <w:rPr>
          <w:rFonts w:ascii="Arial" w:hAnsi="Arial" w:cs="Arial"/>
          <w:sz w:val="20"/>
          <w:szCs w:val="20"/>
        </w:rPr>
        <w:t xml:space="preserve"> mniejszej niż 5 000 zł brutto (każda usługa)</w:t>
      </w:r>
      <w:r w:rsidR="00441831">
        <w:rPr>
          <w:rFonts w:ascii="Arial" w:hAnsi="Arial" w:cs="Arial"/>
          <w:sz w:val="20"/>
          <w:szCs w:val="20"/>
        </w:rPr>
        <w:t xml:space="preserve"> </w:t>
      </w:r>
      <w:r w:rsidRPr="00D45F5B">
        <w:rPr>
          <w:rFonts w:ascii="Arial" w:hAnsi="Arial" w:cs="Arial"/>
          <w:sz w:val="20"/>
          <w:szCs w:val="20"/>
        </w:rPr>
        <w:t xml:space="preserve">- w okresie ostatnich 5 lat przed </w:t>
      </w:r>
      <w:r>
        <w:rPr>
          <w:rFonts w:ascii="Arial" w:hAnsi="Arial" w:cs="Arial"/>
          <w:sz w:val="20"/>
          <w:szCs w:val="20"/>
        </w:rPr>
        <w:t xml:space="preserve">terminem złożenia oferty </w:t>
      </w:r>
    </w:p>
    <w:p w:rsidR="00441831" w:rsidRDefault="00D45F5B" w:rsidP="00C80511">
      <w:pPr>
        <w:pStyle w:val="Akapitzlist"/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41831">
        <w:rPr>
          <w:rFonts w:ascii="Arial" w:hAnsi="Arial" w:cs="Arial"/>
          <w:sz w:val="20"/>
          <w:szCs w:val="20"/>
        </w:rPr>
        <w:t xml:space="preserve">w liczbie od 0 do </w:t>
      </w:r>
      <w:r w:rsidR="00516A62">
        <w:rPr>
          <w:rFonts w:ascii="Arial" w:hAnsi="Arial" w:cs="Arial"/>
          <w:sz w:val="20"/>
          <w:szCs w:val="20"/>
        </w:rPr>
        <w:t>2</w:t>
      </w:r>
      <w:r w:rsidR="00441831">
        <w:rPr>
          <w:rFonts w:ascii="Arial" w:hAnsi="Arial" w:cs="Arial"/>
          <w:sz w:val="20"/>
          <w:szCs w:val="20"/>
        </w:rPr>
        <w:t xml:space="preserve"> - 0 pkt;</w:t>
      </w:r>
    </w:p>
    <w:p w:rsidR="00D45F5B" w:rsidRPr="00D45F5B" w:rsidRDefault="00441831" w:rsidP="00C80511">
      <w:pPr>
        <w:pStyle w:val="Akapitzlist"/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 liczbie od </w:t>
      </w:r>
      <w:r w:rsidR="00516A6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</w:t>
      </w:r>
      <w:r w:rsidR="00516A6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- </w:t>
      </w:r>
      <w:r w:rsidR="00D478C7">
        <w:rPr>
          <w:rFonts w:ascii="Arial" w:hAnsi="Arial" w:cs="Arial"/>
          <w:sz w:val="20"/>
          <w:szCs w:val="20"/>
        </w:rPr>
        <w:t>10</w:t>
      </w:r>
      <w:r w:rsidR="00D45F5B">
        <w:rPr>
          <w:rFonts w:ascii="Arial" w:hAnsi="Arial" w:cs="Arial"/>
          <w:sz w:val="20"/>
          <w:szCs w:val="20"/>
        </w:rPr>
        <w:t xml:space="preserve"> pkt;</w:t>
      </w:r>
      <w:r w:rsidR="00D45F5B" w:rsidRPr="00D45F5B">
        <w:rPr>
          <w:rFonts w:ascii="Arial" w:hAnsi="Arial" w:cs="Arial"/>
          <w:sz w:val="20"/>
          <w:szCs w:val="20"/>
        </w:rPr>
        <w:t xml:space="preserve"> </w:t>
      </w:r>
    </w:p>
    <w:p w:rsidR="00EE6DDB" w:rsidRPr="0090535A" w:rsidRDefault="00441831" w:rsidP="0090535A">
      <w:pPr>
        <w:pStyle w:val="Akapitzlist"/>
        <w:spacing w:after="0" w:line="240" w:lineRule="auto"/>
        <w:ind w:left="1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 liczbie </w:t>
      </w:r>
      <w:r w:rsidR="00D45F5B" w:rsidRPr="00441831">
        <w:rPr>
          <w:rFonts w:ascii="Arial" w:hAnsi="Arial" w:cs="Arial"/>
          <w:sz w:val="20"/>
          <w:szCs w:val="20"/>
        </w:rPr>
        <w:t>od 1</w:t>
      </w:r>
      <w:r w:rsidR="00516A62">
        <w:rPr>
          <w:rFonts w:ascii="Arial" w:hAnsi="Arial" w:cs="Arial"/>
          <w:sz w:val="20"/>
          <w:szCs w:val="20"/>
        </w:rPr>
        <w:t>0</w:t>
      </w:r>
      <w:r w:rsidR="00D45F5B" w:rsidRPr="00441831">
        <w:rPr>
          <w:rFonts w:ascii="Arial" w:hAnsi="Arial" w:cs="Arial"/>
          <w:sz w:val="20"/>
          <w:szCs w:val="20"/>
        </w:rPr>
        <w:t xml:space="preserve"> </w:t>
      </w:r>
      <w:r w:rsidR="00516A62">
        <w:rPr>
          <w:rFonts w:ascii="Arial" w:hAnsi="Arial" w:cs="Arial"/>
          <w:sz w:val="20"/>
          <w:szCs w:val="20"/>
        </w:rPr>
        <w:t xml:space="preserve">i </w:t>
      </w:r>
      <w:r w:rsidR="00EE6DDB">
        <w:rPr>
          <w:rFonts w:ascii="Arial" w:hAnsi="Arial" w:cs="Arial"/>
          <w:sz w:val="20"/>
          <w:szCs w:val="20"/>
        </w:rPr>
        <w:t>więcej</w:t>
      </w:r>
      <w:r w:rsidR="00EE6DDB" w:rsidRPr="00441831">
        <w:rPr>
          <w:rFonts w:ascii="Arial" w:hAnsi="Arial" w:cs="Arial"/>
          <w:sz w:val="20"/>
          <w:szCs w:val="20"/>
        </w:rPr>
        <w:t xml:space="preserve"> </w:t>
      </w:r>
      <w:r w:rsidR="00D45F5B" w:rsidRPr="00441831">
        <w:rPr>
          <w:rFonts w:ascii="Arial" w:hAnsi="Arial" w:cs="Arial"/>
          <w:sz w:val="20"/>
          <w:szCs w:val="20"/>
        </w:rPr>
        <w:t xml:space="preserve">- </w:t>
      </w:r>
      <w:r w:rsidR="00DD2E24" w:rsidRPr="00441831">
        <w:rPr>
          <w:rFonts w:ascii="Arial" w:hAnsi="Arial" w:cs="Arial"/>
          <w:sz w:val="20"/>
          <w:szCs w:val="20"/>
        </w:rPr>
        <w:t>15</w:t>
      </w:r>
      <w:r w:rsidR="00D45F5B" w:rsidRPr="00441831">
        <w:rPr>
          <w:rFonts w:ascii="Arial" w:hAnsi="Arial" w:cs="Arial"/>
          <w:sz w:val="20"/>
          <w:szCs w:val="20"/>
        </w:rPr>
        <w:t xml:space="preserve"> pkt;</w:t>
      </w:r>
    </w:p>
    <w:p w:rsidR="00B37E0B" w:rsidRDefault="00B37E0B" w:rsidP="00D45F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5F5B" w:rsidRDefault="00B37E0B" w:rsidP="00D45F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Usługi wskazane przez Wykonawcę w lit a) </w:t>
      </w:r>
      <w:r w:rsidR="00A306F8">
        <w:rPr>
          <w:rFonts w:ascii="Arial" w:hAnsi="Arial" w:cs="Arial"/>
          <w:sz w:val="20"/>
          <w:szCs w:val="20"/>
        </w:rPr>
        <w:t>nie mogą się powtarzać z usługami wskazanymi w</w:t>
      </w:r>
      <w:r>
        <w:rPr>
          <w:rFonts w:ascii="Arial" w:hAnsi="Arial" w:cs="Arial"/>
          <w:sz w:val="20"/>
          <w:szCs w:val="20"/>
        </w:rPr>
        <w:t xml:space="preserve"> lit. b).</w:t>
      </w:r>
    </w:p>
    <w:p w:rsidR="00D45F5B" w:rsidRPr="00D45F5B" w:rsidRDefault="00D45F5B" w:rsidP="00D45F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2632" w:rsidRPr="00BC2632" w:rsidRDefault="00A75ED2" w:rsidP="00C80511">
      <w:pPr>
        <w:pStyle w:val="Akapitzlist"/>
        <w:numPr>
          <w:ilvl w:val="1"/>
          <w:numId w:val="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EE7018" w:rsidRPr="00740FFA">
        <w:rPr>
          <w:rFonts w:ascii="Arial" w:hAnsi="Arial" w:cs="Arial"/>
          <w:sz w:val="20"/>
          <w:szCs w:val="20"/>
        </w:rPr>
        <w:t>dokumentowane uczestn</w:t>
      </w:r>
      <w:r w:rsidR="003B0E64">
        <w:rPr>
          <w:rFonts w:ascii="Arial" w:hAnsi="Arial" w:cs="Arial"/>
          <w:sz w:val="20"/>
          <w:szCs w:val="20"/>
        </w:rPr>
        <w:t>ictwo ekspertów</w:t>
      </w:r>
      <w:r w:rsidR="00083462">
        <w:rPr>
          <w:rFonts w:ascii="Arial" w:hAnsi="Arial" w:cs="Arial"/>
          <w:sz w:val="20"/>
          <w:szCs w:val="20"/>
        </w:rPr>
        <w:t xml:space="preserve"> wchodzących w skład Zespołu badawczego</w:t>
      </w:r>
      <w:r w:rsidR="003B0E64">
        <w:rPr>
          <w:rFonts w:ascii="Arial" w:hAnsi="Arial" w:cs="Arial"/>
          <w:sz w:val="20"/>
          <w:szCs w:val="20"/>
        </w:rPr>
        <w:t xml:space="preserve"> w</w:t>
      </w:r>
      <w:r w:rsidR="00EE7018" w:rsidRPr="00740FFA">
        <w:rPr>
          <w:rFonts w:ascii="Arial" w:hAnsi="Arial" w:cs="Arial"/>
          <w:sz w:val="20"/>
          <w:szCs w:val="20"/>
        </w:rPr>
        <w:t xml:space="preserve"> </w:t>
      </w:r>
      <w:r w:rsidR="003B0E64">
        <w:rPr>
          <w:rFonts w:ascii="Arial" w:hAnsi="Arial" w:cs="Arial"/>
          <w:sz w:val="20"/>
          <w:szCs w:val="20"/>
        </w:rPr>
        <w:t xml:space="preserve">wydarzeniach (np. </w:t>
      </w:r>
      <w:r w:rsidR="00EE7018" w:rsidRPr="00740FFA">
        <w:rPr>
          <w:rFonts w:ascii="Arial" w:hAnsi="Arial" w:cs="Arial"/>
          <w:sz w:val="20"/>
          <w:szCs w:val="20"/>
        </w:rPr>
        <w:t>szkole</w:t>
      </w:r>
      <w:r w:rsidR="003B0E64">
        <w:rPr>
          <w:rFonts w:ascii="Arial" w:hAnsi="Arial" w:cs="Arial"/>
          <w:sz w:val="20"/>
          <w:szCs w:val="20"/>
        </w:rPr>
        <w:t xml:space="preserve">niach, konferencjach) </w:t>
      </w:r>
      <w:r w:rsidR="00EE7018" w:rsidRPr="00740FFA">
        <w:rPr>
          <w:rFonts w:ascii="Arial" w:hAnsi="Arial" w:cs="Arial"/>
          <w:sz w:val="20"/>
          <w:szCs w:val="20"/>
        </w:rPr>
        <w:t>z</w:t>
      </w:r>
      <w:r w:rsidR="003B0E64">
        <w:rPr>
          <w:rFonts w:ascii="Arial" w:hAnsi="Arial" w:cs="Arial"/>
          <w:sz w:val="20"/>
          <w:szCs w:val="20"/>
        </w:rPr>
        <w:t xml:space="preserve">wiązanych z ww. tematyką </w:t>
      </w:r>
      <w:r w:rsidR="00EE7018" w:rsidRPr="00740FFA">
        <w:rPr>
          <w:rFonts w:ascii="Arial" w:hAnsi="Arial" w:cs="Arial"/>
          <w:sz w:val="20"/>
          <w:szCs w:val="20"/>
        </w:rPr>
        <w:t>(jako prelegent/prel</w:t>
      </w:r>
      <w:r w:rsidR="00EE7018">
        <w:rPr>
          <w:rFonts w:ascii="Arial" w:hAnsi="Arial" w:cs="Arial"/>
          <w:sz w:val="20"/>
          <w:szCs w:val="20"/>
        </w:rPr>
        <w:t>egentka)</w:t>
      </w:r>
      <w:r w:rsidR="00EE7018">
        <w:rPr>
          <w:rFonts w:ascii="Arial" w:hAnsi="Arial" w:cs="Arial"/>
          <w:color w:val="000000"/>
          <w:sz w:val="20"/>
          <w:szCs w:val="20"/>
          <w:lang w:eastAsia="pl-PL"/>
        </w:rPr>
        <w:t xml:space="preserve">- </w:t>
      </w:r>
      <w:r w:rsidR="00EE7018" w:rsidRPr="00083462">
        <w:rPr>
          <w:rFonts w:ascii="Arial" w:hAnsi="Arial" w:cs="Arial"/>
          <w:color w:val="000000"/>
          <w:sz w:val="20"/>
          <w:szCs w:val="20"/>
          <w:u w:val="single"/>
          <w:lang w:eastAsia="pl-PL"/>
        </w:rPr>
        <w:t xml:space="preserve">max. </w:t>
      </w:r>
      <w:r w:rsidR="003421DC">
        <w:rPr>
          <w:rFonts w:ascii="Arial" w:hAnsi="Arial" w:cs="Arial"/>
          <w:color w:val="000000"/>
          <w:sz w:val="20"/>
          <w:szCs w:val="20"/>
          <w:u w:val="single"/>
          <w:lang w:eastAsia="pl-PL"/>
        </w:rPr>
        <w:t>2</w:t>
      </w:r>
      <w:r w:rsidR="00EE7018" w:rsidRPr="00083462">
        <w:rPr>
          <w:rFonts w:ascii="Arial" w:hAnsi="Arial" w:cs="Arial"/>
          <w:color w:val="000000"/>
          <w:sz w:val="20"/>
          <w:szCs w:val="20"/>
          <w:u w:val="single"/>
          <w:lang w:eastAsia="pl-PL"/>
        </w:rPr>
        <w:t>0 pkt</w:t>
      </w:r>
      <w:r w:rsidR="00BC2632">
        <w:rPr>
          <w:rFonts w:ascii="Arial" w:hAnsi="Arial" w:cs="Arial"/>
          <w:color w:val="000000"/>
          <w:sz w:val="20"/>
          <w:szCs w:val="20"/>
          <w:lang w:eastAsia="pl-PL"/>
        </w:rPr>
        <w:t>:</w:t>
      </w:r>
    </w:p>
    <w:p w:rsidR="00EE7018" w:rsidRPr="00BC2632" w:rsidRDefault="00EE7018" w:rsidP="00BC2632">
      <w:pPr>
        <w:pStyle w:val="Akapitzlist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 xml:space="preserve">  </w:t>
      </w:r>
    </w:p>
    <w:p w:rsidR="00BC2632" w:rsidRDefault="00BC2632" w:rsidP="00C80511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 </w:t>
      </w:r>
      <w:r w:rsidR="00503E30">
        <w:rPr>
          <w:rFonts w:ascii="Arial" w:hAnsi="Arial" w:cs="Arial"/>
          <w:sz w:val="20"/>
          <w:szCs w:val="20"/>
        </w:rPr>
        <w:t>uczestnictwo</w:t>
      </w:r>
      <w:r w:rsidR="000854F8">
        <w:rPr>
          <w:rFonts w:ascii="Arial" w:hAnsi="Arial" w:cs="Arial"/>
          <w:sz w:val="20"/>
          <w:szCs w:val="20"/>
        </w:rPr>
        <w:t xml:space="preserve"> w formie prelegenta</w:t>
      </w:r>
      <w:r w:rsidR="00503E30">
        <w:rPr>
          <w:rFonts w:ascii="Arial" w:hAnsi="Arial" w:cs="Arial"/>
          <w:sz w:val="20"/>
          <w:szCs w:val="20"/>
        </w:rPr>
        <w:t xml:space="preserve"> </w:t>
      </w:r>
      <w:r w:rsidR="00773596">
        <w:rPr>
          <w:rFonts w:ascii="Arial" w:hAnsi="Arial" w:cs="Arial"/>
          <w:sz w:val="20"/>
          <w:szCs w:val="20"/>
        </w:rPr>
        <w:t xml:space="preserve">łącznie </w:t>
      </w:r>
      <w:r w:rsidR="00F46209" w:rsidRPr="00F46209">
        <w:rPr>
          <w:rFonts w:ascii="Arial" w:hAnsi="Arial" w:cs="Arial"/>
          <w:sz w:val="20"/>
          <w:szCs w:val="20"/>
        </w:rPr>
        <w:t xml:space="preserve">wszystkich ekspertów wchodzących w skład zespołu </w:t>
      </w:r>
      <w:r w:rsidR="00561931">
        <w:rPr>
          <w:rFonts w:ascii="Arial" w:hAnsi="Arial" w:cs="Arial"/>
          <w:sz w:val="20"/>
          <w:szCs w:val="20"/>
        </w:rPr>
        <w:t xml:space="preserve">w </w:t>
      </w:r>
      <w:r w:rsidR="001479ED">
        <w:rPr>
          <w:rFonts w:ascii="Arial" w:hAnsi="Arial" w:cs="Arial"/>
          <w:sz w:val="20"/>
          <w:szCs w:val="20"/>
        </w:rPr>
        <w:t>2-3</w:t>
      </w:r>
      <w:r w:rsidR="00503E30">
        <w:rPr>
          <w:rFonts w:ascii="Arial" w:hAnsi="Arial" w:cs="Arial"/>
          <w:sz w:val="20"/>
          <w:szCs w:val="20"/>
        </w:rPr>
        <w:t xml:space="preserve"> wydarzeniach</w:t>
      </w:r>
      <w:r>
        <w:rPr>
          <w:rFonts w:ascii="Arial" w:hAnsi="Arial" w:cs="Arial"/>
          <w:sz w:val="20"/>
          <w:szCs w:val="20"/>
        </w:rPr>
        <w:t xml:space="preserve"> w okresie ostatnich 5</w:t>
      </w:r>
      <w:r w:rsidRPr="00D45F5B">
        <w:rPr>
          <w:rFonts w:ascii="Arial" w:hAnsi="Arial" w:cs="Arial"/>
          <w:sz w:val="20"/>
          <w:szCs w:val="20"/>
        </w:rPr>
        <w:t xml:space="preserve"> lat przed </w:t>
      </w:r>
      <w:r w:rsidR="00503E30">
        <w:rPr>
          <w:rFonts w:ascii="Arial" w:hAnsi="Arial" w:cs="Arial"/>
          <w:sz w:val="20"/>
          <w:szCs w:val="20"/>
        </w:rPr>
        <w:t xml:space="preserve">terminem złożenia oferty - </w:t>
      </w:r>
      <w:r w:rsidR="003421D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pkt;</w:t>
      </w:r>
    </w:p>
    <w:p w:rsidR="00503E30" w:rsidRPr="00D45F5B" w:rsidRDefault="00503E30" w:rsidP="00C80511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 uczestnictwo </w:t>
      </w:r>
      <w:r w:rsidR="00F46209" w:rsidRPr="00F46209">
        <w:rPr>
          <w:rFonts w:ascii="Arial" w:hAnsi="Arial" w:cs="Arial"/>
          <w:sz w:val="20"/>
          <w:szCs w:val="20"/>
        </w:rPr>
        <w:t xml:space="preserve">wszystkich ekspertów wchodzących w skład zespołu łącznie </w:t>
      </w:r>
      <w:r>
        <w:rPr>
          <w:rFonts w:ascii="Arial" w:hAnsi="Arial" w:cs="Arial"/>
          <w:sz w:val="20"/>
          <w:szCs w:val="20"/>
        </w:rPr>
        <w:t xml:space="preserve">w </w:t>
      </w:r>
      <w:r w:rsidR="001479ED">
        <w:rPr>
          <w:rFonts w:ascii="Arial" w:hAnsi="Arial" w:cs="Arial"/>
          <w:sz w:val="20"/>
          <w:szCs w:val="20"/>
        </w:rPr>
        <w:t>4</w:t>
      </w:r>
      <w:r w:rsidR="00B37E0B">
        <w:rPr>
          <w:rFonts w:ascii="Arial" w:hAnsi="Arial" w:cs="Arial"/>
          <w:sz w:val="20"/>
          <w:szCs w:val="20"/>
        </w:rPr>
        <w:t xml:space="preserve"> i </w:t>
      </w:r>
      <w:r w:rsidR="00457A08">
        <w:rPr>
          <w:rFonts w:ascii="Arial" w:hAnsi="Arial" w:cs="Arial"/>
          <w:sz w:val="20"/>
          <w:szCs w:val="20"/>
        </w:rPr>
        <w:t>więcej</w:t>
      </w:r>
      <w:r w:rsidRPr="00503E30">
        <w:rPr>
          <w:rFonts w:ascii="Arial" w:hAnsi="Arial" w:cs="Arial"/>
          <w:sz w:val="20"/>
          <w:szCs w:val="20"/>
        </w:rPr>
        <w:t xml:space="preserve"> wydarzeniach w okresie ostatnich 5 lat pr</w:t>
      </w:r>
      <w:r>
        <w:rPr>
          <w:rFonts w:ascii="Arial" w:hAnsi="Arial" w:cs="Arial"/>
          <w:sz w:val="20"/>
          <w:szCs w:val="20"/>
        </w:rPr>
        <w:t xml:space="preserve">zed terminem złożenia oferty - </w:t>
      </w:r>
      <w:r w:rsidR="003421DC">
        <w:rPr>
          <w:rFonts w:ascii="Arial" w:hAnsi="Arial" w:cs="Arial"/>
          <w:sz w:val="20"/>
          <w:szCs w:val="20"/>
        </w:rPr>
        <w:t>2</w:t>
      </w:r>
      <w:r w:rsidRPr="00503E30">
        <w:rPr>
          <w:rFonts w:ascii="Arial" w:hAnsi="Arial" w:cs="Arial"/>
          <w:sz w:val="20"/>
          <w:szCs w:val="20"/>
        </w:rPr>
        <w:t>0 pkt;</w:t>
      </w:r>
    </w:p>
    <w:p w:rsidR="00BC2632" w:rsidRDefault="00BC2632" w:rsidP="00BC26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4CC3" w:rsidRDefault="00394CC3" w:rsidP="00BC26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394CC3" w:rsidRDefault="00561931" w:rsidP="00BC26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61931">
        <w:rPr>
          <w:rFonts w:ascii="Arial" w:hAnsi="Arial" w:cs="Arial"/>
          <w:i/>
          <w:sz w:val="20"/>
          <w:szCs w:val="20"/>
        </w:rPr>
        <w:t>Przykład</w:t>
      </w:r>
      <w:r>
        <w:rPr>
          <w:rFonts w:ascii="Arial" w:hAnsi="Arial" w:cs="Arial"/>
          <w:i/>
          <w:sz w:val="20"/>
          <w:szCs w:val="20"/>
        </w:rPr>
        <w:t xml:space="preserve"> 1</w:t>
      </w:r>
      <w:r w:rsidRPr="00561931">
        <w:rPr>
          <w:rFonts w:ascii="Arial" w:hAnsi="Arial" w:cs="Arial"/>
          <w:i/>
          <w:sz w:val="20"/>
          <w:szCs w:val="20"/>
        </w:rPr>
        <w:t xml:space="preserve">: </w:t>
      </w:r>
    </w:p>
    <w:p w:rsidR="00561931" w:rsidRDefault="00561931" w:rsidP="00BC26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Ekspert A, B i C uczestniczyli w tej samej konferencji jako prelegenci</w:t>
      </w:r>
      <w:r w:rsidR="00394CC3">
        <w:rPr>
          <w:rFonts w:ascii="Arial" w:hAnsi="Arial" w:cs="Arial"/>
          <w:i/>
          <w:sz w:val="20"/>
          <w:szCs w:val="20"/>
        </w:rPr>
        <w:t xml:space="preserve"> (w </w:t>
      </w:r>
      <w:r w:rsidR="00394CC3" w:rsidRPr="00394CC3">
        <w:rPr>
          <w:rFonts w:ascii="Arial" w:hAnsi="Arial" w:cs="Arial"/>
          <w:i/>
          <w:sz w:val="20"/>
          <w:szCs w:val="20"/>
        </w:rPr>
        <w:t>okresie ostatnich 5 lat przed złożenia oferty</w:t>
      </w:r>
      <w:r w:rsidR="00394CC3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= uczestnictwo w 3 wydarzeniach</w:t>
      </w:r>
    </w:p>
    <w:p w:rsidR="00561931" w:rsidRDefault="00561931" w:rsidP="00BC26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Ekspert A, B</w:t>
      </w:r>
      <w:r w:rsidRPr="00561931">
        <w:rPr>
          <w:rFonts w:ascii="Arial" w:hAnsi="Arial" w:cs="Arial"/>
          <w:i/>
          <w:sz w:val="20"/>
          <w:szCs w:val="20"/>
        </w:rPr>
        <w:t xml:space="preserve"> uczestniczyli w </w:t>
      </w:r>
      <w:r>
        <w:rPr>
          <w:rFonts w:ascii="Arial" w:hAnsi="Arial" w:cs="Arial"/>
          <w:i/>
          <w:sz w:val="20"/>
          <w:szCs w:val="20"/>
        </w:rPr>
        <w:t>dwóch różnych konferencjach</w:t>
      </w:r>
      <w:r w:rsidRPr="00561931">
        <w:rPr>
          <w:rFonts w:ascii="Arial" w:hAnsi="Arial" w:cs="Arial"/>
          <w:i/>
          <w:sz w:val="20"/>
          <w:szCs w:val="20"/>
        </w:rPr>
        <w:t xml:space="preserve"> ja</w:t>
      </w:r>
      <w:r>
        <w:rPr>
          <w:rFonts w:ascii="Arial" w:hAnsi="Arial" w:cs="Arial"/>
          <w:i/>
          <w:sz w:val="20"/>
          <w:szCs w:val="20"/>
        </w:rPr>
        <w:t>ko prelegenci</w:t>
      </w:r>
      <w:r w:rsidR="00394CC3">
        <w:rPr>
          <w:rFonts w:ascii="Arial" w:hAnsi="Arial" w:cs="Arial"/>
          <w:i/>
          <w:sz w:val="20"/>
          <w:szCs w:val="20"/>
        </w:rPr>
        <w:t xml:space="preserve"> </w:t>
      </w:r>
      <w:r w:rsidR="00394CC3" w:rsidRPr="00394CC3">
        <w:rPr>
          <w:rFonts w:ascii="Arial" w:hAnsi="Arial" w:cs="Arial"/>
          <w:i/>
          <w:sz w:val="20"/>
          <w:szCs w:val="20"/>
        </w:rPr>
        <w:t>(</w:t>
      </w:r>
      <w:r w:rsidR="00394CC3">
        <w:rPr>
          <w:rFonts w:ascii="Arial" w:hAnsi="Arial" w:cs="Arial"/>
          <w:i/>
          <w:sz w:val="20"/>
          <w:szCs w:val="20"/>
        </w:rPr>
        <w:t xml:space="preserve">w </w:t>
      </w:r>
      <w:r w:rsidR="00394CC3" w:rsidRPr="00394CC3">
        <w:rPr>
          <w:rFonts w:ascii="Arial" w:hAnsi="Arial" w:cs="Arial"/>
          <w:i/>
          <w:sz w:val="20"/>
          <w:szCs w:val="20"/>
        </w:rPr>
        <w:t>okresie ostatnich 5 lat przed złożenia oferty)</w:t>
      </w:r>
      <w:r>
        <w:rPr>
          <w:rFonts w:ascii="Arial" w:hAnsi="Arial" w:cs="Arial"/>
          <w:i/>
          <w:sz w:val="20"/>
          <w:szCs w:val="20"/>
        </w:rPr>
        <w:t xml:space="preserve"> = uczestnictwo w 2</w:t>
      </w:r>
      <w:r w:rsidRPr="00561931">
        <w:rPr>
          <w:rFonts w:ascii="Arial" w:hAnsi="Arial" w:cs="Arial"/>
          <w:i/>
          <w:sz w:val="20"/>
          <w:szCs w:val="20"/>
        </w:rPr>
        <w:t xml:space="preserve"> wydarzeniach</w:t>
      </w:r>
    </w:p>
    <w:p w:rsidR="00561931" w:rsidRDefault="00561931" w:rsidP="0056193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Ekspert A uczestniczył w jednej konferencji jako prelegent </w:t>
      </w:r>
      <w:r w:rsidR="00394CC3" w:rsidRPr="00394CC3">
        <w:rPr>
          <w:rFonts w:ascii="Arial" w:hAnsi="Arial" w:cs="Arial"/>
          <w:i/>
          <w:sz w:val="20"/>
          <w:szCs w:val="20"/>
        </w:rPr>
        <w:t>(</w:t>
      </w:r>
      <w:r w:rsidR="00394CC3">
        <w:rPr>
          <w:rFonts w:ascii="Arial" w:hAnsi="Arial" w:cs="Arial"/>
          <w:i/>
          <w:sz w:val="20"/>
          <w:szCs w:val="20"/>
        </w:rPr>
        <w:t xml:space="preserve">w </w:t>
      </w:r>
      <w:r w:rsidR="00394CC3" w:rsidRPr="00394CC3">
        <w:rPr>
          <w:rFonts w:ascii="Arial" w:hAnsi="Arial" w:cs="Arial"/>
          <w:i/>
          <w:sz w:val="20"/>
          <w:szCs w:val="20"/>
        </w:rPr>
        <w:t>okresie ostatnich 5 lat przed złożenia oferty)</w:t>
      </w:r>
      <w:r>
        <w:rPr>
          <w:rFonts w:ascii="Arial" w:hAnsi="Arial" w:cs="Arial"/>
          <w:i/>
          <w:sz w:val="20"/>
          <w:szCs w:val="20"/>
        </w:rPr>
        <w:t>= uczestnictwo w 1</w:t>
      </w:r>
      <w:r w:rsidR="00394CC3">
        <w:rPr>
          <w:rFonts w:ascii="Arial" w:hAnsi="Arial" w:cs="Arial"/>
          <w:i/>
          <w:sz w:val="20"/>
          <w:szCs w:val="20"/>
        </w:rPr>
        <w:t xml:space="preserve"> wydarzeniu</w:t>
      </w:r>
    </w:p>
    <w:p w:rsidR="00561931" w:rsidRDefault="00561931" w:rsidP="0056193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Suma = 6 wydarzeń, liczba przyznanych punktów:</w:t>
      </w:r>
      <w:r w:rsidR="003421DC">
        <w:rPr>
          <w:rFonts w:ascii="Arial" w:hAnsi="Arial" w:cs="Arial"/>
          <w:i/>
          <w:sz w:val="20"/>
          <w:szCs w:val="20"/>
        </w:rPr>
        <w:t xml:space="preserve"> 2</w:t>
      </w:r>
      <w:r>
        <w:rPr>
          <w:rFonts w:ascii="Arial" w:hAnsi="Arial" w:cs="Arial"/>
          <w:i/>
          <w:sz w:val="20"/>
          <w:szCs w:val="20"/>
        </w:rPr>
        <w:t xml:space="preserve">0 pkt </w:t>
      </w:r>
    </w:p>
    <w:p w:rsidR="00394CC3" w:rsidRDefault="00394CC3" w:rsidP="0056193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394CC3" w:rsidRDefault="00394CC3" w:rsidP="0056193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Przykład 2:</w:t>
      </w:r>
    </w:p>
    <w:p w:rsidR="00394CC3" w:rsidRDefault="00394CC3" w:rsidP="0056193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Ekspert A uczestniczył</w:t>
      </w:r>
      <w:r w:rsidRPr="00394CC3">
        <w:rPr>
          <w:rFonts w:ascii="Arial" w:hAnsi="Arial" w:cs="Arial"/>
          <w:i/>
          <w:sz w:val="20"/>
          <w:szCs w:val="20"/>
        </w:rPr>
        <w:t xml:space="preserve"> w </w:t>
      </w:r>
      <w:r>
        <w:rPr>
          <w:rFonts w:ascii="Arial" w:hAnsi="Arial" w:cs="Arial"/>
          <w:i/>
          <w:sz w:val="20"/>
          <w:szCs w:val="20"/>
        </w:rPr>
        <w:t xml:space="preserve">konferencji X jako prelegent </w:t>
      </w:r>
      <w:r w:rsidRPr="00394CC3">
        <w:rPr>
          <w:rFonts w:ascii="Arial" w:hAnsi="Arial" w:cs="Arial"/>
          <w:i/>
          <w:sz w:val="20"/>
          <w:szCs w:val="20"/>
        </w:rPr>
        <w:t>(okresie ostatnich 5 lat przed złoż</w:t>
      </w:r>
      <w:r>
        <w:rPr>
          <w:rFonts w:ascii="Arial" w:hAnsi="Arial" w:cs="Arial"/>
          <w:i/>
          <w:sz w:val="20"/>
          <w:szCs w:val="20"/>
        </w:rPr>
        <w:t>enia oferty) = uczestnictwo w 1 wydarzeniu</w:t>
      </w:r>
    </w:p>
    <w:p w:rsidR="00394CC3" w:rsidRDefault="00394CC3" w:rsidP="0056193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Ekspert A uczestniczył w konferencji Y</w:t>
      </w:r>
      <w:r w:rsidRPr="00394CC3">
        <w:rPr>
          <w:rFonts w:ascii="Arial" w:hAnsi="Arial" w:cs="Arial"/>
          <w:i/>
          <w:sz w:val="20"/>
          <w:szCs w:val="20"/>
        </w:rPr>
        <w:t xml:space="preserve"> jako prelegent (okresie ostatnich 5 lat przed złożenia oferty) = uczestnictwo w 1 wydarzeniu</w:t>
      </w:r>
    </w:p>
    <w:p w:rsidR="00394CC3" w:rsidRDefault="00394CC3" w:rsidP="0056193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Ekspert A i C uczestniczyli w konferencji Z</w:t>
      </w:r>
      <w:r w:rsidRPr="00394CC3">
        <w:rPr>
          <w:rFonts w:ascii="Arial" w:hAnsi="Arial" w:cs="Arial"/>
          <w:i/>
          <w:sz w:val="20"/>
          <w:szCs w:val="20"/>
        </w:rPr>
        <w:t xml:space="preserve"> jako prelegen</w:t>
      </w:r>
      <w:r>
        <w:rPr>
          <w:rFonts w:ascii="Arial" w:hAnsi="Arial" w:cs="Arial"/>
          <w:i/>
          <w:sz w:val="20"/>
          <w:szCs w:val="20"/>
        </w:rPr>
        <w:t>ci</w:t>
      </w:r>
      <w:r w:rsidRPr="00394CC3">
        <w:rPr>
          <w:rFonts w:ascii="Arial" w:hAnsi="Arial" w:cs="Arial"/>
          <w:i/>
          <w:sz w:val="20"/>
          <w:szCs w:val="20"/>
        </w:rPr>
        <w:t xml:space="preserve"> (okresie ostatnich 5 lat przed złożenia oferty) = uczestnictw</w:t>
      </w:r>
      <w:r>
        <w:rPr>
          <w:rFonts w:ascii="Arial" w:hAnsi="Arial" w:cs="Arial"/>
          <w:i/>
          <w:sz w:val="20"/>
          <w:szCs w:val="20"/>
        </w:rPr>
        <w:t>o w 2</w:t>
      </w:r>
      <w:r w:rsidRPr="00394CC3">
        <w:rPr>
          <w:rFonts w:ascii="Arial" w:hAnsi="Arial" w:cs="Arial"/>
          <w:i/>
          <w:sz w:val="20"/>
          <w:szCs w:val="20"/>
        </w:rPr>
        <w:t xml:space="preserve"> wydarzeniu</w:t>
      </w:r>
    </w:p>
    <w:p w:rsidR="00394CC3" w:rsidRDefault="00394CC3" w:rsidP="0056193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Suma= 4 wydarze</w:t>
      </w:r>
      <w:r w:rsidR="00CC3AF2">
        <w:rPr>
          <w:rFonts w:ascii="Arial" w:hAnsi="Arial" w:cs="Arial"/>
          <w:i/>
          <w:sz w:val="20"/>
          <w:szCs w:val="20"/>
        </w:rPr>
        <w:t>nia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="003421DC">
        <w:rPr>
          <w:rFonts w:ascii="Arial" w:hAnsi="Arial" w:cs="Arial"/>
          <w:i/>
          <w:sz w:val="20"/>
          <w:szCs w:val="20"/>
        </w:rPr>
        <w:t>liczba przyznanych punktów: 2</w:t>
      </w:r>
      <w:r w:rsidRPr="00394CC3">
        <w:rPr>
          <w:rFonts w:ascii="Arial" w:hAnsi="Arial" w:cs="Arial"/>
          <w:i/>
          <w:sz w:val="20"/>
          <w:szCs w:val="20"/>
        </w:rPr>
        <w:t>0 pkt</w:t>
      </w:r>
    </w:p>
    <w:p w:rsidR="00394CC3" w:rsidRDefault="00394CC3" w:rsidP="0056193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394CC3" w:rsidRDefault="00394CC3" w:rsidP="00394CC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Przykład 3:</w:t>
      </w:r>
    </w:p>
    <w:p w:rsidR="00394CC3" w:rsidRDefault="00394CC3" w:rsidP="00394CC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Ekspert C uczestniczył</w:t>
      </w:r>
      <w:r w:rsidRPr="00394CC3">
        <w:rPr>
          <w:rFonts w:ascii="Arial" w:hAnsi="Arial" w:cs="Arial"/>
          <w:i/>
          <w:sz w:val="20"/>
          <w:szCs w:val="20"/>
        </w:rPr>
        <w:t xml:space="preserve"> w </w:t>
      </w:r>
      <w:r>
        <w:rPr>
          <w:rFonts w:ascii="Arial" w:hAnsi="Arial" w:cs="Arial"/>
          <w:i/>
          <w:sz w:val="20"/>
          <w:szCs w:val="20"/>
        </w:rPr>
        <w:t xml:space="preserve">konferencji X jako prelegent </w:t>
      </w:r>
      <w:r w:rsidRPr="00394CC3">
        <w:rPr>
          <w:rFonts w:ascii="Arial" w:hAnsi="Arial" w:cs="Arial"/>
          <w:i/>
          <w:sz w:val="20"/>
          <w:szCs w:val="20"/>
        </w:rPr>
        <w:t>(okresie ostatnich 5 lat przed złoż</w:t>
      </w:r>
      <w:r>
        <w:rPr>
          <w:rFonts w:ascii="Arial" w:hAnsi="Arial" w:cs="Arial"/>
          <w:i/>
          <w:sz w:val="20"/>
          <w:szCs w:val="20"/>
        </w:rPr>
        <w:t>enia oferty) = uczestnictwo w 1 wydarzeniu</w:t>
      </w:r>
    </w:p>
    <w:p w:rsidR="00394CC3" w:rsidRDefault="00394CC3" w:rsidP="00394CC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Ekspert A i C uczestniczyli w konferencji Y</w:t>
      </w:r>
      <w:r w:rsidRPr="00394CC3">
        <w:rPr>
          <w:rFonts w:ascii="Arial" w:hAnsi="Arial" w:cs="Arial"/>
          <w:i/>
          <w:sz w:val="20"/>
          <w:szCs w:val="20"/>
        </w:rPr>
        <w:t xml:space="preserve"> jako prelegen</w:t>
      </w:r>
      <w:r>
        <w:rPr>
          <w:rFonts w:ascii="Arial" w:hAnsi="Arial" w:cs="Arial"/>
          <w:i/>
          <w:sz w:val="20"/>
          <w:szCs w:val="20"/>
        </w:rPr>
        <w:t>ci</w:t>
      </w:r>
      <w:r w:rsidRPr="00394CC3">
        <w:rPr>
          <w:rFonts w:ascii="Arial" w:hAnsi="Arial" w:cs="Arial"/>
          <w:i/>
          <w:sz w:val="20"/>
          <w:szCs w:val="20"/>
        </w:rPr>
        <w:t xml:space="preserve"> (okresie ostatnich 5 lat przed złożenia oferty) = uczestnictw</w:t>
      </w:r>
      <w:r>
        <w:rPr>
          <w:rFonts w:ascii="Arial" w:hAnsi="Arial" w:cs="Arial"/>
          <w:i/>
          <w:sz w:val="20"/>
          <w:szCs w:val="20"/>
        </w:rPr>
        <w:t>o w 2</w:t>
      </w:r>
      <w:r w:rsidRPr="00394CC3">
        <w:rPr>
          <w:rFonts w:ascii="Arial" w:hAnsi="Arial" w:cs="Arial"/>
          <w:i/>
          <w:sz w:val="20"/>
          <w:szCs w:val="20"/>
        </w:rPr>
        <w:t xml:space="preserve"> wydarzeniu</w:t>
      </w:r>
    </w:p>
    <w:p w:rsidR="00394CC3" w:rsidRDefault="00394CC3" w:rsidP="00394CC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Suma= 3 wydarze</w:t>
      </w:r>
      <w:r w:rsidR="00CC3AF2">
        <w:rPr>
          <w:rFonts w:ascii="Arial" w:hAnsi="Arial" w:cs="Arial"/>
          <w:i/>
          <w:sz w:val="20"/>
          <w:szCs w:val="20"/>
        </w:rPr>
        <w:t>nia</w:t>
      </w:r>
      <w:r>
        <w:rPr>
          <w:rFonts w:ascii="Arial" w:hAnsi="Arial" w:cs="Arial"/>
          <w:i/>
          <w:sz w:val="20"/>
          <w:szCs w:val="20"/>
        </w:rPr>
        <w:t xml:space="preserve">, liczba przyznanych punktów: </w:t>
      </w:r>
      <w:r w:rsidR="003421DC">
        <w:rPr>
          <w:rFonts w:ascii="Arial" w:hAnsi="Arial" w:cs="Arial"/>
          <w:i/>
          <w:sz w:val="20"/>
          <w:szCs w:val="20"/>
        </w:rPr>
        <w:t>10</w:t>
      </w:r>
      <w:r w:rsidRPr="00394CC3">
        <w:rPr>
          <w:rFonts w:ascii="Arial" w:hAnsi="Arial" w:cs="Arial"/>
          <w:i/>
          <w:sz w:val="20"/>
          <w:szCs w:val="20"/>
        </w:rPr>
        <w:t xml:space="preserve"> pkt</w:t>
      </w:r>
    </w:p>
    <w:p w:rsidR="00561931" w:rsidRDefault="00561931" w:rsidP="00BC26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561931" w:rsidRPr="00561931" w:rsidRDefault="00561931" w:rsidP="00BC26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EE7018" w:rsidRPr="00457A08" w:rsidRDefault="00A75ED2" w:rsidP="00C80511">
      <w:pPr>
        <w:pStyle w:val="Akapitzlist"/>
        <w:numPr>
          <w:ilvl w:val="1"/>
          <w:numId w:val="3"/>
        </w:num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F41B23">
        <w:rPr>
          <w:rFonts w:ascii="Arial" w:hAnsi="Arial" w:cs="Arial"/>
          <w:sz w:val="20"/>
          <w:szCs w:val="20"/>
        </w:rPr>
        <w:t xml:space="preserve">stopień kierunkowego dopasowania przedstawionego doświadczenia do celu </w:t>
      </w:r>
      <w:r w:rsidR="00BF3BD3">
        <w:rPr>
          <w:rFonts w:ascii="Arial" w:hAnsi="Arial" w:cs="Arial"/>
          <w:sz w:val="20"/>
          <w:szCs w:val="20"/>
        </w:rPr>
        <w:br/>
      </w:r>
      <w:r w:rsidRPr="00F41B23">
        <w:rPr>
          <w:rFonts w:ascii="Arial" w:hAnsi="Arial" w:cs="Arial"/>
          <w:sz w:val="20"/>
          <w:szCs w:val="20"/>
        </w:rPr>
        <w:t xml:space="preserve">i przedmiotu zamówienia (posiadania szerokiego doświadczenia we wszystkich niezbędnych obszarach oraz dopasowania doświadczenia </w:t>
      </w:r>
      <w:r w:rsidR="00A67EA5">
        <w:rPr>
          <w:rFonts w:ascii="Arial" w:hAnsi="Arial" w:cs="Arial"/>
          <w:sz w:val="20"/>
          <w:szCs w:val="20"/>
        </w:rPr>
        <w:t>d</w:t>
      </w:r>
      <w:r w:rsidRPr="00F41B23">
        <w:rPr>
          <w:rFonts w:ascii="Arial" w:hAnsi="Arial" w:cs="Arial"/>
          <w:sz w:val="20"/>
          <w:szCs w:val="20"/>
        </w:rPr>
        <w:t>o specyfiki przedmiotu niniejszego zamówienia)</w:t>
      </w:r>
      <w:r w:rsidR="00EE7018" w:rsidRPr="00F41B23">
        <w:rPr>
          <w:rFonts w:ascii="Arial" w:hAnsi="Arial" w:cs="Arial"/>
          <w:sz w:val="20"/>
          <w:szCs w:val="20"/>
        </w:rPr>
        <w:t xml:space="preserve"> – </w:t>
      </w:r>
      <w:r w:rsidR="005A3CE6" w:rsidRPr="00F41B23">
        <w:rPr>
          <w:rFonts w:ascii="Arial" w:hAnsi="Arial" w:cs="Arial"/>
          <w:sz w:val="20"/>
          <w:szCs w:val="20"/>
        </w:rPr>
        <w:t xml:space="preserve">adekwatne przypisanie ról oraz podział zadań w projekcie – </w:t>
      </w:r>
      <w:r w:rsidR="001665B6">
        <w:rPr>
          <w:rFonts w:ascii="Arial" w:hAnsi="Arial" w:cs="Arial"/>
          <w:sz w:val="20"/>
          <w:szCs w:val="20"/>
          <w:u w:val="single"/>
        </w:rPr>
        <w:t>max. 10 pkt:</w:t>
      </w:r>
    </w:p>
    <w:p w:rsidR="00B37E0B" w:rsidRPr="00F41B23" w:rsidRDefault="00B37E0B" w:rsidP="00457A08">
      <w:pPr>
        <w:pStyle w:val="Akapitzlist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57A08">
        <w:rPr>
          <w:rFonts w:ascii="Arial" w:hAnsi="Arial" w:cs="Arial"/>
          <w:sz w:val="20"/>
          <w:szCs w:val="20"/>
        </w:rPr>
        <w:t>– brak lub nieodpowiednie kierunkowe</w:t>
      </w:r>
      <w:r w:rsidRPr="003B0E64">
        <w:rPr>
          <w:rFonts w:ascii="Arial" w:hAnsi="Arial" w:cs="Arial"/>
          <w:sz w:val="20"/>
          <w:szCs w:val="20"/>
        </w:rPr>
        <w:t xml:space="preserve"> dopasowanie przedstawionego doświadczenia do celu i przedmiotu zamówienia</w:t>
      </w:r>
      <w:r>
        <w:rPr>
          <w:rFonts w:ascii="Arial" w:hAnsi="Arial" w:cs="Arial"/>
          <w:sz w:val="20"/>
          <w:szCs w:val="20"/>
        </w:rPr>
        <w:t xml:space="preserve"> – 0 pkt</w:t>
      </w:r>
      <w:r w:rsidR="00457A08">
        <w:rPr>
          <w:rFonts w:ascii="Arial" w:hAnsi="Arial" w:cs="Arial"/>
          <w:sz w:val="20"/>
          <w:szCs w:val="20"/>
        </w:rPr>
        <w:t>;</w:t>
      </w:r>
    </w:p>
    <w:p w:rsidR="00A75ED2" w:rsidRPr="003B0E64" w:rsidRDefault="00A75ED2" w:rsidP="00BF3BD3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B0E64">
        <w:rPr>
          <w:rFonts w:ascii="Arial" w:hAnsi="Arial" w:cs="Arial"/>
          <w:sz w:val="20"/>
          <w:szCs w:val="20"/>
        </w:rPr>
        <w:t xml:space="preserve">- niskie kierunkowe dopasowanie przedstawionego doświadczenia do </w:t>
      </w:r>
      <w:r w:rsidR="00963B5D" w:rsidRPr="003B0E64">
        <w:rPr>
          <w:rFonts w:ascii="Arial" w:hAnsi="Arial" w:cs="Arial"/>
          <w:sz w:val="20"/>
          <w:szCs w:val="20"/>
        </w:rPr>
        <w:t>celu i przedmiotu zamówienia - 4</w:t>
      </w:r>
      <w:r w:rsidR="00363DAE" w:rsidRPr="003B0E64">
        <w:rPr>
          <w:rFonts w:ascii="Arial" w:hAnsi="Arial" w:cs="Arial"/>
          <w:sz w:val="20"/>
          <w:szCs w:val="20"/>
        </w:rPr>
        <w:t xml:space="preserve"> pkt;</w:t>
      </w:r>
    </w:p>
    <w:p w:rsidR="00A75ED2" w:rsidRPr="003B0E64" w:rsidRDefault="00A75ED2" w:rsidP="00BF3BD3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B0E64">
        <w:rPr>
          <w:rFonts w:ascii="Arial" w:hAnsi="Arial" w:cs="Arial"/>
          <w:sz w:val="20"/>
          <w:szCs w:val="20"/>
        </w:rPr>
        <w:t>- średnie kierunkowe dopasowanie przedstawionego doświadczenia do c</w:t>
      </w:r>
      <w:r w:rsidR="00963B5D" w:rsidRPr="003B0E64">
        <w:rPr>
          <w:rFonts w:ascii="Arial" w:hAnsi="Arial" w:cs="Arial"/>
          <w:sz w:val="20"/>
          <w:szCs w:val="20"/>
        </w:rPr>
        <w:t>elu i przedmiotu zamówienia - 8</w:t>
      </w:r>
      <w:r w:rsidR="00363DAE" w:rsidRPr="003B0E64">
        <w:rPr>
          <w:rFonts w:ascii="Arial" w:hAnsi="Arial" w:cs="Arial"/>
          <w:sz w:val="20"/>
          <w:szCs w:val="20"/>
        </w:rPr>
        <w:t xml:space="preserve"> pkt;</w:t>
      </w:r>
    </w:p>
    <w:p w:rsidR="00A75ED2" w:rsidRPr="003B0E64" w:rsidRDefault="00A75ED2" w:rsidP="00BF3BD3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3B0E64">
        <w:rPr>
          <w:rFonts w:ascii="Arial" w:hAnsi="Arial" w:cs="Arial"/>
          <w:sz w:val="20"/>
          <w:szCs w:val="20"/>
        </w:rPr>
        <w:t>- wysokie kierunkowe dopasowanie przedstawionego doświadczenia do c</w:t>
      </w:r>
      <w:r w:rsidR="00963B5D" w:rsidRPr="003B0E64">
        <w:rPr>
          <w:rFonts w:ascii="Arial" w:hAnsi="Arial" w:cs="Arial"/>
          <w:sz w:val="20"/>
          <w:szCs w:val="20"/>
        </w:rPr>
        <w:t>elu i przedmiotu zamówienia - 10</w:t>
      </w:r>
      <w:r w:rsidRPr="003B0E64">
        <w:rPr>
          <w:rFonts w:ascii="Arial" w:hAnsi="Arial" w:cs="Arial"/>
          <w:sz w:val="20"/>
          <w:szCs w:val="20"/>
        </w:rPr>
        <w:t xml:space="preserve"> pkt.</w:t>
      </w:r>
    </w:p>
    <w:p w:rsidR="00EE7018" w:rsidRPr="007D3684" w:rsidRDefault="00EE7018" w:rsidP="00EE70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7018" w:rsidRDefault="00EE7018" w:rsidP="00EE70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7018" w:rsidRPr="00CF66F9" w:rsidRDefault="00EE7018" w:rsidP="00D90ECD">
      <w:pPr>
        <w:pStyle w:val="Akapitzlist"/>
        <w:numPr>
          <w:ilvl w:val="0"/>
          <w:numId w:val="37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F66F9">
        <w:rPr>
          <w:rFonts w:ascii="Arial" w:hAnsi="Arial" w:cs="Arial"/>
          <w:b/>
          <w:sz w:val="20"/>
          <w:szCs w:val="20"/>
        </w:rPr>
        <w:t>Cena</w:t>
      </w:r>
      <w:r w:rsidRPr="00CF66F9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F66F9">
        <w:rPr>
          <w:rFonts w:ascii="Arial" w:hAnsi="Arial" w:cs="Arial"/>
          <w:b/>
          <w:sz w:val="20"/>
          <w:szCs w:val="20"/>
          <w:lang w:val="en-GB"/>
        </w:rPr>
        <w:t>brutto</w:t>
      </w:r>
      <w:proofErr w:type="spellEnd"/>
      <w:r w:rsidRPr="00CF66F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D90ECD">
        <w:rPr>
          <w:rFonts w:ascii="Arial" w:hAnsi="Arial" w:cs="Arial"/>
          <w:b/>
          <w:sz w:val="20"/>
          <w:szCs w:val="20"/>
          <w:lang w:val="en-GB"/>
        </w:rPr>
        <w:t xml:space="preserve">– max 40 </w:t>
      </w:r>
      <w:proofErr w:type="spellStart"/>
      <w:r w:rsidR="00D90ECD">
        <w:rPr>
          <w:rFonts w:ascii="Arial" w:hAnsi="Arial" w:cs="Arial"/>
          <w:b/>
          <w:sz w:val="20"/>
          <w:szCs w:val="20"/>
          <w:lang w:val="en-GB"/>
        </w:rPr>
        <w:t>pkt</w:t>
      </w:r>
      <w:proofErr w:type="spellEnd"/>
    </w:p>
    <w:p w:rsidR="00EE7018" w:rsidRPr="00973FEE" w:rsidRDefault="00EE7018" w:rsidP="00EE7018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EE7018" w:rsidRPr="00973FEE" w:rsidRDefault="00EE7018" w:rsidP="00EE7018">
      <w:pPr>
        <w:pStyle w:val="Akapitzlist"/>
        <w:spacing w:after="120" w:line="26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Punkty w kryterium </w:t>
      </w:r>
      <w:r w:rsidRPr="00973FEE">
        <w:rPr>
          <w:rFonts w:ascii="Arial" w:hAnsi="Arial" w:cs="Arial"/>
          <w:b/>
          <w:sz w:val="20"/>
          <w:szCs w:val="20"/>
        </w:rPr>
        <w:t>„Cena”</w:t>
      </w:r>
      <w:r w:rsidRPr="00973FEE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EE7018" w:rsidRPr="00973FEE" w:rsidRDefault="00EE7018" w:rsidP="00EE7018">
      <w:pPr>
        <w:pStyle w:val="Akapitzlist"/>
        <w:spacing w:after="120" w:line="260" w:lineRule="exact"/>
        <w:jc w:val="both"/>
        <w:rPr>
          <w:rFonts w:ascii="Arial" w:hAnsi="Arial" w:cs="Arial"/>
          <w:sz w:val="20"/>
          <w:szCs w:val="20"/>
        </w:rPr>
      </w:pPr>
    </w:p>
    <w:p w:rsidR="00EE7018" w:rsidRPr="00973FEE" w:rsidRDefault="00EE7018" w:rsidP="00EE7018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Cena oferty najtańszej</w:t>
      </w:r>
    </w:p>
    <w:p w:rsidR="00EE7018" w:rsidRPr="00973FEE" w:rsidRDefault="00EE7018" w:rsidP="00EE7018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-----</w:t>
      </w:r>
      <w:r>
        <w:rPr>
          <w:rFonts w:ascii="Arial" w:hAnsi="Arial" w:cs="Arial"/>
          <w:sz w:val="20"/>
          <w:szCs w:val="20"/>
        </w:rPr>
        <w:t xml:space="preserve">--------------------------   x </w:t>
      </w:r>
      <w:r w:rsidR="0016795E">
        <w:rPr>
          <w:rFonts w:ascii="Arial" w:hAnsi="Arial" w:cs="Arial"/>
          <w:sz w:val="20"/>
          <w:szCs w:val="20"/>
        </w:rPr>
        <w:t>4</w:t>
      </w:r>
      <w:r w:rsidRPr="00973FEE">
        <w:rPr>
          <w:rFonts w:ascii="Arial" w:hAnsi="Arial" w:cs="Arial"/>
          <w:sz w:val="20"/>
          <w:szCs w:val="20"/>
        </w:rPr>
        <w:t>0 = liczba punktów</w:t>
      </w:r>
    </w:p>
    <w:p w:rsidR="00EE7018" w:rsidRPr="00973FEE" w:rsidRDefault="00EE7018" w:rsidP="00EE7018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Cena oferty badanej</w:t>
      </w:r>
    </w:p>
    <w:p w:rsidR="00EE7018" w:rsidRPr="00973FEE" w:rsidRDefault="00EE7018" w:rsidP="00EE7018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</w:p>
    <w:p w:rsidR="00EE7018" w:rsidRPr="00973FEE" w:rsidRDefault="00EE7018" w:rsidP="00EE7018">
      <w:pPr>
        <w:pStyle w:val="Akapitzlis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FEE">
        <w:rPr>
          <w:rFonts w:ascii="Arial" w:hAnsi="Arial" w:cs="Arial"/>
          <w:color w:val="000000" w:themeColor="text1"/>
          <w:sz w:val="20"/>
          <w:szCs w:val="20"/>
        </w:rPr>
        <w:lastRenderedPageBreak/>
        <w:t>Końcowy wynik powyższego działania zostanie zaokrąglony do dwóch miejsc po przecinku.</w:t>
      </w:r>
    </w:p>
    <w:p w:rsidR="00816D03" w:rsidRDefault="00EE7018" w:rsidP="003B0E64">
      <w:pPr>
        <w:tabs>
          <w:tab w:val="num" w:pos="-1701"/>
          <w:tab w:val="num" w:pos="5040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W ramach kryterium „cena”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Wykonawca może uzyskać </w:t>
      </w:r>
      <w:r w:rsidRPr="001665B6">
        <w:rPr>
          <w:rFonts w:ascii="Arial" w:eastAsia="Times New Roman" w:hAnsi="Arial" w:cs="Arial"/>
          <w:sz w:val="20"/>
          <w:szCs w:val="20"/>
          <w:u w:val="single"/>
          <w:lang w:eastAsia="pl-PL"/>
        </w:rPr>
        <w:t>łącznie 40 pkt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81678" w:rsidRPr="003B0E64" w:rsidRDefault="00981678" w:rsidP="003B0E64">
      <w:pPr>
        <w:tabs>
          <w:tab w:val="num" w:pos="-1701"/>
          <w:tab w:val="num" w:pos="5040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56BD5" w:rsidRPr="00981678" w:rsidRDefault="00656BD5" w:rsidP="00D90ECD">
      <w:pPr>
        <w:pStyle w:val="Akapitzlist"/>
        <w:numPr>
          <w:ilvl w:val="0"/>
          <w:numId w:val="37"/>
        </w:numPr>
        <w:tabs>
          <w:tab w:val="left" w:pos="8789"/>
        </w:tabs>
        <w:ind w:right="282"/>
        <w:jc w:val="both"/>
        <w:rPr>
          <w:rFonts w:ascii="Arial" w:hAnsi="Arial" w:cs="Arial"/>
          <w:b/>
          <w:sz w:val="20"/>
          <w:szCs w:val="20"/>
        </w:rPr>
      </w:pPr>
      <w:r w:rsidRPr="00981678">
        <w:rPr>
          <w:rFonts w:ascii="Arial" w:hAnsi="Arial" w:cs="Arial"/>
          <w:b/>
          <w:sz w:val="20"/>
          <w:szCs w:val="20"/>
        </w:rPr>
        <w:t>Spójność koncepcji realizacji zlecenia oraz plan prac</w:t>
      </w:r>
      <w:r w:rsidR="00F41B23">
        <w:rPr>
          <w:rFonts w:ascii="Arial" w:hAnsi="Arial" w:cs="Arial"/>
          <w:b/>
          <w:sz w:val="20"/>
          <w:szCs w:val="20"/>
        </w:rPr>
        <w:t>y</w:t>
      </w:r>
      <w:r w:rsidRPr="00981678">
        <w:rPr>
          <w:rFonts w:ascii="Arial" w:hAnsi="Arial" w:cs="Arial"/>
          <w:b/>
          <w:sz w:val="20"/>
          <w:szCs w:val="20"/>
        </w:rPr>
        <w:t xml:space="preserve"> – </w:t>
      </w:r>
      <w:r w:rsidRPr="0021032A">
        <w:rPr>
          <w:rFonts w:ascii="Arial" w:hAnsi="Arial" w:cs="Arial"/>
          <w:b/>
          <w:sz w:val="20"/>
          <w:szCs w:val="20"/>
        </w:rPr>
        <w:t xml:space="preserve">max </w:t>
      </w:r>
      <w:r w:rsidR="00981678" w:rsidRPr="0021032A">
        <w:rPr>
          <w:rFonts w:ascii="Arial" w:hAnsi="Arial" w:cs="Arial"/>
          <w:b/>
          <w:sz w:val="20"/>
          <w:szCs w:val="20"/>
        </w:rPr>
        <w:t>1</w:t>
      </w:r>
      <w:r w:rsidR="0016795E" w:rsidRPr="0021032A">
        <w:rPr>
          <w:rFonts w:ascii="Arial" w:hAnsi="Arial" w:cs="Arial"/>
          <w:b/>
          <w:sz w:val="20"/>
          <w:szCs w:val="20"/>
        </w:rPr>
        <w:t>0</w:t>
      </w:r>
      <w:r w:rsidRPr="0021032A">
        <w:rPr>
          <w:rFonts w:ascii="Arial" w:hAnsi="Arial" w:cs="Arial"/>
          <w:b/>
          <w:sz w:val="20"/>
          <w:szCs w:val="20"/>
        </w:rPr>
        <w:t xml:space="preserve"> pkt</w:t>
      </w:r>
      <w:r w:rsidRPr="00981678">
        <w:rPr>
          <w:rFonts w:ascii="Arial" w:hAnsi="Arial" w:cs="Arial"/>
          <w:b/>
          <w:sz w:val="20"/>
          <w:szCs w:val="20"/>
        </w:rPr>
        <w:t xml:space="preserve"> </w:t>
      </w:r>
    </w:p>
    <w:p w:rsidR="005D318A" w:rsidRDefault="005D318A" w:rsidP="00656BD5">
      <w:pPr>
        <w:tabs>
          <w:tab w:val="left" w:pos="8789"/>
        </w:tabs>
        <w:ind w:left="567" w:right="282"/>
        <w:contextualSpacing/>
        <w:jc w:val="both"/>
        <w:rPr>
          <w:rFonts w:ascii="Arial" w:hAnsi="Arial" w:cs="Arial"/>
          <w:sz w:val="20"/>
          <w:szCs w:val="20"/>
        </w:rPr>
      </w:pPr>
      <w:r w:rsidRPr="005D318A">
        <w:rPr>
          <w:rFonts w:ascii="Arial" w:hAnsi="Arial" w:cs="Arial"/>
          <w:sz w:val="20"/>
          <w:szCs w:val="20"/>
        </w:rPr>
        <w:t>Koncepcja realizacji zamówienia musi uwzględniać specyfikę oraz charakter działań służących opracowaniu przedmiotowego przewodnika, a także obrazować</w:t>
      </w:r>
      <w:r w:rsidR="001665B6">
        <w:rPr>
          <w:rFonts w:ascii="Arial" w:hAnsi="Arial" w:cs="Arial"/>
          <w:sz w:val="20"/>
          <w:szCs w:val="20"/>
        </w:rPr>
        <w:t>,</w:t>
      </w:r>
      <w:r w:rsidRPr="005D318A">
        <w:rPr>
          <w:rFonts w:ascii="Arial" w:hAnsi="Arial" w:cs="Arial"/>
          <w:sz w:val="20"/>
          <w:szCs w:val="20"/>
        </w:rPr>
        <w:t xml:space="preserve"> w jaki sposób Wykonawca zamierza osiągnąć cele zadane w zamówieniu.</w:t>
      </w:r>
    </w:p>
    <w:p w:rsidR="005D318A" w:rsidRDefault="005D318A" w:rsidP="00656BD5">
      <w:pPr>
        <w:tabs>
          <w:tab w:val="left" w:pos="8789"/>
        </w:tabs>
        <w:ind w:left="567" w:right="282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p w:rsidR="005D318A" w:rsidRDefault="00656BD5" w:rsidP="005D318A">
      <w:pPr>
        <w:tabs>
          <w:tab w:val="left" w:pos="8789"/>
        </w:tabs>
        <w:ind w:left="567" w:right="282"/>
        <w:contextualSpacing/>
        <w:jc w:val="both"/>
        <w:rPr>
          <w:rFonts w:ascii="Arial" w:hAnsi="Arial" w:cs="Arial"/>
          <w:sz w:val="20"/>
          <w:szCs w:val="20"/>
        </w:rPr>
      </w:pPr>
      <w:r w:rsidRPr="005D318A">
        <w:rPr>
          <w:rFonts w:ascii="Arial" w:hAnsi="Arial" w:cs="Arial"/>
          <w:sz w:val="20"/>
          <w:szCs w:val="20"/>
        </w:rPr>
        <w:t xml:space="preserve">Sposób punktacji: </w:t>
      </w:r>
    </w:p>
    <w:p w:rsidR="005D318A" w:rsidRDefault="00656BD5" w:rsidP="005D318A">
      <w:pPr>
        <w:tabs>
          <w:tab w:val="left" w:pos="8789"/>
        </w:tabs>
        <w:ind w:left="567" w:right="282"/>
        <w:jc w:val="both"/>
        <w:rPr>
          <w:rFonts w:ascii="Arial" w:hAnsi="Arial" w:cs="Arial"/>
          <w:sz w:val="20"/>
          <w:szCs w:val="20"/>
        </w:rPr>
      </w:pPr>
      <w:r w:rsidRPr="005D318A">
        <w:rPr>
          <w:rFonts w:ascii="Arial" w:hAnsi="Arial" w:cs="Arial"/>
          <w:sz w:val="20"/>
          <w:szCs w:val="20"/>
        </w:rPr>
        <w:t xml:space="preserve">Ocenie podlegać będzie czy zaproponowana koncepcja realizacji zlecenia jest czytelna, logiczna i spójna, a plan pracy posiada </w:t>
      </w:r>
      <w:r w:rsidR="005D318A">
        <w:rPr>
          <w:rFonts w:ascii="Arial" w:hAnsi="Arial" w:cs="Arial"/>
          <w:sz w:val="20"/>
          <w:szCs w:val="20"/>
        </w:rPr>
        <w:t>realne i jasno określone etapy:</w:t>
      </w:r>
    </w:p>
    <w:p w:rsidR="005D318A" w:rsidRDefault="005D318A" w:rsidP="005D318A">
      <w:pPr>
        <w:tabs>
          <w:tab w:val="left" w:pos="8789"/>
        </w:tabs>
        <w:spacing w:after="0"/>
        <w:ind w:left="567"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56BD5" w:rsidRPr="005D318A">
        <w:rPr>
          <w:rFonts w:ascii="Arial" w:hAnsi="Arial" w:cs="Arial"/>
          <w:sz w:val="20"/>
          <w:szCs w:val="20"/>
        </w:rPr>
        <w:t xml:space="preserve">0 pkt – w ogóle/w niewielkim stopniu; </w:t>
      </w:r>
    </w:p>
    <w:p w:rsidR="005D318A" w:rsidRDefault="005D318A" w:rsidP="005D318A">
      <w:pPr>
        <w:tabs>
          <w:tab w:val="left" w:pos="8789"/>
        </w:tabs>
        <w:spacing w:after="0"/>
        <w:ind w:left="567"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D318A">
        <w:rPr>
          <w:rFonts w:ascii="Arial" w:hAnsi="Arial" w:cs="Arial"/>
          <w:sz w:val="20"/>
          <w:szCs w:val="20"/>
        </w:rPr>
        <w:t>5</w:t>
      </w:r>
      <w:r w:rsidR="00656BD5" w:rsidRPr="005D318A">
        <w:rPr>
          <w:rFonts w:ascii="Arial" w:hAnsi="Arial" w:cs="Arial"/>
          <w:sz w:val="20"/>
          <w:szCs w:val="20"/>
        </w:rPr>
        <w:t xml:space="preserve"> pkt – w wystarczającym stopniu; </w:t>
      </w:r>
    </w:p>
    <w:p w:rsidR="00656BD5" w:rsidRPr="005D318A" w:rsidRDefault="005D318A" w:rsidP="005D318A">
      <w:pPr>
        <w:tabs>
          <w:tab w:val="left" w:pos="8789"/>
        </w:tabs>
        <w:spacing w:after="0"/>
        <w:ind w:left="567"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D318A">
        <w:rPr>
          <w:rFonts w:ascii="Arial" w:hAnsi="Arial" w:cs="Arial"/>
          <w:sz w:val="20"/>
          <w:szCs w:val="20"/>
        </w:rPr>
        <w:t>10</w:t>
      </w:r>
      <w:r w:rsidR="00656BD5" w:rsidRPr="005D318A">
        <w:rPr>
          <w:rFonts w:ascii="Arial" w:hAnsi="Arial" w:cs="Arial"/>
          <w:sz w:val="20"/>
          <w:szCs w:val="20"/>
        </w:rPr>
        <w:t xml:space="preserve"> pkt – w bardzo dobrym </w:t>
      </w:r>
      <w:r w:rsidRPr="005D318A">
        <w:rPr>
          <w:rFonts w:ascii="Arial" w:hAnsi="Arial" w:cs="Arial"/>
          <w:sz w:val="20"/>
          <w:szCs w:val="20"/>
        </w:rPr>
        <w:t>stopniu</w:t>
      </w:r>
      <w:r w:rsidR="00656BD5" w:rsidRPr="005D318A">
        <w:rPr>
          <w:rFonts w:ascii="Arial" w:hAnsi="Arial" w:cs="Arial"/>
          <w:sz w:val="20"/>
          <w:szCs w:val="20"/>
        </w:rPr>
        <w:t>.</w:t>
      </w:r>
    </w:p>
    <w:p w:rsidR="00656BD5" w:rsidRPr="00F41B23" w:rsidRDefault="00656BD5" w:rsidP="00656BD5">
      <w:pPr>
        <w:pStyle w:val="Akapitzlist"/>
        <w:tabs>
          <w:tab w:val="left" w:pos="8789"/>
        </w:tabs>
        <w:ind w:left="993" w:right="282"/>
        <w:jc w:val="both"/>
        <w:rPr>
          <w:rFonts w:ascii="Arial" w:hAnsi="Arial" w:cs="Arial"/>
          <w:sz w:val="20"/>
          <w:szCs w:val="20"/>
          <w:highlight w:val="yellow"/>
        </w:rPr>
      </w:pPr>
    </w:p>
    <w:p w:rsidR="008574B7" w:rsidRDefault="008574B7" w:rsidP="008574B7">
      <w:pPr>
        <w:pStyle w:val="1pkt"/>
        <w:numPr>
          <w:ilvl w:val="0"/>
          <w:numId w:val="33"/>
        </w:numPr>
      </w:pPr>
      <w:r>
        <w:t>Opis sposobu przygotowania ofert</w:t>
      </w:r>
    </w:p>
    <w:p w:rsidR="008574B7" w:rsidRDefault="008574B7" w:rsidP="00D96A67">
      <w:pPr>
        <w:pStyle w:val="Nagwek3"/>
        <w:keepNext w:val="0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274951">
        <w:rPr>
          <w:rFonts w:ascii="Arial" w:hAnsi="Arial" w:cs="Arial"/>
          <w:b w:val="0"/>
          <w:sz w:val="20"/>
          <w:szCs w:val="20"/>
        </w:rPr>
        <w:t>Złożona oferta musi odpowiadać</w:t>
      </w:r>
      <w:r>
        <w:rPr>
          <w:rFonts w:ascii="Arial" w:hAnsi="Arial" w:cs="Arial"/>
          <w:b w:val="0"/>
          <w:sz w:val="20"/>
          <w:szCs w:val="20"/>
        </w:rPr>
        <w:t xml:space="preserve"> treści niniejszego zaproszenia o</w:t>
      </w:r>
      <w:r w:rsidRPr="00274951">
        <w:rPr>
          <w:rFonts w:ascii="Arial" w:hAnsi="Arial" w:cs="Arial"/>
          <w:b w:val="0"/>
          <w:sz w:val="20"/>
          <w:szCs w:val="20"/>
        </w:rPr>
        <w:t>fertowego</w:t>
      </w:r>
      <w:r>
        <w:rPr>
          <w:rFonts w:ascii="Arial" w:hAnsi="Arial" w:cs="Arial"/>
          <w:b w:val="0"/>
          <w:sz w:val="20"/>
          <w:szCs w:val="20"/>
        </w:rPr>
        <w:t>.</w:t>
      </w:r>
    </w:p>
    <w:p w:rsidR="008574B7" w:rsidRPr="00274951" w:rsidRDefault="008574B7" w:rsidP="00D96A67">
      <w:pPr>
        <w:pStyle w:val="Nagwek3"/>
        <w:keepNext w:val="0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274951">
        <w:rPr>
          <w:rFonts w:ascii="Arial" w:hAnsi="Arial" w:cs="Arial"/>
          <w:b w:val="0"/>
          <w:sz w:val="20"/>
          <w:szCs w:val="20"/>
        </w:rPr>
        <w:t>Ofertę stanowi:</w:t>
      </w:r>
    </w:p>
    <w:p w:rsidR="008574B7" w:rsidRDefault="008574B7" w:rsidP="00D96A67">
      <w:pPr>
        <w:pStyle w:val="Nagwek3"/>
        <w:keepNext w:val="0"/>
        <w:numPr>
          <w:ilvl w:val="0"/>
          <w:numId w:val="36"/>
        </w:numPr>
        <w:tabs>
          <w:tab w:val="left" w:pos="567"/>
        </w:tabs>
        <w:spacing w:line="276" w:lineRule="auto"/>
        <w:ind w:left="851"/>
        <w:jc w:val="both"/>
        <w:rPr>
          <w:rFonts w:ascii="Arial" w:hAnsi="Arial" w:cs="Arial"/>
          <w:b w:val="0"/>
          <w:sz w:val="20"/>
          <w:szCs w:val="20"/>
        </w:rPr>
      </w:pPr>
      <w:r w:rsidRPr="00274951">
        <w:rPr>
          <w:rFonts w:ascii="Arial" w:hAnsi="Arial" w:cs="Arial"/>
          <w:b w:val="0"/>
          <w:sz w:val="20"/>
          <w:szCs w:val="20"/>
        </w:rPr>
        <w:t>Wypełniony Formularz of</w:t>
      </w:r>
      <w:r>
        <w:rPr>
          <w:rFonts w:ascii="Arial" w:hAnsi="Arial" w:cs="Arial"/>
          <w:b w:val="0"/>
          <w:sz w:val="20"/>
          <w:szCs w:val="20"/>
        </w:rPr>
        <w:t>erty sporządzony zgodnie z zał. 1 do zaproszenia o</w:t>
      </w:r>
      <w:r w:rsidRPr="00274951">
        <w:rPr>
          <w:rFonts w:ascii="Arial" w:hAnsi="Arial" w:cs="Arial"/>
          <w:b w:val="0"/>
          <w:sz w:val="20"/>
          <w:szCs w:val="20"/>
        </w:rPr>
        <w:t>fertowego</w:t>
      </w:r>
      <w:r>
        <w:rPr>
          <w:rFonts w:ascii="Arial" w:hAnsi="Arial" w:cs="Arial"/>
          <w:b w:val="0"/>
          <w:sz w:val="20"/>
          <w:szCs w:val="20"/>
        </w:rPr>
        <w:t>.</w:t>
      </w:r>
    </w:p>
    <w:p w:rsidR="008574B7" w:rsidRDefault="008574B7" w:rsidP="00D96A67">
      <w:pPr>
        <w:pStyle w:val="Nagwek3"/>
        <w:keepNext w:val="0"/>
        <w:numPr>
          <w:ilvl w:val="0"/>
          <w:numId w:val="36"/>
        </w:numPr>
        <w:tabs>
          <w:tab w:val="left" w:pos="567"/>
        </w:tabs>
        <w:spacing w:line="276" w:lineRule="auto"/>
        <w:ind w:left="851"/>
        <w:jc w:val="both"/>
        <w:rPr>
          <w:rFonts w:ascii="Arial" w:hAnsi="Arial" w:cs="Arial"/>
          <w:b w:val="0"/>
          <w:sz w:val="20"/>
          <w:szCs w:val="20"/>
        </w:rPr>
      </w:pPr>
      <w:r w:rsidRPr="00274951">
        <w:rPr>
          <w:rFonts w:ascii="Arial" w:hAnsi="Arial" w:cs="Arial"/>
          <w:b w:val="0"/>
          <w:sz w:val="20"/>
          <w:szCs w:val="20"/>
        </w:rPr>
        <w:t xml:space="preserve">Wykaz osób. Wzór wykazu stanowi załącznik nr </w:t>
      </w:r>
      <w:r>
        <w:rPr>
          <w:rFonts w:ascii="Arial" w:hAnsi="Arial" w:cs="Arial"/>
          <w:b w:val="0"/>
          <w:sz w:val="20"/>
          <w:szCs w:val="20"/>
        </w:rPr>
        <w:t>2</w:t>
      </w:r>
      <w:r w:rsidRPr="00274951">
        <w:rPr>
          <w:rFonts w:ascii="Arial" w:hAnsi="Arial" w:cs="Arial"/>
          <w:b w:val="0"/>
          <w:sz w:val="20"/>
          <w:szCs w:val="20"/>
        </w:rPr>
        <w:t xml:space="preserve"> do </w:t>
      </w:r>
      <w:r>
        <w:rPr>
          <w:rFonts w:ascii="Arial" w:hAnsi="Arial" w:cs="Arial"/>
          <w:b w:val="0"/>
          <w:sz w:val="20"/>
          <w:szCs w:val="20"/>
        </w:rPr>
        <w:t xml:space="preserve">zaproszenia </w:t>
      </w:r>
      <w:r w:rsidRPr="00274951">
        <w:rPr>
          <w:rFonts w:ascii="Arial" w:hAnsi="Arial" w:cs="Arial"/>
          <w:b w:val="0"/>
          <w:sz w:val="20"/>
          <w:szCs w:val="20"/>
        </w:rPr>
        <w:t>ofertowego</w:t>
      </w:r>
      <w:r>
        <w:rPr>
          <w:rFonts w:ascii="Arial" w:hAnsi="Arial" w:cs="Arial"/>
          <w:b w:val="0"/>
          <w:sz w:val="20"/>
          <w:szCs w:val="20"/>
        </w:rPr>
        <w:t>.</w:t>
      </w:r>
    </w:p>
    <w:p w:rsidR="008574B7" w:rsidRPr="00564584" w:rsidRDefault="008574B7" w:rsidP="00D96A67">
      <w:pPr>
        <w:pStyle w:val="Nagwek3"/>
        <w:keepNext w:val="0"/>
        <w:numPr>
          <w:ilvl w:val="0"/>
          <w:numId w:val="36"/>
        </w:numPr>
        <w:tabs>
          <w:tab w:val="left" w:pos="567"/>
        </w:tabs>
        <w:spacing w:line="276" w:lineRule="auto"/>
        <w:ind w:left="851"/>
        <w:jc w:val="both"/>
        <w:rPr>
          <w:rFonts w:ascii="Arial" w:hAnsi="Arial" w:cs="Arial"/>
          <w:b w:val="0"/>
          <w:sz w:val="20"/>
          <w:szCs w:val="20"/>
        </w:rPr>
      </w:pPr>
      <w:r w:rsidRPr="00564584">
        <w:rPr>
          <w:rFonts w:ascii="Helvetica" w:hAnsi="Helvetica" w:cs="Helvetica"/>
          <w:b w:val="0"/>
          <w:sz w:val="20"/>
          <w:szCs w:val="20"/>
        </w:rPr>
        <w:t xml:space="preserve">Przedłożona </w:t>
      </w:r>
      <w:r w:rsidRPr="00564584">
        <w:rPr>
          <w:rFonts w:ascii="Arial" w:hAnsi="Arial" w:cs="Arial"/>
          <w:b w:val="0"/>
          <w:sz w:val="20"/>
          <w:szCs w:val="20"/>
        </w:rPr>
        <w:t>koncepcja realizacji zamówienia</w:t>
      </w:r>
      <w:r>
        <w:rPr>
          <w:rFonts w:ascii="Arial" w:hAnsi="Arial" w:cs="Arial"/>
          <w:b w:val="0"/>
          <w:sz w:val="20"/>
          <w:szCs w:val="20"/>
        </w:rPr>
        <w:t>. Koncepcja</w:t>
      </w:r>
      <w:r w:rsidRPr="00564584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musi zwierać </w:t>
      </w:r>
      <w:r w:rsidRPr="00564584">
        <w:rPr>
          <w:rFonts w:ascii="Arial" w:hAnsi="Arial" w:cs="Arial"/>
          <w:b w:val="0"/>
          <w:sz w:val="20"/>
          <w:szCs w:val="20"/>
        </w:rPr>
        <w:t>wszystkie elementy ujęte w</w:t>
      </w:r>
      <w:r>
        <w:rPr>
          <w:rFonts w:ascii="Arial" w:hAnsi="Arial" w:cs="Arial"/>
          <w:b w:val="0"/>
          <w:sz w:val="20"/>
          <w:szCs w:val="20"/>
        </w:rPr>
        <w:t xml:space="preserve"> zaproszeniu do składania ofert podlegające ocenie</w:t>
      </w:r>
      <w:r w:rsidR="00F41B23">
        <w:rPr>
          <w:rFonts w:ascii="Arial" w:hAnsi="Arial" w:cs="Arial"/>
          <w:b w:val="0"/>
          <w:sz w:val="20"/>
          <w:szCs w:val="20"/>
        </w:rPr>
        <w:t>.</w:t>
      </w:r>
    </w:p>
    <w:p w:rsidR="008574B7" w:rsidRDefault="008574B7" w:rsidP="00D96A67">
      <w:pPr>
        <w:pStyle w:val="Nagwek3"/>
        <w:keepNext w:val="0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274951">
        <w:rPr>
          <w:rFonts w:ascii="Arial" w:hAnsi="Arial" w:cs="Arial"/>
          <w:b w:val="0"/>
          <w:sz w:val="20"/>
          <w:szCs w:val="20"/>
        </w:rPr>
        <w:t>Oferta wraz z załącznikami musi być podpisana przez osobę upoważnio</w:t>
      </w:r>
      <w:r>
        <w:rPr>
          <w:rFonts w:ascii="Arial" w:hAnsi="Arial" w:cs="Arial"/>
          <w:b w:val="0"/>
          <w:sz w:val="20"/>
          <w:szCs w:val="20"/>
        </w:rPr>
        <w:t>ną do reprezentowania Wykonawcy</w:t>
      </w:r>
      <w:r w:rsidRPr="00274951">
        <w:rPr>
          <w:rFonts w:ascii="Arial" w:hAnsi="Arial" w:cs="Arial"/>
          <w:b w:val="0"/>
          <w:sz w:val="20"/>
          <w:szCs w:val="20"/>
        </w:rPr>
        <w:t>, zgodnie z formą reprezentacji Wykonawcy określoną we właściwym dla formy organizacyjnej Wykonawcy, rejestre</w:t>
      </w:r>
      <w:r w:rsidR="008A19DB">
        <w:rPr>
          <w:rFonts w:ascii="Arial" w:hAnsi="Arial" w:cs="Arial"/>
          <w:b w:val="0"/>
          <w:sz w:val="20"/>
          <w:szCs w:val="20"/>
        </w:rPr>
        <w:t>m lub zgodnie z pełnomocnictwem.</w:t>
      </w:r>
    </w:p>
    <w:p w:rsidR="008574B7" w:rsidRPr="00F41B23" w:rsidRDefault="008A19DB" w:rsidP="00D96A67">
      <w:pPr>
        <w:pStyle w:val="Nagwek3"/>
        <w:keepNext w:val="0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274951">
        <w:rPr>
          <w:rFonts w:ascii="Arial" w:hAnsi="Arial" w:cs="Arial"/>
          <w:b w:val="0"/>
          <w:sz w:val="20"/>
          <w:szCs w:val="20"/>
        </w:rPr>
        <w:t>Oferty złożone po terminie nie będą rozpatrywane</w:t>
      </w:r>
      <w:r>
        <w:rPr>
          <w:rFonts w:ascii="Arial" w:hAnsi="Arial" w:cs="Arial"/>
          <w:b w:val="0"/>
          <w:sz w:val="20"/>
          <w:szCs w:val="20"/>
        </w:rPr>
        <w:t>.</w:t>
      </w:r>
    </w:p>
    <w:p w:rsidR="008A19DB" w:rsidRPr="008574B7" w:rsidRDefault="008A19DB" w:rsidP="008574B7">
      <w:pPr>
        <w:rPr>
          <w:lang w:eastAsia="pl-PL"/>
        </w:rPr>
      </w:pPr>
    </w:p>
    <w:p w:rsidR="004E4B0B" w:rsidRDefault="004E4B0B" w:rsidP="00FE5284">
      <w:pPr>
        <w:pStyle w:val="1pkt"/>
        <w:numPr>
          <w:ilvl w:val="0"/>
          <w:numId w:val="33"/>
        </w:numPr>
      </w:pPr>
      <w:r>
        <w:t>Wybór najkorzystniejszej ofert</w:t>
      </w:r>
    </w:p>
    <w:p w:rsidR="004E4B0B" w:rsidRPr="004E4B0B" w:rsidRDefault="004E4B0B" w:rsidP="00CC586B">
      <w:pPr>
        <w:pStyle w:val="1pkt"/>
        <w:shd w:val="clear" w:color="auto" w:fill="auto"/>
        <w:ind w:left="709" w:hanging="425"/>
        <w:rPr>
          <w:b w:val="0"/>
        </w:rPr>
      </w:pPr>
      <w:r w:rsidRPr="004E4B0B">
        <w:rPr>
          <w:b w:val="0"/>
        </w:rPr>
        <w:t>1.</w:t>
      </w:r>
      <w:r w:rsidRPr="004E4B0B">
        <w:rPr>
          <w:b w:val="0"/>
        </w:rPr>
        <w:tab/>
      </w:r>
      <w:r w:rsidR="00AD031C">
        <w:rPr>
          <w:b w:val="0"/>
        </w:rPr>
        <w:t>Za ofertę najkorzystniejszą</w:t>
      </w:r>
      <w:r w:rsidRPr="004E4B0B">
        <w:rPr>
          <w:b w:val="0"/>
        </w:rPr>
        <w:t xml:space="preserve"> uznana zostanie oferta, która </w:t>
      </w:r>
      <w:r w:rsidR="00AD031C">
        <w:rPr>
          <w:b w:val="0"/>
        </w:rPr>
        <w:t>jest zgodna z wymaganiami Z</w:t>
      </w:r>
      <w:r w:rsidR="00E05A26">
        <w:rPr>
          <w:b w:val="0"/>
        </w:rPr>
        <w:t>amawiającego</w:t>
      </w:r>
      <w:r w:rsidRPr="004E4B0B">
        <w:rPr>
          <w:b w:val="0"/>
        </w:rPr>
        <w:t xml:space="preserve">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kosztowym. </w:t>
      </w:r>
    </w:p>
    <w:p w:rsidR="004E4B0B" w:rsidRPr="004E4B0B" w:rsidRDefault="004E4B0B" w:rsidP="00CC586B">
      <w:pPr>
        <w:pStyle w:val="1pkt"/>
        <w:shd w:val="clear" w:color="auto" w:fill="auto"/>
        <w:ind w:left="709" w:hanging="425"/>
        <w:rPr>
          <w:b w:val="0"/>
        </w:rPr>
      </w:pPr>
      <w:r w:rsidRPr="004E4B0B">
        <w:rPr>
          <w:b w:val="0"/>
        </w:rPr>
        <w:t>2.</w:t>
      </w:r>
      <w:r w:rsidRPr="004E4B0B">
        <w:rPr>
          <w:b w:val="0"/>
        </w:rPr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:rsidR="004E4B0B" w:rsidRDefault="004E4B0B" w:rsidP="00CC586B">
      <w:pPr>
        <w:pStyle w:val="1pkt"/>
        <w:shd w:val="clear" w:color="auto" w:fill="auto"/>
        <w:ind w:left="709" w:hanging="425"/>
        <w:rPr>
          <w:b w:val="0"/>
        </w:rPr>
      </w:pPr>
      <w:r w:rsidRPr="004E4B0B">
        <w:rPr>
          <w:b w:val="0"/>
        </w:rPr>
        <w:t>3.</w:t>
      </w:r>
      <w:r w:rsidRPr="004E4B0B">
        <w:rPr>
          <w:b w:val="0"/>
        </w:rPr>
        <w:tab/>
        <w:t>Zamawiający zastrzega sobie prawo do rezygnacji z Zamówienia</w:t>
      </w:r>
      <w:r w:rsidR="00E05A26">
        <w:rPr>
          <w:b w:val="0"/>
        </w:rPr>
        <w:t xml:space="preserve"> lub prowadzenia postępowania</w:t>
      </w:r>
      <w:r w:rsidRPr="004E4B0B">
        <w:rPr>
          <w:b w:val="0"/>
        </w:rPr>
        <w:t xml:space="preserve"> bez wyboru którejkolwiek ze złożonych ofert.</w:t>
      </w:r>
    </w:p>
    <w:p w:rsidR="004E4B0B" w:rsidRPr="004E4B0B" w:rsidRDefault="004E4B0B" w:rsidP="004E4B0B">
      <w:pPr>
        <w:pStyle w:val="1pkt"/>
        <w:shd w:val="clear" w:color="auto" w:fill="auto"/>
        <w:rPr>
          <w:b w:val="0"/>
        </w:rPr>
      </w:pPr>
    </w:p>
    <w:p w:rsidR="00DF08A7" w:rsidRDefault="00DF08A7" w:rsidP="00FE5284">
      <w:pPr>
        <w:pStyle w:val="1pkt"/>
        <w:numPr>
          <w:ilvl w:val="0"/>
          <w:numId w:val="33"/>
        </w:numPr>
      </w:pPr>
      <w:r>
        <w:t>Termin realizacji zamówienia:</w:t>
      </w:r>
    </w:p>
    <w:p w:rsidR="00060ADB" w:rsidRDefault="00AC01CB" w:rsidP="00060ADB">
      <w:pPr>
        <w:tabs>
          <w:tab w:val="left" w:pos="8789"/>
        </w:tabs>
        <w:ind w:left="284" w:right="282"/>
        <w:jc w:val="both"/>
        <w:rPr>
          <w:rFonts w:ascii="Arial" w:hAnsi="Arial" w:cs="Arial"/>
          <w:sz w:val="20"/>
          <w:szCs w:val="20"/>
        </w:rPr>
      </w:pPr>
      <w:r w:rsidRPr="00AC01CB">
        <w:rPr>
          <w:rFonts w:ascii="Arial" w:hAnsi="Arial" w:cs="Arial"/>
          <w:sz w:val="20"/>
          <w:szCs w:val="20"/>
        </w:rPr>
        <w:t xml:space="preserve">Realizacja zamówienia przewidziana jest w okresie </w:t>
      </w:r>
      <w:r w:rsidRPr="004E4B0B">
        <w:rPr>
          <w:rFonts w:ascii="Arial" w:hAnsi="Arial" w:cs="Arial"/>
          <w:b/>
          <w:sz w:val="20"/>
          <w:szCs w:val="20"/>
        </w:rPr>
        <w:t>pięciu miesięcy</w:t>
      </w:r>
      <w:r w:rsidRPr="00AC01CB">
        <w:rPr>
          <w:rFonts w:ascii="Arial" w:hAnsi="Arial" w:cs="Arial"/>
          <w:sz w:val="20"/>
          <w:szCs w:val="20"/>
        </w:rPr>
        <w:t xml:space="preserve"> liczonych od dnia podpisania umowy.</w:t>
      </w:r>
    </w:p>
    <w:p w:rsidR="009D7CA5" w:rsidRDefault="009D7CA5" w:rsidP="004E4B0B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</w:p>
    <w:p w:rsidR="00F4097A" w:rsidRPr="008B3472" w:rsidRDefault="00F4097A" w:rsidP="00000F95">
      <w:pPr>
        <w:pStyle w:val="1pkt"/>
        <w:numPr>
          <w:ilvl w:val="0"/>
          <w:numId w:val="33"/>
        </w:numPr>
      </w:pPr>
      <w:r w:rsidRPr="008B3472">
        <w:lastRenderedPageBreak/>
        <w:t xml:space="preserve">Termin i miejsce składania </w:t>
      </w:r>
      <w:r w:rsidR="00E57D8D">
        <w:t>oferty</w:t>
      </w:r>
    </w:p>
    <w:p w:rsidR="00F4097A" w:rsidRDefault="00E57D8D" w:rsidP="00F4097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</w:t>
      </w:r>
      <w:r w:rsidR="00F4097A" w:rsidRPr="00DA188F">
        <w:rPr>
          <w:rFonts w:ascii="Arial" w:hAnsi="Arial" w:cs="Arial"/>
          <w:sz w:val="20"/>
          <w:szCs w:val="20"/>
        </w:rPr>
        <w:t xml:space="preserve">należy </w:t>
      </w:r>
      <w:r w:rsidR="00AE79E6">
        <w:rPr>
          <w:rFonts w:ascii="Arial" w:hAnsi="Arial" w:cs="Arial"/>
          <w:sz w:val="20"/>
          <w:szCs w:val="20"/>
        </w:rPr>
        <w:t>przesłać</w:t>
      </w:r>
      <w:r w:rsidR="00F4097A" w:rsidRPr="00DA188F">
        <w:rPr>
          <w:rFonts w:ascii="Arial" w:hAnsi="Arial" w:cs="Arial"/>
          <w:sz w:val="20"/>
          <w:szCs w:val="20"/>
        </w:rPr>
        <w:t xml:space="preserve"> w terminie do dnia</w:t>
      </w:r>
      <w:r w:rsidR="00CC3AF2">
        <w:rPr>
          <w:rFonts w:ascii="Arial" w:hAnsi="Arial" w:cs="Arial"/>
          <w:sz w:val="20"/>
          <w:szCs w:val="20"/>
        </w:rPr>
        <w:t xml:space="preserve"> 11 maja</w:t>
      </w:r>
      <w:r>
        <w:rPr>
          <w:rFonts w:ascii="Arial" w:hAnsi="Arial" w:cs="Arial"/>
          <w:sz w:val="20"/>
          <w:szCs w:val="20"/>
        </w:rPr>
        <w:t xml:space="preserve"> </w:t>
      </w:r>
      <w:r w:rsidR="00AC01CB">
        <w:rPr>
          <w:rFonts w:ascii="Arial" w:hAnsi="Arial" w:cs="Arial"/>
          <w:sz w:val="20"/>
          <w:szCs w:val="20"/>
        </w:rPr>
        <w:t>2021</w:t>
      </w:r>
      <w:r w:rsidR="00CC6F5D">
        <w:rPr>
          <w:rFonts w:ascii="Arial" w:hAnsi="Arial" w:cs="Arial"/>
          <w:sz w:val="20"/>
          <w:szCs w:val="20"/>
        </w:rPr>
        <w:t xml:space="preserve"> r.</w:t>
      </w:r>
      <w:r w:rsidR="00F4097A" w:rsidRPr="00DA188F">
        <w:rPr>
          <w:rFonts w:ascii="Arial" w:hAnsi="Arial" w:cs="Arial"/>
          <w:sz w:val="20"/>
          <w:szCs w:val="20"/>
        </w:rPr>
        <w:t xml:space="preserve"> </w:t>
      </w:r>
      <w:r w:rsidR="00703429">
        <w:rPr>
          <w:rFonts w:ascii="Arial" w:hAnsi="Arial" w:cs="Arial"/>
          <w:sz w:val="20"/>
          <w:szCs w:val="20"/>
        </w:rPr>
        <w:t xml:space="preserve">do godz. 16.00 </w:t>
      </w:r>
      <w:r w:rsidR="00F4097A" w:rsidRPr="00DA188F">
        <w:rPr>
          <w:rFonts w:ascii="Arial" w:hAnsi="Arial" w:cs="Arial"/>
          <w:sz w:val="20"/>
          <w:szCs w:val="20"/>
        </w:rPr>
        <w:t>w formie elektronicznej na adres</w:t>
      </w:r>
      <w:r w:rsidR="00CC3AF2">
        <w:rPr>
          <w:rFonts w:ascii="Arial" w:hAnsi="Arial" w:cs="Arial"/>
          <w:sz w:val="20"/>
          <w:szCs w:val="20"/>
        </w:rPr>
        <w:t xml:space="preserve"> e-mail</w:t>
      </w:r>
      <w:bookmarkStart w:id="0" w:name="_GoBack"/>
      <w:bookmarkEnd w:id="0"/>
      <w:r w:rsidR="00AE79E6">
        <w:rPr>
          <w:rFonts w:ascii="Arial" w:hAnsi="Arial" w:cs="Arial"/>
          <w:sz w:val="20"/>
          <w:szCs w:val="20"/>
        </w:rPr>
        <w:t xml:space="preserve">: </w:t>
      </w:r>
      <w:r w:rsidR="00AC01CB">
        <w:rPr>
          <w:rFonts w:ascii="Arial" w:hAnsi="Arial" w:cs="Arial"/>
          <w:sz w:val="20"/>
          <w:szCs w:val="20"/>
        </w:rPr>
        <w:t>monika.gladysz</w:t>
      </w:r>
      <w:hyperlink r:id="rId12" w:history="1">
        <w:r w:rsidR="00A65B5F">
          <w:rPr>
            <w:rFonts w:ascii="Arial" w:hAnsi="Arial" w:cs="Arial"/>
            <w:sz w:val="20"/>
            <w:szCs w:val="20"/>
          </w:rPr>
          <w:t>@</w:t>
        </w:r>
        <w:r w:rsidR="008D2B65">
          <w:rPr>
            <w:rFonts w:ascii="Arial" w:hAnsi="Arial" w:cs="Arial"/>
            <w:sz w:val="20"/>
            <w:szCs w:val="20"/>
          </w:rPr>
          <w:t>mr</w:t>
        </w:r>
        <w:r w:rsidR="00AC01CB">
          <w:rPr>
            <w:rFonts w:ascii="Arial" w:hAnsi="Arial" w:cs="Arial"/>
            <w:sz w:val="20"/>
            <w:szCs w:val="20"/>
          </w:rPr>
          <w:t>pit</w:t>
        </w:r>
        <w:r w:rsidR="00F4097A" w:rsidRPr="00DA188F">
          <w:rPr>
            <w:rFonts w:ascii="Arial" w:hAnsi="Arial" w:cs="Arial"/>
            <w:sz w:val="20"/>
            <w:szCs w:val="20"/>
          </w:rPr>
          <w:t>.gov.pl</w:t>
        </w:r>
      </w:hyperlink>
      <w:r w:rsidR="00F4097A" w:rsidRPr="00DA188F">
        <w:rPr>
          <w:rFonts w:ascii="Arial" w:hAnsi="Arial" w:cs="Arial"/>
          <w:sz w:val="20"/>
          <w:szCs w:val="20"/>
        </w:rPr>
        <w:t>.</w:t>
      </w:r>
    </w:p>
    <w:p w:rsidR="004E4B0B" w:rsidRDefault="004E4B0B" w:rsidP="00F4097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E4B0B" w:rsidRDefault="004E4B0B" w:rsidP="00F4097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E4B0B">
        <w:rPr>
          <w:rFonts w:ascii="Arial" w:hAnsi="Arial" w:cs="Arial"/>
          <w:sz w:val="20"/>
          <w:szCs w:val="20"/>
        </w:rPr>
        <w:t>Oferty będą musiały zostać sporządzone na „Formularzu ofertowym” zgodnie ze wzorem określonym przez Zamawiającego stanowiącym Załącznik nr 1 do SOPZ. Oferty złożone na innych formularzach nie będą rozpatrywane.</w:t>
      </w:r>
    </w:p>
    <w:p w:rsidR="00D30059" w:rsidRDefault="00D30059" w:rsidP="00897BA6">
      <w:pPr>
        <w:pStyle w:val="Lista-kontynuacja3"/>
        <w:ind w:left="0"/>
        <w:jc w:val="both"/>
        <w:rPr>
          <w:rFonts w:ascii="Arial" w:hAnsi="Arial" w:cs="Arial"/>
          <w:sz w:val="20"/>
          <w:szCs w:val="20"/>
        </w:rPr>
      </w:pPr>
    </w:p>
    <w:p w:rsidR="007D74F3" w:rsidRPr="00EB3B94" w:rsidRDefault="00514BFE" w:rsidP="00000F95">
      <w:pPr>
        <w:pStyle w:val="Akapitzlist"/>
        <w:numPr>
          <w:ilvl w:val="0"/>
          <w:numId w:val="3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3B94">
        <w:rPr>
          <w:rFonts w:ascii="Arial" w:hAnsi="Arial" w:cs="Arial"/>
          <w:b/>
          <w:sz w:val="20"/>
          <w:szCs w:val="20"/>
        </w:rPr>
        <w:t>Kontakt</w:t>
      </w:r>
      <w:r w:rsidR="00A92E02" w:rsidRPr="00EB3B94">
        <w:rPr>
          <w:rFonts w:ascii="Arial" w:hAnsi="Arial" w:cs="Arial"/>
          <w:b/>
          <w:sz w:val="20"/>
          <w:szCs w:val="20"/>
        </w:rPr>
        <w:t>:</w:t>
      </w:r>
    </w:p>
    <w:p w:rsidR="005164A9" w:rsidRDefault="00AC01CB" w:rsidP="00F41D0A">
      <w:pPr>
        <w:pStyle w:val="Lista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Monika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Gładysz</w:t>
      </w:r>
      <w:proofErr w:type="spellEnd"/>
    </w:p>
    <w:p w:rsidR="005164A9" w:rsidRDefault="006B6422" w:rsidP="00F41D0A">
      <w:pPr>
        <w:pStyle w:val="Lista4"/>
        <w:jc w:val="both"/>
        <w:rPr>
          <w:rFonts w:ascii="Arial" w:hAnsi="Arial" w:cs="Arial"/>
          <w:sz w:val="20"/>
          <w:szCs w:val="20"/>
          <w:lang w:val="en-US"/>
        </w:rPr>
      </w:pPr>
      <w:r w:rsidRPr="006B6422">
        <w:rPr>
          <w:rFonts w:ascii="Arial" w:hAnsi="Arial" w:cs="Arial"/>
          <w:sz w:val="20"/>
          <w:szCs w:val="20"/>
          <w:lang w:val="en-US"/>
        </w:rPr>
        <w:t>e</w:t>
      </w:r>
      <w:r w:rsidR="005164A9">
        <w:rPr>
          <w:rFonts w:ascii="Arial" w:hAnsi="Arial" w:cs="Arial"/>
          <w:sz w:val="20"/>
          <w:szCs w:val="20"/>
          <w:lang w:val="en-US"/>
        </w:rPr>
        <w:t>-</w:t>
      </w:r>
      <w:r w:rsidRPr="006B6422">
        <w:rPr>
          <w:rFonts w:ascii="Arial" w:hAnsi="Arial" w:cs="Arial"/>
          <w:sz w:val="20"/>
          <w:szCs w:val="20"/>
          <w:lang w:val="en-US"/>
        </w:rPr>
        <w:t xml:space="preserve">mail: </w:t>
      </w:r>
      <w:hyperlink r:id="rId13" w:history="1">
        <w:r w:rsidR="00AC01CB" w:rsidRPr="005D6882">
          <w:rPr>
            <w:rStyle w:val="Hipercze"/>
            <w:rFonts w:ascii="Arial" w:hAnsi="Arial" w:cs="Arial"/>
            <w:sz w:val="20"/>
            <w:szCs w:val="20"/>
            <w:lang w:val="en-US"/>
          </w:rPr>
          <w:t>monika.gladysz@mrpit.gov.pl</w:t>
        </w:r>
      </w:hyperlink>
      <w:r w:rsidRPr="006B6422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D5C36" w:rsidRPr="006B6422" w:rsidRDefault="00B75867" w:rsidP="00F41D0A">
      <w:pPr>
        <w:pStyle w:val="Lista4"/>
        <w:jc w:val="both"/>
        <w:rPr>
          <w:rFonts w:ascii="Arial" w:hAnsi="Arial" w:cs="Arial"/>
          <w:sz w:val="20"/>
          <w:szCs w:val="20"/>
          <w:lang w:val="en-US"/>
        </w:rPr>
      </w:pPr>
      <w:r w:rsidRPr="006B6422">
        <w:rPr>
          <w:rFonts w:ascii="Arial" w:hAnsi="Arial" w:cs="Arial"/>
          <w:sz w:val="20"/>
          <w:szCs w:val="20"/>
          <w:lang w:val="en-US"/>
        </w:rPr>
        <w:t xml:space="preserve">tel.: (22) </w:t>
      </w:r>
      <w:r w:rsidR="00AC01CB">
        <w:rPr>
          <w:rFonts w:ascii="Arial" w:hAnsi="Arial" w:cs="Arial"/>
          <w:sz w:val="20"/>
          <w:szCs w:val="20"/>
          <w:lang w:val="en-US"/>
        </w:rPr>
        <w:t>411 95 38</w:t>
      </w:r>
    </w:p>
    <w:p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Departament Innowacji</w:t>
      </w:r>
      <w:r w:rsidR="00AC01CB">
        <w:rPr>
          <w:rFonts w:ascii="Arial" w:hAnsi="Arial" w:cs="Arial"/>
          <w:sz w:val="20"/>
          <w:szCs w:val="20"/>
        </w:rPr>
        <w:t xml:space="preserve"> i Polityki Przemysłowej</w:t>
      </w:r>
    </w:p>
    <w:p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="00AC01CB">
        <w:rPr>
          <w:rFonts w:ascii="Arial" w:hAnsi="Arial" w:cs="Arial"/>
          <w:sz w:val="20"/>
          <w:szCs w:val="20"/>
        </w:rPr>
        <w:t>, Pracy i Technologii</w:t>
      </w:r>
    </w:p>
    <w:p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Plac Trzech Krzyży 3/5</w:t>
      </w:r>
    </w:p>
    <w:p w:rsidR="0036517F" w:rsidRPr="00B46ABE" w:rsidRDefault="00FD5C36" w:rsidP="00B46ABE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00-507 Warszawa</w:t>
      </w:r>
    </w:p>
    <w:sectPr w:rsidR="0036517F" w:rsidRPr="00B46ABE" w:rsidSect="00CC105C">
      <w:headerReference w:type="default" r:id="rId14"/>
      <w:footerReference w:type="default" r:id="rId15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B89" w:rsidRDefault="00D06B89" w:rsidP="00840519">
      <w:pPr>
        <w:spacing w:after="0" w:line="240" w:lineRule="auto"/>
      </w:pPr>
      <w:r>
        <w:separator/>
      </w:r>
    </w:p>
  </w:endnote>
  <w:endnote w:type="continuationSeparator" w:id="0">
    <w:p w:rsidR="00D06B89" w:rsidRDefault="00D06B89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A27642" w:rsidRDefault="00A276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AF2">
          <w:rPr>
            <w:noProof/>
          </w:rPr>
          <w:t>8</w:t>
        </w:r>
        <w:r>
          <w:fldChar w:fldCharType="end"/>
        </w:r>
      </w:p>
    </w:sdtContent>
  </w:sdt>
  <w:p w:rsidR="00A27642" w:rsidRPr="00AC5B69" w:rsidRDefault="00A27642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B89" w:rsidRDefault="00D06B89" w:rsidP="00840519">
      <w:pPr>
        <w:spacing w:after="0" w:line="240" w:lineRule="auto"/>
      </w:pPr>
      <w:r>
        <w:separator/>
      </w:r>
    </w:p>
  </w:footnote>
  <w:footnote w:type="continuationSeparator" w:id="0">
    <w:p w:rsidR="00D06B89" w:rsidRDefault="00D06B89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42" w:rsidRDefault="00A27642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766083ED" wp14:editId="6FB20FE9">
          <wp:extent cx="1053580" cy="561975"/>
          <wp:effectExtent l="0" t="0" r="0" b="0"/>
          <wp:docPr id="3" name="Obraz 2" descr="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teligentny_Rozwoj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673" cy="56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D193E61" wp14:editId="6C7AD5E5">
          <wp:extent cx="1200150" cy="4003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47" cy="400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5F44B6">
      <w:rPr>
        <w:noProof/>
        <w:lang w:eastAsia="pl-PL"/>
      </w:rPr>
      <w:drawing>
        <wp:inline distT="0" distB="0" distL="0" distR="0" wp14:anchorId="7EAC20B4">
          <wp:extent cx="1035968" cy="86683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968" cy="866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pl-PL"/>
      </w:rPr>
      <w:drawing>
        <wp:inline distT="0" distB="0" distL="0" distR="0" wp14:anchorId="43EB6DB8" wp14:editId="39DCF4D3">
          <wp:extent cx="1047750" cy="47640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RG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07" cy="477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CA91958" wp14:editId="2E3E24E1">
          <wp:extent cx="1168024" cy="381000"/>
          <wp:effectExtent l="0" t="0" r="0" b="0"/>
          <wp:docPr id="1" name="Obraz 1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68332" cy="38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5937871"/>
    <w:multiLevelType w:val="hybridMultilevel"/>
    <w:tmpl w:val="DBEC9584"/>
    <w:lvl w:ilvl="0" w:tplc="81A8AA5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5263"/>
    <w:multiLevelType w:val="hybridMultilevel"/>
    <w:tmpl w:val="E5CC60D8"/>
    <w:lvl w:ilvl="0" w:tplc="B290F2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20D88"/>
    <w:multiLevelType w:val="hybridMultilevel"/>
    <w:tmpl w:val="9B720816"/>
    <w:lvl w:ilvl="0" w:tplc="4AA2A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C707D"/>
    <w:multiLevelType w:val="hybridMultilevel"/>
    <w:tmpl w:val="6F84B5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4D3C02"/>
    <w:multiLevelType w:val="hybridMultilevel"/>
    <w:tmpl w:val="AB2408AC"/>
    <w:lvl w:ilvl="0" w:tplc="2D30FB6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45A68"/>
    <w:multiLevelType w:val="hybridMultilevel"/>
    <w:tmpl w:val="6ABC08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3B3604"/>
    <w:multiLevelType w:val="hybridMultilevel"/>
    <w:tmpl w:val="D2768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40B38"/>
    <w:multiLevelType w:val="hybridMultilevel"/>
    <w:tmpl w:val="1B561D1E"/>
    <w:lvl w:ilvl="0" w:tplc="7040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80566"/>
    <w:multiLevelType w:val="hybridMultilevel"/>
    <w:tmpl w:val="ED68530A"/>
    <w:numStyleLink w:val="Numery"/>
  </w:abstractNum>
  <w:abstractNum w:abstractNumId="11">
    <w:nsid w:val="23930342"/>
    <w:multiLevelType w:val="hybridMultilevel"/>
    <w:tmpl w:val="ED68530A"/>
    <w:styleLink w:val="Numery"/>
    <w:lvl w:ilvl="0" w:tplc="ED68530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23AD99C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EDC70D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A58EDE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6363AC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8680B6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7A08B6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0860DE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CC8CA9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>
    <w:nsid w:val="298B0226"/>
    <w:multiLevelType w:val="hybridMultilevel"/>
    <w:tmpl w:val="0F4C478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0753D"/>
    <w:multiLevelType w:val="hybridMultilevel"/>
    <w:tmpl w:val="7FFC6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946547"/>
    <w:multiLevelType w:val="hybridMultilevel"/>
    <w:tmpl w:val="F8CC7076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18E4E0E"/>
    <w:multiLevelType w:val="hybridMultilevel"/>
    <w:tmpl w:val="637E3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90512"/>
    <w:multiLevelType w:val="hybridMultilevel"/>
    <w:tmpl w:val="6B483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2E643D"/>
    <w:multiLevelType w:val="hybridMultilevel"/>
    <w:tmpl w:val="99ACCD7A"/>
    <w:lvl w:ilvl="0" w:tplc="7930B8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6824705"/>
    <w:multiLevelType w:val="hybridMultilevel"/>
    <w:tmpl w:val="9E82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E2BF0"/>
    <w:multiLevelType w:val="hybridMultilevel"/>
    <w:tmpl w:val="7E52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42B86"/>
    <w:multiLevelType w:val="hybridMultilevel"/>
    <w:tmpl w:val="ECA65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3857BB"/>
    <w:multiLevelType w:val="hybridMultilevel"/>
    <w:tmpl w:val="9B42B5AA"/>
    <w:lvl w:ilvl="0" w:tplc="B3147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E30A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E57262A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11A1242"/>
    <w:multiLevelType w:val="hybridMultilevel"/>
    <w:tmpl w:val="6568A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CE45B6"/>
    <w:multiLevelType w:val="hybridMultilevel"/>
    <w:tmpl w:val="7826C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32214"/>
    <w:multiLevelType w:val="hybridMultilevel"/>
    <w:tmpl w:val="42A4D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972DDC"/>
    <w:multiLevelType w:val="hybridMultilevel"/>
    <w:tmpl w:val="3198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A519EC"/>
    <w:multiLevelType w:val="hybridMultilevel"/>
    <w:tmpl w:val="5022975C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74B50"/>
    <w:multiLevelType w:val="hybridMultilevel"/>
    <w:tmpl w:val="56CC4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223BA"/>
    <w:multiLevelType w:val="hybridMultilevel"/>
    <w:tmpl w:val="C422DA68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C9287D"/>
    <w:multiLevelType w:val="hybridMultilevel"/>
    <w:tmpl w:val="F4B2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46BA2"/>
    <w:multiLevelType w:val="hybridMultilevel"/>
    <w:tmpl w:val="E04A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4776E66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C7882"/>
    <w:multiLevelType w:val="hybridMultilevel"/>
    <w:tmpl w:val="7B747F94"/>
    <w:lvl w:ilvl="0" w:tplc="B61E46E2">
      <w:start w:val="1"/>
      <w:numFmt w:val="lowerLetter"/>
      <w:lvlText w:val="%1)"/>
      <w:lvlJc w:val="left"/>
      <w:pPr>
        <w:ind w:left="360" w:hanging="360"/>
      </w:pPr>
    </w:lvl>
    <w:lvl w:ilvl="1" w:tplc="0415001B">
      <w:start w:val="1"/>
      <w:numFmt w:val="lowerRoman"/>
      <w:lvlText w:val="%2."/>
      <w:lvlJc w:val="righ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A1A7B9F"/>
    <w:multiLevelType w:val="hybridMultilevel"/>
    <w:tmpl w:val="3A844A32"/>
    <w:lvl w:ilvl="0" w:tplc="E2B0F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D904B1"/>
    <w:multiLevelType w:val="hybridMultilevel"/>
    <w:tmpl w:val="73ECC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12"/>
  </w:num>
  <w:num w:numId="5">
    <w:abstractNumId w:val="18"/>
  </w:num>
  <w:num w:numId="6">
    <w:abstractNumId w:val="26"/>
  </w:num>
  <w:num w:numId="7">
    <w:abstractNumId w:val="28"/>
  </w:num>
  <w:num w:numId="8">
    <w:abstractNumId w:val="27"/>
  </w:num>
  <w:num w:numId="9">
    <w:abstractNumId w:val="21"/>
  </w:num>
  <w:num w:numId="10">
    <w:abstractNumId w:val="36"/>
  </w:num>
  <w:num w:numId="11">
    <w:abstractNumId w:val="19"/>
  </w:num>
  <w:num w:numId="12">
    <w:abstractNumId w:val="32"/>
  </w:num>
  <w:num w:numId="13">
    <w:abstractNumId w:val="29"/>
  </w:num>
  <w:num w:numId="14">
    <w:abstractNumId w:val="7"/>
  </w:num>
  <w:num w:numId="15">
    <w:abstractNumId w:val="22"/>
  </w:num>
  <w:num w:numId="16">
    <w:abstractNumId w:val="35"/>
  </w:num>
  <w:num w:numId="17">
    <w:abstractNumId w:val="2"/>
  </w:num>
  <w:num w:numId="18">
    <w:abstractNumId w:val="17"/>
  </w:num>
  <w:num w:numId="19">
    <w:abstractNumId w:val="31"/>
  </w:num>
  <w:num w:numId="20">
    <w:abstractNumId w:val="16"/>
  </w:num>
  <w:num w:numId="21">
    <w:abstractNumId w:val="33"/>
  </w:num>
  <w:num w:numId="22">
    <w:abstractNumId w:val="5"/>
  </w:num>
  <w:num w:numId="23">
    <w:abstractNumId w:val="24"/>
  </w:num>
  <w:num w:numId="24">
    <w:abstractNumId w:val="30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9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0"/>
  </w:num>
  <w:num w:numId="35">
    <w:abstractNumId w:val="3"/>
  </w:num>
  <w:num w:numId="36">
    <w:abstractNumId w:val="15"/>
  </w:num>
  <w:num w:numId="37">
    <w:abstractNumId w:val="4"/>
  </w:num>
  <w:num w:numId="3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011D"/>
    <w:rsid w:val="00000F95"/>
    <w:rsid w:val="00007941"/>
    <w:rsid w:val="000237EF"/>
    <w:rsid w:val="00026457"/>
    <w:rsid w:val="00026479"/>
    <w:rsid w:val="00027A29"/>
    <w:rsid w:val="000327F8"/>
    <w:rsid w:val="00033461"/>
    <w:rsid w:val="000346ED"/>
    <w:rsid w:val="00034CA8"/>
    <w:rsid w:val="00040496"/>
    <w:rsid w:val="000422EE"/>
    <w:rsid w:val="00044891"/>
    <w:rsid w:val="0005031F"/>
    <w:rsid w:val="00053775"/>
    <w:rsid w:val="00060936"/>
    <w:rsid w:val="00060ADB"/>
    <w:rsid w:val="00061967"/>
    <w:rsid w:val="00063483"/>
    <w:rsid w:val="000672A7"/>
    <w:rsid w:val="00067FEC"/>
    <w:rsid w:val="0008312A"/>
    <w:rsid w:val="00083461"/>
    <w:rsid w:val="00083462"/>
    <w:rsid w:val="00084C80"/>
    <w:rsid w:val="00085132"/>
    <w:rsid w:val="000854F8"/>
    <w:rsid w:val="0008603B"/>
    <w:rsid w:val="0008767E"/>
    <w:rsid w:val="00091289"/>
    <w:rsid w:val="0009652F"/>
    <w:rsid w:val="000B1732"/>
    <w:rsid w:val="000B2918"/>
    <w:rsid w:val="000B34F8"/>
    <w:rsid w:val="000B4D3A"/>
    <w:rsid w:val="000B5FA8"/>
    <w:rsid w:val="000C3F2E"/>
    <w:rsid w:val="000C6873"/>
    <w:rsid w:val="000D4F26"/>
    <w:rsid w:val="000D5D75"/>
    <w:rsid w:val="000D7579"/>
    <w:rsid w:val="000E0FA7"/>
    <w:rsid w:val="000E1BE5"/>
    <w:rsid w:val="000F38A0"/>
    <w:rsid w:val="000F3DEF"/>
    <w:rsid w:val="000F40F2"/>
    <w:rsid w:val="000F6E30"/>
    <w:rsid w:val="00102403"/>
    <w:rsid w:val="00103649"/>
    <w:rsid w:val="00104183"/>
    <w:rsid w:val="00106443"/>
    <w:rsid w:val="00110769"/>
    <w:rsid w:val="001160DA"/>
    <w:rsid w:val="0011648D"/>
    <w:rsid w:val="001310E9"/>
    <w:rsid w:val="00135500"/>
    <w:rsid w:val="00135D72"/>
    <w:rsid w:val="0013622B"/>
    <w:rsid w:val="001409D6"/>
    <w:rsid w:val="0014193F"/>
    <w:rsid w:val="0014541A"/>
    <w:rsid w:val="00146F43"/>
    <w:rsid w:val="001479ED"/>
    <w:rsid w:val="001560E0"/>
    <w:rsid w:val="00160D08"/>
    <w:rsid w:val="001612E7"/>
    <w:rsid w:val="001665B6"/>
    <w:rsid w:val="0016795E"/>
    <w:rsid w:val="001715EC"/>
    <w:rsid w:val="00173278"/>
    <w:rsid w:val="00175FDE"/>
    <w:rsid w:val="00182B66"/>
    <w:rsid w:val="00183A57"/>
    <w:rsid w:val="00184F7A"/>
    <w:rsid w:val="00192425"/>
    <w:rsid w:val="00195989"/>
    <w:rsid w:val="001967E8"/>
    <w:rsid w:val="00196C88"/>
    <w:rsid w:val="00197C8C"/>
    <w:rsid w:val="001A1890"/>
    <w:rsid w:val="001A38AE"/>
    <w:rsid w:val="001A4424"/>
    <w:rsid w:val="001A5A78"/>
    <w:rsid w:val="001A66A7"/>
    <w:rsid w:val="001B2C8B"/>
    <w:rsid w:val="001B4A79"/>
    <w:rsid w:val="001B793D"/>
    <w:rsid w:val="001C04D4"/>
    <w:rsid w:val="001C0FD7"/>
    <w:rsid w:val="001C4333"/>
    <w:rsid w:val="001C597C"/>
    <w:rsid w:val="001C69AE"/>
    <w:rsid w:val="001C70C6"/>
    <w:rsid w:val="001C77C8"/>
    <w:rsid w:val="001D337B"/>
    <w:rsid w:val="001D4C88"/>
    <w:rsid w:val="001D5BA7"/>
    <w:rsid w:val="001D5C10"/>
    <w:rsid w:val="001D7AED"/>
    <w:rsid w:val="001E158A"/>
    <w:rsid w:val="001E2E85"/>
    <w:rsid w:val="001E4E21"/>
    <w:rsid w:val="001E5B15"/>
    <w:rsid w:val="001F226E"/>
    <w:rsid w:val="001F4316"/>
    <w:rsid w:val="002022A4"/>
    <w:rsid w:val="0021032A"/>
    <w:rsid w:val="00214245"/>
    <w:rsid w:val="00217F07"/>
    <w:rsid w:val="00221A22"/>
    <w:rsid w:val="0022222D"/>
    <w:rsid w:val="002225D9"/>
    <w:rsid w:val="00223308"/>
    <w:rsid w:val="00224FD3"/>
    <w:rsid w:val="00232E8A"/>
    <w:rsid w:val="002330CB"/>
    <w:rsid w:val="00236B95"/>
    <w:rsid w:val="00241025"/>
    <w:rsid w:val="00244013"/>
    <w:rsid w:val="00246DED"/>
    <w:rsid w:val="00256C8B"/>
    <w:rsid w:val="002635A5"/>
    <w:rsid w:val="00265AD8"/>
    <w:rsid w:val="00267A93"/>
    <w:rsid w:val="00273D94"/>
    <w:rsid w:val="00276118"/>
    <w:rsid w:val="002866D6"/>
    <w:rsid w:val="00287A1A"/>
    <w:rsid w:val="00292FE7"/>
    <w:rsid w:val="002969DA"/>
    <w:rsid w:val="002A1B5D"/>
    <w:rsid w:val="002A61ED"/>
    <w:rsid w:val="002A6E39"/>
    <w:rsid w:val="002A7A1C"/>
    <w:rsid w:val="002A7ECE"/>
    <w:rsid w:val="002B2D23"/>
    <w:rsid w:val="002B460F"/>
    <w:rsid w:val="002B4F49"/>
    <w:rsid w:val="002B60BB"/>
    <w:rsid w:val="002B79C8"/>
    <w:rsid w:val="002C50B0"/>
    <w:rsid w:val="002C78A2"/>
    <w:rsid w:val="002D140E"/>
    <w:rsid w:val="002D4BA1"/>
    <w:rsid w:val="002D50B5"/>
    <w:rsid w:val="002D5C7F"/>
    <w:rsid w:val="002E0646"/>
    <w:rsid w:val="002E57D2"/>
    <w:rsid w:val="002E6635"/>
    <w:rsid w:val="002F25B8"/>
    <w:rsid w:val="002F2F7B"/>
    <w:rsid w:val="0030111B"/>
    <w:rsid w:val="00301D26"/>
    <w:rsid w:val="00312178"/>
    <w:rsid w:val="00315ED7"/>
    <w:rsid w:val="0031608C"/>
    <w:rsid w:val="003162A3"/>
    <w:rsid w:val="00316716"/>
    <w:rsid w:val="00321072"/>
    <w:rsid w:val="003221B7"/>
    <w:rsid w:val="00322D15"/>
    <w:rsid w:val="00323434"/>
    <w:rsid w:val="00323580"/>
    <w:rsid w:val="003274F0"/>
    <w:rsid w:val="0033366C"/>
    <w:rsid w:val="00341D72"/>
    <w:rsid w:val="003421DC"/>
    <w:rsid w:val="00343F30"/>
    <w:rsid w:val="003448B9"/>
    <w:rsid w:val="003576D7"/>
    <w:rsid w:val="00363DAE"/>
    <w:rsid w:val="0036517F"/>
    <w:rsid w:val="0037254D"/>
    <w:rsid w:val="00373FCA"/>
    <w:rsid w:val="00374289"/>
    <w:rsid w:val="00377954"/>
    <w:rsid w:val="00384220"/>
    <w:rsid w:val="003925D7"/>
    <w:rsid w:val="00392E82"/>
    <w:rsid w:val="00393B59"/>
    <w:rsid w:val="00394CC3"/>
    <w:rsid w:val="00396694"/>
    <w:rsid w:val="00397F3A"/>
    <w:rsid w:val="003A10F6"/>
    <w:rsid w:val="003B0E64"/>
    <w:rsid w:val="003C2555"/>
    <w:rsid w:val="003C29F5"/>
    <w:rsid w:val="003C4167"/>
    <w:rsid w:val="003C6742"/>
    <w:rsid w:val="003D3941"/>
    <w:rsid w:val="003D62B4"/>
    <w:rsid w:val="003E0A43"/>
    <w:rsid w:val="003E56A8"/>
    <w:rsid w:val="003F1CD1"/>
    <w:rsid w:val="003F2122"/>
    <w:rsid w:val="003F437B"/>
    <w:rsid w:val="003F568C"/>
    <w:rsid w:val="003F663C"/>
    <w:rsid w:val="003F7F5A"/>
    <w:rsid w:val="00402882"/>
    <w:rsid w:val="00402B69"/>
    <w:rsid w:val="00403818"/>
    <w:rsid w:val="0040411D"/>
    <w:rsid w:val="00405C22"/>
    <w:rsid w:val="0040684E"/>
    <w:rsid w:val="004106C3"/>
    <w:rsid w:val="00411076"/>
    <w:rsid w:val="00423B05"/>
    <w:rsid w:val="0042668B"/>
    <w:rsid w:val="004269E3"/>
    <w:rsid w:val="004317C7"/>
    <w:rsid w:val="0043451C"/>
    <w:rsid w:val="00441783"/>
    <w:rsid w:val="00441831"/>
    <w:rsid w:val="00441D22"/>
    <w:rsid w:val="0044431D"/>
    <w:rsid w:val="00446466"/>
    <w:rsid w:val="00446C29"/>
    <w:rsid w:val="0045079F"/>
    <w:rsid w:val="00450B9A"/>
    <w:rsid w:val="00456A14"/>
    <w:rsid w:val="00457A08"/>
    <w:rsid w:val="0046046D"/>
    <w:rsid w:val="004612C4"/>
    <w:rsid w:val="004643A2"/>
    <w:rsid w:val="00476B5E"/>
    <w:rsid w:val="004849BD"/>
    <w:rsid w:val="00485467"/>
    <w:rsid w:val="00485C35"/>
    <w:rsid w:val="004A1EE0"/>
    <w:rsid w:val="004C0AC1"/>
    <w:rsid w:val="004C7333"/>
    <w:rsid w:val="004D49AD"/>
    <w:rsid w:val="004D7A31"/>
    <w:rsid w:val="004D7B9F"/>
    <w:rsid w:val="004E1590"/>
    <w:rsid w:val="004E2008"/>
    <w:rsid w:val="004E4B0B"/>
    <w:rsid w:val="004E4B3B"/>
    <w:rsid w:val="004F0E91"/>
    <w:rsid w:val="004F1EB0"/>
    <w:rsid w:val="004F489A"/>
    <w:rsid w:val="004F6BD2"/>
    <w:rsid w:val="005023F0"/>
    <w:rsid w:val="00503E30"/>
    <w:rsid w:val="00503F6B"/>
    <w:rsid w:val="00505F71"/>
    <w:rsid w:val="00514BFE"/>
    <w:rsid w:val="005164A9"/>
    <w:rsid w:val="00516A62"/>
    <w:rsid w:val="00517521"/>
    <w:rsid w:val="005240A7"/>
    <w:rsid w:val="00524339"/>
    <w:rsid w:val="0052466E"/>
    <w:rsid w:val="00525A14"/>
    <w:rsid w:val="00527F7B"/>
    <w:rsid w:val="005300E2"/>
    <w:rsid w:val="0053234B"/>
    <w:rsid w:val="00533B70"/>
    <w:rsid w:val="005359C8"/>
    <w:rsid w:val="00541A9D"/>
    <w:rsid w:val="00543160"/>
    <w:rsid w:val="00544891"/>
    <w:rsid w:val="005449E2"/>
    <w:rsid w:val="00547007"/>
    <w:rsid w:val="00552859"/>
    <w:rsid w:val="0055431E"/>
    <w:rsid w:val="005558D4"/>
    <w:rsid w:val="00557C3C"/>
    <w:rsid w:val="005604F2"/>
    <w:rsid w:val="00561931"/>
    <w:rsid w:val="00562E39"/>
    <w:rsid w:val="005800A6"/>
    <w:rsid w:val="00581109"/>
    <w:rsid w:val="0058424E"/>
    <w:rsid w:val="0058571C"/>
    <w:rsid w:val="0059032E"/>
    <w:rsid w:val="0059291C"/>
    <w:rsid w:val="005A3CE6"/>
    <w:rsid w:val="005B0BDF"/>
    <w:rsid w:val="005B5F29"/>
    <w:rsid w:val="005C68C5"/>
    <w:rsid w:val="005D0E5D"/>
    <w:rsid w:val="005D1292"/>
    <w:rsid w:val="005D2E06"/>
    <w:rsid w:val="005D318A"/>
    <w:rsid w:val="005D4DC4"/>
    <w:rsid w:val="005E0934"/>
    <w:rsid w:val="005E1009"/>
    <w:rsid w:val="005E237B"/>
    <w:rsid w:val="005E2768"/>
    <w:rsid w:val="005E2B23"/>
    <w:rsid w:val="005F0CD9"/>
    <w:rsid w:val="005F3778"/>
    <w:rsid w:val="005F44B6"/>
    <w:rsid w:val="005F7D91"/>
    <w:rsid w:val="006038B6"/>
    <w:rsid w:val="006230CA"/>
    <w:rsid w:val="006232F6"/>
    <w:rsid w:val="00624AE7"/>
    <w:rsid w:val="00627A5F"/>
    <w:rsid w:val="00627AC7"/>
    <w:rsid w:val="00632466"/>
    <w:rsid w:val="006378C9"/>
    <w:rsid w:val="0064000A"/>
    <w:rsid w:val="0064595D"/>
    <w:rsid w:val="006468AA"/>
    <w:rsid w:val="006522B3"/>
    <w:rsid w:val="0065398A"/>
    <w:rsid w:val="006542FB"/>
    <w:rsid w:val="006561E7"/>
    <w:rsid w:val="00656BD5"/>
    <w:rsid w:val="006767C3"/>
    <w:rsid w:val="006907FA"/>
    <w:rsid w:val="00693BF9"/>
    <w:rsid w:val="00696DAA"/>
    <w:rsid w:val="006A2305"/>
    <w:rsid w:val="006A4ED2"/>
    <w:rsid w:val="006A7892"/>
    <w:rsid w:val="006B067D"/>
    <w:rsid w:val="006B6422"/>
    <w:rsid w:val="006C175E"/>
    <w:rsid w:val="006C1B12"/>
    <w:rsid w:val="006C2C0B"/>
    <w:rsid w:val="006C3BE7"/>
    <w:rsid w:val="006C56ED"/>
    <w:rsid w:val="006C5B9E"/>
    <w:rsid w:val="006C5CF4"/>
    <w:rsid w:val="006C66AE"/>
    <w:rsid w:val="006C6843"/>
    <w:rsid w:val="006D0BAB"/>
    <w:rsid w:val="006D5764"/>
    <w:rsid w:val="006D6BC5"/>
    <w:rsid w:val="006D719F"/>
    <w:rsid w:val="006D7CFE"/>
    <w:rsid w:val="006E35E2"/>
    <w:rsid w:val="006F1752"/>
    <w:rsid w:val="006F1DA8"/>
    <w:rsid w:val="006F1EAB"/>
    <w:rsid w:val="006F1FDE"/>
    <w:rsid w:val="006F27F6"/>
    <w:rsid w:val="00703429"/>
    <w:rsid w:val="00706811"/>
    <w:rsid w:val="00711FFB"/>
    <w:rsid w:val="00716048"/>
    <w:rsid w:val="00716485"/>
    <w:rsid w:val="00717B44"/>
    <w:rsid w:val="007214A3"/>
    <w:rsid w:val="00723C18"/>
    <w:rsid w:val="007251C7"/>
    <w:rsid w:val="00726A40"/>
    <w:rsid w:val="00732062"/>
    <w:rsid w:val="00740FFA"/>
    <w:rsid w:val="007438E8"/>
    <w:rsid w:val="0074523E"/>
    <w:rsid w:val="00746C31"/>
    <w:rsid w:val="00750861"/>
    <w:rsid w:val="007513D2"/>
    <w:rsid w:val="007540BA"/>
    <w:rsid w:val="00754179"/>
    <w:rsid w:val="00755B92"/>
    <w:rsid w:val="00757764"/>
    <w:rsid w:val="00764D85"/>
    <w:rsid w:val="007669E8"/>
    <w:rsid w:val="00766BCB"/>
    <w:rsid w:val="00770280"/>
    <w:rsid w:val="00773596"/>
    <w:rsid w:val="00790946"/>
    <w:rsid w:val="0079178E"/>
    <w:rsid w:val="00793A86"/>
    <w:rsid w:val="007954C2"/>
    <w:rsid w:val="00796030"/>
    <w:rsid w:val="007B06C2"/>
    <w:rsid w:val="007C28C9"/>
    <w:rsid w:val="007C3A51"/>
    <w:rsid w:val="007D1973"/>
    <w:rsid w:val="007D31F6"/>
    <w:rsid w:val="007D3684"/>
    <w:rsid w:val="007D74F3"/>
    <w:rsid w:val="007E451A"/>
    <w:rsid w:val="007E63CE"/>
    <w:rsid w:val="007F20FE"/>
    <w:rsid w:val="007F2810"/>
    <w:rsid w:val="007F2D1D"/>
    <w:rsid w:val="007F547D"/>
    <w:rsid w:val="007F6271"/>
    <w:rsid w:val="008019E3"/>
    <w:rsid w:val="00805589"/>
    <w:rsid w:val="00807FA4"/>
    <w:rsid w:val="00811F7E"/>
    <w:rsid w:val="00814BCA"/>
    <w:rsid w:val="0081609C"/>
    <w:rsid w:val="008164A8"/>
    <w:rsid w:val="008169A0"/>
    <w:rsid w:val="00816C2C"/>
    <w:rsid w:val="00816D03"/>
    <w:rsid w:val="00817449"/>
    <w:rsid w:val="00824864"/>
    <w:rsid w:val="00826B8E"/>
    <w:rsid w:val="00827E54"/>
    <w:rsid w:val="0083456C"/>
    <w:rsid w:val="00837B3F"/>
    <w:rsid w:val="00840519"/>
    <w:rsid w:val="00843710"/>
    <w:rsid w:val="00844765"/>
    <w:rsid w:val="00854469"/>
    <w:rsid w:val="008547DB"/>
    <w:rsid w:val="008574B7"/>
    <w:rsid w:val="00861254"/>
    <w:rsid w:val="00865F6D"/>
    <w:rsid w:val="008705A2"/>
    <w:rsid w:val="008719B5"/>
    <w:rsid w:val="00874B87"/>
    <w:rsid w:val="00876427"/>
    <w:rsid w:val="00877E46"/>
    <w:rsid w:val="00882C0E"/>
    <w:rsid w:val="008834A0"/>
    <w:rsid w:val="008868CF"/>
    <w:rsid w:val="00887042"/>
    <w:rsid w:val="008877E5"/>
    <w:rsid w:val="00892E61"/>
    <w:rsid w:val="00894B3F"/>
    <w:rsid w:val="00897AAA"/>
    <w:rsid w:val="00897BA6"/>
    <w:rsid w:val="008A0F4C"/>
    <w:rsid w:val="008A19DB"/>
    <w:rsid w:val="008A1B03"/>
    <w:rsid w:val="008C050D"/>
    <w:rsid w:val="008C0E78"/>
    <w:rsid w:val="008C0FBB"/>
    <w:rsid w:val="008C1853"/>
    <w:rsid w:val="008C19C5"/>
    <w:rsid w:val="008C410D"/>
    <w:rsid w:val="008C7B56"/>
    <w:rsid w:val="008D2B65"/>
    <w:rsid w:val="008D375B"/>
    <w:rsid w:val="008D5381"/>
    <w:rsid w:val="008D5D0A"/>
    <w:rsid w:val="008D66AF"/>
    <w:rsid w:val="008E2FD6"/>
    <w:rsid w:val="008E39A4"/>
    <w:rsid w:val="008E7E98"/>
    <w:rsid w:val="008F19EC"/>
    <w:rsid w:val="008F6406"/>
    <w:rsid w:val="009004E4"/>
    <w:rsid w:val="0090535A"/>
    <w:rsid w:val="0090580D"/>
    <w:rsid w:val="00907078"/>
    <w:rsid w:val="00907AB4"/>
    <w:rsid w:val="00911FA5"/>
    <w:rsid w:val="0091206B"/>
    <w:rsid w:val="009153B1"/>
    <w:rsid w:val="0091763B"/>
    <w:rsid w:val="00921D05"/>
    <w:rsid w:val="00923C3D"/>
    <w:rsid w:val="00924690"/>
    <w:rsid w:val="00926025"/>
    <w:rsid w:val="00927AE6"/>
    <w:rsid w:val="00940774"/>
    <w:rsid w:val="0094316F"/>
    <w:rsid w:val="00944010"/>
    <w:rsid w:val="009447E4"/>
    <w:rsid w:val="00950086"/>
    <w:rsid w:val="009500B2"/>
    <w:rsid w:val="00950EFD"/>
    <w:rsid w:val="00956B02"/>
    <w:rsid w:val="00960AE3"/>
    <w:rsid w:val="0096144A"/>
    <w:rsid w:val="00963B5D"/>
    <w:rsid w:val="00966BC4"/>
    <w:rsid w:val="00973657"/>
    <w:rsid w:val="00973FE4"/>
    <w:rsid w:val="00975F10"/>
    <w:rsid w:val="00981678"/>
    <w:rsid w:val="00981C13"/>
    <w:rsid w:val="00981EF8"/>
    <w:rsid w:val="00982A41"/>
    <w:rsid w:val="00983D23"/>
    <w:rsid w:val="00984A65"/>
    <w:rsid w:val="009856DB"/>
    <w:rsid w:val="00990460"/>
    <w:rsid w:val="00991937"/>
    <w:rsid w:val="009A0CD7"/>
    <w:rsid w:val="009A333B"/>
    <w:rsid w:val="009A6F98"/>
    <w:rsid w:val="009A7D50"/>
    <w:rsid w:val="009B0E16"/>
    <w:rsid w:val="009B11E5"/>
    <w:rsid w:val="009B1261"/>
    <w:rsid w:val="009B19AA"/>
    <w:rsid w:val="009B44D0"/>
    <w:rsid w:val="009B623C"/>
    <w:rsid w:val="009B6EB4"/>
    <w:rsid w:val="009C07E6"/>
    <w:rsid w:val="009C223D"/>
    <w:rsid w:val="009C3C35"/>
    <w:rsid w:val="009D1C1E"/>
    <w:rsid w:val="009D3D7F"/>
    <w:rsid w:val="009D4DC7"/>
    <w:rsid w:val="009D5F18"/>
    <w:rsid w:val="009D682C"/>
    <w:rsid w:val="009D6AFD"/>
    <w:rsid w:val="009D77DE"/>
    <w:rsid w:val="009D7CA5"/>
    <w:rsid w:val="009E15A9"/>
    <w:rsid w:val="009E3D40"/>
    <w:rsid w:val="009E745F"/>
    <w:rsid w:val="009F67E1"/>
    <w:rsid w:val="009F6EE1"/>
    <w:rsid w:val="00A0163F"/>
    <w:rsid w:val="00A15107"/>
    <w:rsid w:val="00A16C3E"/>
    <w:rsid w:val="00A2179F"/>
    <w:rsid w:val="00A27454"/>
    <w:rsid w:val="00A27642"/>
    <w:rsid w:val="00A306F8"/>
    <w:rsid w:val="00A33205"/>
    <w:rsid w:val="00A46630"/>
    <w:rsid w:val="00A471D1"/>
    <w:rsid w:val="00A47E4E"/>
    <w:rsid w:val="00A52240"/>
    <w:rsid w:val="00A53A52"/>
    <w:rsid w:val="00A56EA7"/>
    <w:rsid w:val="00A575F1"/>
    <w:rsid w:val="00A57963"/>
    <w:rsid w:val="00A60FD1"/>
    <w:rsid w:val="00A65B5F"/>
    <w:rsid w:val="00A67EA5"/>
    <w:rsid w:val="00A70EC6"/>
    <w:rsid w:val="00A75ED2"/>
    <w:rsid w:val="00A77766"/>
    <w:rsid w:val="00A826EB"/>
    <w:rsid w:val="00A85540"/>
    <w:rsid w:val="00A8579A"/>
    <w:rsid w:val="00A865E8"/>
    <w:rsid w:val="00A877B2"/>
    <w:rsid w:val="00A90EFE"/>
    <w:rsid w:val="00A91ED1"/>
    <w:rsid w:val="00A92E02"/>
    <w:rsid w:val="00A937AD"/>
    <w:rsid w:val="00A973CA"/>
    <w:rsid w:val="00AA18E5"/>
    <w:rsid w:val="00AA59FB"/>
    <w:rsid w:val="00AB284B"/>
    <w:rsid w:val="00AB6AC2"/>
    <w:rsid w:val="00AB7D89"/>
    <w:rsid w:val="00AC01CB"/>
    <w:rsid w:val="00AC5B69"/>
    <w:rsid w:val="00AC7D4B"/>
    <w:rsid w:val="00AD031C"/>
    <w:rsid w:val="00AD04DC"/>
    <w:rsid w:val="00AD7146"/>
    <w:rsid w:val="00AE1146"/>
    <w:rsid w:val="00AE2F20"/>
    <w:rsid w:val="00AE356A"/>
    <w:rsid w:val="00AE3C22"/>
    <w:rsid w:val="00AE52F6"/>
    <w:rsid w:val="00AE56E5"/>
    <w:rsid w:val="00AE5ECD"/>
    <w:rsid w:val="00AE7341"/>
    <w:rsid w:val="00AE79E6"/>
    <w:rsid w:val="00AF2D84"/>
    <w:rsid w:val="00AF3313"/>
    <w:rsid w:val="00AF4F84"/>
    <w:rsid w:val="00B0059C"/>
    <w:rsid w:val="00B012AF"/>
    <w:rsid w:val="00B02C7E"/>
    <w:rsid w:val="00B02E31"/>
    <w:rsid w:val="00B04ABE"/>
    <w:rsid w:val="00B05F4C"/>
    <w:rsid w:val="00B12060"/>
    <w:rsid w:val="00B16EF2"/>
    <w:rsid w:val="00B22C26"/>
    <w:rsid w:val="00B22D2A"/>
    <w:rsid w:val="00B23557"/>
    <w:rsid w:val="00B23E5F"/>
    <w:rsid w:val="00B26A00"/>
    <w:rsid w:val="00B27E15"/>
    <w:rsid w:val="00B36AD8"/>
    <w:rsid w:val="00B37E0B"/>
    <w:rsid w:val="00B415B5"/>
    <w:rsid w:val="00B43D80"/>
    <w:rsid w:val="00B46ABE"/>
    <w:rsid w:val="00B501C0"/>
    <w:rsid w:val="00B50B82"/>
    <w:rsid w:val="00B51CAE"/>
    <w:rsid w:val="00B51D77"/>
    <w:rsid w:val="00B56578"/>
    <w:rsid w:val="00B57295"/>
    <w:rsid w:val="00B62D9A"/>
    <w:rsid w:val="00B630CF"/>
    <w:rsid w:val="00B736AB"/>
    <w:rsid w:val="00B75867"/>
    <w:rsid w:val="00B76AC2"/>
    <w:rsid w:val="00B86E11"/>
    <w:rsid w:val="00B96060"/>
    <w:rsid w:val="00B9627F"/>
    <w:rsid w:val="00BA2353"/>
    <w:rsid w:val="00BA2CC7"/>
    <w:rsid w:val="00BA6014"/>
    <w:rsid w:val="00BB0C4E"/>
    <w:rsid w:val="00BB3197"/>
    <w:rsid w:val="00BB3C59"/>
    <w:rsid w:val="00BB414A"/>
    <w:rsid w:val="00BC0935"/>
    <w:rsid w:val="00BC2632"/>
    <w:rsid w:val="00BC2BD5"/>
    <w:rsid w:val="00BC37BC"/>
    <w:rsid w:val="00BC5331"/>
    <w:rsid w:val="00BC5440"/>
    <w:rsid w:val="00BD402A"/>
    <w:rsid w:val="00BD61EF"/>
    <w:rsid w:val="00BE0C48"/>
    <w:rsid w:val="00BE39F8"/>
    <w:rsid w:val="00BE65C0"/>
    <w:rsid w:val="00BE765C"/>
    <w:rsid w:val="00BF36D5"/>
    <w:rsid w:val="00BF3BD3"/>
    <w:rsid w:val="00BF5038"/>
    <w:rsid w:val="00BF5FC1"/>
    <w:rsid w:val="00C00FAF"/>
    <w:rsid w:val="00C05AA0"/>
    <w:rsid w:val="00C06F2F"/>
    <w:rsid w:val="00C1625D"/>
    <w:rsid w:val="00C209AC"/>
    <w:rsid w:val="00C247A7"/>
    <w:rsid w:val="00C32E2C"/>
    <w:rsid w:val="00C404D9"/>
    <w:rsid w:val="00C41A96"/>
    <w:rsid w:val="00C42693"/>
    <w:rsid w:val="00C4392C"/>
    <w:rsid w:val="00C45D6B"/>
    <w:rsid w:val="00C528B3"/>
    <w:rsid w:val="00C56CD5"/>
    <w:rsid w:val="00C65C11"/>
    <w:rsid w:val="00C7128F"/>
    <w:rsid w:val="00C7387E"/>
    <w:rsid w:val="00C73F5A"/>
    <w:rsid w:val="00C756CF"/>
    <w:rsid w:val="00C8046E"/>
    <w:rsid w:val="00C80511"/>
    <w:rsid w:val="00C8265C"/>
    <w:rsid w:val="00C83620"/>
    <w:rsid w:val="00C91841"/>
    <w:rsid w:val="00C925D6"/>
    <w:rsid w:val="00C9268B"/>
    <w:rsid w:val="00C97A8C"/>
    <w:rsid w:val="00CA1BB9"/>
    <w:rsid w:val="00CA34FC"/>
    <w:rsid w:val="00CA5676"/>
    <w:rsid w:val="00CB0A12"/>
    <w:rsid w:val="00CB2CA9"/>
    <w:rsid w:val="00CB5B66"/>
    <w:rsid w:val="00CC105C"/>
    <w:rsid w:val="00CC1174"/>
    <w:rsid w:val="00CC224A"/>
    <w:rsid w:val="00CC342F"/>
    <w:rsid w:val="00CC3AF2"/>
    <w:rsid w:val="00CC3B91"/>
    <w:rsid w:val="00CC4617"/>
    <w:rsid w:val="00CC4AFF"/>
    <w:rsid w:val="00CC586B"/>
    <w:rsid w:val="00CC6F5D"/>
    <w:rsid w:val="00CD2CE5"/>
    <w:rsid w:val="00CD4B15"/>
    <w:rsid w:val="00CE0C81"/>
    <w:rsid w:val="00CE4058"/>
    <w:rsid w:val="00CE5AE1"/>
    <w:rsid w:val="00CE7339"/>
    <w:rsid w:val="00CF05E9"/>
    <w:rsid w:val="00CF3DA8"/>
    <w:rsid w:val="00CF5D9E"/>
    <w:rsid w:val="00CF66F9"/>
    <w:rsid w:val="00CF6F63"/>
    <w:rsid w:val="00D02839"/>
    <w:rsid w:val="00D041A6"/>
    <w:rsid w:val="00D06773"/>
    <w:rsid w:val="00D06B89"/>
    <w:rsid w:val="00D12DEC"/>
    <w:rsid w:val="00D1390F"/>
    <w:rsid w:val="00D162BB"/>
    <w:rsid w:val="00D21F6A"/>
    <w:rsid w:val="00D30059"/>
    <w:rsid w:val="00D369D2"/>
    <w:rsid w:val="00D37605"/>
    <w:rsid w:val="00D37B72"/>
    <w:rsid w:val="00D4029C"/>
    <w:rsid w:val="00D4230A"/>
    <w:rsid w:val="00D45F5B"/>
    <w:rsid w:val="00D46248"/>
    <w:rsid w:val="00D4636C"/>
    <w:rsid w:val="00D4683C"/>
    <w:rsid w:val="00D476BA"/>
    <w:rsid w:val="00D478C7"/>
    <w:rsid w:val="00D501F0"/>
    <w:rsid w:val="00D520D1"/>
    <w:rsid w:val="00D54A05"/>
    <w:rsid w:val="00D572CA"/>
    <w:rsid w:val="00D6305F"/>
    <w:rsid w:val="00D63350"/>
    <w:rsid w:val="00D77174"/>
    <w:rsid w:val="00D81B88"/>
    <w:rsid w:val="00D84595"/>
    <w:rsid w:val="00D90ECD"/>
    <w:rsid w:val="00D93A1F"/>
    <w:rsid w:val="00D9460F"/>
    <w:rsid w:val="00D96A67"/>
    <w:rsid w:val="00DA2C74"/>
    <w:rsid w:val="00DA4D26"/>
    <w:rsid w:val="00DA539F"/>
    <w:rsid w:val="00DB06E1"/>
    <w:rsid w:val="00DB3618"/>
    <w:rsid w:val="00DB58E8"/>
    <w:rsid w:val="00DB7C16"/>
    <w:rsid w:val="00DC029A"/>
    <w:rsid w:val="00DC2D3E"/>
    <w:rsid w:val="00DC3E42"/>
    <w:rsid w:val="00DC47C2"/>
    <w:rsid w:val="00DC5B74"/>
    <w:rsid w:val="00DD2B14"/>
    <w:rsid w:val="00DD2E24"/>
    <w:rsid w:val="00DD3723"/>
    <w:rsid w:val="00DD4414"/>
    <w:rsid w:val="00DD5A84"/>
    <w:rsid w:val="00DD7681"/>
    <w:rsid w:val="00DE0189"/>
    <w:rsid w:val="00DE4A37"/>
    <w:rsid w:val="00DE6327"/>
    <w:rsid w:val="00DF08A7"/>
    <w:rsid w:val="00DF0E9A"/>
    <w:rsid w:val="00DF2F1E"/>
    <w:rsid w:val="00DF4813"/>
    <w:rsid w:val="00E02168"/>
    <w:rsid w:val="00E03128"/>
    <w:rsid w:val="00E05A04"/>
    <w:rsid w:val="00E05A26"/>
    <w:rsid w:val="00E10184"/>
    <w:rsid w:val="00E11C0A"/>
    <w:rsid w:val="00E14A8B"/>
    <w:rsid w:val="00E15EC7"/>
    <w:rsid w:val="00E216B5"/>
    <w:rsid w:val="00E24CAE"/>
    <w:rsid w:val="00E261B3"/>
    <w:rsid w:val="00E27AD2"/>
    <w:rsid w:val="00E27AEF"/>
    <w:rsid w:val="00E315A0"/>
    <w:rsid w:val="00E32A1B"/>
    <w:rsid w:val="00E36A6D"/>
    <w:rsid w:val="00E37CDC"/>
    <w:rsid w:val="00E5178C"/>
    <w:rsid w:val="00E53B35"/>
    <w:rsid w:val="00E550BE"/>
    <w:rsid w:val="00E57D8D"/>
    <w:rsid w:val="00E57E7E"/>
    <w:rsid w:val="00E61E7C"/>
    <w:rsid w:val="00E74037"/>
    <w:rsid w:val="00E76416"/>
    <w:rsid w:val="00E76A7D"/>
    <w:rsid w:val="00E825C5"/>
    <w:rsid w:val="00E82BB0"/>
    <w:rsid w:val="00E8499D"/>
    <w:rsid w:val="00E8571F"/>
    <w:rsid w:val="00E90875"/>
    <w:rsid w:val="00E90BCC"/>
    <w:rsid w:val="00E90FFD"/>
    <w:rsid w:val="00E94192"/>
    <w:rsid w:val="00E974B6"/>
    <w:rsid w:val="00E97A26"/>
    <w:rsid w:val="00EB03D4"/>
    <w:rsid w:val="00EB3B94"/>
    <w:rsid w:val="00EB45F4"/>
    <w:rsid w:val="00EB4816"/>
    <w:rsid w:val="00EB7035"/>
    <w:rsid w:val="00EC1B63"/>
    <w:rsid w:val="00EC203F"/>
    <w:rsid w:val="00EC4B68"/>
    <w:rsid w:val="00EC6851"/>
    <w:rsid w:val="00EC6E7E"/>
    <w:rsid w:val="00EC736E"/>
    <w:rsid w:val="00EC7C92"/>
    <w:rsid w:val="00ED43D3"/>
    <w:rsid w:val="00ED44BC"/>
    <w:rsid w:val="00ED54B4"/>
    <w:rsid w:val="00ED7737"/>
    <w:rsid w:val="00EE4779"/>
    <w:rsid w:val="00EE5702"/>
    <w:rsid w:val="00EE6DDB"/>
    <w:rsid w:val="00EE7018"/>
    <w:rsid w:val="00EF2655"/>
    <w:rsid w:val="00EF3226"/>
    <w:rsid w:val="00EF57AA"/>
    <w:rsid w:val="00EF6D01"/>
    <w:rsid w:val="00F00594"/>
    <w:rsid w:val="00F02176"/>
    <w:rsid w:val="00F02B22"/>
    <w:rsid w:val="00F02C11"/>
    <w:rsid w:val="00F054D6"/>
    <w:rsid w:val="00F271DB"/>
    <w:rsid w:val="00F35E0D"/>
    <w:rsid w:val="00F4097A"/>
    <w:rsid w:val="00F411B1"/>
    <w:rsid w:val="00F41B23"/>
    <w:rsid w:val="00F41D0A"/>
    <w:rsid w:val="00F44977"/>
    <w:rsid w:val="00F44FE7"/>
    <w:rsid w:val="00F46209"/>
    <w:rsid w:val="00F545C1"/>
    <w:rsid w:val="00F6124F"/>
    <w:rsid w:val="00F61E4C"/>
    <w:rsid w:val="00F6229C"/>
    <w:rsid w:val="00F71C57"/>
    <w:rsid w:val="00F75E3E"/>
    <w:rsid w:val="00F87328"/>
    <w:rsid w:val="00F926CA"/>
    <w:rsid w:val="00F93A17"/>
    <w:rsid w:val="00F979E4"/>
    <w:rsid w:val="00F97AFC"/>
    <w:rsid w:val="00F97BF1"/>
    <w:rsid w:val="00FA3B06"/>
    <w:rsid w:val="00FA4CC6"/>
    <w:rsid w:val="00FA5AB8"/>
    <w:rsid w:val="00FA6994"/>
    <w:rsid w:val="00FB2ADE"/>
    <w:rsid w:val="00FB3649"/>
    <w:rsid w:val="00FB4BCD"/>
    <w:rsid w:val="00FB5D84"/>
    <w:rsid w:val="00FB6105"/>
    <w:rsid w:val="00FC6CD5"/>
    <w:rsid w:val="00FD19C0"/>
    <w:rsid w:val="00FD1C91"/>
    <w:rsid w:val="00FD390C"/>
    <w:rsid w:val="00FD46FF"/>
    <w:rsid w:val="00FD55C3"/>
    <w:rsid w:val="00FD5C36"/>
    <w:rsid w:val="00FE096F"/>
    <w:rsid w:val="00FE3C91"/>
    <w:rsid w:val="00FE3D48"/>
    <w:rsid w:val="00FE45B5"/>
    <w:rsid w:val="00FE467B"/>
    <w:rsid w:val="00FE5284"/>
    <w:rsid w:val="00FE7471"/>
    <w:rsid w:val="00FF170D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93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Numery">
    <w:name w:val="Numery"/>
    <w:rsid w:val="00292FE7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93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Numery">
    <w:name w:val="Numery"/>
    <w:rsid w:val="00292FE7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nika.gladysz@mrpit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kasz.nojszewski@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ir.gov.pl/strony/o-programie/promocja/zasady-promocji-i-oznakowania-projektow-w-programie-1/zasady-dla-umow-podpisanych-od-1-stycznia-2018-rok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ur-lex.europa.eu/legal-content/PL/TXT/?uri=CELEX%3A32019R10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nika.gladysz@mrpit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272E-7725-4FDD-94EF-4A0B817D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2842</Words>
  <Characters>17052</Characters>
  <Application>Microsoft Office Word</Application>
  <DocSecurity>0</DocSecurity>
  <Lines>142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Monika Gladysz</cp:lastModifiedBy>
  <cp:revision>2</cp:revision>
  <cp:lastPrinted>2018-07-18T14:40:00Z</cp:lastPrinted>
  <dcterms:created xsi:type="dcterms:W3CDTF">2021-04-28T08:03:00Z</dcterms:created>
  <dcterms:modified xsi:type="dcterms:W3CDTF">2021-04-28T08:03:00Z</dcterms:modified>
</cp:coreProperties>
</file>