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30D0" w14:textId="0304E3D9" w:rsidR="00B8038E" w:rsidRPr="00B8038E" w:rsidRDefault="00B8038E" w:rsidP="00B8038E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 w:rsidRPr="00B8038E">
        <w:rPr>
          <w:rFonts w:ascii="Tahoma" w:hAnsi="Tahoma" w:cs="Tahoma"/>
          <w:i/>
          <w:iCs/>
          <w:color w:val="000000"/>
          <w:sz w:val="18"/>
          <w:szCs w:val="18"/>
        </w:rPr>
        <w:t xml:space="preserve">Załącznik nr </w:t>
      </w:r>
      <w:r w:rsidR="00660829">
        <w:rPr>
          <w:rFonts w:ascii="Tahoma" w:hAnsi="Tahoma" w:cs="Tahoma"/>
          <w:i/>
          <w:iCs/>
          <w:color w:val="000000"/>
          <w:sz w:val="18"/>
          <w:szCs w:val="18"/>
        </w:rPr>
        <w:t>2</w:t>
      </w:r>
      <w:r w:rsidRPr="00B8038E">
        <w:rPr>
          <w:rFonts w:ascii="Tahoma" w:hAnsi="Tahoma" w:cs="Tahoma"/>
          <w:i/>
          <w:iCs/>
          <w:color w:val="000000"/>
          <w:sz w:val="18"/>
          <w:szCs w:val="18"/>
        </w:rPr>
        <w:t xml:space="preserve"> do zapytania ofertowego</w:t>
      </w:r>
    </w:p>
    <w:p w14:paraId="577E56AC" w14:textId="41EA4E64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B2EA766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660829">
        <w:rPr>
          <w:rFonts w:ascii="Tahoma" w:hAnsi="Tahoma" w:cs="Tahoma"/>
          <w:b/>
          <w:bCs/>
          <w:sz w:val="18"/>
          <w:szCs w:val="18"/>
        </w:rPr>
        <w:t>d</w:t>
      </w:r>
      <w:r w:rsidR="00F53663" w:rsidRPr="00F53663">
        <w:rPr>
          <w:rFonts w:ascii="Tahoma" w:hAnsi="Tahoma" w:cs="Tahoma"/>
          <w:b/>
          <w:bCs/>
          <w:sz w:val="18"/>
          <w:szCs w:val="18"/>
        </w:rPr>
        <w:t xml:space="preserve">ostawa </w:t>
      </w:r>
      <w:r w:rsidR="00660829" w:rsidRPr="00660829">
        <w:rPr>
          <w:rFonts w:ascii="Tahoma" w:hAnsi="Tahoma" w:cs="Tahoma"/>
          <w:b/>
          <w:bCs/>
          <w:sz w:val="18"/>
          <w:szCs w:val="18"/>
        </w:rPr>
        <w:t>sprzętu komputerowego dla Małopolskiego Oddziału Regionalnego ARiMR w Krakowie</w:t>
      </w:r>
      <w:r w:rsidR="0066082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660829" w:rsidRPr="00660829">
        <w:rPr>
          <w:rFonts w:ascii="Tahoma" w:hAnsi="Tahoma" w:cs="Tahoma"/>
          <w:b/>
          <w:bCs/>
          <w:sz w:val="18"/>
          <w:szCs w:val="18"/>
        </w:rPr>
        <w:t>BOR06.2304.6.2025</w:t>
      </w:r>
      <w:r w:rsidR="00660829">
        <w:rPr>
          <w:rFonts w:ascii="Tahoma" w:hAnsi="Tahoma" w:cs="Tahoma"/>
          <w:b/>
          <w:bCs/>
          <w:sz w:val="18"/>
          <w:szCs w:val="18"/>
        </w:rPr>
        <w:t xml:space="preserve">)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</w:t>
      </w:r>
      <w:r w:rsidR="0066260C">
        <w:rPr>
          <w:rFonts w:ascii="Tahoma" w:hAnsi="Tahoma" w:cs="Tahoma"/>
          <w:color w:val="000000" w:themeColor="text1"/>
          <w:sz w:val="18"/>
          <w:szCs w:val="18"/>
        </w:rPr>
        <w:t xml:space="preserve">    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 xml:space="preserve">rozliczania umów zgodnie </w:t>
      </w:r>
      <w:r w:rsidR="0066260C">
        <w:rPr>
          <w:rFonts w:ascii="Tahoma" w:hAnsi="Tahoma" w:cs="Tahoma"/>
          <w:sz w:val="18"/>
          <w:szCs w:val="18"/>
        </w:rPr>
        <w:t xml:space="preserve">    </w:t>
      </w:r>
      <w:r w:rsidR="001533B3" w:rsidRPr="007B0EA5">
        <w:rPr>
          <w:rFonts w:ascii="Tahoma" w:hAnsi="Tahoma" w:cs="Tahoma"/>
          <w:sz w:val="18"/>
          <w:szCs w:val="18"/>
        </w:rPr>
        <w:t xml:space="preserve">z przepisami prawa, przepisami podatkowymi, rachunkowymi oraz ubezpieczeniowymi zgodnie ustawą </w:t>
      </w:r>
      <w:r w:rsidR="0066260C">
        <w:rPr>
          <w:rFonts w:ascii="Tahoma" w:hAnsi="Tahoma" w:cs="Tahoma"/>
          <w:sz w:val="18"/>
          <w:szCs w:val="18"/>
        </w:rPr>
        <w:t xml:space="preserve">      </w:t>
      </w:r>
      <w:r w:rsidR="001533B3" w:rsidRPr="007B0EA5">
        <w:rPr>
          <w:rFonts w:ascii="Tahoma" w:hAnsi="Tahoma" w:cs="Tahoma"/>
          <w:sz w:val="18"/>
          <w:szCs w:val="18"/>
        </w:rPr>
        <w:t>o systemie ubezpieczeń społecznych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156CCE4E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5 lat, na potrzeby archiwizacji.</w:t>
      </w:r>
      <w:r w:rsidR="00574E4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67F9C8D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2E0F3C21" w14:textId="116DD0DE" w:rsidR="00BC3A3B" w:rsidRPr="009A1F49" w:rsidRDefault="00BC3A3B" w:rsidP="00071F66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sectPr w:rsidR="00BC3A3B" w:rsidRPr="009A1F49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0ED5" w14:textId="77777777" w:rsidR="0064636D" w:rsidRDefault="0064636D" w:rsidP="00BC3A3B">
      <w:r>
        <w:separator/>
      </w:r>
    </w:p>
  </w:endnote>
  <w:endnote w:type="continuationSeparator" w:id="0">
    <w:p w14:paraId="3F6E276B" w14:textId="77777777" w:rsidR="0064636D" w:rsidRDefault="0064636D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673E" w14:textId="77777777" w:rsidR="0064636D" w:rsidRDefault="0064636D" w:rsidP="00BC3A3B">
      <w:r>
        <w:separator/>
      </w:r>
    </w:p>
  </w:footnote>
  <w:footnote w:type="continuationSeparator" w:id="0">
    <w:p w14:paraId="5C18F288" w14:textId="77777777" w:rsidR="0064636D" w:rsidRDefault="0064636D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37.5pt;height:537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820851917">
    <w:abstractNumId w:val="8"/>
  </w:num>
  <w:num w:numId="2" w16cid:durableId="1717898102">
    <w:abstractNumId w:val="4"/>
  </w:num>
  <w:num w:numId="3" w16cid:durableId="955260707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00541606">
    <w:abstractNumId w:val="16"/>
  </w:num>
  <w:num w:numId="5" w16cid:durableId="1079710249">
    <w:abstractNumId w:val="18"/>
  </w:num>
  <w:num w:numId="6" w16cid:durableId="1524435166">
    <w:abstractNumId w:val="19"/>
  </w:num>
  <w:num w:numId="7" w16cid:durableId="146932154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461655674">
    <w:abstractNumId w:val="20"/>
  </w:num>
  <w:num w:numId="9" w16cid:durableId="1740009709">
    <w:abstractNumId w:val="15"/>
  </w:num>
  <w:num w:numId="10" w16cid:durableId="1388803385">
    <w:abstractNumId w:val="5"/>
  </w:num>
  <w:num w:numId="11" w16cid:durableId="260262346">
    <w:abstractNumId w:val="21"/>
  </w:num>
  <w:num w:numId="12" w16cid:durableId="770205081">
    <w:abstractNumId w:val="6"/>
  </w:num>
  <w:num w:numId="13" w16cid:durableId="391343654">
    <w:abstractNumId w:val="11"/>
  </w:num>
  <w:num w:numId="14" w16cid:durableId="1432242739">
    <w:abstractNumId w:val="3"/>
  </w:num>
  <w:num w:numId="15" w16cid:durableId="2023626941">
    <w:abstractNumId w:val="2"/>
  </w:num>
  <w:num w:numId="16" w16cid:durableId="14620670">
    <w:abstractNumId w:val="13"/>
  </w:num>
  <w:num w:numId="17" w16cid:durableId="1715740045">
    <w:abstractNumId w:val="14"/>
  </w:num>
  <w:num w:numId="18" w16cid:durableId="1584994966">
    <w:abstractNumId w:val="23"/>
  </w:num>
  <w:num w:numId="19" w16cid:durableId="839388155">
    <w:abstractNumId w:val="10"/>
  </w:num>
  <w:num w:numId="20" w16cid:durableId="573318746">
    <w:abstractNumId w:val="17"/>
  </w:num>
  <w:num w:numId="21" w16cid:durableId="1040469799">
    <w:abstractNumId w:val="1"/>
  </w:num>
  <w:num w:numId="22" w16cid:durableId="345984600">
    <w:abstractNumId w:val="12"/>
  </w:num>
  <w:num w:numId="23" w16cid:durableId="531966466">
    <w:abstractNumId w:val="9"/>
  </w:num>
  <w:num w:numId="24" w16cid:durableId="284579009">
    <w:abstractNumId w:val="7"/>
  </w:num>
  <w:num w:numId="25" w16cid:durableId="511458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5677F"/>
    <w:rsid w:val="002A2E39"/>
    <w:rsid w:val="00325A3D"/>
    <w:rsid w:val="003C0378"/>
    <w:rsid w:val="003E097B"/>
    <w:rsid w:val="003F4F4B"/>
    <w:rsid w:val="00403F23"/>
    <w:rsid w:val="00450D22"/>
    <w:rsid w:val="004A5A43"/>
    <w:rsid w:val="00534BDA"/>
    <w:rsid w:val="00557CAF"/>
    <w:rsid w:val="00571868"/>
    <w:rsid w:val="00574E43"/>
    <w:rsid w:val="005C4044"/>
    <w:rsid w:val="005F0C33"/>
    <w:rsid w:val="0064636D"/>
    <w:rsid w:val="00660829"/>
    <w:rsid w:val="0066260C"/>
    <w:rsid w:val="006643DE"/>
    <w:rsid w:val="006C5597"/>
    <w:rsid w:val="006F27D2"/>
    <w:rsid w:val="0072081F"/>
    <w:rsid w:val="007302C9"/>
    <w:rsid w:val="0077797C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54147"/>
    <w:rsid w:val="009A1F49"/>
    <w:rsid w:val="009C5E67"/>
    <w:rsid w:val="00A30510"/>
    <w:rsid w:val="00A46808"/>
    <w:rsid w:val="00AA2C7D"/>
    <w:rsid w:val="00AB67B3"/>
    <w:rsid w:val="00AE6D45"/>
    <w:rsid w:val="00B54ADB"/>
    <w:rsid w:val="00B8038E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F03BC4"/>
    <w:rsid w:val="00F277A3"/>
    <w:rsid w:val="00F47826"/>
    <w:rsid w:val="00F53663"/>
    <w:rsid w:val="00F82531"/>
    <w:rsid w:val="00FA2810"/>
    <w:rsid w:val="00FD0053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150CEE4-5091-4A94-A1EB-9244B0C5AD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6</cp:revision>
  <cp:lastPrinted>2025-01-29T08:37:00Z</cp:lastPrinted>
  <dcterms:created xsi:type="dcterms:W3CDTF">2025-07-31T07:36:00Z</dcterms:created>
  <dcterms:modified xsi:type="dcterms:W3CDTF">2025-11-20T10:56:00Z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