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BCD1" w14:textId="77777777" w:rsidR="008F691D" w:rsidRDefault="008F691D" w:rsidP="008F691D">
      <w:pPr>
        <w:jc w:val="center"/>
        <w:rPr>
          <w:b/>
          <w:bCs/>
          <w:lang w:val="en-GB"/>
        </w:rPr>
      </w:pPr>
      <w:proofErr w:type="spellStart"/>
      <w:r>
        <w:rPr>
          <w:b/>
          <w:bCs/>
          <w:lang w:val="en-GB"/>
        </w:rPr>
        <w:t>Gdańsk</w:t>
      </w:r>
      <w:proofErr w:type="spellEnd"/>
      <w:r>
        <w:rPr>
          <w:b/>
          <w:bCs/>
          <w:lang w:val="en-GB"/>
        </w:rPr>
        <w:t xml:space="preserve"> Declaration</w:t>
      </w:r>
    </w:p>
    <w:p w14:paraId="3E0972F8" w14:textId="4E5DE882" w:rsidR="008F691D" w:rsidRPr="00F467AB" w:rsidRDefault="008F691D" w:rsidP="00F467AB">
      <w:pPr>
        <w:pStyle w:val="Akapitzlist"/>
        <w:spacing w:after="120" w:line="240" w:lineRule="auto"/>
        <w:contextualSpacing w:val="0"/>
        <w:jc w:val="both"/>
        <w:rPr>
          <w:lang w:val="en-GB"/>
        </w:rPr>
      </w:pPr>
      <w:r w:rsidRPr="007D0E58">
        <w:rPr>
          <w:b/>
          <w:bCs/>
          <w:lang w:val="en-GB"/>
        </w:rPr>
        <w:t xml:space="preserve">Joint declaration from the </w:t>
      </w:r>
      <w:r>
        <w:rPr>
          <w:b/>
          <w:bCs/>
          <w:lang w:val="en-GB"/>
        </w:rPr>
        <w:t>L</w:t>
      </w:r>
      <w:r w:rsidRPr="007D0E58">
        <w:rPr>
          <w:b/>
          <w:bCs/>
          <w:lang w:val="en-GB"/>
        </w:rPr>
        <w:t>eaders o</w:t>
      </w:r>
      <w:r>
        <w:rPr>
          <w:b/>
          <w:bCs/>
          <w:lang w:val="en-GB"/>
        </w:rPr>
        <w:t>f the Eastern Flank (</w:t>
      </w:r>
      <w:r w:rsidR="00AE045B" w:rsidRPr="007D0E58">
        <w:rPr>
          <w:b/>
          <w:bCs/>
          <w:lang w:val="en-GB"/>
        </w:rPr>
        <w:t>Estonia</w:t>
      </w:r>
      <w:r>
        <w:rPr>
          <w:b/>
          <w:bCs/>
          <w:lang w:val="en-GB"/>
        </w:rPr>
        <w:t xml:space="preserve">, </w:t>
      </w:r>
      <w:r w:rsidRPr="007D0E58">
        <w:rPr>
          <w:b/>
          <w:bCs/>
          <w:lang w:val="en-GB"/>
        </w:rPr>
        <w:t>Finland</w:t>
      </w:r>
      <w:r>
        <w:rPr>
          <w:b/>
          <w:bCs/>
          <w:lang w:val="en-GB"/>
        </w:rPr>
        <w:t xml:space="preserve">, </w:t>
      </w:r>
      <w:r w:rsidRPr="007D0E58">
        <w:rPr>
          <w:b/>
          <w:bCs/>
          <w:lang w:val="en-GB"/>
        </w:rPr>
        <w:t>Latvia, Lithuania</w:t>
      </w:r>
      <w:r>
        <w:rPr>
          <w:b/>
          <w:bCs/>
          <w:lang w:val="en-GB"/>
        </w:rPr>
        <w:t>,</w:t>
      </w:r>
      <w:r w:rsidRPr="007D0E58">
        <w:rPr>
          <w:b/>
          <w:bCs/>
          <w:lang w:val="en-GB"/>
        </w:rPr>
        <w:t xml:space="preserve"> Poland, Romania </w:t>
      </w:r>
      <w:r>
        <w:rPr>
          <w:b/>
          <w:bCs/>
          <w:lang w:val="en-GB"/>
        </w:rPr>
        <w:t>and Sweden)</w:t>
      </w:r>
    </w:p>
    <w:p w14:paraId="0B8C7428" w14:textId="632B8298" w:rsidR="00E2696F" w:rsidRPr="001C50CA" w:rsidRDefault="00F45AF3" w:rsidP="00110126">
      <w:pPr>
        <w:pStyle w:val="Akapitzlist"/>
        <w:numPr>
          <w:ilvl w:val="0"/>
          <w:numId w:val="2"/>
        </w:numPr>
        <w:spacing w:after="120" w:line="240" w:lineRule="auto"/>
        <w:contextualSpacing w:val="0"/>
        <w:jc w:val="both"/>
        <w:rPr>
          <w:lang w:val="en-GB"/>
        </w:rPr>
      </w:pPr>
      <w:r w:rsidRPr="001C50CA">
        <w:rPr>
          <w:lang w:val="en-GB"/>
        </w:rPr>
        <w:t xml:space="preserve">Russia’s </w:t>
      </w:r>
      <w:r w:rsidR="00AE249E">
        <w:rPr>
          <w:lang w:val="en-GB"/>
        </w:rPr>
        <w:t xml:space="preserve">hostile </w:t>
      </w:r>
      <w:r w:rsidR="00262A35" w:rsidRPr="001C50CA">
        <w:rPr>
          <w:lang w:val="en-GB"/>
        </w:rPr>
        <w:t xml:space="preserve">policy and </w:t>
      </w:r>
      <w:r w:rsidRPr="001C50CA">
        <w:rPr>
          <w:lang w:val="en-GB"/>
        </w:rPr>
        <w:t xml:space="preserve">war of aggression against Ukraine </w:t>
      </w:r>
      <w:r w:rsidR="00C8439C">
        <w:rPr>
          <w:lang w:val="en-GB"/>
        </w:rPr>
        <w:t>have</w:t>
      </w:r>
      <w:r w:rsidRPr="001C50CA">
        <w:rPr>
          <w:lang w:val="en-GB"/>
        </w:rPr>
        <w:t xml:space="preserve"> confirmed th</w:t>
      </w:r>
      <w:r w:rsidR="00262A35" w:rsidRPr="001C50CA">
        <w:rPr>
          <w:lang w:val="en-GB"/>
        </w:rPr>
        <w:t xml:space="preserve">at </w:t>
      </w:r>
      <w:r w:rsidR="00262A35" w:rsidRPr="001C50CA">
        <w:rPr>
          <w:b/>
          <w:bCs/>
          <w:lang w:val="en-GB"/>
        </w:rPr>
        <w:t xml:space="preserve">Russia </w:t>
      </w:r>
      <w:r w:rsidR="00757CD3" w:rsidRPr="001C50CA">
        <w:rPr>
          <w:b/>
          <w:bCs/>
          <w:lang w:val="en-GB"/>
        </w:rPr>
        <w:t xml:space="preserve">remains the most significant, direct, and long-term threat </w:t>
      </w:r>
      <w:r w:rsidR="00757CD3" w:rsidRPr="001C50CA">
        <w:rPr>
          <w:lang w:val="en-GB"/>
        </w:rPr>
        <w:t>to the security, peace, and stability of the Euro-Atlantic area</w:t>
      </w:r>
      <w:r w:rsidRPr="001C50CA">
        <w:rPr>
          <w:lang w:val="en-GB"/>
        </w:rPr>
        <w:t xml:space="preserve">. </w:t>
      </w:r>
      <w:r w:rsidR="00902CB1" w:rsidRPr="001C50CA">
        <w:rPr>
          <w:lang w:val="en-GB"/>
        </w:rPr>
        <w:t>The Eastern Flank</w:t>
      </w:r>
      <w:r w:rsidR="00F94CC0" w:rsidRPr="004A4403">
        <w:rPr>
          <w:lang w:val="en-GB"/>
        </w:rPr>
        <w:t>, stretching from the Arctic region through the Baltic and Black Sea</w:t>
      </w:r>
      <w:r w:rsidR="00902CB1" w:rsidRPr="00072954">
        <w:rPr>
          <w:lang w:val="en-GB"/>
        </w:rPr>
        <w:t xml:space="preserve"> constitutes the first lin</w:t>
      </w:r>
      <w:r w:rsidR="00902CB1" w:rsidRPr="001C50CA">
        <w:rPr>
          <w:lang w:val="en-GB"/>
        </w:rPr>
        <w:t xml:space="preserve">e of defence in the event of armed aggression, thereby </w:t>
      </w:r>
      <w:r w:rsidR="008F691D">
        <w:rPr>
          <w:lang w:val="en-GB"/>
        </w:rPr>
        <w:t>protecting</w:t>
      </w:r>
      <w:r w:rsidR="008F691D" w:rsidRPr="001C50CA">
        <w:rPr>
          <w:lang w:val="en-GB"/>
        </w:rPr>
        <w:t xml:space="preserve"> </w:t>
      </w:r>
      <w:r w:rsidR="00902CB1" w:rsidRPr="001C50CA">
        <w:rPr>
          <w:lang w:val="en-GB"/>
        </w:rPr>
        <w:t>not only its own borders, but also the security, stability and prosperity of the European Union</w:t>
      </w:r>
      <w:r w:rsidR="00C30767">
        <w:rPr>
          <w:lang w:val="en-GB"/>
        </w:rPr>
        <w:t xml:space="preserve"> and NATO</w:t>
      </w:r>
      <w:r w:rsidR="008F691D">
        <w:rPr>
          <w:lang w:val="en-GB"/>
        </w:rPr>
        <w:t>, as a whole</w:t>
      </w:r>
      <w:r w:rsidR="00902CB1" w:rsidRPr="001C50CA">
        <w:rPr>
          <w:lang w:val="en-GB"/>
        </w:rPr>
        <w:t xml:space="preserve">. </w:t>
      </w:r>
      <w:r w:rsidR="00C30767">
        <w:rPr>
          <w:lang w:val="en-GB"/>
        </w:rPr>
        <w:t>Therefore, t</w:t>
      </w:r>
      <w:r w:rsidR="00902CB1" w:rsidRPr="001C50CA">
        <w:rPr>
          <w:lang w:val="en-GB"/>
        </w:rPr>
        <w:t xml:space="preserve">he security </w:t>
      </w:r>
      <w:r w:rsidR="00744EEF">
        <w:rPr>
          <w:lang w:val="en-GB"/>
        </w:rPr>
        <w:t xml:space="preserve">and resilience </w:t>
      </w:r>
      <w:r w:rsidR="00902CB1" w:rsidRPr="001C50CA">
        <w:rPr>
          <w:lang w:val="en-GB"/>
        </w:rPr>
        <w:t xml:space="preserve">of the </w:t>
      </w:r>
      <w:r w:rsidR="00744EEF">
        <w:rPr>
          <w:lang w:val="en-GB"/>
        </w:rPr>
        <w:t xml:space="preserve"> Eastern Flank </w:t>
      </w:r>
      <w:r w:rsidR="008F691D">
        <w:rPr>
          <w:lang w:val="en-GB"/>
        </w:rPr>
        <w:t xml:space="preserve">is </w:t>
      </w:r>
      <w:r w:rsidR="00262A35" w:rsidRPr="001C50CA">
        <w:rPr>
          <w:lang w:val="en-GB"/>
        </w:rPr>
        <w:t xml:space="preserve">a </w:t>
      </w:r>
      <w:r w:rsidR="00902CB1" w:rsidRPr="001C50CA">
        <w:rPr>
          <w:lang w:val="en-GB"/>
        </w:rPr>
        <w:t>common good and a shared responsibility.</w:t>
      </w:r>
      <w:r w:rsidR="00C30767" w:rsidRPr="00C30767">
        <w:rPr>
          <w:lang w:val="en-GB"/>
        </w:rPr>
        <w:t xml:space="preserve"> </w:t>
      </w:r>
      <w:r w:rsidR="00744EEF">
        <w:rPr>
          <w:lang w:val="en-GB"/>
        </w:rPr>
        <w:t>T</w:t>
      </w:r>
      <w:r w:rsidR="00C30767" w:rsidRPr="00C30767">
        <w:rPr>
          <w:lang w:val="en-GB"/>
        </w:rPr>
        <w:t>he threat</w:t>
      </w:r>
      <w:r w:rsidR="00744EEF">
        <w:rPr>
          <w:lang w:val="en-GB"/>
        </w:rPr>
        <w:t>s posed by Russia</w:t>
      </w:r>
      <w:r w:rsidR="00C30767" w:rsidRPr="00C30767">
        <w:rPr>
          <w:lang w:val="en-GB"/>
        </w:rPr>
        <w:t xml:space="preserve"> </w:t>
      </w:r>
      <w:r w:rsidR="008F691D">
        <w:rPr>
          <w:lang w:val="en-GB"/>
        </w:rPr>
        <w:t>must</w:t>
      </w:r>
      <w:r w:rsidR="008F691D" w:rsidRPr="00C30767">
        <w:rPr>
          <w:lang w:val="en-GB"/>
        </w:rPr>
        <w:t xml:space="preserve"> </w:t>
      </w:r>
      <w:r w:rsidR="00C30767" w:rsidRPr="00C30767">
        <w:rPr>
          <w:lang w:val="en-GB"/>
        </w:rPr>
        <w:t>constitute a cornerstone for the upcoming European Security Strategy</w:t>
      </w:r>
      <w:r w:rsidR="00C30767">
        <w:rPr>
          <w:lang w:val="en-GB"/>
        </w:rPr>
        <w:t>.</w:t>
      </w:r>
    </w:p>
    <w:p w14:paraId="2650D0C4" w14:textId="77777777" w:rsidR="00E923CB" w:rsidRPr="00E923CB" w:rsidRDefault="00902CB1" w:rsidP="00E923CB">
      <w:pPr>
        <w:pStyle w:val="Akapitzlist"/>
        <w:numPr>
          <w:ilvl w:val="0"/>
          <w:numId w:val="2"/>
        </w:numPr>
        <w:spacing w:after="120" w:line="240" w:lineRule="auto"/>
        <w:contextualSpacing w:val="0"/>
        <w:jc w:val="both"/>
        <w:rPr>
          <w:rFonts w:ascii="Calibri" w:hAnsi="Calibri" w:cs="Calibri"/>
          <w:lang w:val="en-GB"/>
        </w:rPr>
      </w:pPr>
      <w:r w:rsidRPr="00E923CB">
        <w:rPr>
          <w:b/>
          <w:bCs/>
          <w:lang w:val="en-GB"/>
        </w:rPr>
        <w:t>Russia and its proxies</w:t>
      </w:r>
      <w:r w:rsidR="00FE4763" w:rsidRPr="00E923CB">
        <w:rPr>
          <w:b/>
          <w:bCs/>
          <w:lang w:val="en-GB"/>
        </w:rPr>
        <w:t xml:space="preserve"> </w:t>
      </w:r>
      <w:r w:rsidRPr="00E923CB">
        <w:rPr>
          <w:b/>
          <w:bCs/>
          <w:lang w:val="en-GB"/>
        </w:rPr>
        <w:t xml:space="preserve">continue to conduct persistent, coordinated and escalating hybrid </w:t>
      </w:r>
      <w:r w:rsidR="00F00686" w:rsidRPr="00E923CB">
        <w:rPr>
          <w:b/>
          <w:bCs/>
          <w:lang w:val="en-GB"/>
        </w:rPr>
        <w:t xml:space="preserve">and FIMI </w:t>
      </w:r>
      <w:r w:rsidRPr="00E923CB">
        <w:rPr>
          <w:b/>
          <w:bCs/>
          <w:lang w:val="en-GB"/>
        </w:rPr>
        <w:t>campaigns</w:t>
      </w:r>
      <w:r w:rsidRPr="00E923CB">
        <w:rPr>
          <w:lang w:val="en-GB"/>
        </w:rPr>
        <w:t xml:space="preserve"> aimed at threatening our </w:t>
      </w:r>
      <w:r w:rsidR="00C30767" w:rsidRPr="00E923CB">
        <w:rPr>
          <w:lang w:val="en-GB"/>
        </w:rPr>
        <w:t xml:space="preserve">unity, </w:t>
      </w:r>
      <w:r w:rsidRPr="00E923CB">
        <w:rPr>
          <w:lang w:val="en-GB"/>
        </w:rPr>
        <w:t>security and democratic values</w:t>
      </w:r>
      <w:r w:rsidR="00C30767" w:rsidRPr="00E923CB">
        <w:rPr>
          <w:lang w:val="en-GB"/>
        </w:rPr>
        <w:t xml:space="preserve">. Russia’s goal is to </w:t>
      </w:r>
      <w:r w:rsidRPr="00E923CB">
        <w:rPr>
          <w:lang w:val="en-GB"/>
        </w:rPr>
        <w:t>undermine our support to Ukraine and its ability to defend itself. Those campaigns include</w:t>
      </w:r>
      <w:r w:rsidR="00413DD2" w:rsidRPr="00E923CB">
        <w:rPr>
          <w:lang w:val="en-GB"/>
        </w:rPr>
        <w:t xml:space="preserve"> acts of</w:t>
      </w:r>
      <w:r w:rsidRPr="00E923CB">
        <w:rPr>
          <w:lang w:val="en-GB"/>
        </w:rPr>
        <w:t xml:space="preserve"> sabotage, disruption of critical infrastructure,</w:t>
      </w:r>
      <w:r w:rsidR="004E55B8">
        <w:rPr>
          <w:lang w:val="en-GB"/>
        </w:rPr>
        <w:t xml:space="preserve"> including underwater,</w:t>
      </w:r>
      <w:r w:rsidRPr="00E923CB">
        <w:rPr>
          <w:lang w:val="en-GB"/>
        </w:rPr>
        <w:t xml:space="preserve"> cyberattacks, violation</w:t>
      </w:r>
      <w:r w:rsidR="005A53F1">
        <w:rPr>
          <w:lang w:val="en-GB"/>
        </w:rPr>
        <w:t>s</w:t>
      </w:r>
      <w:r w:rsidRPr="00E923CB">
        <w:rPr>
          <w:lang w:val="en-GB"/>
        </w:rPr>
        <w:t xml:space="preserve"> of airspace, </w:t>
      </w:r>
      <w:proofErr w:type="spellStart"/>
      <w:r w:rsidR="00413DD2" w:rsidRPr="00E923CB">
        <w:rPr>
          <w:lang w:val="en-GB"/>
        </w:rPr>
        <w:t>instrumentali</w:t>
      </w:r>
      <w:r w:rsidR="001C50CA" w:rsidRPr="00E923CB">
        <w:rPr>
          <w:lang w:val="en-GB"/>
        </w:rPr>
        <w:t>s</w:t>
      </w:r>
      <w:r w:rsidR="00413DD2" w:rsidRPr="00E923CB">
        <w:rPr>
          <w:lang w:val="en-GB"/>
        </w:rPr>
        <w:t>ation</w:t>
      </w:r>
      <w:proofErr w:type="spellEnd"/>
      <w:r w:rsidR="00413DD2" w:rsidRPr="00E923CB">
        <w:rPr>
          <w:lang w:val="en-GB"/>
        </w:rPr>
        <w:t xml:space="preserve"> of migrant</w:t>
      </w:r>
      <w:r w:rsidR="00C30767" w:rsidRPr="00E923CB">
        <w:rPr>
          <w:lang w:val="en-GB"/>
        </w:rPr>
        <w:t xml:space="preserve"> flows</w:t>
      </w:r>
      <w:r w:rsidR="004E55B8">
        <w:rPr>
          <w:lang w:val="en-GB"/>
        </w:rPr>
        <w:t xml:space="preserve">, </w:t>
      </w:r>
      <w:r w:rsidR="005A53F1">
        <w:rPr>
          <w:lang w:val="en-GB"/>
        </w:rPr>
        <w:t xml:space="preserve">electronic warfare activities, </w:t>
      </w:r>
      <w:r w:rsidR="00413DD2" w:rsidRPr="00E923CB">
        <w:rPr>
          <w:lang w:val="en-GB"/>
        </w:rPr>
        <w:t xml:space="preserve">manipulation of </w:t>
      </w:r>
      <w:r w:rsidRPr="00E923CB">
        <w:rPr>
          <w:lang w:val="en-GB"/>
        </w:rPr>
        <w:t>information and attempts to undermine the credibility of our democracies and the electoral process.</w:t>
      </w:r>
      <w:r w:rsidR="00AB16E4" w:rsidRPr="00E923CB">
        <w:rPr>
          <w:lang w:val="en-GB"/>
        </w:rPr>
        <w:t xml:space="preserve"> </w:t>
      </w:r>
      <w:r w:rsidR="00E923CB" w:rsidRPr="00E923CB">
        <w:rPr>
          <w:rFonts w:ascii="Calibri" w:hAnsi="Calibri" w:cs="Calibri"/>
          <w:b/>
          <w:bCs/>
          <w:lang w:val="en-GB"/>
        </w:rPr>
        <w:t xml:space="preserve">We condemn Russia’s recent drone incursions into Eastern Flank Member States’ airspace </w:t>
      </w:r>
      <w:r w:rsidR="00780681" w:rsidRPr="005D1A7D">
        <w:rPr>
          <w:rFonts w:ascii="Calibri" w:hAnsi="Calibri" w:cs="Calibri"/>
          <w:b/>
          <w:bCs/>
          <w:lang w:val="en-GB"/>
        </w:rPr>
        <w:t>and security incidents in the maritime domain,</w:t>
      </w:r>
      <w:r w:rsidR="00780681" w:rsidRPr="005D1A7D">
        <w:rPr>
          <w:rFonts w:ascii="Calibri" w:hAnsi="Calibri" w:cs="Calibri"/>
          <w:lang w:val="en-GB"/>
        </w:rPr>
        <w:t xml:space="preserve"> directly harming civilian populations and infrastructure</w:t>
      </w:r>
      <w:r w:rsidR="004E55B8">
        <w:rPr>
          <w:rFonts w:ascii="Calibri" w:hAnsi="Calibri" w:cs="Calibri"/>
          <w:lang w:val="en-GB"/>
        </w:rPr>
        <w:t>.</w:t>
      </w:r>
      <w:r w:rsidR="00780681" w:rsidRPr="00780681">
        <w:rPr>
          <w:rFonts w:ascii="Calibri" w:hAnsi="Calibri" w:cs="Calibri"/>
          <w:b/>
          <w:bCs/>
          <w:lang w:val="en-GB"/>
        </w:rPr>
        <w:t xml:space="preserve"> </w:t>
      </w:r>
      <w:r w:rsidR="00E923CB" w:rsidRPr="005A53F1">
        <w:rPr>
          <w:rFonts w:ascii="Calibri" w:hAnsi="Calibri" w:cs="Calibri"/>
          <w:b/>
          <w:bCs/>
          <w:lang w:val="en-GB"/>
        </w:rPr>
        <w:t xml:space="preserve">Russia’s exploitation of </w:t>
      </w:r>
      <w:r w:rsidR="004E55B8">
        <w:rPr>
          <w:rFonts w:ascii="Calibri" w:hAnsi="Calibri" w:cs="Calibri"/>
          <w:b/>
          <w:bCs/>
          <w:lang w:val="en-GB"/>
        </w:rPr>
        <w:t>such</w:t>
      </w:r>
      <w:r w:rsidR="004E55B8" w:rsidRPr="005A53F1">
        <w:rPr>
          <w:rFonts w:ascii="Calibri" w:hAnsi="Calibri" w:cs="Calibri"/>
          <w:b/>
          <w:bCs/>
          <w:lang w:val="en-GB"/>
        </w:rPr>
        <w:t xml:space="preserve"> </w:t>
      </w:r>
      <w:r w:rsidR="00535085" w:rsidRPr="005A53F1">
        <w:rPr>
          <w:rFonts w:ascii="Calibri" w:hAnsi="Calibri" w:cs="Calibri"/>
          <w:b/>
          <w:bCs/>
          <w:lang w:val="en-GB"/>
        </w:rPr>
        <w:t>violations</w:t>
      </w:r>
      <w:r w:rsidR="00E923CB" w:rsidRPr="005A53F1">
        <w:rPr>
          <w:rFonts w:ascii="Calibri" w:hAnsi="Calibri" w:cs="Calibri"/>
          <w:b/>
          <w:bCs/>
          <w:lang w:val="en-GB"/>
        </w:rPr>
        <w:t>, including Russian public threats against those countries</w:t>
      </w:r>
      <w:r w:rsidR="004E55B8">
        <w:rPr>
          <w:rFonts w:ascii="Calibri" w:hAnsi="Calibri" w:cs="Calibri"/>
          <w:b/>
          <w:bCs/>
          <w:lang w:val="en-GB"/>
        </w:rPr>
        <w:t>, are unacceptable</w:t>
      </w:r>
      <w:r w:rsidR="00E923CB" w:rsidRPr="00E923CB">
        <w:rPr>
          <w:rFonts w:ascii="Calibri" w:hAnsi="Calibri" w:cs="Calibri"/>
          <w:lang w:val="en-GB"/>
        </w:rPr>
        <w:t xml:space="preserve">. In this context, we emphasise the urgency of reinforcing drone and counter-drone </w:t>
      </w:r>
      <w:r w:rsidR="005A53F1">
        <w:rPr>
          <w:rFonts w:ascii="Calibri" w:hAnsi="Calibri" w:cs="Calibri"/>
          <w:lang w:val="en-GB"/>
        </w:rPr>
        <w:t xml:space="preserve">systems, </w:t>
      </w:r>
      <w:r w:rsidR="00780681" w:rsidRPr="005D1A7D">
        <w:rPr>
          <w:rFonts w:ascii="Calibri" w:hAnsi="Calibri" w:cs="Calibri"/>
          <w:lang w:val="en-GB"/>
        </w:rPr>
        <w:t xml:space="preserve">resilience </w:t>
      </w:r>
      <w:r w:rsidR="004E55B8">
        <w:rPr>
          <w:rFonts w:ascii="Calibri" w:hAnsi="Calibri" w:cs="Calibri"/>
          <w:lang w:val="en-GB"/>
        </w:rPr>
        <w:t xml:space="preserve">and protection of critical infrastructure </w:t>
      </w:r>
      <w:r w:rsidR="00780681" w:rsidRPr="005D1A7D">
        <w:rPr>
          <w:rFonts w:ascii="Calibri" w:hAnsi="Calibri" w:cs="Calibri"/>
          <w:lang w:val="en-GB"/>
        </w:rPr>
        <w:t>measures and</w:t>
      </w:r>
      <w:r w:rsidR="00780681" w:rsidRPr="00780681">
        <w:rPr>
          <w:rFonts w:ascii="Calibri" w:hAnsi="Calibri" w:cs="Calibri"/>
          <w:lang w:val="en-GB"/>
        </w:rPr>
        <w:t xml:space="preserve"> </w:t>
      </w:r>
      <w:r w:rsidR="00E923CB" w:rsidRPr="00780681">
        <w:rPr>
          <w:rFonts w:ascii="Calibri" w:hAnsi="Calibri" w:cs="Calibri"/>
          <w:lang w:val="en-GB"/>
        </w:rPr>
        <w:t xml:space="preserve">defence capabilities </w:t>
      </w:r>
      <w:r w:rsidR="00780681">
        <w:rPr>
          <w:rFonts w:ascii="Calibri" w:hAnsi="Calibri" w:cs="Calibri"/>
          <w:lang w:val="en-GB"/>
        </w:rPr>
        <w:t xml:space="preserve">including </w:t>
      </w:r>
      <w:r w:rsidR="00780681" w:rsidRPr="00780681">
        <w:rPr>
          <w:rFonts w:ascii="Calibri" w:hAnsi="Calibri" w:cs="Calibri"/>
          <w:lang w:val="en-GB"/>
        </w:rPr>
        <w:t>situational awareness</w:t>
      </w:r>
      <w:r w:rsidR="00780681">
        <w:rPr>
          <w:rFonts w:ascii="Calibri" w:hAnsi="Calibri" w:cs="Calibri"/>
          <w:lang w:val="en-GB"/>
        </w:rPr>
        <w:t>,</w:t>
      </w:r>
      <w:r w:rsidR="00780681" w:rsidRPr="00780681">
        <w:rPr>
          <w:rFonts w:ascii="Calibri" w:hAnsi="Calibri" w:cs="Calibri"/>
          <w:lang w:val="en-GB"/>
        </w:rPr>
        <w:t xml:space="preserve"> through </w:t>
      </w:r>
      <w:r w:rsidR="00E923CB" w:rsidRPr="00780681">
        <w:rPr>
          <w:rFonts w:ascii="Calibri" w:hAnsi="Calibri" w:cs="Calibri"/>
          <w:lang w:val="en-GB"/>
        </w:rPr>
        <w:t>coordinatio</w:t>
      </w:r>
      <w:r w:rsidR="00E923CB" w:rsidRPr="00E923CB">
        <w:rPr>
          <w:rFonts w:ascii="Calibri" w:hAnsi="Calibri" w:cs="Calibri"/>
          <w:lang w:val="en-GB"/>
        </w:rPr>
        <w:t xml:space="preserve">n of activities and increasing technological development along with production capacity of </w:t>
      </w:r>
      <w:r w:rsidR="00C84948">
        <w:rPr>
          <w:rFonts w:ascii="Calibri" w:hAnsi="Calibri" w:cs="Calibri"/>
          <w:lang w:val="en-GB"/>
        </w:rPr>
        <w:t xml:space="preserve">European defence industry </w:t>
      </w:r>
      <w:r w:rsidR="00E923CB" w:rsidRPr="00E923CB">
        <w:rPr>
          <w:rFonts w:ascii="Calibri" w:hAnsi="Calibri" w:cs="Calibri"/>
          <w:lang w:val="en-GB"/>
        </w:rPr>
        <w:t xml:space="preserve">, under national and multilateral initiatives, supported by current (SAFE, EDIP, EDF, </w:t>
      </w:r>
      <w:r w:rsidR="00587AB9" w:rsidRPr="00587AB9">
        <w:rPr>
          <w:rFonts w:ascii="Calibri" w:hAnsi="Calibri" w:cs="Calibri"/>
          <w:lang w:val="en-GB"/>
        </w:rPr>
        <w:t>Action Plan on Drone and Counter Drone Security</w:t>
      </w:r>
      <w:r w:rsidR="004E55B8">
        <w:rPr>
          <w:rFonts w:ascii="Calibri" w:hAnsi="Calibri" w:cs="Calibri"/>
          <w:lang w:val="en-GB"/>
        </w:rPr>
        <w:t>, BMVI</w:t>
      </w:r>
      <w:r w:rsidR="00E923CB" w:rsidRPr="00E923CB">
        <w:rPr>
          <w:rFonts w:ascii="Calibri" w:hAnsi="Calibri" w:cs="Calibri"/>
          <w:lang w:val="en-GB"/>
        </w:rPr>
        <w:t>) and upcoming EU instruments (</w:t>
      </w:r>
      <w:r w:rsidR="004E55B8">
        <w:rPr>
          <w:rFonts w:ascii="Calibri" w:hAnsi="Calibri" w:cs="Calibri"/>
          <w:lang w:val="en-GB"/>
        </w:rPr>
        <w:t xml:space="preserve">such as the </w:t>
      </w:r>
      <w:r w:rsidR="00E923CB" w:rsidRPr="00E923CB">
        <w:rPr>
          <w:rFonts w:ascii="Calibri" w:hAnsi="Calibri" w:cs="Calibri"/>
          <w:lang w:val="en-GB"/>
        </w:rPr>
        <w:t>ECF).</w:t>
      </w:r>
    </w:p>
    <w:p w14:paraId="0565A575" w14:textId="77777777" w:rsidR="00902CB1" w:rsidRPr="00473E63" w:rsidRDefault="00902CB1" w:rsidP="00110126">
      <w:pPr>
        <w:pStyle w:val="Akapitzlist"/>
        <w:numPr>
          <w:ilvl w:val="0"/>
          <w:numId w:val="2"/>
        </w:numPr>
        <w:spacing w:after="120" w:line="240" w:lineRule="auto"/>
        <w:contextualSpacing w:val="0"/>
        <w:jc w:val="both"/>
        <w:rPr>
          <w:lang w:val="en-GB"/>
        </w:rPr>
      </w:pPr>
      <w:r w:rsidRPr="00ED774F">
        <w:rPr>
          <w:b/>
          <w:bCs/>
          <w:lang w:val="en-GB"/>
        </w:rPr>
        <w:t>We are determined to</w:t>
      </w:r>
      <w:r w:rsidRPr="00473E63">
        <w:rPr>
          <w:lang w:val="en-GB"/>
        </w:rPr>
        <w:t xml:space="preserve"> </w:t>
      </w:r>
      <w:r w:rsidRPr="00473E63">
        <w:rPr>
          <w:b/>
          <w:bCs/>
          <w:lang w:val="en-GB"/>
        </w:rPr>
        <w:t>act together</w:t>
      </w:r>
      <w:r w:rsidRPr="00473E63">
        <w:rPr>
          <w:lang w:val="en-GB"/>
        </w:rPr>
        <w:t xml:space="preserve">, in cooperation with our EU partners and NATO </w:t>
      </w:r>
      <w:r w:rsidR="006F1AF9">
        <w:rPr>
          <w:lang w:val="en-GB"/>
        </w:rPr>
        <w:t>A</w:t>
      </w:r>
      <w:r w:rsidRPr="00473E63">
        <w:rPr>
          <w:lang w:val="en-GB"/>
        </w:rPr>
        <w:t xml:space="preserve">llies, to </w:t>
      </w:r>
      <w:r w:rsidRPr="00F00686">
        <w:rPr>
          <w:lang w:val="en-GB"/>
        </w:rPr>
        <w:t>prevent, deter and respond to those threats</w:t>
      </w:r>
      <w:r w:rsidRPr="00473E63">
        <w:rPr>
          <w:lang w:val="en-GB"/>
        </w:rPr>
        <w:t xml:space="preserve"> and to protect our </w:t>
      </w:r>
      <w:r w:rsidR="00AE045B" w:rsidRPr="00473E63">
        <w:rPr>
          <w:lang w:val="en-GB"/>
        </w:rPr>
        <w:t>societies.</w:t>
      </w:r>
      <w:r w:rsidR="00AB16E4" w:rsidRPr="00473E63">
        <w:rPr>
          <w:lang w:val="en-GB"/>
        </w:rPr>
        <w:t xml:space="preserve"> We </w:t>
      </w:r>
      <w:r w:rsidR="00473E63" w:rsidRPr="00473E63">
        <w:rPr>
          <w:lang w:val="en-GB"/>
        </w:rPr>
        <w:t>must</w:t>
      </w:r>
      <w:r w:rsidR="00AB16E4" w:rsidRPr="00473E63">
        <w:rPr>
          <w:lang w:val="en-GB"/>
        </w:rPr>
        <w:t xml:space="preserve"> adopt </w:t>
      </w:r>
      <w:r w:rsidR="00C8439C">
        <w:rPr>
          <w:lang w:val="en-GB"/>
        </w:rPr>
        <w:t xml:space="preserve">a </w:t>
      </w:r>
      <w:r w:rsidR="00AB16E4" w:rsidRPr="00473E63">
        <w:rPr>
          <w:lang w:val="en-GB"/>
        </w:rPr>
        <w:t xml:space="preserve">proactive approach </w:t>
      </w:r>
      <w:r w:rsidR="00643C21">
        <w:rPr>
          <w:lang w:val="en-GB"/>
        </w:rPr>
        <w:t>starting from</w:t>
      </w:r>
      <w:r w:rsidR="00AB16E4" w:rsidRPr="00473E63">
        <w:rPr>
          <w:lang w:val="en-GB"/>
        </w:rPr>
        <w:t xml:space="preserve"> building solid situational awareness</w:t>
      </w:r>
      <w:r w:rsidR="00643C21">
        <w:rPr>
          <w:lang w:val="en-GB"/>
        </w:rPr>
        <w:t xml:space="preserve"> and </w:t>
      </w:r>
      <w:r w:rsidR="00AB16E4" w:rsidRPr="00473E63">
        <w:rPr>
          <w:lang w:val="en-GB"/>
        </w:rPr>
        <w:t>resilience across the whole of society</w:t>
      </w:r>
      <w:r w:rsidR="00643C21">
        <w:rPr>
          <w:lang w:val="en-GB"/>
        </w:rPr>
        <w:t>. We must respond more decisively</w:t>
      </w:r>
      <w:r w:rsidR="00F11098" w:rsidRPr="00F11098">
        <w:rPr>
          <w:lang w:val="en-GB"/>
        </w:rPr>
        <w:t xml:space="preserve"> </w:t>
      </w:r>
      <w:r w:rsidR="00F11098" w:rsidRPr="00473E63">
        <w:rPr>
          <w:lang w:val="en-GB"/>
        </w:rPr>
        <w:t>by raising costs of hybrid activit</w:t>
      </w:r>
      <w:r w:rsidR="00C84948">
        <w:rPr>
          <w:lang w:val="en-GB"/>
        </w:rPr>
        <w:t>ies</w:t>
      </w:r>
      <w:r w:rsidR="00F11098" w:rsidRPr="00473E63">
        <w:rPr>
          <w:lang w:val="en-GB"/>
        </w:rPr>
        <w:t xml:space="preserve"> for Russia</w:t>
      </w:r>
      <w:r w:rsidR="00643C21">
        <w:rPr>
          <w:lang w:val="en-GB"/>
        </w:rPr>
        <w:t xml:space="preserve">, </w:t>
      </w:r>
      <w:r w:rsidR="00AB16E4" w:rsidRPr="00473E63">
        <w:rPr>
          <w:lang w:val="en-GB"/>
        </w:rPr>
        <w:t>disrupt</w:t>
      </w:r>
      <w:r w:rsidR="00643C21">
        <w:rPr>
          <w:lang w:val="en-GB"/>
        </w:rPr>
        <w:t>ing</w:t>
      </w:r>
      <w:r w:rsidR="00AB16E4" w:rsidRPr="00473E63">
        <w:rPr>
          <w:lang w:val="en-GB"/>
        </w:rPr>
        <w:t xml:space="preserve"> malicious activities by employing </w:t>
      </w:r>
      <w:r w:rsidR="00643C21">
        <w:rPr>
          <w:lang w:val="en-GB"/>
        </w:rPr>
        <w:t xml:space="preserve">the </w:t>
      </w:r>
      <w:r w:rsidR="00AB16E4" w:rsidRPr="00473E63">
        <w:rPr>
          <w:lang w:val="en-GB"/>
        </w:rPr>
        <w:t xml:space="preserve">whole range of targeted restrictive, regulatory and operational measures, including by public exposure, legal and regulatory tools, </w:t>
      </w:r>
      <w:r w:rsidR="004E55B8">
        <w:rPr>
          <w:lang w:val="en-GB"/>
        </w:rPr>
        <w:t xml:space="preserve">further </w:t>
      </w:r>
      <w:r w:rsidR="00AB16E4" w:rsidRPr="00473E63">
        <w:rPr>
          <w:lang w:val="en-GB"/>
        </w:rPr>
        <w:t>sanctions, as well as diplomatic measures</w:t>
      </w:r>
      <w:r w:rsidR="006A7BA0">
        <w:rPr>
          <w:lang w:val="en-GB"/>
        </w:rPr>
        <w:t>.</w:t>
      </w:r>
      <w:r w:rsidR="00F00686">
        <w:rPr>
          <w:lang w:val="en-GB"/>
        </w:rPr>
        <w:t xml:space="preserve"> </w:t>
      </w:r>
    </w:p>
    <w:p w14:paraId="27891A19" w14:textId="77777777" w:rsidR="00B0784E" w:rsidRPr="006A7BA0" w:rsidRDefault="00EB2405" w:rsidP="006A7BA0">
      <w:pPr>
        <w:pStyle w:val="Akapitzlist"/>
        <w:numPr>
          <w:ilvl w:val="0"/>
          <w:numId w:val="2"/>
        </w:numPr>
        <w:spacing w:after="120" w:line="240" w:lineRule="auto"/>
        <w:contextualSpacing w:val="0"/>
        <w:jc w:val="both"/>
        <w:rPr>
          <w:lang w:val="en-GB"/>
        </w:rPr>
      </w:pPr>
      <w:r w:rsidRPr="00ED774F">
        <w:rPr>
          <w:b/>
          <w:bCs/>
          <w:lang w:val="en-GB"/>
        </w:rPr>
        <w:t xml:space="preserve">We </w:t>
      </w:r>
      <w:r w:rsidR="002A1CF5" w:rsidRPr="00ED774F">
        <w:rPr>
          <w:b/>
          <w:bCs/>
          <w:lang w:val="en-GB"/>
        </w:rPr>
        <w:t>stress</w:t>
      </w:r>
      <w:r w:rsidRPr="00ED774F">
        <w:rPr>
          <w:b/>
          <w:bCs/>
          <w:lang w:val="en-GB"/>
        </w:rPr>
        <w:t xml:space="preserve"> the need to continue</w:t>
      </w:r>
      <w:r w:rsidRPr="006A7BA0">
        <w:rPr>
          <w:lang w:val="en-GB"/>
        </w:rPr>
        <w:t xml:space="preserve"> </w:t>
      </w:r>
      <w:r w:rsidRPr="006A7BA0">
        <w:rPr>
          <w:b/>
          <w:bCs/>
          <w:lang w:val="en-GB"/>
        </w:rPr>
        <w:t>supporting Ukraine</w:t>
      </w:r>
      <w:r w:rsidRPr="006A7BA0">
        <w:rPr>
          <w:lang w:val="en-GB"/>
        </w:rPr>
        <w:t xml:space="preserve">, which </w:t>
      </w:r>
      <w:r w:rsidR="00F00686" w:rsidRPr="006A7BA0">
        <w:rPr>
          <w:lang w:val="en-GB"/>
        </w:rPr>
        <w:t>has been</w:t>
      </w:r>
      <w:r w:rsidRPr="006A7BA0">
        <w:rPr>
          <w:lang w:val="en-GB"/>
        </w:rPr>
        <w:t xml:space="preserve"> bravely facing Russia’s </w:t>
      </w:r>
      <w:r w:rsidR="00466ACB">
        <w:rPr>
          <w:lang w:val="en-GB"/>
        </w:rPr>
        <w:t xml:space="preserve">full scale invasion </w:t>
      </w:r>
      <w:r w:rsidRPr="006A7BA0">
        <w:rPr>
          <w:lang w:val="en-GB"/>
        </w:rPr>
        <w:t>for more than four years. We call on the whole transatlantic community to continue prov</w:t>
      </w:r>
      <w:r w:rsidR="007C0493" w:rsidRPr="006A7BA0">
        <w:rPr>
          <w:lang w:val="en-GB"/>
        </w:rPr>
        <w:t>id</w:t>
      </w:r>
      <w:r w:rsidRPr="006A7BA0">
        <w:rPr>
          <w:lang w:val="en-GB"/>
        </w:rPr>
        <w:t xml:space="preserve">ing Ukraine with military, </w:t>
      </w:r>
      <w:r w:rsidR="00466ACB">
        <w:rPr>
          <w:lang w:val="en-GB"/>
        </w:rPr>
        <w:t xml:space="preserve">civilian, </w:t>
      </w:r>
      <w:r w:rsidRPr="006A7BA0">
        <w:rPr>
          <w:lang w:val="en-GB"/>
        </w:rPr>
        <w:t>financial and political assistance and to support it in achieving just and lasting peace</w:t>
      </w:r>
      <w:r w:rsidR="00F00686" w:rsidRPr="006A7BA0">
        <w:rPr>
          <w:lang w:val="en-GB"/>
        </w:rPr>
        <w:t xml:space="preserve"> underpinned by robust and credible security guarantees</w:t>
      </w:r>
      <w:r w:rsidRPr="006A7BA0">
        <w:rPr>
          <w:lang w:val="en-GB"/>
        </w:rPr>
        <w:t xml:space="preserve">. The Ukraine Support Loan adopted by the EU is </w:t>
      </w:r>
      <w:r w:rsidR="00F00686" w:rsidRPr="006A7BA0">
        <w:rPr>
          <w:lang w:val="en-GB"/>
        </w:rPr>
        <w:t>critical</w:t>
      </w:r>
      <w:r w:rsidRPr="006A7BA0">
        <w:rPr>
          <w:lang w:val="en-GB"/>
        </w:rPr>
        <w:t xml:space="preserve"> to sustain the Ukrainian efforts</w:t>
      </w:r>
      <w:r w:rsidR="00F00686" w:rsidRPr="006A7BA0">
        <w:rPr>
          <w:lang w:val="en-GB"/>
        </w:rPr>
        <w:t>.</w:t>
      </w:r>
      <w:r w:rsidRPr="006A7BA0">
        <w:rPr>
          <w:lang w:val="en-GB"/>
        </w:rPr>
        <w:t xml:space="preserve"> </w:t>
      </w:r>
      <w:r w:rsidR="00F00686" w:rsidRPr="006A7BA0">
        <w:rPr>
          <w:lang w:val="en-GB"/>
        </w:rPr>
        <w:t>H</w:t>
      </w:r>
      <w:r w:rsidRPr="006A7BA0">
        <w:rPr>
          <w:lang w:val="en-GB"/>
        </w:rPr>
        <w:t>owever</w:t>
      </w:r>
      <w:r w:rsidR="00AB16E4" w:rsidRPr="006A7BA0">
        <w:rPr>
          <w:lang w:val="en-GB"/>
        </w:rPr>
        <w:t>,</w:t>
      </w:r>
      <w:r w:rsidRPr="006A7BA0">
        <w:rPr>
          <w:lang w:val="en-GB"/>
        </w:rPr>
        <w:t xml:space="preserve"> it should not be seen as a substitute to </w:t>
      </w:r>
      <w:r w:rsidR="00E70C7B">
        <w:rPr>
          <w:lang w:val="en-GB"/>
        </w:rPr>
        <w:t xml:space="preserve">ongoing </w:t>
      </w:r>
      <w:r w:rsidRPr="006A7BA0">
        <w:rPr>
          <w:lang w:val="en-GB"/>
        </w:rPr>
        <w:t xml:space="preserve">bilateral aid </w:t>
      </w:r>
      <w:r w:rsidR="00D411CC" w:rsidRPr="006A7BA0">
        <w:rPr>
          <w:lang w:val="en-GB"/>
        </w:rPr>
        <w:t>which</w:t>
      </w:r>
      <w:r w:rsidRPr="006A7BA0">
        <w:rPr>
          <w:lang w:val="en-GB"/>
        </w:rPr>
        <w:t xml:space="preserve"> is </w:t>
      </w:r>
      <w:r w:rsidR="00D411CC" w:rsidRPr="006A7BA0">
        <w:rPr>
          <w:lang w:val="en-GB"/>
        </w:rPr>
        <w:t>still extremely</w:t>
      </w:r>
      <w:r w:rsidR="00AB16E4" w:rsidRPr="006A7BA0">
        <w:rPr>
          <w:lang w:val="en-GB"/>
        </w:rPr>
        <w:t xml:space="preserve"> needed</w:t>
      </w:r>
      <w:r w:rsidRPr="006A7BA0">
        <w:rPr>
          <w:lang w:val="en-GB"/>
        </w:rPr>
        <w:t xml:space="preserve">. </w:t>
      </w:r>
      <w:r w:rsidR="006A7BA0" w:rsidRPr="006A7BA0">
        <w:rPr>
          <w:lang w:val="en-GB"/>
        </w:rPr>
        <w:t>We highlight the value of leveraging PURL mechanism to enhance Ukraine’s capabilities. We will also strengthen cooperation on filling capacity gaps in NSATU and EUMAM</w:t>
      </w:r>
      <w:r w:rsidR="00F11098">
        <w:rPr>
          <w:lang w:val="en-GB"/>
        </w:rPr>
        <w:t xml:space="preserve"> Ukraine</w:t>
      </w:r>
      <w:r w:rsidR="006A7BA0" w:rsidRPr="006A7BA0">
        <w:rPr>
          <w:lang w:val="en-GB"/>
        </w:rPr>
        <w:t xml:space="preserve">. </w:t>
      </w:r>
      <w:r w:rsidR="008C60AF">
        <w:rPr>
          <w:lang w:val="en-GB"/>
        </w:rPr>
        <w:t>We underscore the central role of the Ukrainian Armed Forces in deterring Russian aggression.</w:t>
      </w:r>
    </w:p>
    <w:p w14:paraId="51BB0B72" w14:textId="198DB6F8" w:rsidR="00F11098" w:rsidRDefault="00F11098" w:rsidP="00F11098">
      <w:pPr>
        <w:pStyle w:val="Akapitzlist"/>
        <w:numPr>
          <w:ilvl w:val="0"/>
          <w:numId w:val="2"/>
        </w:numPr>
        <w:spacing w:after="120" w:line="240" w:lineRule="auto"/>
        <w:contextualSpacing w:val="0"/>
        <w:jc w:val="both"/>
        <w:rPr>
          <w:lang w:val="en-GB"/>
        </w:rPr>
      </w:pPr>
      <w:r w:rsidRPr="00ED774F">
        <w:rPr>
          <w:b/>
          <w:bCs/>
          <w:lang w:val="en-GB"/>
        </w:rPr>
        <w:t>We will continue to cooperate within the framework of</w:t>
      </w:r>
      <w:r w:rsidRPr="00605246">
        <w:rPr>
          <w:lang w:val="en-GB"/>
        </w:rPr>
        <w:t xml:space="preserve"> </w:t>
      </w:r>
      <w:r w:rsidRPr="00C72BCE">
        <w:rPr>
          <w:b/>
          <w:bCs/>
          <w:lang w:val="en-GB"/>
        </w:rPr>
        <w:t>the Coalition of the Willing</w:t>
      </w:r>
      <w:r w:rsidRPr="00605246">
        <w:rPr>
          <w:lang w:val="en-GB"/>
        </w:rPr>
        <w:t xml:space="preserve"> on security guarantees for Ukraine</w:t>
      </w:r>
      <w:r w:rsidR="00E96113">
        <w:rPr>
          <w:lang w:val="en-GB"/>
        </w:rPr>
        <w:t>.</w:t>
      </w:r>
      <w:r>
        <w:rPr>
          <w:lang w:val="en-GB"/>
        </w:rPr>
        <w:t xml:space="preserve"> </w:t>
      </w:r>
      <w:r w:rsidR="00E96113">
        <w:rPr>
          <w:b/>
          <w:bCs/>
          <w:lang w:val="en-GB"/>
        </w:rPr>
        <w:t>W</w:t>
      </w:r>
      <w:r w:rsidRPr="00ED774F">
        <w:rPr>
          <w:b/>
          <w:bCs/>
          <w:lang w:val="en-GB"/>
        </w:rPr>
        <w:t xml:space="preserve">e </w:t>
      </w:r>
      <w:r w:rsidR="00E96113">
        <w:rPr>
          <w:b/>
          <w:bCs/>
          <w:lang w:val="en-GB"/>
        </w:rPr>
        <w:t xml:space="preserve">support </w:t>
      </w:r>
      <w:r w:rsidRPr="00ED774F">
        <w:rPr>
          <w:b/>
          <w:bCs/>
          <w:lang w:val="en-GB"/>
        </w:rPr>
        <w:t xml:space="preserve">Ukraine’s integration with </w:t>
      </w:r>
      <w:r w:rsidR="00AE249E">
        <w:rPr>
          <w:b/>
          <w:bCs/>
          <w:lang w:val="en-GB"/>
        </w:rPr>
        <w:t>E</w:t>
      </w:r>
      <w:r w:rsidR="00AE249E" w:rsidRPr="009D67E5">
        <w:rPr>
          <w:b/>
          <w:bCs/>
          <w:lang w:val="en-GB"/>
        </w:rPr>
        <w:t xml:space="preserve">uro-Atlantic </w:t>
      </w:r>
      <w:r w:rsidRPr="00ED774F">
        <w:rPr>
          <w:b/>
          <w:bCs/>
          <w:lang w:val="en-GB"/>
        </w:rPr>
        <w:t>structures</w:t>
      </w:r>
      <w:r w:rsidR="0005213F">
        <w:rPr>
          <w:b/>
          <w:bCs/>
          <w:lang w:val="en-GB"/>
        </w:rPr>
        <w:t>,</w:t>
      </w:r>
      <w:r w:rsidRPr="00ED774F">
        <w:rPr>
          <w:b/>
          <w:bCs/>
          <w:lang w:val="en-GB"/>
        </w:rPr>
        <w:t xml:space="preserve"> </w:t>
      </w:r>
      <w:r w:rsidR="0005213F" w:rsidRPr="001C50CA">
        <w:rPr>
          <w:lang w:val="en-GB"/>
        </w:rPr>
        <w:t>in line with merit-based progress and the fulfilment of necessary reforms</w:t>
      </w:r>
      <w:r w:rsidR="0005213F">
        <w:rPr>
          <w:lang w:val="en-GB"/>
        </w:rPr>
        <w:t xml:space="preserve">, </w:t>
      </w:r>
      <w:r w:rsidRPr="00ED774F">
        <w:rPr>
          <w:b/>
          <w:bCs/>
          <w:lang w:val="en-GB"/>
        </w:rPr>
        <w:t>as</w:t>
      </w:r>
      <w:r w:rsidR="0005213F">
        <w:rPr>
          <w:b/>
          <w:bCs/>
          <w:lang w:val="en-GB"/>
        </w:rPr>
        <w:t xml:space="preserve"> it is</w:t>
      </w:r>
      <w:r w:rsidRPr="00ED774F">
        <w:rPr>
          <w:b/>
          <w:bCs/>
          <w:lang w:val="en-GB"/>
        </w:rPr>
        <w:t xml:space="preserve"> </w:t>
      </w:r>
      <w:r>
        <w:rPr>
          <w:b/>
          <w:bCs/>
          <w:lang w:val="en-GB"/>
        </w:rPr>
        <w:t>key</w:t>
      </w:r>
      <w:r w:rsidRPr="00ED774F">
        <w:rPr>
          <w:b/>
          <w:bCs/>
          <w:lang w:val="en-GB"/>
        </w:rPr>
        <w:t xml:space="preserve"> for ensuring peace and stability on our continent</w:t>
      </w:r>
      <w:r w:rsidR="0005213F">
        <w:rPr>
          <w:lang w:val="en-GB"/>
        </w:rPr>
        <w:t>.</w:t>
      </w:r>
      <w:r w:rsidRPr="001C50CA">
        <w:rPr>
          <w:lang w:val="en-GB"/>
        </w:rPr>
        <w:t xml:space="preserve"> </w:t>
      </w:r>
    </w:p>
    <w:p w14:paraId="0FB2F081" w14:textId="77777777" w:rsidR="00B0784E" w:rsidRPr="001C50CA" w:rsidRDefault="006D140A" w:rsidP="00110126">
      <w:pPr>
        <w:pStyle w:val="Akapitzlist"/>
        <w:numPr>
          <w:ilvl w:val="0"/>
          <w:numId w:val="2"/>
        </w:numPr>
        <w:spacing w:after="120" w:line="240" w:lineRule="auto"/>
        <w:contextualSpacing w:val="0"/>
        <w:jc w:val="both"/>
        <w:rPr>
          <w:lang w:val="en-GB"/>
        </w:rPr>
      </w:pPr>
      <w:r w:rsidRPr="00ED774F">
        <w:rPr>
          <w:b/>
          <w:bCs/>
          <w:lang w:val="en-GB"/>
        </w:rPr>
        <w:t>We should make full use of</w:t>
      </w:r>
      <w:r w:rsidRPr="001C50CA">
        <w:rPr>
          <w:lang w:val="en-GB"/>
        </w:rPr>
        <w:t xml:space="preserve"> </w:t>
      </w:r>
      <w:r w:rsidRPr="001C50CA">
        <w:rPr>
          <w:b/>
          <w:bCs/>
          <w:lang w:val="en-GB"/>
        </w:rPr>
        <w:t xml:space="preserve">lessons learnt from </w:t>
      </w:r>
      <w:r w:rsidR="00F00686">
        <w:rPr>
          <w:b/>
          <w:bCs/>
          <w:lang w:val="en-GB"/>
        </w:rPr>
        <w:t>Ukraine</w:t>
      </w:r>
      <w:r w:rsidR="009415F1">
        <w:rPr>
          <w:b/>
          <w:bCs/>
          <w:lang w:val="en-GB"/>
        </w:rPr>
        <w:t>’s defence against Russia’s war of aggression,</w:t>
      </w:r>
      <w:r w:rsidRPr="001C50CA">
        <w:rPr>
          <w:lang w:val="en-GB"/>
        </w:rPr>
        <w:t xml:space="preserve"> reinforcing our own resilience both in civilian and military domains</w:t>
      </w:r>
      <w:r w:rsidR="00F00686">
        <w:rPr>
          <w:lang w:val="en-GB"/>
        </w:rPr>
        <w:t xml:space="preserve">. We will factor it in tightening governmental and defence industry cooperation with Ukraine, in particular in drone and counter-drone technologies which are reshaping modern warfare. </w:t>
      </w:r>
      <w:r w:rsidRPr="001C50CA">
        <w:rPr>
          <w:lang w:val="en-GB"/>
        </w:rPr>
        <w:t xml:space="preserve">Additionally, we </w:t>
      </w:r>
      <w:r w:rsidRPr="001C50CA">
        <w:rPr>
          <w:lang w:val="en-GB"/>
        </w:rPr>
        <w:lastRenderedPageBreak/>
        <w:t xml:space="preserve">express our willingness to reinforce exchange of good practices in the field of building an effective societal </w:t>
      </w:r>
      <w:r w:rsidR="00AE045B" w:rsidRPr="001C50CA">
        <w:rPr>
          <w:lang w:val="en-GB"/>
        </w:rPr>
        <w:t>resilience</w:t>
      </w:r>
      <w:r w:rsidR="00AE045B">
        <w:rPr>
          <w:lang w:val="en-GB"/>
        </w:rPr>
        <w:t xml:space="preserve"> and</w:t>
      </w:r>
      <w:r w:rsidR="00C84948">
        <w:rPr>
          <w:lang w:val="en-GB"/>
        </w:rPr>
        <w:t xml:space="preserve"> a</w:t>
      </w:r>
      <w:r w:rsidR="00BA2D3C">
        <w:rPr>
          <w:lang w:val="en-GB"/>
        </w:rPr>
        <w:t xml:space="preserve"> whole of government approach</w:t>
      </w:r>
      <w:r w:rsidR="00B0784E" w:rsidRPr="001C50CA">
        <w:rPr>
          <w:lang w:val="en-GB"/>
        </w:rPr>
        <w:t xml:space="preserve">.  </w:t>
      </w:r>
    </w:p>
    <w:p w14:paraId="5EC14167" w14:textId="3D021D2C" w:rsidR="00B64AA6" w:rsidRPr="001C50CA" w:rsidRDefault="00B64AA6" w:rsidP="00110126">
      <w:pPr>
        <w:pStyle w:val="Akapitzlist"/>
        <w:numPr>
          <w:ilvl w:val="0"/>
          <w:numId w:val="2"/>
        </w:numPr>
        <w:spacing w:after="120" w:line="240" w:lineRule="auto"/>
        <w:contextualSpacing w:val="0"/>
        <w:jc w:val="both"/>
        <w:rPr>
          <w:lang w:val="en-GB"/>
        </w:rPr>
      </w:pPr>
      <w:r w:rsidRPr="001C50CA">
        <w:rPr>
          <w:lang w:val="en-GB"/>
        </w:rPr>
        <w:t xml:space="preserve">Reiterating the declaration adopted at the Eastern Flank Summit in Helsinki, </w:t>
      </w:r>
      <w:r w:rsidRPr="001C50CA">
        <w:rPr>
          <w:b/>
          <w:bCs/>
          <w:lang w:val="en-GB"/>
        </w:rPr>
        <w:t xml:space="preserve">Europe’s Eastern Flank is a common responsibility </w:t>
      </w:r>
      <w:r w:rsidRPr="001C50CA">
        <w:rPr>
          <w:lang w:val="en-GB"/>
        </w:rPr>
        <w:t xml:space="preserve">and must be defended with urgency, leadership and resolve. A secure </w:t>
      </w:r>
      <w:r w:rsidR="00C8439C">
        <w:rPr>
          <w:lang w:val="en-GB"/>
        </w:rPr>
        <w:t>E</w:t>
      </w:r>
      <w:r w:rsidRPr="001C50CA">
        <w:rPr>
          <w:lang w:val="en-GB"/>
        </w:rPr>
        <w:t xml:space="preserve">astern </w:t>
      </w:r>
      <w:r w:rsidR="00C8439C">
        <w:rPr>
          <w:lang w:val="en-GB"/>
        </w:rPr>
        <w:t>F</w:t>
      </w:r>
      <w:r w:rsidRPr="001C50CA">
        <w:rPr>
          <w:lang w:val="en-GB"/>
        </w:rPr>
        <w:t xml:space="preserve">lank is a priority goal that will benefit all of Europe in the short and long term. We therefore welcome the progress achieved in the preparation of the Eastern Flank Watch </w:t>
      </w:r>
      <w:r w:rsidR="00C8439C">
        <w:rPr>
          <w:lang w:val="en-GB"/>
        </w:rPr>
        <w:t>project</w:t>
      </w:r>
      <w:r w:rsidRPr="001C50CA">
        <w:rPr>
          <w:lang w:val="en-GB"/>
        </w:rPr>
        <w:t xml:space="preserve"> within the framework of European Defence Projects of Common Interest (EFW EDPCI) under the European Defence Industry Programme (EDIP). The EFW EDPCI</w:t>
      </w:r>
      <w:r w:rsidR="007C07E2">
        <w:rPr>
          <w:lang w:val="en-GB"/>
        </w:rPr>
        <w:t>,</w:t>
      </w:r>
      <w:r w:rsidRPr="001C50CA">
        <w:rPr>
          <w:lang w:val="en-GB"/>
        </w:rPr>
        <w:t xml:space="preserve"> as a comprehensive and multi-domain project</w:t>
      </w:r>
      <w:r w:rsidR="007C07E2">
        <w:rPr>
          <w:lang w:val="en-GB"/>
        </w:rPr>
        <w:t>,</w:t>
      </w:r>
      <w:r w:rsidRPr="001C50CA">
        <w:rPr>
          <w:lang w:val="en-GB"/>
        </w:rPr>
        <w:t xml:space="preserve"> supports development of a broad spectrum of critical military capabilities, bolstering the European </w:t>
      </w:r>
      <w:r w:rsidR="00C84948">
        <w:rPr>
          <w:lang w:val="en-GB"/>
        </w:rPr>
        <w:t>d</w:t>
      </w:r>
      <w:r w:rsidRPr="001C50CA">
        <w:rPr>
          <w:lang w:val="en-GB"/>
        </w:rPr>
        <w:t xml:space="preserve">efence </w:t>
      </w:r>
      <w:r w:rsidR="00C84948">
        <w:rPr>
          <w:lang w:val="en-GB"/>
        </w:rPr>
        <w:t>industry</w:t>
      </w:r>
      <w:r w:rsidRPr="001C50CA">
        <w:rPr>
          <w:lang w:val="en-GB"/>
        </w:rPr>
        <w:t xml:space="preserve">. </w:t>
      </w:r>
    </w:p>
    <w:p w14:paraId="36F703A1" w14:textId="06E4F5ED" w:rsidR="00B64AA6" w:rsidRPr="001C50CA" w:rsidRDefault="00B64AA6" w:rsidP="00110126">
      <w:pPr>
        <w:pStyle w:val="Akapitzlist"/>
        <w:numPr>
          <w:ilvl w:val="0"/>
          <w:numId w:val="2"/>
        </w:numPr>
        <w:spacing w:after="120" w:line="240" w:lineRule="auto"/>
        <w:contextualSpacing w:val="0"/>
        <w:jc w:val="both"/>
        <w:rPr>
          <w:lang w:val="en-GB"/>
        </w:rPr>
      </w:pPr>
      <w:r w:rsidRPr="00ED774F">
        <w:rPr>
          <w:b/>
          <w:bCs/>
          <w:lang w:val="en-GB"/>
        </w:rPr>
        <w:t xml:space="preserve">We emphasise strategic importance </w:t>
      </w:r>
      <w:r w:rsidRPr="00C20AB0">
        <w:rPr>
          <w:b/>
          <w:bCs/>
          <w:lang w:val="en-GB"/>
        </w:rPr>
        <w:t xml:space="preserve">of </w:t>
      </w:r>
      <w:r w:rsidR="00CB3758" w:rsidRPr="00C20AB0">
        <w:rPr>
          <w:b/>
          <w:bCs/>
          <w:lang w:val="en-GB"/>
        </w:rPr>
        <w:t xml:space="preserve">the </w:t>
      </w:r>
      <w:r w:rsidRPr="00C20AB0">
        <w:rPr>
          <w:b/>
          <w:bCs/>
          <w:lang w:val="en-GB"/>
        </w:rPr>
        <w:t>Eastern</w:t>
      </w:r>
      <w:r w:rsidRPr="001C50CA">
        <w:rPr>
          <w:b/>
          <w:bCs/>
          <w:lang w:val="en-GB"/>
        </w:rPr>
        <w:t xml:space="preserve"> Flank Watch</w:t>
      </w:r>
      <w:r w:rsidRPr="00605246">
        <w:rPr>
          <w:b/>
          <w:bCs/>
          <w:lang w:val="en-GB"/>
        </w:rPr>
        <w:t xml:space="preserve"> </w:t>
      </w:r>
      <w:r w:rsidR="006A7BA0" w:rsidRPr="00605246">
        <w:rPr>
          <w:b/>
          <w:bCs/>
          <w:lang w:val="en-GB"/>
        </w:rPr>
        <w:t xml:space="preserve">project </w:t>
      </w:r>
      <w:r w:rsidRPr="001C50CA">
        <w:rPr>
          <w:lang w:val="en-GB"/>
        </w:rPr>
        <w:t xml:space="preserve">for the security and defence interests of the whole Union, and the necessity to </w:t>
      </w:r>
      <w:r w:rsidRPr="007C07E2">
        <w:rPr>
          <w:b/>
          <w:bCs/>
          <w:lang w:val="en-GB"/>
        </w:rPr>
        <w:t>secure appropriate scale of funding for its development</w:t>
      </w:r>
      <w:r w:rsidRPr="001C50CA">
        <w:rPr>
          <w:lang w:val="en-GB"/>
        </w:rPr>
        <w:t>. EFW EDPCI</w:t>
      </w:r>
      <w:r w:rsidR="00C8439C">
        <w:rPr>
          <w:lang w:val="en-GB"/>
        </w:rPr>
        <w:t>,</w:t>
      </w:r>
      <w:r w:rsidRPr="001C50CA">
        <w:rPr>
          <w:lang w:val="en-GB"/>
        </w:rPr>
        <w:t xml:space="preserve"> along with other projects</w:t>
      </w:r>
      <w:r w:rsidR="00536CE5">
        <w:rPr>
          <w:lang w:val="en-GB"/>
        </w:rPr>
        <w:t>,</w:t>
      </w:r>
      <w:r w:rsidRPr="001C50CA">
        <w:rPr>
          <w:lang w:val="en-GB"/>
        </w:rPr>
        <w:t xml:space="preserve"> including national ones such as Baltic Defence Line</w:t>
      </w:r>
      <w:r w:rsidR="008A4C6B" w:rsidRPr="004A4403">
        <w:rPr>
          <w:bCs/>
          <w:lang w:val="en-GB"/>
        </w:rPr>
        <w:t>,</w:t>
      </w:r>
      <w:r w:rsidR="008A4C6B" w:rsidRPr="004A4403">
        <w:rPr>
          <w:b/>
          <w:lang w:val="en-GB"/>
        </w:rPr>
        <w:t xml:space="preserve"> </w:t>
      </w:r>
      <w:r w:rsidR="00F94CC0" w:rsidRPr="004A4403">
        <w:rPr>
          <w:lang w:val="en-GB"/>
        </w:rPr>
        <w:t>the Eastern Shield</w:t>
      </w:r>
      <w:r w:rsidR="00F94CC0" w:rsidRPr="004A4403">
        <w:rPr>
          <w:b/>
          <w:lang w:val="en-GB"/>
        </w:rPr>
        <w:t xml:space="preserve"> </w:t>
      </w:r>
      <w:r w:rsidR="00F94CC0" w:rsidRPr="004A4403">
        <w:rPr>
          <w:lang w:val="en-GB"/>
        </w:rPr>
        <w:t>and</w:t>
      </w:r>
      <w:r w:rsidR="004A4403" w:rsidRPr="004A4403">
        <w:rPr>
          <w:lang w:val="en-GB"/>
        </w:rPr>
        <w:t xml:space="preserve"> </w:t>
      </w:r>
      <w:r w:rsidR="004A4403" w:rsidRPr="004A4403">
        <w:rPr>
          <w:bCs/>
          <w:lang w:val="en-GB"/>
        </w:rPr>
        <w:t>the Black Sea Maritime Security Hub for enhanced situational awareness</w:t>
      </w:r>
      <w:r w:rsidR="00536CE5">
        <w:rPr>
          <w:lang w:val="en-GB"/>
        </w:rPr>
        <w:t>,</w:t>
      </w:r>
      <w:r w:rsidRPr="001C50CA">
        <w:rPr>
          <w:lang w:val="en-GB"/>
        </w:rPr>
        <w:t xml:space="preserve"> will significantly bolster deterrence </w:t>
      </w:r>
      <w:r w:rsidR="00CB3758">
        <w:rPr>
          <w:lang w:val="en-GB"/>
        </w:rPr>
        <w:t xml:space="preserve">and defence </w:t>
      </w:r>
      <w:r w:rsidRPr="001C50CA">
        <w:rPr>
          <w:lang w:val="en-GB"/>
        </w:rPr>
        <w:t xml:space="preserve">posture and will support frontline states’ defence readiness to be fully prepared to act. </w:t>
      </w:r>
      <w:r w:rsidR="00C8439C">
        <w:rPr>
          <w:lang w:val="en-GB"/>
        </w:rPr>
        <w:t>We</w:t>
      </w:r>
      <w:r w:rsidRPr="001C50CA">
        <w:rPr>
          <w:lang w:val="en-GB"/>
        </w:rPr>
        <w:t xml:space="preserve"> acknowledge the importance not only in the establishment of defence capabilities, but also </w:t>
      </w:r>
      <w:r w:rsidR="00C8439C">
        <w:rPr>
          <w:lang w:val="en-GB"/>
        </w:rPr>
        <w:t xml:space="preserve">of the </w:t>
      </w:r>
      <w:r w:rsidRPr="001C50CA">
        <w:rPr>
          <w:lang w:val="en-GB"/>
        </w:rPr>
        <w:t xml:space="preserve">assurance of their long-term maintenance and sustainability, scaling up production capacity and innovation of </w:t>
      </w:r>
      <w:r w:rsidR="00C84948">
        <w:rPr>
          <w:lang w:val="en-GB"/>
        </w:rPr>
        <w:t>European defence industry</w:t>
      </w:r>
      <w:r w:rsidRPr="001C50CA">
        <w:rPr>
          <w:lang w:val="en-GB"/>
        </w:rPr>
        <w:t>. Therefore,</w:t>
      </w:r>
      <w:r w:rsidR="00BA2D3C">
        <w:rPr>
          <w:lang w:val="en-GB"/>
        </w:rPr>
        <w:t xml:space="preserve"> </w:t>
      </w:r>
      <w:r w:rsidRPr="001C50CA">
        <w:rPr>
          <w:lang w:val="en-GB"/>
        </w:rPr>
        <w:t>an adequate and forward-looking budgetary perspective is required</w:t>
      </w:r>
      <w:r w:rsidR="00CB3758">
        <w:rPr>
          <w:lang w:val="en-GB"/>
        </w:rPr>
        <w:t xml:space="preserve"> with</w:t>
      </w:r>
      <w:r w:rsidR="00BA2D3C">
        <w:rPr>
          <w:lang w:val="en-GB"/>
        </w:rPr>
        <w:t xml:space="preserve"> </w:t>
      </w:r>
      <w:r w:rsidR="00780681" w:rsidRPr="00780681">
        <w:rPr>
          <w:lang w:val="en-GB"/>
        </w:rPr>
        <w:t xml:space="preserve">a special focus on the Eastern Flank </w:t>
      </w:r>
      <w:r w:rsidR="00824F44" w:rsidRPr="00780681">
        <w:rPr>
          <w:lang w:val="en-GB"/>
        </w:rPr>
        <w:t>countries</w:t>
      </w:r>
      <w:r w:rsidR="00824F44">
        <w:rPr>
          <w:lang w:val="en-GB"/>
        </w:rPr>
        <w:t xml:space="preserve"> </w:t>
      </w:r>
      <w:r w:rsidR="005D4586" w:rsidRPr="004A4403">
        <w:rPr>
          <w:lang w:val="en-GB"/>
        </w:rPr>
        <w:t>and welcome an increased focus on security and defence in the next MFF.</w:t>
      </w:r>
      <w:r w:rsidR="005D4586" w:rsidRPr="001F2A59">
        <w:rPr>
          <w:lang w:val="en-GB"/>
        </w:rPr>
        <w:t xml:space="preserve">  </w:t>
      </w:r>
    </w:p>
    <w:p w14:paraId="3D5310F4" w14:textId="77777777" w:rsidR="006A7BA0" w:rsidRDefault="00CD3974" w:rsidP="006A7BA0">
      <w:pPr>
        <w:pStyle w:val="Akapitzlist"/>
        <w:numPr>
          <w:ilvl w:val="0"/>
          <w:numId w:val="2"/>
        </w:numPr>
        <w:spacing w:after="120" w:line="240" w:lineRule="auto"/>
        <w:contextualSpacing w:val="0"/>
        <w:jc w:val="both"/>
        <w:rPr>
          <w:lang w:val="en-GB"/>
        </w:rPr>
      </w:pPr>
      <w:r w:rsidRPr="006A7BA0">
        <w:rPr>
          <w:lang w:val="en-GB"/>
        </w:rPr>
        <w:t xml:space="preserve">Ahead of the NATO Summit in Ankara, we reaffirm our commitment to reaching the target of allocating 5% of GDP to </w:t>
      </w:r>
      <w:r w:rsidRPr="006A7BA0">
        <w:rPr>
          <w:b/>
          <w:bCs/>
          <w:lang w:val="en-GB"/>
        </w:rPr>
        <w:t>defence spending</w:t>
      </w:r>
      <w:r w:rsidRPr="006A7BA0">
        <w:rPr>
          <w:lang w:val="en-GB"/>
        </w:rPr>
        <w:t xml:space="preserve">. We will also encourage all Allies to implement their national paths to increase their defence expenditures as agreed at the 2025 The Hague NATO Summit. We stand ready to increase cooperation to further </w:t>
      </w:r>
      <w:r w:rsidRPr="006A7BA0">
        <w:rPr>
          <w:b/>
          <w:bCs/>
          <w:lang w:val="en-GB"/>
        </w:rPr>
        <w:t xml:space="preserve">strengthen NATO’s </w:t>
      </w:r>
      <w:r w:rsidR="00670858">
        <w:rPr>
          <w:b/>
          <w:bCs/>
          <w:lang w:val="en-GB"/>
        </w:rPr>
        <w:t xml:space="preserve">presence, </w:t>
      </w:r>
      <w:r w:rsidRPr="006A7BA0">
        <w:rPr>
          <w:b/>
          <w:bCs/>
          <w:lang w:val="en-GB"/>
        </w:rPr>
        <w:t xml:space="preserve">deterrence and defence on the </w:t>
      </w:r>
      <w:r w:rsidRPr="00587AB9">
        <w:rPr>
          <w:b/>
          <w:bCs/>
          <w:lang w:val="en-GB"/>
        </w:rPr>
        <w:t>Eastern Flank</w:t>
      </w:r>
      <w:r w:rsidRPr="00587AB9">
        <w:rPr>
          <w:lang w:val="en-GB"/>
        </w:rPr>
        <w:t xml:space="preserve"> </w:t>
      </w:r>
      <w:r w:rsidR="00AB0B55" w:rsidRPr="00AB0B55">
        <w:rPr>
          <w:lang w:val="en-GB"/>
        </w:rPr>
        <w:t xml:space="preserve">in all operational domains and </w:t>
      </w:r>
      <w:r w:rsidRPr="00587AB9">
        <w:rPr>
          <w:lang w:val="en-GB"/>
        </w:rPr>
        <w:t>with continued engagement of all Allies.</w:t>
      </w:r>
      <w:r w:rsidRPr="006A7BA0">
        <w:rPr>
          <w:lang w:val="en-GB"/>
        </w:rPr>
        <w:t xml:space="preserve"> </w:t>
      </w:r>
    </w:p>
    <w:p w14:paraId="36BE35D6" w14:textId="77777777" w:rsidR="006A7BA0" w:rsidRPr="006A7BA0" w:rsidRDefault="006A7BA0" w:rsidP="00605246">
      <w:pPr>
        <w:pStyle w:val="Akapitzlist"/>
        <w:numPr>
          <w:ilvl w:val="0"/>
          <w:numId w:val="2"/>
        </w:numPr>
        <w:spacing w:after="120" w:line="240" w:lineRule="auto"/>
        <w:contextualSpacing w:val="0"/>
        <w:jc w:val="both"/>
        <w:rPr>
          <w:lang w:val="en-GB"/>
        </w:rPr>
      </w:pPr>
      <w:r w:rsidRPr="006A7BA0">
        <w:rPr>
          <w:lang w:val="en-GB"/>
        </w:rPr>
        <w:t xml:space="preserve">While NATO remains the cornerstone of our collective defence, the </w:t>
      </w:r>
      <w:r w:rsidRPr="006A7BA0">
        <w:rPr>
          <w:b/>
          <w:bCs/>
          <w:lang w:val="en-GB"/>
        </w:rPr>
        <w:t>European Union must further define and strengthen its role</w:t>
      </w:r>
      <w:r w:rsidRPr="006A7BA0">
        <w:rPr>
          <w:lang w:val="en-GB"/>
        </w:rPr>
        <w:t xml:space="preserve"> in responding to the evolving security crisis. We should invest in credible and robust EU preparedness</w:t>
      </w:r>
      <w:r w:rsidR="00CB3758">
        <w:rPr>
          <w:lang w:val="en-GB"/>
        </w:rPr>
        <w:t>,</w:t>
      </w:r>
      <w:r w:rsidRPr="006A7BA0">
        <w:rPr>
          <w:lang w:val="en-GB"/>
        </w:rPr>
        <w:t xml:space="preserve"> resilience</w:t>
      </w:r>
      <w:r w:rsidR="00CB3758">
        <w:rPr>
          <w:lang w:val="en-GB"/>
        </w:rPr>
        <w:t xml:space="preserve"> and response,</w:t>
      </w:r>
      <w:r w:rsidRPr="006A7BA0">
        <w:rPr>
          <w:lang w:val="en-GB"/>
        </w:rPr>
        <w:t xml:space="preserve"> in coherence with the role, responsibilities and goals of NATO, while ensuring complementarity of actions. We acknowledge that further strengthening cooperation with our transatlantic partners is crucial for deepening mutual trust and ensuring credible deterrence from Russia.</w:t>
      </w:r>
    </w:p>
    <w:p w14:paraId="3A241A60" w14:textId="77777777" w:rsidR="008E6B30" w:rsidRPr="001C50CA" w:rsidRDefault="001A7E2A" w:rsidP="00110126">
      <w:pPr>
        <w:pStyle w:val="Akapitzlist"/>
        <w:numPr>
          <w:ilvl w:val="0"/>
          <w:numId w:val="2"/>
        </w:numPr>
        <w:spacing w:after="120" w:line="240" w:lineRule="auto"/>
        <w:contextualSpacing w:val="0"/>
        <w:jc w:val="both"/>
        <w:rPr>
          <w:lang w:val="en-GB"/>
        </w:rPr>
      </w:pPr>
      <w:r w:rsidRPr="001C50CA">
        <w:rPr>
          <w:lang w:val="en-GB"/>
        </w:rPr>
        <w:t xml:space="preserve">In addition to the consequences of </w:t>
      </w:r>
      <w:r w:rsidR="001224B1">
        <w:rPr>
          <w:lang w:val="en-GB"/>
        </w:rPr>
        <w:t>Russia’s war of aggression against</w:t>
      </w:r>
      <w:r w:rsidRPr="001C50CA">
        <w:rPr>
          <w:lang w:val="en-GB"/>
        </w:rPr>
        <w:t xml:space="preserve"> Ukraine, the global impact of the crisis in the Strait of Hormuz has </w:t>
      </w:r>
      <w:r w:rsidR="00110126">
        <w:rPr>
          <w:lang w:val="en-GB"/>
        </w:rPr>
        <w:t xml:space="preserve">once again </w:t>
      </w:r>
      <w:r w:rsidRPr="00ED774F">
        <w:rPr>
          <w:lang w:val="en-GB"/>
        </w:rPr>
        <w:t>highlighted the</w:t>
      </w:r>
      <w:r w:rsidRPr="001C50CA">
        <w:rPr>
          <w:lang w:val="en-GB"/>
        </w:rPr>
        <w:t xml:space="preserve"> </w:t>
      </w:r>
      <w:r w:rsidRPr="001C50CA">
        <w:rPr>
          <w:b/>
          <w:bCs/>
          <w:lang w:val="en-GB"/>
        </w:rPr>
        <w:t xml:space="preserve">vulnerability of energy supply </w:t>
      </w:r>
      <w:r w:rsidRPr="00ED774F">
        <w:rPr>
          <w:b/>
          <w:bCs/>
          <w:lang w:val="en-GB"/>
        </w:rPr>
        <w:t xml:space="preserve">chains and </w:t>
      </w:r>
      <w:r w:rsidRPr="00ED774F">
        <w:rPr>
          <w:lang w:val="en-GB"/>
        </w:rPr>
        <w:t>underscored the</w:t>
      </w:r>
      <w:r w:rsidRPr="00ED774F">
        <w:rPr>
          <w:b/>
          <w:bCs/>
          <w:lang w:val="en-GB"/>
        </w:rPr>
        <w:t xml:space="preserve"> urgent need for diversification</w:t>
      </w:r>
      <w:r w:rsidR="008F760F">
        <w:rPr>
          <w:b/>
          <w:bCs/>
          <w:lang w:val="en-GB"/>
        </w:rPr>
        <w:t>, protection</w:t>
      </w:r>
      <w:r w:rsidRPr="00ED774F">
        <w:rPr>
          <w:b/>
          <w:bCs/>
          <w:lang w:val="en-GB"/>
        </w:rPr>
        <w:t xml:space="preserve"> and the development of resilient energy infrastructure</w:t>
      </w:r>
      <w:r w:rsidRPr="001C50CA">
        <w:rPr>
          <w:lang w:val="en-GB"/>
        </w:rPr>
        <w:t xml:space="preserve">. </w:t>
      </w:r>
      <w:r w:rsidR="00110126">
        <w:rPr>
          <w:lang w:val="en-GB"/>
        </w:rPr>
        <w:t>The unrolling events</w:t>
      </w:r>
      <w:r w:rsidRPr="001C50CA">
        <w:rPr>
          <w:lang w:val="en-GB"/>
        </w:rPr>
        <w:t xml:space="preserve"> have demonstrated the strategic importance of secure and interconnected fuel supply systems across Europe. In this context, we underline the necessity of </w:t>
      </w:r>
      <w:r w:rsidR="007E3013">
        <w:rPr>
          <w:lang w:val="en-GB"/>
        </w:rPr>
        <w:t xml:space="preserve">sufficient </w:t>
      </w:r>
      <w:r w:rsidRPr="001C50CA">
        <w:rPr>
          <w:lang w:val="en-GB"/>
        </w:rPr>
        <w:t>fuel infrastructure</w:t>
      </w:r>
      <w:r w:rsidR="007E3013">
        <w:rPr>
          <w:lang w:val="en-GB"/>
        </w:rPr>
        <w:t xml:space="preserve"> in the Eastern Flank.</w:t>
      </w:r>
      <w:r w:rsidRPr="001C50CA">
        <w:rPr>
          <w:lang w:val="en-GB"/>
        </w:rPr>
        <w:t xml:space="preserve"> </w:t>
      </w:r>
      <w:r w:rsidR="00110126">
        <w:rPr>
          <w:lang w:val="en-GB"/>
        </w:rPr>
        <w:t>W</w:t>
      </w:r>
      <w:r w:rsidR="000F4498" w:rsidRPr="001C50CA">
        <w:rPr>
          <w:lang w:val="en-GB"/>
        </w:rPr>
        <w:t xml:space="preserve">e call on the EU to support Member States in this effort, </w:t>
      </w:r>
      <w:r w:rsidR="00AE045B" w:rsidRPr="001C50CA">
        <w:rPr>
          <w:lang w:val="en-GB"/>
        </w:rPr>
        <w:t>including in</w:t>
      </w:r>
      <w:r w:rsidR="007E3013">
        <w:rPr>
          <w:lang w:val="en-GB"/>
        </w:rPr>
        <w:t xml:space="preserve"> </w:t>
      </w:r>
      <w:r w:rsidR="008A0CFF" w:rsidRPr="001C50CA">
        <w:rPr>
          <w:lang w:val="en-GB"/>
        </w:rPr>
        <w:t>develop</w:t>
      </w:r>
      <w:r w:rsidR="007E3013">
        <w:rPr>
          <w:lang w:val="en-GB"/>
        </w:rPr>
        <w:t>ing</w:t>
      </w:r>
      <w:r w:rsidR="008A0CFF" w:rsidRPr="001C50CA">
        <w:rPr>
          <w:lang w:val="en-GB"/>
        </w:rPr>
        <w:t xml:space="preserve"> of</w:t>
      </w:r>
      <w:r w:rsidR="001365D1" w:rsidRPr="001C50CA">
        <w:rPr>
          <w:lang w:val="en-GB"/>
        </w:rPr>
        <w:t xml:space="preserve"> </w:t>
      </w:r>
      <w:r w:rsidR="008A0CFF" w:rsidRPr="001C50CA">
        <w:rPr>
          <w:lang w:val="en-GB"/>
        </w:rPr>
        <w:t xml:space="preserve">LNG/biogas capacity, electricity grid resilience and energy storage in line with </w:t>
      </w:r>
      <w:r w:rsidR="001765BF" w:rsidRPr="001C50CA">
        <w:rPr>
          <w:lang w:val="en-GB"/>
        </w:rPr>
        <w:t>the Co</w:t>
      </w:r>
      <w:r w:rsidR="008A0CFF" w:rsidRPr="001C50CA">
        <w:rPr>
          <w:lang w:val="en-GB"/>
        </w:rPr>
        <w:t>mmunication on the EU’s eastern regions bordering Russia, Belarus and Ukraine.</w:t>
      </w:r>
    </w:p>
    <w:p w14:paraId="1614A13B" w14:textId="18BB43D1" w:rsidR="00F3093D" w:rsidRPr="001C50CA" w:rsidRDefault="00F3093D" w:rsidP="00110126">
      <w:pPr>
        <w:pStyle w:val="Akapitzlist"/>
        <w:numPr>
          <w:ilvl w:val="0"/>
          <w:numId w:val="2"/>
        </w:numPr>
        <w:spacing w:after="120" w:line="240" w:lineRule="auto"/>
        <w:contextualSpacing w:val="0"/>
        <w:jc w:val="both"/>
        <w:rPr>
          <w:lang w:val="en-GB"/>
        </w:rPr>
      </w:pPr>
      <w:r w:rsidRPr="001C50CA">
        <w:rPr>
          <w:lang w:val="en-GB"/>
        </w:rPr>
        <w:t xml:space="preserve">We underline the importance of further work on </w:t>
      </w:r>
      <w:r w:rsidRPr="00ED774F">
        <w:rPr>
          <w:b/>
          <w:bCs/>
          <w:lang w:val="en-GB"/>
        </w:rPr>
        <w:t>improving</w:t>
      </w:r>
      <w:r w:rsidRPr="001C50CA">
        <w:rPr>
          <w:lang w:val="en-GB"/>
        </w:rPr>
        <w:t xml:space="preserve"> </w:t>
      </w:r>
      <w:r w:rsidRPr="001C50CA">
        <w:rPr>
          <w:b/>
          <w:bCs/>
          <w:lang w:val="en-GB"/>
        </w:rPr>
        <w:t>military mobility</w:t>
      </w:r>
      <w:r w:rsidRPr="001C50CA">
        <w:rPr>
          <w:lang w:val="en-GB"/>
        </w:rPr>
        <w:t xml:space="preserve">. We need to rapidly upgrade transport infrastructure to guarantee </w:t>
      </w:r>
      <w:r w:rsidRPr="004A4403">
        <w:rPr>
          <w:lang w:val="en-GB"/>
        </w:rPr>
        <w:t>seamless, rapid</w:t>
      </w:r>
      <w:r w:rsidR="00F05E00">
        <w:rPr>
          <w:lang w:val="en-GB"/>
        </w:rPr>
        <w:t xml:space="preserve"> </w:t>
      </w:r>
      <w:r w:rsidRPr="004A4403">
        <w:rPr>
          <w:lang w:val="en-GB"/>
        </w:rPr>
        <w:t>movement of Allied military personnel and heavy equipment</w:t>
      </w:r>
      <w:r w:rsidR="004A4403">
        <w:rPr>
          <w:lang w:val="en-GB"/>
        </w:rPr>
        <w:t xml:space="preserve"> </w:t>
      </w:r>
      <w:r w:rsidR="004A4403" w:rsidRPr="004A4403">
        <w:rPr>
          <w:lang w:val="en-GB"/>
        </w:rPr>
        <w:t>across</w:t>
      </w:r>
      <w:r w:rsidR="00844817" w:rsidRPr="004A4403">
        <w:rPr>
          <w:lang w:val="en-GB"/>
        </w:rPr>
        <w:t xml:space="preserve"> </w:t>
      </w:r>
      <w:r w:rsidR="00E96113" w:rsidRPr="004A4403">
        <w:rPr>
          <w:lang w:val="en-GB"/>
        </w:rPr>
        <w:t xml:space="preserve">the </w:t>
      </w:r>
      <w:r w:rsidR="00844817" w:rsidRPr="004A4403">
        <w:rPr>
          <w:lang w:val="en-GB"/>
        </w:rPr>
        <w:t>EU</w:t>
      </w:r>
      <w:r w:rsidR="00F24CFB" w:rsidRPr="004A4403">
        <w:rPr>
          <w:lang w:val="en-GB"/>
        </w:rPr>
        <w:t xml:space="preserve">, while ensuring </w:t>
      </w:r>
      <w:r w:rsidR="00F24CFB">
        <w:rPr>
          <w:lang w:val="en-GB"/>
        </w:rPr>
        <w:t>adequate EU support in this area.</w:t>
      </w:r>
    </w:p>
    <w:p w14:paraId="4E82DF5A" w14:textId="77777777" w:rsidR="00F05E00" w:rsidRDefault="002A1CF5" w:rsidP="00F05E00">
      <w:pPr>
        <w:pStyle w:val="Akapitzlist"/>
        <w:numPr>
          <w:ilvl w:val="0"/>
          <w:numId w:val="2"/>
        </w:numPr>
        <w:spacing w:after="120" w:line="240" w:lineRule="auto"/>
        <w:contextualSpacing w:val="0"/>
        <w:jc w:val="both"/>
        <w:rPr>
          <w:lang w:val="en-GB"/>
        </w:rPr>
      </w:pPr>
      <w:r w:rsidRPr="00427A11">
        <w:rPr>
          <w:lang w:val="en-GB"/>
        </w:rPr>
        <w:t xml:space="preserve">We encourage </w:t>
      </w:r>
      <w:r w:rsidR="00110126" w:rsidRPr="00427A11">
        <w:rPr>
          <w:lang w:val="en-GB"/>
        </w:rPr>
        <w:t xml:space="preserve">efforts </w:t>
      </w:r>
      <w:r w:rsidRPr="00427A11">
        <w:rPr>
          <w:lang w:val="en-GB"/>
        </w:rPr>
        <w:t xml:space="preserve">to deepen the EU security cooperation and resilience-building </w:t>
      </w:r>
      <w:r w:rsidRPr="00427A11">
        <w:rPr>
          <w:b/>
          <w:bCs/>
          <w:lang w:val="en-GB"/>
        </w:rPr>
        <w:t>assistance for regional partners</w:t>
      </w:r>
      <w:r w:rsidRPr="00427A11">
        <w:rPr>
          <w:lang w:val="en-GB"/>
        </w:rPr>
        <w:t xml:space="preserve"> aggressively targeted by Russian actions. The security and stability of our partners is inseparably linked to our own security.</w:t>
      </w:r>
      <w:r w:rsidR="00F3093D" w:rsidRPr="00427A11">
        <w:rPr>
          <w:lang w:val="en-GB"/>
        </w:rPr>
        <w:t xml:space="preserve"> By standing together, we send an unequivocal message</w:t>
      </w:r>
      <w:r w:rsidR="001224B1">
        <w:rPr>
          <w:lang w:val="en-GB"/>
        </w:rPr>
        <w:t xml:space="preserve"> of</w:t>
      </w:r>
      <w:r w:rsidR="00D411CC" w:rsidRPr="00427A11">
        <w:rPr>
          <w:lang w:val="en-GB"/>
        </w:rPr>
        <w:t xml:space="preserve"> strong commit</w:t>
      </w:r>
      <w:r w:rsidR="001224B1">
        <w:rPr>
          <w:lang w:val="en-GB"/>
        </w:rPr>
        <w:t>ment</w:t>
      </w:r>
      <w:r w:rsidR="00B0784E" w:rsidRPr="00427A11">
        <w:rPr>
          <w:lang w:val="en-GB"/>
        </w:rPr>
        <w:t xml:space="preserve"> to defend international law, </w:t>
      </w:r>
      <w:r w:rsidR="00D411CC" w:rsidRPr="00427A11">
        <w:rPr>
          <w:lang w:val="en-GB"/>
        </w:rPr>
        <w:t>democratic</w:t>
      </w:r>
      <w:r w:rsidR="00B0784E" w:rsidRPr="00427A11">
        <w:rPr>
          <w:lang w:val="en-GB"/>
        </w:rPr>
        <w:t xml:space="preserve"> values and security of our citizens.</w:t>
      </w:r>
    </w:p>
    <w:p w14:paraId="5515613D" w14:textId="61672EFF" w:rsidR="00824F44" w:rsidRPr="00F05E00" w:rsidRDefault="00F05E00" w:rsidP="00F05E00">
      <w:pPr>
        <w:pStyle w:val="Akapitzlist"/>
        <w:numPr>
          <w:ilvl w:val="0"/>
          <w:numId w:val="2"/>
        </w:numPr>
        <w:spacing w:after="120" w:line="240" w:lineRule="auto"/>
        <w:contextualSpacing w:val="0"/>
        <w:jc w:val="both"/>
        <w:rPr>
          <w:lang w:val="en-GB"/>
        </w:rPr>
      </w:pPr>
      <w:r w:rsidRPr="00F05E00">
        <w:rPr>
          <w:bCs/>
          <w:lang w:val="en-GB"/>
        </w:rPr>
        <w:t>We look forward to the next meeting of this format in Romania.</w:t>
      </w:r>
    </w:p>
    <w:sectPr w:rsidR="00824F44" w:rsidRPr="00F05E00" w:rsidSect="00427A11">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604"/>
    <w:multiLevelType w:val="multilevel"/>
    <w:tmpl w:val="4E767A66"/>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rPr>
        <w:i w:val="0"/>
        <w:iCs w:val="0"/>
      </w:r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37DB1B50"/>
    <w:multiLevelType w:val="hybridMultilevel"/>
    <w:tmpl w:val="8A58C29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AE31CD"/>
    <w:multiLevelType w:val="hybridMultilevel"/>
    <w:tmpl w:val="71C2B1B6"/>
    <w:lvl w:ilvl="0" w:tplc="0415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6A8A01B4"/>
    <w:multiLevelType w:val="hybridMultilevel"/>
    <w:tmpl w:val="BBB0E69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779965">
    <w:abstractNumId w:val="1"/>
  </w:num>
  <w:num w:numId="2" w16cid:durableId="1665470718">
    <w:abstractNumId w:val="3"/>
  </w:num>
  <w:num w:numId="3" w16cid:durableId="685863330">
    <w:abstractNumId w:val="2"/>
  </w:num>
  <w:num w:numId="4" w16cid:durableId="168369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6F"/>
    <w:rsid w:val="00002149"/>
    <w:rsid w:val="00012E3D"/>
    <w:rsid w:val="00024605"/>
    <w:rsid w:val="0005213F"/>
    <w:rsid w:val="00054CC1"/>
    <w:rsid w:val="000641D4"/>
    <w:rsid w:val="00072954"/>
    <w:rsid w:val="00077CD1"/>
    <w:rsid w:val="000810F6"/>
    <w:rsid w:val="00085A29"/>
    <w:rsid w:val="00094DFB"/>
    <w:rsid w:val="000A0D68"/>
    <w:rsid w:val="000C3185"/>
    <w:rsid w:val="000F4498"/>
    <w:rsid w:val="00110126"/>
    <w:rsid w:val="001224B1"/>
    <w:rsid w:val="0013129C"/>
    <w:rsid w:val="001365D1"/>
    <w:rsid w:val="001409DA"/>
    <w:rsid w:val="00152099"/>
    <w:rsid w:val="001547A4"/>
    <w:rsid w:val="00162208"/>
    <w:rsid w:val="0017189C"/>
    <w:rsid w:val="001765BF"/>
    <w:rsid w:val="001765EF"/>
    <w:rsid w:val="001A7E2A"/>
    <w:rsid w:val="001C50CA"/>
    <w:rsid w:val="001D4604"/>
    <w:rsid w:val="001E3C30"/>
    <w:rsid w:val="00214772"/>
    <w:rsid w:val="002211AE"/>
    <w:rsid w:val="0022292D"/>
    <w:rsid w:val="00243817"/>
    <w:rsid w:val="00262A35"/>
    <w:rsid w:val="00267507"/>
    <w:rsid w:val="0028337E"/>
    <w:rsid w:val="002A1CF5"/>
    <w:rsid w:val="002B6990"/>
    <w:rsid w:val="002D6B3D"/>
    <w:rsid w:val="002F6AB8"/>
    <w:rsid w:val="003106A1"/>
    <w:rsid w:val="00314F8A"/>
    <w:rsid w:val="00316031"/>
    <w:rsid w:val="003251D0"/>
    <w:rsid w:val="003337EB"/>
    <w:rsid w:val="0034208F"/>
    <w:rsid w:val="0035413C"/>
    <w:rsid w:val="003D05F5"/>
    <w:rsid w:val="003D3A11"/>
    <w:rsid w:val="003D4FC7"/>
    <w:rsid w:val="0040695F"/>
    <w:rsid w:val="004105CC"/>
    <w:rsid w:val="00413DD2"/>
    <w:rsid w:val="00427A11"/>
    <w:rsid w:val="00431334"/>
    <w:rsid w:val="00437CE2"/>
    <w:rsid w:val="00444F93"/>
    <w:rsid w:val="00466ACB"/>
    <w:rsid w:val="00473E63"/>
    <w:rsid w:val="00491960"/>
    <w:rsid w:val="00494104"/>
    <w:rsid w:val="004A4403"/>
    <w:rsid w:val="004A68D9"/>
    <w:rsid w:val="004C748A"/>
    <w:rsid w:val="004D6CCD"/>
    <w:rsid w:val="004E55B8"/>
    <w:rsid w:val="00501C1C"/>
    <w:rsid w:val="00524100"/>
    <w:rsid w:val="00535085"/>
    <w:rsid w:val="00536CE5"/>
    <w:rsid w:val="005559A4"/>
    <w:rsid w:val="0055772F"/>
    <w:rsid w:val="0056431D"/>
    <w:rsid w:val="00567BAC"/>
    <w:rsid w:val="0057086E"/>
    <w:rsid w:val="00587AB9"/>
    <w:rsid w:val="005A3D28"/>
    <w:rsid w:val="005A53F1"/>
    <w:rsid w:val="005D1A7D"/>
    <w:rsid w:val="005D4586"/>
    <w:rsid w:val="006051FA"/>
    <w:rsid w:val="00605246"/>
    <w:rsid w:val="00624B21"/>
    <w:rsid w:val="00630997"/>
    <w:rsid w:val="00643C21"/>
    <w:rsid w:val="00670858"/>
    <w:rsid w:val="00687537"/>
    <w:rsid w:val="006A0431"/>
    <w:rsid w:val="006A7BA0"/>
    <w:rsid w:val="006B2C73"/>
    <w:rsid w:val="006D140A"/>
    <w:rsid w:val="006F1AF9"/>
    <w:rsid w:val="006F301A"/>
    <w:rsid w:val="0070340B"/>
    <w:rsid w:val="00744EEF"/>
    <w:rsid w:val="00757CD3"/>
    <w:rsid w:val="0076367D"/>
    <w:rsid w:val="007722F3"/>
    <w:rsid w:val="007804E0"/>
    <w:rsid w:val="00780681"/>
    <w:rsid w:val="007866FD"/>
    <w:rsid w:val="007913FD"/>
    <w:rsid w:val="00796EF6"/>
    <w:rsid w:val="007C0493"/>
    <w:rsid w:val="007C07E2"/>
    <w:rsid w:val="007D0E58"/>
    <w:rsid w:val="007E3013"/>
    <w:rsid w:val="007F6447"/>
    <w:rsid w:val="00824F44"/>
    <w:rsid w:val="00844817"/>
    <w:rsid w:val="00873445"/>
    <w:rsid w:val="008A0CFF"/>
    <w:rsid w:val="008A4C6B"/>
    <w:rsid w:val="008C60AF"/>
    <w:rsid w:val="008D0D5E"/>
    <w:rsid w:val="008E6B30"/>
    <w:rsid w:val="008F691D"/>
    <w:rsid w:val="008F760F"/>
    <w:rsid w:val="00902CB1"/>
    <w:rsid w:val="009415F1"/>
    <w:rsid w:val="009420B6"/>
    <w:rsid w:val="00990990"/>
    <w:rsid w:val="009C0318"/>
    <w:rsid w:val="00A45B15"/>
    <w:rsid w:val="00AB0B55"/>
    <w:rsid w:val="00AB16E4"/>
    <w:rsid w:val="00AC461D"/>
    <w:rsid w:val="00AD0F97"/>
    <w:rsid w:val="00AE045B"/>
    <w:rsid w:val="00AE0D2F"/>
    <w:rsid w:val="00AE249E"/>
    <w:rsid w:val="00AF56A9"/>
    <w:rsid w:val="00B0784E"/>
    <w:rsid w:val="00B64AA6"/>
    <w:rsid w:val="00B83434"/>
    <w:rsid w:val="00B85805"/>
    <w:rsid w:val="00BA2D3C"/>
    <w:rsid w:val="00BB50C5"/>
    <w:rsid w:val="00BF5DBC"/>
    <w:rsid w:val="00C16FE2"/>
    <w:rsid w:val="00C20AB0"/>
    <w:rsid w:val="00C30767"/>
    <w:rsid w:val="00C53382"/>
    <w:rsid w:val="00C72BCE"/>
    <w:rsid w:val="00C732DC"/>
    <w:rsid w:val="00C8439C"/>
    <w:rsid w:val="00C84948"/>
    <w:rsid w:val="00CA5E41"/>
    <w:rsid w:val="00CB3758"/>
    <w:rsid w:val="00CC1D68"/>
    <w:rsid w:val="00CD3974"/>
    <w:rsid w:val="00CF5469"/>
    <w:rsid w:val="00D00D28"/>
    <w:rsid w:val="00D411CC"/>
    <w:rsid w:val="00D52EA3"/>
    <w:rsid w:val="00D53E4F"/>
    <w:rsid w:val="00D53ED0"/>
    <w:rsid w:val="00D933D1"/>
    <w:rsid w:val="00DC744A"/>
    <w:rsid w:val="00DD678A"/>
    <w:rsid w:val="00DE03A1"/>
    <w:rsid w:val="00DE7A39"/>
    <w:rsid w:val="00DF0915"/>
    <w:rsid w:val="00E12687"/>
    <w:rsid w:val="00E17005"/>
    <w:rsid w:val="00E2696F"/>
    <w:rsid w:val="00E54832"/>
    <w:rsid w:val="00E70C7B"/>
    <w:rsid w:val="00E8542C"/>
    <w:rsid w:val="00E919D8"/>
    <w:rsid w:val="00E923CB"/>
    <w:rsid w:val="00E96113"/>
    <w:rsid w:val="00EB2405"/>
    <w:rsid w:val="00ED774F"/>
    <w:rsid w:val="00F00686"/>
    <w:rsid w:val="00F05E00"/>
    <w:rsid w:val="00F11098"/>
    <w:rsid w:val="00F24CFB"/>
    <w:rsid w:val="00F3093D"/>
    <w:rsid w:val="00F45AF3"/>
    <w:rsid w:val="00F467AB"/>
    <w:rsid w:val="00F52C05"/>
    <w:rsid w:val="00F94CC0"/>
    <w:rsid w:val="00FE4763"/>
    <w:rsid w:val="00FF1DF0"/>
    <w:rsid w:val="00FF7C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AC51"/>
  <w15:chartTrackingRefBased/>
  <w15:docId w15:val="{9E5A4495-3855-4F48-82DE-C322107D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6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6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696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696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696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69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69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69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69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96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696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696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696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696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69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69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69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696F"/>
    <w:rPr>
      <w:rFonts w:eastAsiaTheme="majorEastAsia" w:cstheme="majorBidi"/>
      <w:color w:val="272727" w:themeColor="text1" w:themeTint="D8"/>
    </w:rPr>
  </w:style>
  <w:style w:type="paragraph" w:styleId="Tytu">
    <w:name w:val="Title"/>
    <w:basedOn w:val="Normalny"/>
    <w:next w:val="Normalny"/>
    <w:link w:val="TytuZnak"/>
    <w:uiPriority w:val="10"/>
    <w:qFormat/>
    <w:rsid w:val="00E26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69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69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69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696F"/>
    <w:pPr>
      <w:spacing w:before="160"/>
      <w:jc w:val="center"/>
    </w:pPr>
    <w:rPr>
      <w:i/>
      <w:iCs/>
      <w:color w:val="404040" w:themeColor="text1" w:themeTint="BF"/>
    </w:rPr>
  </w:style>
  <w:style w:type="character" w:customStyle="1" w:styleId="CytatZnak">
    <w:name w:val="Cytat Znak"/>
    <w:basedOn w:val="Domylnaczcionkaakapitu"/>
    <w:link w:val="Cytat"/>
    <w:uiPriority w:val="29"/>
    <w:rsid w:val="00E2696F"/>
    <w:rPr>
      <w:i/>
      <w:iCs/>
      <w:color w:val="404040" w:themeColor="text1" w:themeTint="BF"/>
    </w:rPr>
  </w:style>
  <w:style w:type="paragraph" w:styleId="Akapitzlist">
    <w:name w:val="List Paragraph"/>
    <w:basedOn w:val="Normalny"/>
    <w:uiPriority w:val="34"/>
    <w:qFormat/>
    <w:rsid w:val="00E2696F"/>
    <w:pPr>
      <w:ind w:left="720"/>
      <w:contextualSpacing/>
    </w:pPr>
  </w:style>
  <w:style w:type="character" w:styleId="Wyrnienieintensywne">
    <w:name w:val="Intense Emphasis"/>
    <w:basedOn w:val="Domylnaczcionkaakapitu"/>
    <w:uiPriority w:val="21"/>
    <w:qFormat/>
    <w:rsid w:val="00E2696F"/>
    <w:rPr>
      <w:i/>
      <w:iCs/>
      <w:color w:val="2F5496" w:themeColor="accent1" w:themeShade="BF"/>
    </w:rPr>
  </w:style>
  <w:style w:type="paragraph" w:styleId="Cytatintensywny">
    <w:name w:val="Intense Quote"/>
    <w:basedOn w:val="Normalny"/>
    <w:next w:val="Normalny"/>
    <w:link w:val="CytatintensywnyZnak"/>
    <w:uiPriority w:val="30"/>
    <w:qFormat/>
    <w:rsid w:val="00E26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696F"/>
    <w:rPr>
      <w:i/>
      <w:iCs/>
      <w:color w:val="2F5496" w:themeColor="accent1" w:themeShade="BF"/>
    </w:rPr>
  </w:style>
  <w:style w:type="character" w:styleId="Odwoanieintensywne">
    <w:name w:val="Intense Reference"/>
    <w:basedOn w:val="Domylnaczcionkaakapitu"/>
    <w:uiPriority w:val="32"/>
    <w:qFormat/>
    <w:rsid w:val="00E2696F"/>
    <w:rPr>
      <w:b/>
      <w:bCs/>
      <w:smallCaps/>
      <w:color w:val="2F5496" w:themeColor="accent1" w:themeShade="BF"/>
      <w:spacing w:val="5"/>
    </w:rPr>
  </w:style>
  <w:style w:type="paragraph" w:styleId="NormalnyWeb">
    <w:name w:val="Normal (Web)"/>
    <w:basedOn w:val="Normalny"/>
    <w:uiPriority w:val="99"/>
    <w:semiHidden/>
    <w:unhideWhenUsed/>
    <w:rsid w:val="008A0CFF"/>
    <w:rPr>
      <w:rFonts w:ascii="Times New Roman" w:hAnsi="Times New Roman" w:cs="Times New Roman"/>
      <w:sz w:val="24"/>
      <w:szCs w:val="24"/>
    </w:rPr>
  </w:style>
  <w:style w:type="paragraph" w:styleId="Poprawka">
    <w:name w:val="Revision"/>
    <w:hidden/>
    <w:uiPriority w:val="99"/>
    <w:semiHidden/>
    <w:rsid w:val="00FE4763"/>
    <w:pPr>
      <w:spacing w:after="0" w:line="240" w:lineRule="auto"/>
    </w:pPr>
  </w:style>
  <w:style w:type="character" w:styleId="Odwoaniedokomentarza">
    <w:name w:val="annotation reference"/>
    <w:basedOn w:val="Domylnaczcionkaakapitu"/>
    <w:uiPriority w:val="99"/>
    <w:semiHidden/>
    <w:unhideWhenUsed/>
    <w:rsid w:val="007C0493"/>
    <w:rPr>
      <w:sz w:val="16"/>
      <w:szCs w:val="16"/>
    </w:rPr>
  </w:style>
  <w:style w:type="paragraph" w:styleId="Tekstkomentarza">
    <w:name w:val="annotation text"/>
    <w:basedOn w:val="Normalny"/>
    <w:link w:val="TekstkomentarzaZnak"/>
    <w:uiPriority w:val="99"/>
    <w:unhideWhenUsed/>
    <w:rsid w:val="007C0493"/>
    <w:pPr>
      <w:spacing w:line="240" w:lineRule="auto"/>
    </w:pPr>
    <w:rPr>
      <w:sz w:val="20"/>
      <w:szCs w:val="20"/>
    </w:rPr>
  </w:style>
  <w:style w:type="character" w:customStyle="1" w:styleId="TekstkomentarzaZnak">
    <w:name w:val="Tekst komentarza Znak"/>
    <w:basedOn w:val="Domylnaczcionkaakapitu"/>
    <w:link w:val="Tekstkomentarza"/>
    <w:uiPriority w:val="99"/>
    <w:rsid w:val="007C0493"/>
    <w:rPr>
      <w:sz w:val="20"/>
      <w:szCs w:val="20"/>
    </w:rPr>
  </w:style>
  <w:style w:type="paragraph" w:styleId="Tematkomentarza">
    <w:name w:val="annotation subject"/>
    <w:basedOn w:val="Tekstkomentarza"/>
    <w:next w:val="Tekstkomentarza"/>
    <w:link w:val="TematkomentarzaZnak"/>
    <w:uiPriority w:val="99"/>
    <w:semiHidden/>
    <w:unhideWhenUsed/>
    <w:rsid w:val="007C0493"/>
    <w:rPr>
      <w:b/>
      <w:bCs/>
    </w:rPr>
  </w:style>
  <w:style w:type="character" w:customStyle="1" w:styleId="TematkomentarzaZnak">
    <w:name w:val="Temat komentarza Znak"/>
    <w:basedOn w:val="TekstkomentarzaZnak"/>
    <w:link w:val="Tematkomentarza"/>
    <w:uiPriority w:val="99"/>
    <w:semiHidden/>
    <w:rsid w:val="007C0493"/>
    <w:rPr>
      <w:b/>
      <w:bCs/>
      <w:sz w:val="20"/>
      <w:szCs w:val="20"/>
    </w:rPr>
  </w:style>
  <w:style w:type="paragraph" w:customStyle="1" w:styleId="Pointabc">
    <w:name w:val="Point abc"/>
    <w:basedOn w:val="Normalny"/>
    <w:rsid w:val="00D52EA3"/>
    <w:pPr>
      <w:numPr>
        <w:ilvl w:val="1"/>
        <w:numId w:val="4"/>
      </w:numPr>
      <w:spacing w:before="120" w:after="120" w:line="360" w:lineRule="auto"/>
    </w:pPr>
    <w:rPr>
      <w:rFonts w:ascii="Times New Roman" w:hAnsi="Times New Roman" w:cs="Times New Roman"/>
      <w:sz w:val="24"/>
      <w:lang w:val="en-GB"/>
    </w:rPr>
  </w:style>
  <w:style w:type="paragraph" w:customStyle="1" w:styleId="Pointabc1">
    <w:name w:val="Point abc (1)"/>
    <w:basedOn w:val="Normalny"/>
    <w:rsid w:val="00D52EA3"/>
    <w:pPr>
      <w:numPr>
        <w:ilvl w:val="3"/>
        <w:numId w:val="4"/>
      </w:numPr>
      <w:spacing w:before="120" w:after="120" w:line="360" w:lineRule="auto"/>
    </w:pPr>
    <w:rPr>
      <w:rFonts w:ascii="Times New Roman" w:hAnsi="Times New Roman" w:cs="Times New Roman"/>
      <w:sz w:val="24"/>
      <w:lang w:val="en-GB"/>
    </w:rPr>
  </w:style>
  <w:style w:type="paragraph" w:customStyle="1" w:styleId="Pointabc2">
    <w:name w:val="Point abc (2)"/>
    <w:basedOn w:val="Normalny"/>
    <w:rsid w:val="00D52EA3"/>
    <w:pPr>
      <w:numPr>
        <w:ilvl w:val="5"/>
        <w:numId w:val="4"/>
      </w:numPr>
      <w:spacing w:before="120" w:after="120" w:line="360" w:lineRule="auto"/>
    </w:pPr>
    <w:rPr>
      <w:rFonts w:ascii="Times New Roman" w:hAnsi="Times New Roman" w:cs="Times New Roman"/>
      <w:sz w:val="24"/>
      <w:lang w:val="en-GB"/>
    </w:rPr>
  </w:style>
  <w:style w:type="paragraph" w:customStyle="1" w:styleId="Pointabc3">
    <w:name w:val="Point abc (3)"/>
    <w:basedOn w:val="Normalny"/>
    <w:rsid w:val="00D52EA3"/>
    <w:pPr>
      <w:numPr>
        <w:ilvl w:val="7"/>
        <w:numId w:val="4"/>
      </w:numPr>
      <w:spacing w:before="120" w:after="120" w:line="360" w:lineRule="auto"/>
    </w:pPr>
    <w:rPr>
      <w:rFonts w:ascii="Times New Roman" w:hAnsi="Times New Roman" w:cs="Times New Roman"/>
      <w:sz w:val="24"/>
      <w:lang w:val="en-GB"/>
    </w:rPr>
  </w:style>
  <w:style w:type="paragraph" w:customStyle="1" w:styleId="Pointabc4">
    <w:name w:val="Point abc (4)"/>
    <w:basedOn w:val="Normalny"/>
    <w:rsid w:val="00D52EA3"/>
    <w:pPr>
      <w:numPr>
        <w:ilvl w:val="8"/>
        <w:numId w:val="4"/>
      </w:numPr>
      <w:spacing w:before="120" w:after="120" w:line="360" w:lineRule="auto"/>
    </w:pPr>
    <w:rPr>
      <w:rFonts w:ascii="Times New Roman" w:hAnsi="Times New Roman" w:cs="Times New Roman"/>
      <w:sz w:val="24"/>
      <w:lang w:val="en-GB"/>
    </w:rPr>
  </w:style>
  <w:style w:type="paragraph" w:customStyle="1" w:styleId="Point123">
    <w:name w:val="Point 123"/>
    <w:basedOn w:val="Normalny"/>
    <w:rsid w:val="00D52EA3"/>
    <w:pPr>
      <w:numPr>
        <w:numId w:val="4"/>
      </w:numPr>
      <w:spacing w:before="120" w:after="120" w:line="360" w:lineRule="auto"/>
    </w:pPr>
    <w:rPr>
      <w:rFonts w:ascii="Times New Roman" w:hAnsi="Times New Roman" w:cs="Times New Roman"/>
      <w:sz w:val="24"/>
      <w:lang w:val="en-GB"/>
    </w:rPr>
  </w:style>
  <w:style w:type="paragraph" w:customStyle="1" w:styleId="Point1231">
    <w:name w:val="Point 123 (1)"/>
    <w:basedOn w:val="Normalny"/>
    <w:rsid w:val="00D52EA3"/>
    <w:pPr>
      <w:numPr>
        <w:ilvl w:val="2"/>
        <w:numId w:val="4"/>
      </w:numPr>
      <w:spacing w:before="120" w:after="120" w:line="360" w:lineRule="auto"/>
    </w:pPr>
    <w:rPr>
      <w:rFonts w:ascii="Times New Roman" w:hAnsi="Times New Roman" w:cs="Times New Roman"/>
      <w:sz w:val="24"/>
      <w:lang w:val="en-GB"/>
    </w:rPr>
  </w:style>
  <w:style w:type="paragraph" w:customStyle="1" w:styleId="Point1232">
    <w:name w:val="Point 123 (2)"/>
    <w:basedOn w:val="Normalny"/>
    <w:rsid w:val="00D52EA3"/>
    <w:pPr>
      <w:numPr>
        <w:ilvl w:val="4"/>
        <w:numId w:val="4"/>
      </w:numPr>
      <w:spacing w:before="120" w:after="120" w:line="360" w:lineRule="auto"/>
    </w:pPr>
    <w:rPr>
      <w:rFonts w:ascii="Times New Roman" w:hAnsi="Times New Roman" w:cs="Times New Roman"/>
      <w:sz w:val="24"/>
      <w:lang w:val="en-GB"/>
    </w:rPr>
  </w:style>
  <w:style w:type="paragraph" w:customStyle="1" w:styleId="Point1233">
    <w:name w:val="Point 123 (3)"/>
    <w:basedOn w:val="Normalny"/>
    <w:rsid w:val="00D52EA3"/>
    <w:pPr>
      <w:numPr>
        <w:ilvl w:val="6"/>
        <w:numId w:val="4"/>
      </w:numPr>
      <w:spacing w:before="120" w:after="120" w:line="36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32F4-6A27-4E08-BD3E-1CFA9149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1259</Words>
  <Characters>7559</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Liszkiewicz Maja</dc:creator>
  <cp:keywords/>
  <dc:description/>
  <cp:lastModifiedBy>Klatka Jacek</cp:lastModifiedBy>
  <cp:revision>18</cp:revision>
  <cp:lastPrinted>2026-05-21T11:22:00Z</cp:lastPrinted>
  <dcterms:created xsi:type="dcterms:W3CDTF">2026-06-23T08:21:00Z</dcterms:created>
  <dcterms:modified xsi:type="dcterms:W3CDTF">2026-06-23T12:27:00Z</dcterms:modified>
</cp:coreProperties>
</file>