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D50" w:rsidRDefault="00476D50" w:rsidP="00476D5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Załącznik </w:t>
      </w:r>
      <w:r w:rsidR="006B0051">
        <w:rPr>
          <w:sz w:val="22"/>
        </w:rPr>
        <w:t>B.39.</w:t>
      </w:r>
      <w:r>
        <w:rPr>
          <w:sz w:val="22"/>
        </w:rPr>
        <w:fldChar w:fldCharType="begin"/>
      </w:r>
      <w:r>
        <w:rPr>
          <w:sz w:val="22"/>
        </w:rPr>
        <w:instrText xml:space="preserve"> FILENAME   \* MERGEFORMAT </w:instrText>
      </w:r>
      <w:r>
        <w:rPr>
          <w:sz w:val="22"/>
        </w:rPr>
        <w:fldChar w:fldCharType="end"/>
      </w:r>
    </w:p>
    <w:p w:rsidR="00476D50" w:rsidRDefault="00476D50" w:rsidP="00476D50">
      <w:pPr>
        <w:autoSpaceDE w:val="0"/>
        <w:autoSpaceDN w:val="0"/>
        <w:adjustRightInd w:val="0"/>
        <w:rPr>
          <w:sz w:val="22"/>
        </w:rPr>
      </w:pPr>
    </w:p>
    <w:p w:rsidR="00F601EF" w:rsidRDefault="00F601EF" w:rsidP="006B0051">
      <w:pPr>
        <w:spacing w:after="240"/>
        <w:rPr>
          <w:b/>
          <w:sz w:val="28"/>
        </w:rPr>
      </w:pPr>
      <w:r w:rsidRPr="00F601EF">
        <w:rPr>
          <w:b/>
          <w:sz w:val="28"/>
        </w:rPr>
        <w:t xml:space="preserve">LECZENIE WTÓRNEJ NADCZYNNOŚCI PRZYTARCZYC U PACJENTÓW HEMODIALIZOWANYCH </w:t>
      </w:r>
      <w:r>
        <w:rPr>
          <w:b/>
          <w:sz w:val="28"/>
        </w:rPr>
        <w:t xml:space="preserve">  </w:t>
      </w:r>
      <w:r w:rsidRPr="00F601EF">
        <w:rPr>
          <w:b/>
          <w:sz w:val="28"/>
        </w:rPr>
        <w:t xml:space="preserve">(ICD-10 </w:t>
      </w:r>
      <w:r>
        <w:rPr>
          <w:b/>
          <w:sz w:val="28"/>
        </w:rPr>
        <w:t xml:space="preserve"> </w:t>
      </w:r>
      <w:r w:rsidRPr="00F601EF">
        <w:rPr>
          <w:b/>
          <w:sz w:val="28"/>
        </w:rPr>
        <w:t>N</w:t>
      </w:r>
      <w:r w:rsidR="006B0051" w:rsidRPr="006B0051">
        <w:rPr>
          <w:b/>
          <w:sz w:val="12"/>
        </w:rPr>
        <w:t xml:space="preserve"> </w:t>
      </w:r>
      <w:r w:rsidRPr="00F601EF">
        <w:rPr>
          <w:b/>
          <w:sz w:val="28"/>
        </w:rPr>
        <w:t>25.8)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1"/>
        <w:gridCol w:w="4914"/>
        <w:gridCol w:w="5209"/>
      </w:tblGrid>
      <w:tr w:rsidR="006B0051" w:rsidRPr="00F601EF" w:rsidTr="00364FEF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0051" w:rsidRPr="00F601EF" w:rsidRDefault="006B0051" w:rsidP="00364F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01EF">
              <w:rPr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6B0051" w:rsidRPr="00F601EF" w:rsidTr="00364FEF">
        <w:trPr>
          <w:trHeight w:val="567"/>
        </w:trPr>
        <w:tc>
          <w:tcPr>
            <w:tcW w:w="1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51" w:rsidRPr="00F601EF" w:rsidRDefault="006B0051" w:rsidP="00364F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01EF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51" w:rsidRPr="00F601EF" w:rsidRDefault="006B0051" w:rsidP="00364F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01EF">
              <w:rPr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51" w:rsidRPr="00F601EF" w:rsidRDefault="006B0051" w:rsidP="00364F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01EF">
              <w:rPr>
                <w:b/>
                <w:bCs/>
                <w:sz w:val="20"/>
                <w:szCs w:val="20"/>
              </w:rPr>
              <w:t>BADANIA DIAGNOSTYCZNE WYKONYWANE W RAMACH PROGRAMU</w:t>
            </w:r>
          </w:p>
        </w:tc>
      </w:tr>
      <w:tr w:rsidR="006B0051" w:rsidRPr="00F601EF" w:rsidTr="00364FEF">
        <w:tc>
          <w:tcPr>
            <w:tcW w:w="1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051" w:rsidRPr="00F601EF" w:rsidRDefault="006B0051" w:rsidP="00364FEF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F601EF">
              <w:rPr>
                <w:b/>
                <w:bCs/>
                <w:sz w:val="20"/>
                <w:szCs w:val="20"/>
              </w:rPr>
              <w:t>1. Kryteria kwalifikacji</w:t>
            </w:r>
          </w:p>
          <w:p w:rsidR="006B0051" w:rsidRPr="006B0051" w:rsidRDefault="006B0051" w:rsidP="00364FE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ind w:left="489" w:right="33"/>
              <w:contextualSpacing w:val="0"/>
              <w:jc w:val="both"/>
              <w:rPr>
                <w:sz w:val="20"/>
                <w:szCs w:val="20"/>
              </w:rPr>
            </w:pPr>
            <w:r w:rsidRPr="006B0051">
              <w:rPr>
                <w:sz w:val="20"/>
                <w:szCs w:val="20"/>
              </w:rPr>
              <w:t>wtórna nadczynność przytarczyc;</w:t>
            </w:r>
          </w:p>
          <w:p w:rsidR="006B0051" w:rsidRPr="006B0051" w:rsidRDefault="006B0051" w:rsidP="00364FE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ind w:left="489" w:right="33"/>
              <w:contextualSpacing w:val="0"/>
              <w:jc w:val="both"/>
              <w:rPr>
                <w:sz w:val="20"/>
                <w:szCs w:val="20"/>
              </w:rPr>
            </w:pPr>
            <w:r w:rsidRPr="006B0051">
              <w:rPr>
                <w:sz w:val="20"/>
                <w:szCs w:val="20"/>
              </w:rPr>
              <w:t>długotrwałe leczenie hemodializą z powodu schyłkowej niewydolności nerek;</w:t>
            </w:r>
          </w:p>
          <w:p w:rsidR="006B0051" w:rsidRPr="006B0051" w:rsidRDefault="006B0051" w:rsidP="00364FE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ind w:left="489" w:right="33"/>
              <w:contextualSpacing w:val="0"/>
              <w:jc w:val="both"/>
              <w:rPr>
                <w:sz w:val="20"/>
                <w:szCs w:val="20"/>
              </w:rPr>
            </w:pPr>
            <w:r w:rsidRPr="006B0051">
              <w:rPr>
                <w:sz w:val="20"/>
                <w:szCs w:val="20"/>
              </w:rPr>
              <w:t xml:space="preserve">przeciwwskazania do zastosowania innych opcji terapeutycznych (np. dla </w:t>
            </w:r>
            <w:proofErr w:type="spellStart"/>
            <w:r w:rsidRPr="006B0051">
              <w:rPr>
                <w:sz w:val="20"/>
                <w:szCs w:val="20"/>
              </w:rPr>
              <w:t>paratyroidektomii</w:t>
            </w:r>
            <w:proofErr w:type="spellEnd"/>
            <w:r w:rsidRPr="006B0051">
              <w:rPr>
                <w:sz w:val="20"/>
                <w:szCs w:val="20"/>
              </w:rPr>
              <w:t>);</w:t>
            </w:r>
          </w:p>
          <w:p w:rsidR="006B0051" w:rsidRPr="00061905" w:rsidRDefault="006B0051" w:rsidP="00364FE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ind w:left="489" w:right="33"/>
              <w:contextualSpacing w:val="0"/>
              <w:jc w:val="both"/>
              <w:rPr>
                <w:sz w:val="20"/>
                <w:szCs w:val="20"/>
              </w:rPr>
            </w:pPr>
            <w:r w:rsidRPr="006B0051">
              <w:rPr>
                <w:sz w:val="20"/>
                <w:szCs w:val="20"/>
              </w:rPr>
              <w:t xml:space="preserve">stężenie </w:t>
            </w:r>
            <w:proofErr w:type="spellStart"/>
            <w:r w:rsidRPr="006B0051">
              <w:rPr>
                <w:sz w:val="20"/>
                <w:szCs w:val="20"/>
              </w:rPr>
              <w:t>iPTH</w:t>
            </w:r>
            <w:proofErr w:type="spellEnd"/>
            <w:r w:rsidRPr="006B0051">
              <w:rPr>
                <w:sz w:val="20"/>
                <w:szCs w:val="20"/>
              </w:rPr>
              <w:t xml:space="preserve"> &gt; 500pg/ml.</w:t>
            </w:r>
          </w:p>
          <w:p w:rsidR="006B0051" w:rsidRPr="00F601EF" w:rsidRDefault="006B0051" w:rsidP="00364FEF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F601EF">
              <w:rPr>
                <w:b/>
                <w:bCs/>
                <w:sz w:val="20"/>
                <w:szCs w:val="20"/>
              </w:rPr>
              <w:t>2. Kryteria wyłączenia</w:t>
            </w:r>
          </w:p>
          <w:p w:rsidR="006B0051" w:rsidRPr="006B0051" w:rsidRDefault="006B0051" w:rsidP="00364FE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ind w:left="489" w:right="47"/>
              <w:contextualSpacing w:val="0"/>
              <w:jc w:val="both"/>
              <w:rPr>
                <w:sz w:val="20"/>
                <w:szCs w:val="20"/>
              </w:rPr>
            </w:pPr>
            <w:r w:rsidRPr="006B0051">
              <w:rPr>
                <w:sz w:val="20"/>
                <w:szCs w:val="20"/>
              </w:rPr>
              <w:t>osiągnięcie normalizacji wskaźników gospodarki wapniowo - fosforanowej zgodnie z aktualnymi wytycznymi K/DOQI (</w:t>
            </w:r>
            <w:proofErr w:type="spellStart"/>
            <w:r w:rsidRPr="006B0051">
              <w:rPr>
                <w:sz w:val="20"/>
                <w:szCs w:val="20"/>
              </w:rPr>
              <w:t>Kidney</w:t>
            </w:r>
            <w:proofErr w:type="spellEnd"/>
            <w:r w:rsidRPr="006B0051">
              <w:rPr>
                <w:sz w:val="20"/>
                <w:szCs w:val="20"/>
              </w:rPr>
              <w:t xml:space="preserve"> </w:t>
            </w:r>
            <w:proofErr w:type="spellStart"/>
            <w:r w:rsidRPr="006B0051">
              <w:rPr>
                <w:sz w:val="20"/>
                <w:szCs w:val="20"/>
              </w:rPr>
              <w:t>Disease</w:t>
            </w:r>
            <w:proofErr w:type="spellEnd"/>
            <w:r w:rsidRPr="006B0051">
              <w:rPr>
                <w:sz w:val="20"/>
                <w:szCs w:val="20"/>
              </w:rPr>
              <w:t xml:space="preserve"> </w:t>
            </w:r>
            <w:proofErr w:type="spellStart"/>
            <w:r w:rsidRPr="006B0051">
              <w:rPr>
                <w:sz w:val="20"/>
                <w:szCs w:val="20"/>
              </w:rPr>
              <w:t>Outcome</w:t>
            </w:r>
            <w:proofErr w:type="spellEnd"/>
            <w:r w:rsidRPr="006B0051">
              <w:rPr>
                <w:sz w:val="20"/>
                <w:szCs w:val="20"/>
              </w:rPr>
              <w:t xml:space="preserve"> </w:t>
            </w:r>
            <w:proofErr w:type="spellStart"/>
            <w:r w:rsidRPr="006B0051">
              <w:rPr>
                <w:sz w:val="20"/>
                <w:szCs w:val="20"/>
              </w:rPr>
              <w:t>Quality</w:t>
            </w:r>
            <w:proofErr w:type="spellEnd"/>
            <w:r w:rsidRPr="006B0051">
              <w:rPr>
                <w:sz w:val="20"/>
                <w:szCs w:val="20"/>
              </w:rPr>
              <w:t xml:space="preserve"> </w:t>
            </w:r>
            <w:proofErr w:type="spellStart"/>
            <w:r w:rsidRPr="006B0051">
              <w:rPr>
                <w:sz w:val="20"/>
                <w:szCs w:val="20"/>
              </w:rPr>
              <w:t>Initiative</w:t>
            </w:r>
            <w:proofErr w:type="spellEnd"/>
            <w:r w:rsidRPr="006B0051">
              <w:rPr>
                <w:sz w:val="20"/>
                <w:szCs w:val="20"/>
              </w:rPr>
              <w:t xml:space="preserve"> - US </w:t>
            </w:r>
            <w:proofErr w:type="spellStart"/>
            <w:r w:rsidRPr="006B0051">
              <w:rPr>
                <w:sz w:val="20"/>
                <w:szCs w:val="20"/>
              </w:rPr>
              <w:t>National</w:t>
            </w:r>
            <w:proofErr w:type="spellEnd"/>
            <w:r w:rsidRPr="006B0051">
              <w:rPr>
                <w:sz w:val="20"/>
                <w:szCs w:val="20"/>
              </w:rPr>
              <w:t xml:space="preserve"> </w:t>
            </w:r>
            <w:proofErr w:type="spellStart"/>
            <w:r w:rsidRPr="006B0051">
              <w:rPr>
                <w:sz w:val="20"/>
                <w:szCs w:val="20"/>
              </w:rPr>
              <w:t>Kidney</w:t>
            </w:r>
            <w:proofErr w:type="spellEnd"/>
            <w:r w:rsidRPr="006B0051">
              <w:rPr>
                <w:sz w:val="20"/>
                <w:szCs w:val="20"/>
              </w:rPr>
              <w:t xml:space="preserve"> Foundation);</w:t>
            </w:r>
          </w:p>
          <w:p w:rsidR="006B0051" w:rsidRPr="006B0051" w:rsidRDefault="006B0051" w:rsidP="00364FE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ind w:left="489" w:right="47"/>
              <w:contextualSpacing w:val="0"/>
              <w:jc w:val="both"/>
              <w:rPr>
                <w:sz w:val="20"/>
                <w:szCs w:val="20"/>
              </w:rPr>
            </w:pPr>
            <w:r w:rsidRPr="006B0051">
              <w:rPr>
                <w:sz w:val="20"/>
                <w:szCs w:val="20"/>
              </w:rPr>
              <w:t>przeszczepienie nerki;</w:t>
            </w:r>
          </w:p>
          <w:p w:rsidR="006B0051" w:rsidRPr="006B0051" w:rsidRDefault="006B0051" w:rsidP="00364FE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ind w:left="489" w:right="47"/>
              <w:contextualSpacing w:val="0"/>
              <w:jc w:val="both"/>
              <w:rPr>
                <w:sz w:val="20"/>
                <w:szCs w:val="20"/>
              </w:rPr>
            </w:pPr>
            <w:r w:rsidRPr="006B0051">
              <w:rPr>
                <w:sz w:val="20"/>
                <w:szCs w:val="20"/>
              </w:rPr>
              <w:t>nadwrażliwość na lek lub substancje pomocnicze;</w:t>
            </w:r>
          </w:p>
          <w:p w:rsidR="006B0051" w:rsidRPr="00061905" w:rsidRDefault="006B0051" w:rsidP="00364FE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ind w:left="489" w:right="47"/>
              <w:contextualSpacing w:val="0"/>
              <w:jc w:val="both"/>
              <w:rPr>
                <w:sz w:val="20"/>
                <w:szCs w:val="20"/>
              </w:rPr>
            </w:pPr>
            <w:r w:rsidRPr="006B0051">
              <w:rPr>
                <w:sz w:val="20"/>
                <w:szCs w:val="20"/>
              </w:rPr>
              <w:t>wystąpienie ciężkich działań niepożądanych w trakcie leczenia.</w:t>
            </w:r>
          </w:p>
        </w:tc>
        <w:tc>
          <w:tcPr>
            <w:tcW w:w="1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051" w:rsidRDefault="006B0051" w:rsidP="00364F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354" w:hanging="283"/>
              <w:jc w:val="both"/>
              <w:rPr>
                <w:b/>
                <w:sz w:val="20"/>
                <w:szCs w:val="20"/>
              </w:rPr>
            </w:pPr>
            <w:r w:rsidRPr="008102DF">
              <w:rPr>
                <w:b/>
                <w:sz w:val="20"/>
                <w:szCs w:val="20"/>
              </w:rPr>
              <w:t xml:space="preserve">Dawkowanie </w:t>
            </w:r>
            <w:proofErr w:type="spellStart"/>
            <w:r w:rsidRPr="008102DF">
              <w:rPr>
                <w:b/>
                <w:sz w:val="20"/>
                <w:szCs w:val="20"/>
              </w:rPr>
              <w:t>cynakalcetu</w:t>
            </w:r>
            <w:proofErr w:type="spellEnd"/>
          </w:p>
          <w:p w:rsidR="006B0051" w:rsidRDefault="006B0051" w:rsidP="00364FE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/>
              <w:ind w:right="48" w:hanging="268"/>
              <w:jc w:val="both"/>
              <w:rPr>
                <w:sz w:val="20"/>
                <w:szCs w:val="20"/>
              </w:rPr>
            </w:pPr>
            <w:r w:rsidRPr="00F601EF">
              <w:rPr>
                <w:sz w:val="20"/>
                <w:szCs w:val="20"/>
              </w:rPr>
              <w:t xml:space="preserve">Zalecana dawka początkowa </w:t>
            </w:r>
            <w:proofErr w:type="spellStart"/>
            <w:r w:rsidRPr="00F601EF">
              <w:rPr>
                <w:sz w:val="20"/>
                <w:szCs w:val="20"/>
              </w:rPr>
              <w:t>cynakalcetu</w:t>
            </w:r>
            <w:proofErr w:type="spellEnd"/>
            <w:r w:rsidRPr="00F601EF">
              <w:rPr>
                <w:sz w:val="20"/>
                <w:szCs w:val="20"/>
              </w:rPr>
              <w:t xml:space="preserve"> u</w:t>
            </w:r>
            <w:r>
              <w:rPr>
                <w:sz w:val="20"/>
                <w:szCs w:val="20"/>
              </w:rPr>
              <w:t> </w:t>
            </w:r>
            <w:r w:rsidRPr="00F601EF">
              <w:rPr>
                <w:sz w:val="20"/>
                <w:szCs w:val="20"/>
              </w:rPr>
              <w:t>dorosłych wynosi 30 mg raz na dobę.</w:t>
            </w:r>
          </w:p>
          <w:p w:rsidR="006B0051" w:rsidRDefault="006B0051" w:rsidP="00364FE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/>
              <w:ind w:right="48" w:hanging="268"/>
              <w:jc w:val="both"/>
              <w:rPr>
                <w:sz w:val="20"/>
                <w:szCs w:val="20"/>
              </w:rPr>
            </w:pPr>
            <w:r w:rsidRPr="00F601EF">
              <w:rPr>
                <w:sz w:val="20"/>
                <w:szCs w:val="20"/>
              </w:rPr>
              <w:t xml:space="preserve">Dawkę </w:t>
            </w:r>
            <w:proofErr w:type="spellStart"/>
            <w:r w:rsidRPr="00F601EF">
              <w:rPr>
                <w:sz w:val="20"/>
                <w:szCs w:val="20"/>
              </w:rPr>
              <w:t>cynakal</w:t>
            </w:r>
            <w:bookmarkStart w:id="0" w:name="_GoBack"/>
            <w:bookmarkEnd w:id="0"/>
            <w:r w:rsidRPr="00F601EF">
              <w:rPr>
                <w:sz w:val="20"/>
                <w:szCs w:val="20"/>
              </w:rPr>
              <w:t>cetu</w:t>
            </w:r>
            <w:proofErr w:type="spellEnd"/>
            <w:r w:rsidRPr="00F601EF">
              <w:rPr>
                <w:sz w:val="20"/>
                <w:szCs w:val="20"/>
              </w:rPr>
              <w:t xml:space="preserve"> można zwiększać </w:t>
            </w:r>
            <w:r w:rsidRPr="006B0051">
              <w:rPr>
                <w:sz w:val="20"/>
                <w:szCs w:val="20"/>
              </w:rPr>
              <w:t xml:space="preserve">co 2-4 tygodnie aż do maksymalnej dawki 180 mg raz na dobę w celu osiągnięcia pożądanego stężenia </w:t>
            </w:r>
            <w:proofErr w:type="spellStart"/>
            <w:r w:rsidR="00554480">
              <w:rPr>
                <w:sz w:val="20"/>
                <w:szCs w:val="20"/>
              </w:rPr>
              <w:t>intact</w:t>
            </w:r>
            <w:proofErr w:type="spellEnd"/>
            <w:r w:rsidR="00554480">
              <w:rPr>
                <w:sz w:val="20"/>
                <w:szCs w:val="20"/>
              </w:rPr>
              <w:t xml:space="preserve"> PTH</w:t>
            </w:r>
            <w:r w:rsidRPr="006B0051">
              <w:rPr>
                <w:sz w:val="20"/>
                <w:szCs w:val="20"/>
              </w:rPr>
              <w:t xml:space="preserve"> (</w:t>
            </w:r>
            <w:proofErr w:type="spellStart"/>
            <w:r w:rsidR="00554480">
              <w:rPr>
                <w:sz w:val="20"/>
                <w:szCs w:val="20"/>
              </w:rPr>
              <w:t>i</w:t>
            </w:r>
            <w:r w:rsidRPr="006B0051">
              <w:rPr>
                <w:sz w:val="20"/>
                <w:szCs w:val="20"/>
              </w:rPr>
              <w:t>PTH</w:t>
            </w:r>
            <w:proofErr w:type="spellEnd"/>
            <w:r w:rsidRPr="006B0051">
              <w:rPr>
                <w:sz w:val="20"/>
                <w:szCs w:val="20"/>
              </w:rPr>
              <w:t>) u</w:t>
            </w:r>
            <w:r w:rsidR="00061905">
              <w:rPr>
                <w:sz w:val="20"/>
                <w:szCs w:val="20"/>
              </w:rPr>
              <w:t> </w:t>
            </w:r>
            <w:r w:rsidRPr="006B0051">
              <w:rPr>
                <w:sz w:val="20"/>
                <w:szCs w:val="20"/>
              </w:rPr>
              <w:t>dializowanych pacjentów, czyli 150-300</w:t>
            </w:r>
            <w:r w:rsidR="00061905">
              <w:rPr>
                <w:sz w:val="20"/>
                <w:szCs w:val="20"/>
              </w:rPr>
              <w:t xml:space="preserve"> </w:t>
            </w:r>
            <w:proofErr w:type="spellStart"/>
            <w:r w:rsidRPr="006B0051">
              <w:rPr>
                <w:sz w:val="20"/>
                <w:szCs w:val="20"/>
              </w:rPr>
              <w:t>pg</w:t>
            </w:r>
            <w:proofErr w:type="spellEnd"/>
            <w:r w:rsidRPr="006B0051">
              <w:rPr>
                <w:sz w:val="20"/>
                <w:szCs w:val="20"/>
              </w:rPr>
              <w:t xml:space="preserve">/ml </w:t>
            </w:r>
            <w:r w:rsidR="00061905">
              <w:rPr>
                <w:sz w:val="20"/>
                <w:szCs w:val="20"/>
              </w:rPr>
              <w:br/>
            </w:r>
            <w:r w:rsidRPr="006B0051">
              <w:rPr>
                <w:sz w:val="20"/>
                <w:szCs w:val="20"/>
              </w:rPr>
              <w:t xml:space="preserve">(15,9-31,8 </w:t>
            </w:r>
            <w:proofErr w:type="spellStart"/>
            <w:r w:rsidRPr="006B0051">
              <w:rPr>
                <w:sz w:val="20"/>
                <w:szCs w:val="20"/>
              </w:rPr>
              <w:t>pmol</w:t>
            </w:r>
            <w:proofErr w:type="spellEnd"/>
            <w:r w:rsidRPr="006B0051">
              <w:rPr>
                <w:sz w:val="20"/>
                <w:szCs w:val="20"/>
              </w:rPr>
              <w:t>/l).</w:t>
            </w:r>
          </w:p>
          <w:p w:rsidR="001E747F" w:rsidRPr="00061905" w:rsidRDefault="001E747F" w:rsidP="00364FE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/>
              <w:ind w:right="48"/>
              <w:jc w:val="both"/>
              <w:rPr>
                <w:sz w:val="20"/>
                <w:szCs w:val="20"/>
              </w:rPr>
            </w:pPr>
            <w:r w:rsidRPr="001E747F">
              <w:rPr>
                <w:sz w:val="20"/>
                <w:szCs w:val="20"/>
              </w:rPr>
              <w:t xml:space="preserve">U niektórych chorych, dawka początkowa </w:t>
            </w:r>
            <w:proofErr w:type="spellStart"/>
            <w:r w:rsidRPr="001E747F">
              <w:rPr>
                <w:sz w:val="20"/>
                <w:szCs w:val="20"/>
              </w:rPr>
              <w:t>cynakalcetu</w:t>
            </w:r>
            <w:proofErr w:type="spellEnd"/>
            <w:r w:rsidRPr="001E747F">
              <w:rPr>
                <w:sz w:val="20"/>
                <w:szCs w:val="20"/>
              </w:rPr>
              <w:t xml:space="preserve"> (30 mg/dobę) może zbyt silnie obniżać wydzielanie PTH (i ewentualnie powodować następczą hipokalcemię), dlatego może zachodzić konieczność ograniczenia dawki leku do podawania rzadszego (tzn. nie każdego dnia, lecz np. co 2-gi dzień). Ostateczna dawka musi uwzględniać wpływ leku na stężenie PTH u indywidualnego pacjenta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051" w:rsidRPr="00061905" w:rsidRDefault="006B0051" w:rsidP="00364FE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/>
              <w:ind w:left="379" w:hanging="357"/>
              <w:contextualSpacing w:val="0"/>
              <w:jc w:val="both"/>
              <w:rPr>
                <w:sz w:val="20"/>
                <w:szCs w:val="20"/>
              </w:rPr>
            </w:pPr>
            <w:r w:rsidRPr="00061905">
              <w:rPr>
                <w:b/>
                <w:bCs/>
                <w:sz w:val="20"/>
                <w:szCs w:val="20"/>
              </w:rPr>
              <w:t>Monitorowanie leczenia</w:t>
            </w:r>
          </w:p>
          <w:p w:rsidR="006B0051" w:rsidRPr="006B0051" w:rsidRDefault="006B0051" w:rsidP="00364FE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/>
              <w:ind w:left="379" w:right="64"/>
              <w:contextualSpacing w:val="0"/>
              <w:jc w:val="both"/>
              <w:rPr>
                <w:sz w:val="20"/>
                <w:szCs w:val="20"/>
              </w:rPr>
            </w:pPr>
            <w:r w:rsidRPr="006B0051">
              <w:rPr>
                <w:sz w:val="20"/>
                <w:szCs w:val="20"/>
              </w:rPr>
              <w:t xml:space="preserve">stężenie </w:t>
            </w:r>
            <w:proofErr w:type="spellStart"/>
            <w:r w:rsidRPr="006B0051">
              <w:rPr>
                <w:sz w:val="20"/>
                <w:szCs w:val="20"/>
              </w:rPr>
              <w:t>iPTH</w:t>
            </w:r>
            <w:proofErr w:type="spellEnd"/>
            <w:r w:rsidRPr="006B0051">
              <w:rPr>
                <w:sz w:val="20"/>
                <w:szCs w:val="20"/>
              </w:rPr>
              <w:t xml:space="preserve"> - przez 1-4 tygodnie od rozpoczęcia leczenia, następnie kontrola co 1-3 miesiące;</w:t>
            </w:r>
          </w:p>
          <w:p w:rsidR="006B0051" w:rsidRPr="006B0051" w:rsidRDefault="006B0051" w:rsidP="00364FE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/>
              <w:ind w:left="379" w:right="64"/>
              <w:contextualSpacing w:val="0"/>
              <w:jc w:val="both"/>
              <w:rPr>
                <w:sz w:val="20"/>
                <w:szCs w:val="20"/>
              </w:rPr>
            </w:pPr>
            <w:r w:rsidRPr="006B0051">
              <w:rPr>
                <w:sz w:val="20"/>
                <w:szCs w:val="20"/>
              </w:rPr>
              <w:t>stężenie wapnia w surowicy;</w:t>
            </w:r>
          </w:p>
          <w:p w:rsidR="00554480" w:rsidRDefault="006B0051" w:rsidP="00364FE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/>
              <w:ind w:left="379" w:right="64"/>
              <w:contextualSpacing w:val="0"/>
              <w:jc w:val="both"/>
              <w:rPr>
                <w:sz w:val="20"/>
                <w:szCs w:val="20"/>
              </w:rPr>
            </w:pPr>
            <w:r w:rsidRPr="006B0051">
              <w:rPr>
                <w:sz w:val="20"/>
                <w:szCs w:val="20"/>
              </w:rPr>
              <w:t>stężenie fosforu w surowicy</w:t>
            </w:r>
            <w:r w:rsidR="00554480">
              <w:rPr>
                <w:sz w:val="20"/>
                <w:szCs w:val="20"/>
              </w:rPr>
              <w:t>;</w:t>
            </w:r>
          </w:p>
          <w:p w:rsidR="006B0051" w:rsidRPr="00061905" w:rsidRDefault="00554480" w:rsidP="00364FE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/>
              <w:ind w:left="379" w:right="64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iloczyn Ca x P w surowicy</w:t>
            </w:r>
            <w:r w:rsidR="006B0051" w:rsidRPr="00554480">
              <w:rPr>
                <w:sz w:val="20"/>
                <w:szCs w:val="20"/>
              </w:rPr>
              <w:t>.</w:t>
            </w:r>
          </w:p>
          <w:p w:rsidR="006B0051" w:rsidRPr="00061905" w:rsidRDefault="006B0051" w:rsidP="00364FE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/>
              <w:ind w:left="379" w:hanging="357"/>
              <w:contextualSpacing w:val="0"/>
              <w:jc w:val="both"/>
              <w:rPr>
                <w:sz w:val="20"/>
                <w:szCs w:val="20"/>
              </w:rPr>
            </w:pPr>
            <w:r w:rsidRPr="00061905">
              <w:rPr>
                <w:b/>
                <w:sz w:val="20"/>
                <w:szCs w:val="20"/>
              </w:rPr>
              <w:t>Monitorowanie programu</w:t>
            </w:r>
            <w:r w:rsidRPr="00061905">
              <w:rPr>
                <w:sz w:val="20"/>
                <w:szCs w:val="20"/>
              </w:rPr>
              <w:t xml:space="preserve"> </w:t>
            </w:r>
          </w:p>
          <w:p w:rsidR="006B0051" w:rsidRPr="006B0051" w:rsidRDefault="006B0051" w:rsidP="00364FE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right="50"/>
              <w:contextualSpacing w:val="0"/>
              <w:jc w:val="both"/>
              <w:rPr>
                <w:sz w:val="20"/>
                <w:szCs w:val="20"/>
              </w:rPr>
            </w:pPr>
            <w:r w:rsidRPr="006B0051">
              <w:rPr>
                <w:sz w:val="20"/>
                <w:szCs w:val="20"/>
              </w:rPr>
              <w:t>przekazywanie do NFZ zakresu informacji sprawozdawczo – rozliczeniowych w formie papierowej lub w formie elektronicznej, zgodnie z wymaganiami opublikowanymi przez Narodowy Fundusz Zdrowia;</w:t>
            </w:r>
          </w:p>
          <w:p w:rsidR="006B0051" w:rsidRPr="006B0051" w:rsidRDefault="006B0051" w:rsidP="00364FE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right="50"/>
              <w:contextualSpacing w:val="0"/>
              <w:jc w:val="both"/>
              <w:rPr>
                <w:sz w:val="20"/>
                <w:szCs w:val="20"/>
              </w:rPr>
            </w:pPr>
            <w:r w:rsidRPr="006B0051">
              <w:rPr>
                <w:sz w:val="20"/>
                <w:szCs w:val="20"/>
              </w:rPr>
              <w:t>uzupełnianie danych zawartych w rejestrze SMPT, dostępnym za pomocą aplikacji internetowej udostępnionej przez OW NFZ, nie rzadziej niż co 3 miesiące oraz na zakończenie leczenia.</w:t>
            </w:r>
          </w:p>
          <w:p w:rsidR="006B0051" w:rsidRPr="00F601EF" w:rsidRDefault="006B0051" w:rsidP="00364FEF">
            <w:pPr>
              <w:autoSpaceDE w:val="0"/>
              <w:autoSpaceDN w:val="0"/>
              <w:adjustRightInd w:val="0"/>
              <w:spacing w:after="60"/>
              <w:ind w:right="50"/>
              <w:jc w:val="both"/>
              <w:rPr>
                <w:sz w:val="20"/>
                <w:szCs w:val="20"/>
              </w:rPr>
            </w:pPr>
            <w:r w:rsidRPr="00FB7917">
              <w:rPr>
                <w:sz w:val="20"/>
                <w:szCs w:val="20"/>
              </w:rPr>
              <w:t>Dane dotyczące monitorowania leczenia należy gromadzić w</w:t>
            </w:r>
            <w:r w:rsidR="00061905">
              <w:rPr>
                <w:sz w:val="20"/>
                <w:szCs w:val="20"/>
              </w:rPr>
              <w:t> </w:t>
            </w:r>
            <w:r w:rsidRPr="00FB7917">
              <w:rPr>
                <w:sz w:val="20"/>
                <w:szCs w:val="20"/>
              </w:rPr>
              <w:t>dokumentacji pacjenta i każdorazowo przedstawiać na żądanie kontrolerom NFZ.</w:t>
            </w:r>
          </w:p>
        </w:tc>
      </w:tr>
    </w:tbl>
    <w:p w:rsidR="006B0051" w:rsidRDefault="006B0051" w:rsidP="00F0503D">
      <w:pPr>
        <w:rPr>
          <w:b/>
          <w:sz w:val="28"/>
        </w:rPr>
      </w:pPr>
    </w:p>
    <w:sectPr w:rsidR="006B0051" w:rsidSect="00910BD7">
      <w:pgSz w:w="16840" w:h="11907" w:orient="landscape" w:code="9"/>
      <w:pgMar w:top="1588" w:right="720" w:bottom="1418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6500"/>
    <w:multiLevelType w:val="hybridMultilevel"/>
    <w:tmpl w:val="0AD4AB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771E1"/>
    <w:multiLevelType w:val="hybridMultilevel"/>
    <w:tmpl w:val="69901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70BA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74951"/>
    <w:multiLevelType w:val="hybridMultilevel"/>
    <w:tmpl w:val="4F1AEC7E"/>
    <w:lvl w:ilvl="0" w:tplc="1D8CDB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663707"/>
    <w:multiLevelType w:val="hybridMultilevel"/>
    <w:tmpl w:val="C2BE7AAE"/>
    <w:lvl w:ilvl="0" w:tplc="C4B879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40B20"/>
    <w:multiLevelType w:val="hybridMultilevel"/>
    <w:tmpl w:val="FE80F9F4"/>
    <w:lvl w:ilvl="0" w:tplc="DE120A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17B7942"/>
    <w:multiLevelType w:val="hybridMultilevel"/>
    <w:tmpl w:val="618A645C"/>
    <w:lvl w:ilvl="0" w:tplc="8448387A">
      <w:start w:val="1"/>
      <w:numFmt w:val="decimal"/>
      <w:lvlText w:val="%1)"/>
      <w:lvlJc w:val="righ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7E7DC6"/>
    <w:multiLevelType w:val="hybridMultilevel"/>
    <w:tmpl w:val="C672A1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3C05C8"/>
    <w:multiLevelType w:val="hybridMultilevel"/>
    <w:tmpl w:val="D744D4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1058B6"/>
    <w:multiLevelType w:val="hybridMultilevel"/>
    <w:tmpl w:val="082CD2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0A0E75"/>
    <w:multiLevelType w:val="hybridMultilevel"/>
    <w:tmpl w:val="D2F0ECE2"/>
    <w:lvl w:ilvl="0" w:tplc="550AF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E7AD6"/>
    <w:multiLevelType w:val="hybridMultilevel"/>
    <w:tmpl w:val="607046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A8"/>
    <w:rsid w:val="00001AF1"/>
    <w:rsid w:val="00024B5E"/>
    <w:rsid w:val="00061905"/>
    <w:rsid w:val="00093A65"/>
    <w:rsid w:val="0016763A"/>
    <w:rsid w:val="001C4B50"/>
    <w:rsid w:val="001D7E88"/>
    <w:rsid w:val="001E747F"/>
    <w:rsid w:val="00364FEF"/>
    <w:rsid w:val="004311BB"/>
    <w:rsid w:val="00472B65"/>
    <w:rsid w:val="00476D50"/>
    <w:rsid w:val="00503194"/>
    <w:rsid w:val="00554480"/>
    <w:rsid w:val="00562881"/>
    <w:rsid w:val="006B0051"/>
    <w:rsid w:val="007272A8"/>
    <w:rsid w:val="007D188D"/>
    <w:rsid w:val="008102DF"/>
    <w:rsid w:val="00833E32"/>
    <w:rsid w:val="00885006"/>
    <w:rsid w:val="00910BD7"/>
    <w:rsid w:val="009334E8"/>
    <w:rsid w:val="009530A8"/>
    <w:rsid w:val="009647B7"/>
    <w:rsid w:val="009D72A9"/>
    <w:rsid w:val="00A27AF2"/>
    <w:rsid w:val="00AE1F48"/>
    <w:rsid w:val="00BF0823"/>
    <w:rsid w:val="00C2602F"/>
    <w:rsid w:val="00CA491B"/>
    <w:rsid w:val="00D23670"/>
    <w:rsid w:val="00D24D72"/>
    <w:rsid w:val="00DA6460"/>
    <w:rsid w:val="00EC3ED2"/>
    <w:rsid w:val="00F017FC"/>
    <w:rsid w:val="00F0503D"/>
    <w:rsid w:val="00F179B4"/>
    <w:rsid w:val="00F601EF"/>
    <w:rsid w:val="00FB6398"/>
    <w:rsid w:val="00FB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F73B8C-7A3F-4CBC-B05A-17664834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B79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B791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0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AC4F-C25B-4EA9-864C-E671994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1990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 Magdalena</dc:creator>
  <cp:lastModifiedBy>Królak-Buzakowska Joanna</cp:lastModifiedBy>
  <cp:revision>2</cp:revision>
  <cp:lastPrinted>2015-10-28T10:25:00Z</cp:lastPrinted>
  <dcterms:created xsi:type="dcterms:W3CDTF">2019-12-06T13:16:00Z</dcterms:created>
  <dcterms:modified xsi:type="dcterms:W3CDTF">2019-12-06T13:16:00Z</dcterms:modified>
</cp:coreProperties>
</file>