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31128A">
        <w:t>0</w:t>
      </w:r>
      <w:r w:rsidR="00C17F80">
        <w:t>8</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C0C9B">
        <w:rPr>
          <w:rFonts w:ascii="Times New Roman" w:eastAsia="Times New Roman" w:hAnsi="Times New Roman" w:cs="Times New Roman"/>
          <w:sz w:val="24"/>
          <w:szCs w:val="24"/>
          <w:lang w:eastAsia="pl-PL"/>
        </w:rPr>
        <w:t>jedną ofertę</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Cel z</w:t>
      </w:r>
      <w:r w:rsidR="00F12449">
        <w:rPr>
          <w:rFonts w:ascii="Times New Roman" w:hAnsi="Times New Roman" w:cs="Times New Roman"/>
          <w:color w:val="000000" w:themeColor="text1"/>
          <w:sz w:val="24"/>
          <w:szCs w:val="24"/>
          <w:shd w:val="clear" w:color="auto" w:fill="FFFFFF"/>
        </w:rPr>
        <w:t>a</w:t>
      </w:r>
      <w:r w:rsidR="00AC5EAB" w:rsidRPr="0028520E">
        <w:rPr>
          <w:rFonts w:ascii="Times New Roman" w:hAnsi="Times New Roman" w:cs="Times New Roman"/>
          <w:color w:val="000000" w:themeColor="text1"/>
          <w:sz w:val="24"/>
          <w:szCs w:val="24"/>
          <w:shd w:val="clear" w:color="auto" w:fill="FFFFFF"/>
        </w:rPr>
        <w:t xml:space="preserve">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osiągalny, realny i określon</w:t>
      </w:r>
      <w:r w:rsidR="00F12449">
        <w:rPr>
          <w:rFonts w:ascii="Times New Roman" w:eastAsia="Times New Roman" w:hAnsi="Times New Roman" w:cs="Times New Roman"/>
          <w:color w:val="000000" w:themeColor="text1"/>
          <w:sz w:val="24"/>
          <w:szCs w:val="24"/>
          <w:lang w:eastAsia="pl-PL"/>
        </w:rPr>
        <w:t>y</w:t>
      </w:r>
      <w:r w:rsidR="00AC5EAB" w:rsidRPr="0028520E">
        <w:rPr>
          <w:rFonts w:ascii="Times New Roman" w:eastAsia="Times New Roman" w:hAnsi="Times New Roman" w:cs="Times New Roman"/>
          <w:color w:val="000000" w:themeColor="text1"/>
          <w:sz w:val="24"/>
          <w:szCs w:val="24"/>
          <w:lang w:eastAsia="pl-PL"/>
        </w:rPr>
        <w:t xml:space="preserv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realizacji szkolenia strzeleckiego lub taktyczno-poligonowego, w ramach którego planowana jest realizacja szkolenia w oparciu o zajęcia z zakresu podstawowego szkolenia wojskowego (np. musztra, szkolenie strzeleckie, OPBMR, szkolenie medyczne, taktyka, rozpoznanie, łączność, terenoznawstwo itp.), oferent jest zobowiązany </w:t>
      </w:r>
      <w:r w:rsidR="0028520E">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elektronicznym formularzu oferty w sekcji 3 „Syntetyczny opis zadania” w polu „Opis zadania” do przedstawiania szczegółowego programu szkolenia lub do zawarcia szczegółowego programu szkolenia w oddzielnym załączniku do oferty. 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t>
      </w:r>
      <w:r w:rsidRPr="00B40595">
        <w:rPr>
          <w:rFonts w:ascii="Times New Roman" w:eastAsia="Times New Roman" w:hAnsi="Times New Roman" w:cs="Times New Roman"/>
          <w:bCs/>
          <w:sz w:val="24"/>
          <w:szCs w:val="24"/>
          <w:lang w:eastAsia="pl-PL"/>
        </w:rPr>
        <w:lastRenderedPageBreak/>
        <w:t xml:space="preserve">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 xml:space="preserve">w zadaniu planuje wykorzystać 10 szt., to prawidłowym będzie wpisanie jako wkładu rzeczowego </w:t>
      </w:r>
      <w:r w:rsidRPr="00B37937">
        <w:rPr>
          <w:rFonts w:ascii="Times New Roman" w:eastAsia="Times New Roman" w:hAnsi="Times New Roman" w:cs="Times New Roman"/>
          <w:bCs/>
          <w:sz w:val="24"/>
          <w:szCs w:val="24"/>
          <w:lang w:eastAsia="pl-PL"/>
        </w:rPr>
        <w:lastRenderedPageBreak/>
        <w:t>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 zapewnieniu dostępności osobom ze szczególnymi potrzebami</w:t>
      </w:r>
      <w:r w:rsidRPr="00B40595">
        <w:rPr>
          <w:rFonts w:ascii="Times New Roman" w:hAnsi="Times New Roman" w:cs="Times New Roman"/>
          <w:sz w:val="24"/>
          <w:szCs w:val="24"/>
        </w:rPr>
        <w:t xml:space="preserve"> w zakresie realizowanego zadania publicznego 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(Dz. U. z 2022 r. poz. 2240),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w:t>
      </w:r>
      <w:r w:rsidR="00F12449">
        <w:rPr>
          <w:rFonts w:ascii="Times New Roman" w:eastAsia="Times New Roman" w:hAnsi="Times New Roman" w:cs="Times New Roman"/>
          <w:sz w:val="24"/>
          <w:szCs w:val="24"/>
          <w:lang w:eastAsia="pl-PL"/>
        </w:rPr>
        <w:t>1</w:t>
      </w:r>
      <w:r w:rsidRPr="00B37937">
        <w:rPr>
          <w:rFonts w:ascii="Times New Roman" w:eastAsia="Times New Roman" w:hAnsi="Times New Roman" w:cs="Times New Roman"/>
          <w:sz w:val="24"/>
          <w:szCs w:val="24"/>
          <w:lang w:eastAsia="pl-PL"/>
        </w:rPr>
        <w:t xml:space="preserve"> i 1</w:t>
      </w:r>
      <w:r w:rsidR="00F12449">
        <w:rPr>
          <w:rFonts w:ascii="Times New Roman" w:eastAsia="Times New Roman" w:hAnsi="Times New Roman" w:cs="Times New Roman"/>
          <w:sz w:val="24"/>
          <w:szCs w:val="24"/>
          <w:lang w:eastAsia="pl-PL"/>
        </w:rPr>
        <w:t>2</w:t>
      </w:r>
      <w:bookmarkStart w:id="0" w:name="_GoBack"/>
      <w:bookmarkEnd w:id="0"/>
      <w:r w:rsidRPr="00B37937">
        <w:rPr>
          <w:rFonts w:ascii="Times New Roman" w:eastAsia="Times New Roman" w:hAnsi="Times New Roman" w:cs="Times New Roman"/>
          <w:sz w:val="24"/>
          <w:szCs w:val="24"/>
          <w:lang w:eastAsia="pl-PL"/>
        </w:rPr>
        <w:t xml:space="preserve">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ustawie z dnia 11 marca 2004 r. </w:t>
      </w:r>
      <w:r w:rsidR="002114CF" w:rsidRPr="00E35247">
        <w:rPr>
          <w:rFonts w:ascii="Times New Roman" w:eastAsia="Times New Roman" w:hAnsi="Times New Roman" w:cs="Times New Roman"/>
          <w:bCs/>
          <w:i/>
          <w:sz w:val="24"/>
          <w:szCs w:val="24"/>
          <w:lang w:eastAsia="pl-PL"/>
        </w:rPr>
        <w:t xml:space="preserve">o podatku od towarów i </w:t>
      </w:r>
      <w:r w:rsidRPr="00E35247">
        <w:rPr>
          <w:rFonts w:ascii="Times New Roman" w:eastAsia="Times New Roman" w:hAnsi="Times New Roman" w:cs="Times New Roman"/>
          <w:bCs/>
          <w:i/>
          <w:sz w:val="24"/>
          <w:szCs w:val="24"/>
          <w:lang w:eastAsia="pl-PL"/>
        </w:rPr>
        <w:t>usług</w:t>
      </w:r>
      <w:r w:rsidRPr="00E35247">
        <w:rPr>
          <w:rFonts w:ascii="Times New Roman" w:eastAsia="Times New Roman" w:hAnsi="Times New Roman" w:cs="Times New Roman"/>
          <w:bCs/>
          <w:sz w:val="24"/>
          <w:szCs w:val="24"/>
          <w:lang w:eastAsia="pl-PL"/>
        </w:rPr>
        <w:t xml:space="preserve"> (Dz. U. z 2023 r. poz. 1570</w:t>
      </w:r>
      <w:r w:rsidR="007D702B">
        <w:rPr>
          <w:rFonts w:ascii="Times New Roman" w:eastAsia="Times New Roman" w:hAnsi="Times New Roman" w:cs="Times New Roman"/>
          <w:bCs/>
          <w:sz w:val="24"/>
          <w:szCs w:val="24"/>
          <w:lang w:eastAsia="pl-PL"/>
        </w:rPr>
        <w:t>,</w:t>
      </w:r>
      <w:r w:rsidR="007D702B" w:rsidRPr="007D702B">
        <w:rPr>
          <w:rFonts w:ascii="Times New Roman" w:eastAsia="Times New Roman" w:hAnsi="Times New Roman" w:cs="Times New Roman"/>
          <w:bCs/>
          <w:sz w:val="24"/>
          <w:szCs w:val="24"/>
          <w:lang w:eastAsia="pl-PL"/>
        </w:rPr>
        <w:t xml:space="preserve"> </w:t>
      </w:r>
      <w:r w:rsidR="007D702B" w:rsidRPr="00E35247">
        <w:rPr>
          <w:rFonts w:ascii="Times New Roman" w:eastAsia="Times New Roman" w:hAnsi="Times New Roman" w:cs="Times New Roman"/>
          <w:bCs/>
          <w:sz w:val="24"/>
          <w:szCs w:val="24"/>
          <w:lang w:eastAsia="pl-PL"/>
        </w:rPr>
        <w:t>z późn. zm.</w:t>
      </w:r>
      <w:r w:rsidRPr="00E35247">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E84994"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E84994"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994" w:rsidRDefault="00E84994" w:rsidP="0054677C">
      <w:pPr>
        <w:spacing w:after="0" w:line="240" w:lineRule="auto"/>
      </w:pPr>
      <w:r>
        <w:separator/>
      </w:r>
    </w:p>
  </w:endnote>
  <w:endnote w:type="continuationSeparator" w:id="0">
    <w:p w:rsidR="00E84994" w:rsidRDefault="00E84994"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D702B" w:rsidRDefault="007D70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02B" w:rsidRDefault="007D702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12449">
      <w:rPr>
        <w:rStyle w:val="Numerstrony"/>
        <w:noProof/>
      </w:rPr>
      <w:t>14</w:t>
    </w:r>
    <w:r>
      <w:rPr>
        <w:rStyle w:val="Numerstrony"/>
      </w:rPr>
      <w:fldChar w:fldCharType="end"/>
    </w:r>
  </w:p>
  <w:p w:rsidR="007D702B" w:rsidRDefault="007D702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994" w:rsidRDefault="00E84994" w:rsidP="0054677C">
      <w:pPr>
        <w:spacing w:after="0" w:line="240" w:lineRule="auto"/>
      </w:pPr>
      <w:r>
        <w:separator/>
      </w:r>
    </w:p>
  </w:footnote>
  <w:footnote w:type="continuationSeparator" w:id="0">
    <w:p w:rsidR="00E84994" w:rsidRDefault="00E84994"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1040DC"/>
    <w:rsid w:val="0014642F"/>
    <w:rsid w:val="00176976"/>
    <w:rsid w:val="001E340B"/>
    <w:rsid w:val="002114CF"/>
    <w:rsid w:val="00275345"/>
    <w:rsid w:val="0028520E"/>
    <w:rsid w:val="002C0C9B"/>
    <w:rsid w:val="002D3AF7"/>
    <w:rsid w:val="002D3D37"/>
    <w:rsid w:val="002E4AF3"/>
    <w:rsid w:val="00306579"/>
    <w:rsid w:val="003069BA"/>
    <w:rsid w:val="0031128A"/>
    <w:rsid w:val="00331A5C"/>
    <w:rsid w:val="00350EAA"/>
    <w:rsid w:val="00390070"/>
    <w:rsid w:val="003D5D83"/>
    <w:rsid w:val="00400C3C"/>
    <w:rsid w:val="004050AB"/>
    <w:rsid w:val="004A29F4"/>
    <w:rsid w:val="004B6D4A"/>
    <w:rsid w:val="00516DB4"/>
    <w:rsid w:val="0054677C"/>
    <w:rsid w:val="00561E49"/>
    <w:rsid w:val="005D60F8"/>
    <w:rsid w:val="006B3C67"/>
    <w:rsid w:val="006D1475"/>
    <w:rsid w:val="006E1510"/>
    <w:rsid w:val="006F47C4"/>
    <w:rsid w:val="00706971"/>
    <w:rsid w:val="0071744D"/>
    <w:rsid w:val="00732991"/>
    <w:rsid w:val="00756A02"/>
    <w:rsid w:val="0076336D"/>
    <w:rsid w:val="007D46D3"/>
    <w:rsid w:val="007D702B"/>
    <w:rsid w:val="007F543A"/>
    <w:rsid w:val="008261F6"/>
    <w:rsid w:val="0084192C"/>
    <w:rsid w:val="00881663"/>
    <w:rsid w:val="008A5027"/>
    <w:rsid w:val="008E4289"/>
    <w:rsid w:val="00901E76"/>
    <w:rsid w:val="00916534"/>
    <w:rsid w:val="00940DE6"/>
    <w:rsid w:val="009D2E22"/>
    <w:rsid w:val="009D78BB"/>
    <w:rsid w:val="00A06E9D"/>
    <w:rsid w:val="00A17D13"/>
    <w:rsid w:val="00A50B93"/>
    <w:rsid w:val="00A604FB"/>
    <w:rsid w:val="00AA619E"/>
    <w:rsid w:val="00AC5EAB"/>
    <w:rsid w:val="00B027FA"/>
    <w:rsid w:val="00B37937"/>
    <w:rsid w:val="00B40138"/>
    <w:rsid w:val="00B40595"/>
    <w:rsid w:val="00B45841"/>
    <w:rsid w:val="00B51391"/>
    <w:rsid w:val="00B703D0"/>
    <w:rsid w:val="00B84FE3"/>
    <w:rsid w:val="00BA7ED6"/>
    <w:rsid w:val="00BB7F62"/>
    <w:rsid w:val="00BC50C9"/>
    <w:rsid w:val="00C17F80"/>
    <w:rsid w:val="00C64BBE"/>
    <w:rsid w:val="00C9373B"/>
    <w:rsid w:val="00C95E2B"/>
    <w:rsid w:val="00CB61CB"/>
    <w:rsid w:val="00CD0A1B"/>
    <w:rsid w:val="00CE6587"/>
    <w:rsid w:val="00DE1626"/>
    <w:rsid w:val="00E35247"/>
    <w:rsid w:val="00E5239B"/>
    <w:rsid w:val="00E564BA"/>
    <w:rsid w:val="00E71428"/>
    <w:rsid w:val="00E84994"/>
    <w:rsid w:val="00E967D3"/>
    <w:rsid w:val="00EA70B7"/>
    <w:rsid w:val="00EC2CDB"/>
    <w:rsid w:val="00EC6F7C"/>
    <w:rsid w:val="00ED1997"/>
    <w:rsid w:val="00F12449"/>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1A1C8"/>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35F30"/>
    <w:rsid w:val="001861A6"/>
    <w:rsid w:val="002F3D9B"/>
    <w:rsid w:val="00484276"/>
    <w:rsid w:val="004A0103"/>
    <w:rsid w:val="005468FA"/>
    <w:rsid w:val="005A5AE0"/>
    <w:rsid w:val="005F0F31"/>
    <w:rsid w:val="00675FF7"/>
    <w:rsid w:val="006D44DD"/>
    <w:rsid w:val="006D798C"/>
    <w:rsid w:val="0074742C"/>
    <w:rsid w:val="00771694"/>
    <w:rsid w:val="0077462D"/>
    <w:rsid w:val="00892A11"/>
    <w:rsid w:val="008C632F"/>
    <w:rsid w:val="00BB298C"/>
    <w:rsid w:val="00BE2D54"/>
    <w:rsid w:val="00D07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467477C3-24FC-4E35-BC3A-C51DAEB31B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22</Pages>
  <Words>10127</Words>
  <Characters>60766</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16</cp:revision>
  <cp:lastPrinted>2024-01-30T06:24:00Z</cp:lastPrinted>
  <dcterms:created xsi:type="dcterms:W3CDTF">2024-01-29T13:03:00Z</dcterms:created>
  <dcterms:modified xsi:type="dcterms:W3CDTF">2024-04-04T07:58:00Z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