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7C8D0" w14:textId="77777777" w:rsidR="00944B48" w:rsidRPr="000C2DCD" w:rsidRDefault="006305FF" w:rsidP="00EC5D9D">
      <w:pPr>
        <w:pStyle w:val="Nagwek1"/>
        <w:rPr>
          <w:rFonts w:ascii="Times New Roman" w:eastAsia="Times New Roman" w:hAnsi="Times New Roman" w:cs="Times New Roman"/>
          <w:szCs w:val="24"/>
          <w:lang w:eastAsia="pl-PL"/>
        </w:rPr>
      </w:pPr>
      <w:r w:rsidRPr="000C2DCD">
        <w:rPr>
          <w:rFonts w:ascii="Times New Roman" w:eastAsia="Times New Roman" w:hAnsi="Times New Roman" w:cs="Times New Roman"/>
          <w:szCs w:val="24"/>
          <w:lang w:eastAsia="pl-PL"/>
        </w:rPr>
        <w:t>Załącznik B.70.</w:t>
      </w:r>
    </w:p>
    <w:p w14:paraId="260F8A69" w14:textId="77777777" w:rsidR="00944B48" w:rsidRPr="000C2DCD" w:rsidRDefault="00944B48" w:rsidP="00EC5D9D">
      <w:pPr>
        <w:widowControl w:val="0"/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3DB67C" w14:textId="77777777" w:rsidR="00944B48" w:rsidRPr="000C2DCD" w:rsidRDefault="006305FF" w:rsidP="00EC5D9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C2DC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 NEOWASKULARNEJ (WYSIĘKOWEJ) POSTACI ZWYRODNIENIA PLAMKI ZWIĄZANEGO Z WIEKIEM (AMD) (ICD-10 H35.3)</w:t>
      </w:r>
    </w:p>
    <w:tbl>
      <w:tblPr>
        <w:tblpPr w:leftFromText="141" w:rightFromText="141" w:vertAnchor="text" w:horzAnchor="margin" w:tblpX="40" w:tblpY="39"/>
        <w:tblW w:w="153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132"/>
        <w:gridCol w:w="5133"/>
        <w:gridCol w:w="5133"/>
      </w:tblGrid>
      <w:tr w:rsidR="00B06EF4" w:rsidRPr="000C2DCD" w14:paraId="0FA2C7EC" w14:textId="77777777" w:rsidTr="00172DB1">
        <w:trPr>
          <w:trHeight w:val="567"/>
        </w:trPr>
        <w:tc>
          <w:tcPr>
            <w:tcW w:w="1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8E92CF" w14:textId="77777777" w:rsidR="00944B48" w:rsidRPr="000C2DCD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ZAKRES ŚWIADCZENIA GWARANTOWANEGO</w:t>
            </w:r>
          </w:p>
        </w:tc>
      </w:tr>
      <w:tr w:rsidR="00B06EF4" w:rsidRPr="000C2DCD" w14:paraId="56D3F081" w14:textId="77777777" w:rsidTr="00172DB1">
        <w:trPr>
          <w:trHeight w:val="567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2DC6F77" w14:textId="77777777" w:rsidR="00944B48" w:rsidRPr="000C2DCD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ŚWIADCZENIOBIORCY</w:t>
            </w: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AD140E" w14:textId="77777777" w:rsidR="00944B48" w:rsidRPr="000C2DCD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SCHEMAT DAWKOWANIA LEKÓW</w:t>
            </w:r>
          </w:p>
          <w:p w14:paraId="43E71F3F" w14:textId="77777777" w:rsidR="00944B48" w:rsidRPr="000C2DCD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PROGRAMIE</w:t>
            </w: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A69CA4" w14:textId="77777777" w:rsidR="00944B48" w:rsidRPr="000C2DCD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BADANIA DIAGNOSTYCZNE WYKONYWANE W RAMACH PROGRAMU</w:t>
            </w:r>
          </w:p>
        </w:tc>
      </w:tr>
      <w:tr w:rsidR="00B06EF4" w:rsidRPr="000C2DCD" w14:paraId="6A19F5EA" w14:textId="77777777" w:rsidTr="00172DB1">
        <w:trPr>
          <w:trHeight w:val="20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E7628" w14:textId="77777777" w:rsidR="00944B48" w:rsidRPr="000C2DCD" w:rsidRDefault="006305FF" w:rsidP="00172DB1">
            <w:pPr>
              <w:numPr>
                <w:ilvl w:val="0"/>
                <w:numId w:val="1"/>
              </w:numPr>
              <w:spacing w:before="120"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Leczenie 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(wysiękowej) postaci zwyrodnienia plamki związanego z wiekiem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</w:p>
          <w:p w14:paraId="74C7A895" w14:textId="77777777" w:rsidR="00944B48" w:rsidRPr="000C2DCD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Pacjent jest kwalifikowany do programu przez Zespół Koordynacyjny do Spraw Leczenia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(Wysiękowej) Postaci Zwyrodnienia Plamki Związanego z Wiekiem, powoływany przez Prezesa Narodowego Funduszu Zdrowia.</w:t>
            </w:r>
          </w:p>
          <w:p w14:paraId="2A9B43FB" w14:textId="77777777" w:rsidR="00944B48" w:rsidRPr="000C2DCD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Każdorazowo  pacjenta do podania kolejnej dawki leku kwalifikuje lekarz prowadzący.</w:t>
            </w:r>
          </w:p>
          <w:p w14:paraId="218BC4BC" w14:textId="77777777" w:rsidR="008C07C8" w:rsidRPr="000C2DCD" w:rsidRDefault="008C07C8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A071DE4" w14:textId="77777777" w:rsidR="00944B48" w:rsidRPr="000C2DCD" w:rsidRDefault="006305FF" w:rsidP="00172DB1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Kryteria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kwalifikacji</w:t>
            </w:r>
            <w:proofErr w:type="spellEnd"/>
          </w:p>
          <w:p w14:paraId="4E127324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obecność aktywnej (pierwotnej lub wtórnej), klasycznej, ukrytej lub mieszanej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neowaskularyzacji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podsiatkówkowej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(CNV) zajmującej ponad 50% zmiany w przebiegu AMD potwierdzona w OCT (optycznej koherentnej tomografii) i angiografii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fluoresceinowej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badaniu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angio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-OCT;</w:t>
            </w:r>
          </w:p>
          <w:p w14:paraId="34D81893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wiek powyżej 45. roku życia;</w:t>
            </w:r>
          </w:p>
          <w:p w14:paraId="613399D7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wielkość zmiany mniejsza niż 12 DA (12 powierzchni tarczy nerwu wzrokowego);</w:t>
            </w:r>
          </w:p>
          <w:p w14:paraId="13A1B02A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najlepsza skorygowana ostrość wzroku (BCVA) w leczonym oku 0,</w:t>
            </w:r>
            <w:r w:rsidR="00F11714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-0,8 określona według tablicy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(lub odpowiednio ekwiwalent ETDRS);</w:t>
            </w:r>
          </w:p>
          <w:p w14:paraId="3CEFF3AE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zgoda pacjenta na wykonanie iniekcji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doszklistkowych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C642B6F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zaniku geograficznego;</w:t>
            </w:r>
          </w:p>
          <w:p w14:paraId="09E31745" w14:textId="77777777" w:rsidR="00944B48" w:rsidRPr="000C2DCD" w:rsidRDefault="001E44A3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wylewu krwi;</w:t>
            </w:r>
          </w:p>
          <w:p w14:paraId="680072A7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przed rozpoczęciem leczenia brak istotnego, trwałeg</w:t>
            </w:r>
            <w:r w:rsidR="003C006F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o uszkodzenia struktury dołka (i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</w:t>
            </w:r>
            <w:r w:rsidR="003C006F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na przewlekła tarczowata blizna).</w:t>
            </w:r>
          </w:p>
          <w:p w14:paraId="743B6088" w14:textId="77777777" w:rsidR="00944B48" w:rsidRPr="000C2DCD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24F348E1" w14:textId="77777777" w:rsidR="008C07C8" w:rsidRPr="000C2DCD" w:rsidRDefault="008C07C8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3FA2CD" w14:textId="77777777" w:rsidR="00944B48" w:rsidRPr="000C2DCD" w:rsidRDefault="006305FF" w:rsidP="00172DB1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 włączenia do programu pacjentów leczonych uprzednio w ramach je</w:t>
            </w:r>
            <w:r w:rsidR="003B558E"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dnorodnych grup pacjentów </w:t>
            </w:r>
            <w:r w:rsidR="00AF0AD6"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lub w programie leczenie </w:t>
            </w:r>
            <w:proofErr w:type="spellStart"/>
            <w:r w:rsidR="00AF0AD6"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neowaskularnej</w:t>
            </w:r>
            <w:proofErr w:type="spellEnd"/>
            <w:r w:rsidR="00AF0AD6"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(wysiękowej) postaci zwyrodnienia plamki związanego z wiekiem (AMD), którzy zostali wyłączeni z programu (ponowna kwalifikacja), </w:t>
            </w:r>
            <w:r w:rsidR="003B558E"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 u </w:t>
            </w: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świadczeniodawców, którzy nie posiadali umowy na udzielanie świadczeń opieki zdrowotnej finansowanych ze środków publicznych</w:t>
            </w:r>
          </w:p>
          <w:p w14:paraId="38555BC1" w14:textId="593DA585" w:rsidR="00944B48" w:rsidRPr="000C2DCD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Do programu kwalifikowani są również pacjenci</w:t>
            </w:r>
            <w:r w:rsidR="00AF0AD6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wyłączeni z nie</w:t>
            </w:r>
            <w:r w:rsidR="00134D40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go w oparciu o pkt. 8 kryteriów wyłączenia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F0AD6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oraz 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którzy przed wprowadzeniem programu rozpoczęli leczenie wysiękowej postaci AMD iniekcjami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doszklistkowymi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przeciwciała monoklonalnego anty-VEGF lub rekombinowanego białka fuzyjnego:</w:t>
            </w:r>
          </w:p>
          <w:p w14:paraId="3DADC751" w14:textId="77777777" w:rsidR="00944B48" w:rsidRPr="000C2DCD" w:rsidRDefault="006305FF" w:rsidP="00172DB1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świadczeń gwarantowanych rozliczanych w ramach grupy B02 - Leczenie wysiękowej postaci AMD z zastosowaniem iniekcji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doszklistkowych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przeciwciała monoklonalnego anty-VEGF/rekombinowanego białka fuzyjnego </w:t>
            </w:r>
          </w:p>
          <w:p w14:paraId="4EC43DD9" w14:textId="77777777" w:rsidR="00944B48" w:rsidRPr="000C2DCD" w:rsidRDefault="006305FF" w:rsidP="00172DB1">
            <w:pPr>
              <w:spacing w:after="60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Pr="000C2D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9859C5A" w14:textId="77777777" w:rsidR="00944B48" w:rsidRPr="000C2DCD" w:rsidRDefault="006305FF" w:rsidP="00172DB1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świadczeniodawców, którzy nie posiadali umowy na udzielanie świadczeń opieki zdrowotnej finansowanych ze środków publicznych </w:t>
            </w:r>
          </w:p>
          <w:p w14:paraId="75CBFF76" w14:textId="77777777" w:rsidR="00944B48" w:rsidRPr="000C2DCD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- pod warunkiem, że w chwili rozpoczęcia terapii spełniali kryteria włączenia do programu. Jeżeli wykazano w tym czasie skuteczność leczenia, wtedy terapia powinna być kontynuowana zgodnie z zapisami programu.</w:t>
            </w:r>
          </w:p>
          <w:p w14:paraId="2E1438BF" w14:textId="77777777" w:rsidR="008C07C8" w:rsidRPr="000C2DCD" w:rsidRDefault="008C07C8" w:rsidP="00172DB1">
            <w:pPr>
              <w:spacing w:after="60"/>
              <w:ind w:left="34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D1B9FF" w14:textId="77777777" w:rsidR="00944B48" w:rsidRPr="000C2DCD" w:rsidRDefault="006305FF" w:rsidP="00172DB1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Określenie czasu leczenia w programie</w:t>
            </w:r>
          </w:p>
          <w:p w14:paraId="00D957D6" w14:textId="77777777" w:rsidR="00944B48" w:rsidRPr="000C2DCD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Leczenie trwa do czasu podjęcia przez lekarza prowadzącego decyzji 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 wyłączeniu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pacjenta z programu zgodnie z kryteriami wyłączenia. </w:t>
            </w:r>
          </w:p>
          <w:p w14:paraId="2D0B6B4F" w14:textId="77777777" w:rsidR="006576A6" w:rsidRPr="000C2DCD" w:rsidRDefault="006576A6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A2082E1" w14:textId="77777777" w:rsidR="00944B48" w:rsidRPr="000C2DCD" w:rsidRDefault="006305FF" w:rsidP="00172DB1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Kryteria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wyłączenia</w:t>
            </w:r>
            <w:proofErr w:type="spellEnd"/>
          </w:p>
          <w:p w14:paraId="3C49B42A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nadwrażliwość na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lub na którąkolwiek substancję pomocniczą;</w:t>
            </w:r>
          </w:p>
          <w:p w14:paraId="729176D9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czynne zakażenie oka lub jego okolic;</w:t>
            </w:r>
          </w:p>
          <w:p w14:paraId="51896535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czynne ciężkie zapalenie wnętrza gałki;</w:t>
            </w:r>
          </w:p>
          <w:p w14:paraId="1EFC7E31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okres ciąży lub karmienia piersią;</w:t>
            </w:r>
          </w:p>
          <w:p w14:paraId="5781F2C5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wystąpienie działań niepożądanych związanych z lekiem uniemożliwiających jego dalsze stosowanie;</w:t>
            </w:r>
          </w:p>
          <w:p w14:paraId="2F4B48A8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przedarciowe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odwarstwienie siatkówki lub otwór w plamce 3. lub 4. stopnia;</w:t>
            </w:r>
          </w:p>
          <w:p w14:paraId="762F2DBE" w14:textId="77777777" w:rsidR="00FB0649" w:rsidRPr="000C2DCD" w:rsidRDefault="00FB0649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</w:pP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progresja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choroby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definiowana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jako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:</w:t>
            </w:r>
          </w:p>
          <w:p w14:paraId="0AFAD4A1" w14:textId="77777777" w:rsidR="00FB0649" w:rsidRPr="000C2DCD" w:rsidRDefault="00FB0649" w:rsidP="00172DB1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pogorszenie najlepszej skorygowanej ostrości wzroku (BCVA) do wartości &lt; 0,2 określonej według 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tablicy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Snellena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(lub odpowiednio ekwiwalent ETDRS) utrzymujące się dłużej niż 2 miesiące</w:t>
            </w:r>
          </w:p>
          <w:p w14:paraId="53BBC8AE" w14:textId="77777777" w:rsidR="00FB0649" w:rsidRPr="000C2DCD" w:rsidRDefault="00FB0649" w:rsidP="00172DB1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14:paraId="660E8AC8" w14:textId="77777777" w:rsidR="00FB0649" w:rsidRPr="000C2DCD" w:rsidRDefault="00FB0649" w:rsidP="00172DB1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obecność trwałego uszkodzenia struktury dołka, która uniemożliwia uzyskanie u pacjenta stabilizacji lub poprawy czynnościowej (istotne uszkodzenie struktury jest zdefiniowane jako obecne zwłóknienie lub atrofia w dołku albo istotna przewlekła tarczowata blizna);</w:t>
            </w:r>
          </w:p>
          <w:p w14:paraId="56EF171C" w14:textId="63D0B85D" w:rsidR="00FB0649" w:rsidRPr="000C2DCD" w:rsidRDefault="00FB0649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brak aktywnego leczenia w postaci podawania iniekcji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afliberceptu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 okresie </w:t>
            </w:r>
            <w:r w:rsidR="00AF0AD6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 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miesięcy od podania ostatniej dawki leku;</w:t>
            </w:r>
          </w:p>
          <w:p w14:paraId="2D568210" w14:textId="77777777" w:rsidR="00654B64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brak współpracy pacjenta z lekarzem prowadzącym (niezgłaszanie się z powodów nieuzasadnionych na określone przez program minim</w:t>
            </w:r>
            <w:r w:rsidR="00147250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um 2 kolejne punkty kontrolne)</w:t>
            </w:r>
            <w:r w:rsidR="00FB0649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6AC86113" w14:textId="77777777" w:rsidR="008C07C8" w:rsidRPr="000C2DCD" w:rsidRDefault="008C07C8" w:rsidP="00172DB1">
            <w:pPr>
              <w:spacing w:after="60"/>
              <w:ind w:left="59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440F7C3" w14:textId="6F522AF0" w:rsidR="00944B48" w:rsidRPr="000C2DCD" w:rsidRDefault="006305FF" w:rsidP="00172DB1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Leczenie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(wysiękowej) postaci zwyrodnienia plamki związanego z wiekiem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ranibizumabem</w:t>
            </w:r>
            <w:proofErr w:type="spellEnd"/>
          </w:p>
          <w:p w14:paraId="6B6DB001" w14:textId="77777777" w:rsidR="00944B48" w:rsidRPr="000C2DCD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Pacjent jest kwalifikowany do programu przez Zespół Koordynacyjny do Spraw Leczenia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(Wysiękowej) Postaci Zwyrodnienia Plamki Związanego z Wiekiem, powoływany przez Prezesa Narodowego Funduszu Zdrowia.</w:t>
            </w:r>
          </w:p>
          <w:p w14:paraId="6A061118" w14:textId="77777777" w:rsidR="00944B48" w:rsidRPr="000C2DCD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Każdorazowo  pacjenta do podania kolejnej dawki leku kwalifikuje lekarz prowadzący.</w:t>
            </w:r>
          </w:p>
          <w:p w14:paraId="05CAB3F1" w14:textId="77777777" w:rsidR="008C07C8" w:rsidRPr="000C2DCD" w:rsidRDefault="008C07C8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C65DF72" w14:textId="2BBE61CB" w:rsidR="00944B48" w:rsidRPr="000C2DCD" w:rsidRDefault="006305FF" w:rsidP="00172DB1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 kwalifikacji</w:t>
            </w:r>
          </w:p>
          <w:p w14:paraId="7B39E969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obecność aktywnej (pierwotnej lub wtórnej), klasycznej, ukrytej lub mieszanej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neowaskularyzacji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podsiatkówkowej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(CNV) zajmującej ponad 50% zmiany w przebiegu AMD potwierdzona w OCT (optycznej koherentnej tomografii) i angiografii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fluoresceinowej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badaniu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angio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-OCT;</w:t>
            </w:r>
          </w:p>
          <w:p w14:paraId="77BC488B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wiek powyżej 45. roku życia;</w:t>
            </w:r>
          </w:p>
          <w:p w14:paraId="0D37EFD0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wielkość zmiany mniejsza niż 12 DA (12 powierzchni tarczy nerwu wzrokowego);</w:t>
            </w:r>
          </w:p>
          <w:p w14:paraId="35F7C705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najlepsza skorygowana ostrość wzroku (BCVA) w leczonym oku 0,</w:t>
            </w:r>
            <w:r w:rsidR="00F11714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-0,8 określona według tablicy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(lub odpowiednio ekwiwalent ETDRS);</w:t>
            </w:r>
          </w:p>
          <w:p w14:paraId="7D9AD717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zgoda pacjenta na wykonanie iniekcji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doszklistkowych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83A8A1D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zaniku geograficznego;</w:t>
            </w:r>
          </w:p>
          <w:p w14:paraId="38D13EA5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wylewu krwi.</w:t>
            </w:r>
          </w:p>
          <w:p w14:paraId="4E5D1E0D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brak  trwałego uszkodzenia struktury dołka, która uniemożliwia uzyskanie u pacjenta stabiliza</w:t>
            </w:r>
            <w:r w:rsidR="00F62A13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cji lub poprawy czynnościowej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62A13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(i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istotna przewlekła tarczowata blizna</w:t>
            </w:r>
            <w:r w:rsidR="00F62A13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556B7F4" w14:textId="77777777" w:rsidR="00944B48" w:rsidRPr="000C2DCD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4ADC06AC" w14:textId="77777777" w:rsidR="008C07C8" w:rsidRPr="000C2DCD" w:rsidRDefault="008C07C8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F8D810" w14:textId="200396DF" w:rsidR="00546786" w:rsidRPr="000C2DCD" w:rsidRDefault="00546786" w:rsidP="00172DB1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Kryteria włączenia do programu pacjentów leczonych uprzednio w ramach jednorodnych grup pacjentów lub w programie leczenie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(wysiękowej) postaci zwyrodnienia plamki związanego z wiekiem (AMD), którzy zostali wyłączeni z programu (ponowna kwalifikacja), lub u świadczeniodawców, którzy nie posiadali umowy na udzielanie świadczeń opieki zdrowotnej finansowanych ze środków publicznych</w:t>
            </w:r>
          </w:p>
          <w:p w14:paraId="353098D4" w14:textId="1F4CC38A" w:rsidR="00546786" w:rsidRPr="000C2DCD" w:rsidRDefault="00546786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 programu kwalifikowani są również pacjenci </w:t>
            </w:r>
            <w:r w:rsidR="00134D40" w:rsidRPr="000C2DCD">
              <w:rPr>
                <w:rFonts w:ascii="Times New Roman" w:hAnsi="Times New Roman" w:cs="Times New Roman"/>
              </w:rPr>
              <w:t xml:space="preserve"> </w:t>
            </w:r>
            <w:r w:rsidR="00134D40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wyłączeni z niego w oparciu o pkt. 8 kryteriów wyłączenia, oraz 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którzy przed wprowadzeniem programu rozpoczęli leczenie 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wysiękowej postaci AMD iniekcjami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doszklistkowymi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przeciwciała monoklonalnego anty-VEGF lub rekombinowanego białka fuzyjnego:</w:t>
            </w:r>
          </w:p>
          <w:p w14:paraId="2505836E" w14:textId="77777777" w:rsidR="00944B48" w:rsidRPr="000C2DCD" w:rsidRDefault="006305FF" w:rsidP="00172DB1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świadczeń gwarantowanych rozliczanych w ramach grupy B02 - Leczenie wysiękowej postaci AMD z zastosowaniem iniekcji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doszklistkowych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przeciwciała monoklonalnego anty-VEGF/rekombinowanego białka fuzyjnego </w:t>
            </w:r>
          </w:p>
          <w:p w14:paraId="5F8FE5AE" w14:textId="77777777" w:rsidR="00944B48" w:rsidRPr="000C2DCD" w:rsidRDefault="006305FF" w:rsidP="00172DB1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lub </w:t>
            </w:r>
          </w:p>
          <w:p w14:paraId="2E6B326F" w14:textId="77777777" w:rsidR="00944B48" w:rsidRPr="000C2DCD" w:rsidRDefault="006305FF" w:rsidP="00172DB1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świadczeniodawców, którzy nie posiadali umowy na udzielanie świadczeń opieki zdrowotnej finansowanych ze środków publicznych </w:t>
            </w:r>
          </w:p>
          <w:p w14:paraId="617A8737" w14:textId="77777777" w:rsidR="00944B48" w:rsidRPr="000C2DCD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- pod warunkiem, że w chwili rozpoczęcia terapii spełniali kryteria włączenia do programu. Jeżeli wykazano w tym czasie skuteczność leczenia, wtedy terapia powinna być kontynuowana zgodnie z zapisami programu.</w:t>
            </w:r>
          </w:p>
          <w:p w14:paraId="34A24058" w14:textId="77777777" w:rsidR="008C07C8" w:rsidRPr="000C2DCD" w:rsidRDefault="008C07C8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8B3102" w14:textId="767ED050" w:rsidR="00944B48" w:rsidRPr="000C2DCD" w:rsidRDefault="006305FF" w:rsidP="00172DB1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Określenie czasu leczenia w programie</w:t>
            </w:r>
          </w:p>
          <w:p w14:paraId="29E3E6AE" w14:textId="77777777" w:rsidR="00944B48" w:rsidRPr="000C2DCD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Leczenie trwa do czasu podjęcia przez lekarza prowadzącego decyzji 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 wyłączeniu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pacjenta z programu zgodnie z kryteriami wyłączenia. </w:t>
            </w:r>
          </w:p>
          <w:p w14:paraId="27156998" w14:textId="77777777" w:rsidR="008C07C8" w:rsidRPr="000C2DCD" w:rsidRDefault="008C07C8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B80B186" w14:textId="2EBF2E14" w:rsidR="00944B48" w:rsidRPr="000C2DCD" w:rsidRDefault="006305FF" w:rsidP="00172DB1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 wyłączenia</w:t>
            </w:r>
          </w:p>
          <w:p w14:paraId="1327628F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nadwrażliwość na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ranibizumab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na którąkolwiek substancję pomocniczą;</w:t>
            </w:r>
          </w:p>
          <w:p w14:paraId="68FCCB9B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czynne zakażenie oka lub jego okolic;</w:t>
            </w:r>
          </w:p>
          <w:p w14:paraId="451BFA56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czynne ciężkie zapalenie wnętrza gałki;</w:t>
            </w:r>
          </w:p>
          <w:p w14:paraId="5D5F86D6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okres ciąży lub karmienia piersią;</w:t>
            </w:r>
          </w:p>
          <w:p w14:paraId="34C4B887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wystąpienie działań niepożądanych związanych z lekiem uniemożliwiających jego dalsze stosowanie;</w:t>
            </w:r>
          </w:p>
          <w:p w14:paraId="79E7E563" w14:textId="77777777" w:rsidR="00944B48" w:rsidRPr="000C2DCD" w:rsidRDefault="006305FF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przedarciowe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odwarstwienie siatkówki lub otwór w plamce 3. lub 4. stopnia;</w:t>
            </w:r>
          </w:p>
          <w:p w14:paraId="5057F8B5" w14:textId="77777777" w:rsidR="00164623" w:rsidRPr="000C2DCD" w:rsidRDefault="00164623" w:rsidP="00172DB1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progresja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choroby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definiowana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jako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:</w:t>
            </w:r>
          </w:p>
          <w:p w14:paraId="59ED0767" w14:textId="77777777" w:rsidR="00164623" w:rsidRPr="000C2DCD" w:rsidRDefault="00164623" w:rsidP="00172DB1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pogorszenie najlepszej skorygowanej ostrości wzroku (BCVA) do wartości &lt; 0,2 określonej według tablicy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Snellena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(lub odpowiednio ekwiwalent ETDRS) utrzymujące się dłużej niż 2 miesiące</w:t>
            </w:r>
          </w:p>
          <w:p w14:paraId="7541D77A" w14:textId="77777777" w:rsidR="00164623" w:rsidRPr="000C2DCD" w:rsidRDefault="00164623" w:rsidP="00172DB1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14:paraId="79F45416" w14:textId="77777777" w:rsidR="00164623" w:rsidRPr="000C2DCD" w:rsidRDefault="00164623" w:rsidP="00172DB1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obecność  trwałego uszkodzenia struktury dołka, która uniemożliwia uzyskanie u pacjenta stabilizacji lub poprawy czynnościowej (istotne uszkodzenie struktury jest zdefiniowane jako obecne zwłóknienie lub atrofia w dołku albo istotna przewlekła tarczowata blizna);</w:t>
            </w:r>
          </w:p>
          <w:p w14:paraId="2D4AB812" w14:textId="043915D1" w:rsidR="00164623" w:rsidRPr="000C2DCD" w:rsidRDefault="00164623" w:rsidP="00172DB1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brak aktywnego leczenia w postaci podawania iniekcji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ranibizumabu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 okresie </w:t>
            </w:r>
            <w:r w:rsidR="00546786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 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miesięcy od podania ostatniej dawki leku;</w:t>
            </w:r>
          </w:p>
          <w:p w14:paraId="2684498E" w14:textId="77777777" w:rsidR="00A54180" w:rsidRPr="000C2DCD" w:rsidRDefault="006305FF" w:rsidP="00172DB1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brak współpracy pacjenta z lekarzem prowadzącym (niezgłaszanie się z powodów nieuzasadnionych na określone przez program minimum 2 kolejne punkty kontrolne)</w:t>
            </w:r>
            <w:r w:rsidR="00CB2C24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14:paraId="3C069D36" w14:textId="77777777" w:rsidR="00A54180" w:rsidRPr="000C2DCD" w:rsidRDefault="00A54180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C9E52D" w14:textId="77777777" w:rsidR="00944B48" w:rsidRPr="000C2DCD" w:rsidRDefault="006305FF" w:rsidP="00172DB1">
            <w:pPr>
              <w:numPr>
                <w:ilvl w:val="0"/>
                <w:numId w:val="2"/>
              </w:numPr>
              <w:spacing w:before="120"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Leczenie 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(wysiękowej) postaci zwyrodnienia plamki związanego z wiekiem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</w:p>
          <w:p w14:paraId="3069D0E8" w14:textId="77777777" w:rsidR="00944B48" w:rsidRPr="000C2DCD" w:rsidRDefault="006305FF" w:rsidP="00172DB1">
            <w:pPr>
              <w:numPr>
                <w:ilvl w:val="1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Dawkowanie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afliberceptu</w:t>
            </w:r>
            <w:proofErr w:type="spellEnd"/>
          </w:p>
          <w:p w14:paraId="66801AC9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zalecana dawka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afliberceptu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wynosi 2 mg, co odpowiada 50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mikrolitrom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roztworu (0,05ml) na jedno wstrzyknięcie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doszklistkowe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;</w:t>
            </w:r>
          </w:p>
          <w:p w14:paraId="5B908E4C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leczenie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rozpoczyna się od jednego wstrzyknięcia na miesiąc (tj. w odstępach co najmniej 28 dni, ale nie później niż </w:t>
            </w:r>
            <w:r w:rsidR="00A62511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7 dni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po upływie tego terminu)</w:t>
            </w:r>
            <w:r w:rsidR="00DD0114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przez trzy kolejne miesiące, a 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następnie lek podaje się w postaci jednego wstrzyknięcia co 2 miesiące;</w:t>
            </w:r>
          </w:p>
          <w:p w14:paraId="53AFEE6C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po pierwszych 12 miesiącach leczenia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odstęp pomiędzy dawkami można wydłużyć </w:t>
            </w:r>
            <w:r w:rsidR="006B362A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 skrócić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– kolejne dawki podaje się </w:t>
            </w:r>
            <w:r w:rsidR="00BB6B12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 przypadku pogorszenia się parametrów wzrokowych lub anatomicznych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; </w:t>
            </w:r>
          </w:p>
          <w:p w14:paraId="1F5A85E5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 pie</w:t>
            </w:r>
            <w:r w:rsidR="00FE6596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rwszych 12 miesiącach leczenia 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badania kontrolne pacjenta muszą być wykonywane nie rzadziej niż co 2 miesiące (tj. nie rzadziej niż co 62 dni);</w:t>
            </w:r>
          </w:p>
          <w:p w14:paraId="6ECF61CE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w przypadku pacjentów zakwalifikowanych do programu, którzy rozpoczęli wcześniej leczenie wysiękowej postaci AMD iniekcjami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doszklistkowymi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przeciwciała monoklonalnego anty-VEGF lub rekombinowanego </w:t>
            </w:r>
            <w:r w:rsidR="00FE6596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białka fuzyjnego:</w:t>
            </w:r>
          </w:p>
          <w:p w14:paraId="24E7FDD8" w14:textId="77777777" w:rsidR="00944B48" w:rsidRPr="000C2DCD" w:rsidRDefault="00FE6596" w:rsidP="00172DB1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 </w:t>
            </w:r>
            <w:r w:rsidR="006305FF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 świadczeń gwarantowanych rozliczanych w ramach grupy B02 - Le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czenie wysiękowej postaci AMD z </w:t>
            </w:r>
            <w:r w:rsidR="006305FF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zastosowaniem iniekcji </w:t>
            </w:r>
            <w:proofErr w:type="spellStart"/>
            <w:r w:rsidR="006305FF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doszklistkowych</w:t>
            </w:r>
            <w:proofErr w:type="spellEnd"/>
            <w:r w:rsidR="006305FF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przeciwciała monoklonalnego anty-VEGF/rekombinowanego białka fuzyjnego</w:t>
            </w:r>
          </w:p>
          <w:p w14:paraId="7302116C" w14:textId="77777777" w:rsidR="00944B48" w:rsidRPr="00172DB1" w:rsidRDefault="006305FF" w:rsidP="00172DB1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172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Pr="00172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16340CA" w14:textId="77777777" w:rsidR="00944B48" w:rsidRPr="000C2DCD" w:rsidRDefault="006305FF" w:rsidP="00172DB1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u świadczeniodawców, którzy nie posiadali umowy na udzielanie świadczeń opieki zdrowotnej finansowanych ze środków publicznych </w:t>
            </w:r>
          </w:p>
          <w:p w14:paraId="47B9563B" w14:textId="77777777" w:rsidR="00944B48" w:rsidRPr="00172DB1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172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- schemat dawkowania należy dostosować do etapu leczenia, </w:t>
            </w:r>
            <w:r w:rsidR="007A3F64" w:rsidRPr="00172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 jakim znajduje się pacjent.</w:t>
            </w:r>
          </w:p>
          <w:p w14:paraId="2C2DEEE6" w14:textId="77777777" w:rsidR="008C07C8" w:rsidRPr="000C2DCD" w:rsidRDefault="008C07C8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932C2BF" w14:textId="77777777" w:rsidR="00944B48" w:rsidRPr="000C2DCD" w:rsidRDefault="006305FF" w:rsidP="00172DB1">
            <w:pPr>
              <w:numPr>
                <w:ilvl w:val="0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Leczenie 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(wysiękowej) postaci zwyrodnienia plamki związanego z wiekiem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ranibizumabem</w:t>
            </w:r>
            <w:proofErr w:type="spellEnd"/>
          </w:p>
          <w:p w14:paraId="2B660762" w14:textId="18B47C18" w:rsidR="00944B48" w:rsidRPr="000C2DCD" w:rsidRDefault="006305FF" w:rsidP="00172DB1">
            <w:pPr>
              <w:pStyle w:val="Akapitzlist"/>
              <w:numPr>
                <w:ilvl w:val="1"/>
                <w:numId w:val="2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Dawkowanie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ranibizumabu</w:t>
            </w:r>
            <w:proofErr w:type="spellEnd"/>
          </w:p>
          <w:p w14:paraId="043606F5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zalecana dawka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ranibizumabu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wynosi 0,5 mg, co odpowiada 50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mikrolitrom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roztworu (0,05 ml) na jedno wstrzyknięcie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doszklistkowe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14:paraId="27B59C01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leczenie rozpoczyna się od jednej iniekcji na miesiąc 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(tj. w odstępach co najmniej 28 dni, ale nie później niż </w:t>
            </w:r>
            <w:r w:rsidR="00A62511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dni po upływie tego terminu)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czasu uzyskania maksymalnej ostrości wzroku lub braku cech aktywności choroby tj. braku zmian w ostrości wzroku oraz innych objawów przedmiotowych choroby podczas kontynuowania leczenia; </w:t>
            </w:r>
          </w:p>
          <w:p w14:paraId="7D2E9246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następnie odstępy pomiędzy podaniem kolejnych dawek oraz częstotliwość wykonywania badań kontrolnych są ustalane przez lekarza prowadzącego i powinny być uzależnione od aktywności choroby, ocenianej na podstawie ostrości wzroku lub parametrów anatomicznych;</w:t>
            </w:r>
          </w:p>
          <w:p w14:paraId="7EAE854E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odstęp pomiędzy wstrzyknięciem dwóch dawek do tego samego oka powinien wynosić co najmniej 4 tygodnie;</w:t>
            </w:r>
          </w:p>
          <w:p w14:paraId="083D0789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przypadku, gdy odstęp między podaniem kolejnych dawek został ustalony na więcej niż 2 miesiące, badania kontrolne pacjenta muszą być wykonywane nie rzadziej niż co 2 miesiące 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(tj. nie rzadziej niż co 62 dni);</w:t>
            </w:r>
          </w:p>
          <w:p w14:paraId="2856D289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 przypadku pacjentów zakwalifikowanych do programu, którzy rozpoczęli wcześniej leczenie wysiękowej postaci AMD iniekcjami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doszklistkowymi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przeciwciała monoklonalnego anty-VEGF lub rekombinowanego białka fuzyjnego: </w:t>
            </w:r>
          </w:p>
          <w:p w14:paraId="25D79B5A" w14:textId="77777777" w:rsidR="00944B48" w:rsidRPr="000C2DCD" w:rsidRDefault="006305FF" w:rsidP="00172DB1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 ramach świadczeń gwarantowanych rozliczanych w ramach grupy B02 - Leczenie wysiękowej postaci AMD z zastosowaniem iniekcji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doszklistkowych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przeciwciała monoklonalnego anty-VEGF/rekombinowanego białka fuzyjnego </w:t>
            </w:r>
          </w:p>
          <w:p w14:paraId="5B6F8D68" w14:textId="77777777" w:rsidR="00944B48" w:rsidRPr="00172DB1" w:rsidRDefault="006305FF" w:rsidP="00172DB1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14:paraId="6190B415" w14:textId="77777777" w:rsidR="00944B48" w:rsidRPr="000C2DCD" w:rsidRDefault="006305FF" w:rsidP="00172DB1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u świadczeniodawców, którzy nie posiadali umowy na udzielanie świadczeń opieki zdrowotnej finansowanych ze środków publicznych </w:t>
            </w:r>
          </w:p>
          <w:p w14:paraId="075979A7" w14:textId="77777777" w:rsidR="00944B48" w:rsidRPr="00172DB1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172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- schemat dawkowania należy dostosować do etapu leczenia, na jakim znajduje się pacjent.  </w:t>
            </w:r>
          </w:p>
          <w:p w14:paraId="0E9C9DFD" w14:textId="77777777" w:rsidR="008C07C8" w:rsidRPr="000C2DCD" w:rsidRDefault="008C07C8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65ADBB" w14:textId="77777777" w:rsidR="00944B48" w:rsidRPr="000C2DCD" w:rsidRDefault="006305FF" w:rsidP="00172DB1">
            <w:pPr>
              <w:numPr>
                <w:ilvl w:val="0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Wstrzymanie podawania leku</w:t>
            </w:r>
          </w:p>
          <w:p w14:paraId="3CC6A8F7" w14:textId="77777777" w:rsidR="00944B48" w:rsidRPr="00172DB1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Hlk50365560"/>
            <w:r w:rsidRPr="00172DB1">
              <w:rPr>
                <w:rFonts w:ascii="Times New Roman" w:eastAsia="Calibri" w:hAnsi="Times New Roman" w:cs="Times New Roman"/>
                <w:sz w:val="20"/>
                <w:szCs w:val="20"/>
              </w:rPr>
              <w:t>Podawanie leku należy odroczyć, jeżeli wystąpi:</w:t>
            </w:r>
          </w:p>
          <w:p w14:paraId="4151470D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ciśnienie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śródgałkowe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≥ 30 mmHg (utrzymujące się pomimo leczenia); </w:t>
            </w:r>
          </w:p>
          <w:p w14:paraId="661F92FD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rozerwanie siatkówki;</w:t>
            </w:r>
          </w:p>
          <w:p w14:paraId="6456E8DF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wylew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podsiatkówkowy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obejmujący centrum dołka siatkówki lub jeśli wielkość wylewu wynosi ≥ 50% całkowitej powierzchni zmiany;</w:t>
            </w:r>
          </w:p>
          <w:p w14:paraId="7530A19A" w14:textId="11ADF77C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przeprowadzenie lub planowanie operacji wewnątrzgałkowej (o długości okresu wstrzymania podawania leku przed lub po operacją decyduje lekarz prowadzący)</w:t>
            </w:r>
            <w:r w:rsidR="00A06E7F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5B4950B" w14:textId="77777777" w:rsidR="00944B48" w:rsidRPr="000C2DCD" w:rsidRDefault="006305FF" w:rsidP="00172DB1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brak aktywności choroby, tj. gdy nie stwierdza się wzrostu wielkości zmiany, nowych krwotoków lub wysięków, nawet jeżeli stale istnieją torbiele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śródsiatkówkowe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kanaliki oznaczające zmiany przewlekłe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3A1D33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odawanie leku można odroczyć w 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przypadku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afliberceptu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 drugiego roku leczenia, a w przypadku </w:t>
            </w:r>
            <w:proofErr w:type="spellStart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ranibizumabu</w:t>
            </w:r>
            <w:proofErr w:type="spellEnd"/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od pierwszego roku leczenia).</w:t>
            </w:r>
          </w:p>
          <w:p w14:paraId="5BC6A9D3" w14:textId="3F0E3B7F" w:rsidR="00944B48" w:rsidRPr="00172DB1" w:rsidRDefault="00172DB1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 </w:t>
            </w:r>
            <w:r w:rsidR="006305FF" w:rsidRPr="00172DB1">
              <w:rPr>
                <w:rFonts w:ascii="Times New Roman" w:eastAsia="Calibri" w:hAnsi="Times New Roman" w:cs="Times New Roman"/>
                <w:sz w:val="20"/>
                <w:szCs w:val="20"/>
              </w:rPr>
              <w:t>terminie podania kolejnej dawki leku po odroczeniu decyduje lekarz prowadzący – z zastrzeżeniem kryteriów wyłączenia z programu.</w:t>
            </w:r>
          </w:p>
          <w:bookmarkEnd w:id="0"/>
          <w:p w14:paraId="6F6DF3E4" w14:textId="77777777" w:rsidR="008C07C8" w:rsidRPr="000C2DCD" w:rsidRDefault="008C07C8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275C6" w14:textId="77777777" w:rsidR="00944B48" w:rsidRPr="000C2DCD" w:rsidRDefault="006305FF" w:rsidP="00172DB1">
            <w:pPr>
              <w:numPr>
                <w:ilvl w:val="0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" w:name="_Hlk53652782"/>
            <w:r w:rsidRPr="000C2D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Zmiana leku podczas leczenia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(wysiękowej) postaci zwyrodnienia plamki związanego z wiekiem</w:t>
            </w:r>
          </w:p>
          <w:bookmarkEnd w:id="1"/>
          <w:p w14:paraId="72DD282F" w14:textId="77777777" w:rsidR="00944B48" w:rsidRPr="00172DB1" w:rsidRDefault="006305FF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przypadku braku </w:t>
            </w:r>
            <w:r w:rsidR="00A535CD"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skuteczności dotychczasowej terapii  </w:t>
            </w:r>
            <w:r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lekarz </w:t>
            </w:r>
            <w:r w:rsidR="00F326E9"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prowadzący może zmienić dotychczas podawany lek </w:t>
            </w:r>
            <w:r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(pod warunkiem niespełnienia kryteriów wyłączenia z programu) na lek z inną substancją czynną finansowaną w ramach programu</w:t>
            </w:r>
            <w:r w:rsidR="000249CA"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jednak nie wcześniej niż</w:t>
            </w:r>
            <w:r w:rsidR="00B72DE4"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 7 iniekcjach</w:t>
            </w:r>
            <w:r w:rsidR="00181FD5"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tego samego leku</w:t>
            </w:r>
            <w:r w:rsidR="00F04E88"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295B8B90" w14:textId="77777777" w:rsidR="00BB6B12" w:rsidRPr="000C2DCD" w:rsidRDefault="00F04E88" w:rsidP="00172DB1">
            <w:pPr>
              <w:pStyle w:val="Akapitzlist"/>
              <w:numPr>
                <w:ilvl w:val="3"/>
                <w:numId w:val="2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poda</w:t>
            </w:r>
            <w:r w:rsidR="005951AD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nych w 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ramach programu lekowego </w:t>
            </w:r>
            <w:r w:rsidR="00181FD5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1FD5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 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przypadku</w:t>
            </w:r>
            <w:r w:rsidR="00BB6B12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pacjentów n</w:t>
            </w:r>
            <w:r w:rsidR="002A38B1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owych</w:t>
            </w:r>
            <w:r w:rsidR="007D10A6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3805C9C9" w14:textId="77777777" w:rsidR="00BB6B12" w:rsidRPr="000C2DCD" w:rsidRDefault="00F04E88" w:rsidP="00172DB1">
            <w:pPr>
              <w:pStyle w:val="Akapitzlist"/>
              <w:numPr>
                <w:ilvl w:val="3"/>
                <w:numId w:val="2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łącznie </w:t>
            </w:r>
            <w:r w:rsidR="00940404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– w przypadku </w:t>
            </w:r>
            <w:r w:rsidR="00BB6B12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pacjentów </w:t>
            </w:r>
            <w:r w:rsidR="00A73F67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zakwalifikowanych do programu</w:t>
            </w:r>
            <w:r w:rsidR="00CC2779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zgodnie z </w:t>
            </w:r>
            <w:r w:rsidR="00191078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kryteriami </w:t>
            </w:r>
            <w:r w:rsidR="009D7C0B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włą</w:t>
            </w:r>
            <w:r w:rsidR="00191078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czenia do programu pacjentów</w:t>
            </w:r>
            <w:r w:rsidR="00A73F67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1078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leczonych uprzednio</w:t>
            </w:r>
            <w:r w:rsidR="00A73F67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w ramach jednorodnych grup pacjentów lub u świadczeniodawców, którzy nie posiadali umowy na udzielanie świadczeń opieki zdrowotnej finansowanych ze środków publicznych</w:t>
            </w:r>
            <w:r w:rsidR="00940404"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511AFFE2" w14:textId="77777777" w:rsidR="00F326E9" w:rsidRPr="00172DB1" w:rsidRDefault="00F326E9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Za </w:t>
            </w:r>
            <w:r w:rsidR="00A535CD"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brak </w:t>
            </w:r>
            <w:r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skutecznoś</w:t>
            </w:r>
            <w:r w:rsidR="00A535CD"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ci</w:t>
            </w:r>
            <w:r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terapii należy uznać:</w:t>
            </w:r>
          </w:p>
          <w:p w14:paraId="13D74F1B" w14:textId="77777777" w:rsidR="00F326E9" w:rsidRPr="000C2DCD" w:rsidRDefault="00F326E9" w:rsidP="00172DB1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pogorszenie ostrości wzroku w stosunku do wartości przy kwalifikacji do leczenia, przy braku spełnienia kryterium wyłączenia z</w:t>
            </w:r>
            <w:r w:rsidR="00A535CD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 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programu;</w:t>
            </w:r>
          </w:p>
          <w:p w14:paraId="460275A8" w14:textId="77777777" w:rsidR="00F326E9" w:rsidRPr="00172DB1" w:rsidRDefault="00F326E9" w:rsidP="00172DB1">
            <w:pPr>
              <w:spacing w:after="60"/>
              <w:ind w:left="22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72DB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6768865F" w14:textId="77777777" w:rsidR="00F326E9" w:rsidRPr="000C2DCD" w:rsidRDefault="000249CA" w:rsidP="00172DB1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utrzymującą się lub cyklicznie nawracającą</w:t>
            </w:r>
            <w:r w:rsidR="000944E8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aktywność choroby, tj. płyn </w:t>
            </w:r>
            <w:proofErr w:type="spellStart"/>
            <w:r w:rsidR="000944E8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podsiatkówkowy</w:t>
            </w:r>
            <w:proofErr w:type="spellEnd"/>
            <w:r w:rsidR="000944E8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lub obrzęk siatkówki, przy braku spełnienia kryterium wyłączenia z programu i gdy nie doszło do nieodwracalnych zmian w plamce w</w:t>
            </w:r>
            <w:r w:rsidR="00A535CD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 </w:t>
            </w:r>
            <w:r w:rsidR="000944E8" w:rsidRPr="000C2DC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postaci dominującego bliznowacenia lub zaniku.</w:t>
            </w:r>
          </w:p>
          <w:p w14:paraId="2FF7CA45" w14:textId="77777777" w:rsidR="00F326E9" w:rsidRPr="00172DB1" w:rsidRDefault="00C254EC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72DB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Schemat dawkowania leku po zmianie ustala </w:t>
            </w:r>
            <w:r w:rsidR="001208C9" w:rsidRPr="00172DB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lekarz prowadzący.</w:t>
            </w:r>
          </w:p>
          <w:p w14:paraId="50179826" w14:textId="77777777" w:rsidR="008C07C8" w:rsidRPr="000C2DCD" w:rsidRDefault="008C07C8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34D6E7" w14:textId="77777777" w:rsidR="00944B48" w:rsidRPr="000C2DCD" w:rsidRDefault="006305FF" w:rsidP="00172DB1">
            <w:pPr>
              <w:widowControl w:val="0"/>
              <w:numPr>
                <w:ilvl w:val="0"/>
                <w:numId w:val="4"/>
              </w:numPr>
              <w:spacing w:before="120"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Leczenie 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(wysiękowej) postaci zwyrodnienia plamki związanego z wiekiem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afliberceptem</w:t>
            </w:r>
            <w:proofErr w:type="spellEnd"/>
          </w:p>
          <w:p w14:paraId="6A252160" w14:textId="77777777" w:rsidR="00944B48" w:rsidRPr="000C2DCD" w:rsidRDefault="006305FF" w:rsidP="00172DB1">
            <w:pPr>
              <w:widowControl w:val="0"/>
              <w:numPr>
                <w:ilvl w:val="1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Ba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dania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przy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kwalifikacji</w:t>
            </w:r>
            <w:proofErr w:type="spellEnd"/>
          </w:p>
          <w:p w14:paraId="2D7E4854" w14:textId="77777777" w:rsidR="00944B48" w:rsidRPr="000C2DCD" w:rsidRDefault="006305FF" w:rsidP="00172DB1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ETDRS;</w:t>
            </w:r>
          </w:p>
          <w:p w14:paraId="60A979EF" w14:textId="77777777" w:rsidR="00944B48" w:rsidRPr="000C2DCD" w:rsidRDefault="006305FF" w:rsidP="00172DB1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OCT (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optyczna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koherentna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tomografia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);</w:t>
            </w:r>
          </w:p>
          <w:p w14:paraId="60B7A13C" w14:textId="77777777" w:rsidR="00944B48" w:rsidRPr="000C2DCD" w:rsidRDefault="006305FF" w:rsidP="00172DB1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fotografia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dna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oka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14:paraId="7FB16BB6" w14:textId="5E200AC7" w:rsidR="00944B48" w:rsidRPr="00172DB1" w:rsidRDefault="006305FF" w:rsidP="00172DB1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="003A1D33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="003A1D33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="003A1D33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</w:t>
            </w:r>
            <w:proofErr w:type="spellEnd"/>
            <w:r w:rsidR="003A1D33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-OCT (w 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przypadkach trudnych z diagnostycznego punktu widzenia - </w:t>
            </w:r>
            <w:r w:rsidR="003A1D33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="003A1D33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="003A1D33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 – w 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 u</w:t>
            </w:r>
            <w:r w:rsidR="003A1D33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czulenia na barwnik stosowany w 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angiografii lub w razie wystąpienia innych jednoznacznych przeciwwskazań do wykonania tego badania można od niego odstąpić. Fakt odstąpienia od badania należy opisać w dokumentacji medycznej pacjenta i przekazać do Zespołu Koordynacyjnego do Spraw Leczenia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(Wysiękowej) Postaci Z</w:t>
            </w:r>
            <w:r w:rsidR="003A1D33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wyrodnienia Plamki Związanego z 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Wiekiem.</w:t>
            </w:r>
          </w:p>
          <w:p w14:paraId="0E4A503C" w14:textId="48BF6C52" w:rsidR="00172DB1" w:rsidRDefault="00172DB1" w:rsidP="00172DB1">
            <w:pPr>
              <w:widowControl w:val="0"/>
              <w:spacing w:after="60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  <w:p w14:paraId="72AB506A" w14:textId="77777777" w:rsidR="00EA1A0E" w:rsidRPr="000C2DCD" w:rsidRDefault="00EA1A0E" w:rsidP="00172DB1">
            <w:pPr>
              <w:widowControl w:val="0"/>
              <w:spacing w:after="60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  <w:p w14:paraId="04E0BE55" w14:textId="77777777" w:rsidR="00944B48" w:rsidRPr="000C2DCD" w:rsidRDefault="006305FF" w:rsidP="00172DB1">
            <w:pPr>
              <w:widowControl w:val="0"/>
              <w:numPr>
                <w:ilvl w:val="1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0C2DCD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lastRenderedPageBreak/>
              <w:t>Monitorowanie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leczenia</w:t>
            </w:r>
            <w:proofErr w:type="spellEnd"/>
          </w:p>
          <w:p w14:paraId="3CF278FA" w14:textId="77777777" w:rsidR="00944B48" w:rsidRPr="000C2DCD" w:rsidRDefault="006305FF" w:rsidP="00172DB1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badania przeprowadzane przed każdym podaniem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afliberceptu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(w dniu podania leku lub w terminie do 7 dni przed jego podaniem) zgodnie z harmonogramem dawkowania oraz nie rzadziej niż co 2 miesiące 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(tj. nie rzadziej niż co 62 dni) 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 pierwszych 12 miesiącach leczenia:</w:t>
            </w:r>
          </w:p>
          <w:p w14:paraId="3D17EE34" w14:textId="77777777" w:rsidR="00944B48" w:rsidRPr="000C2DCD" w:rsidRDefault="006305FF" w:rsidP="00172DB1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ETDRS,</w:t>
            </w:r>
          </w:p>
          <w:p w14:paraId="5A1A237F" w14:textId="77777777" w:rsidR="00944B48" w:rsidRPr="000C2DCD" w:rsidRDefault="006305FF" w:rsidP="00172DB1">
            <w:pPr>
              <w:widowControl w:val="0"/>
              <w:numPr>
                <w:ilvl w:val="3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tomografia),</w:t>
            </w:r>
          </w:p>
          <w:p w14:paraId="37D09A7A" w14:textId="77777777" w:rsidR="00944B48" w:rsidRPr="000C2DCD" w:rsidRDefault="006305FF" w:rsidP="00172DB1">
            <w:pPr>
              <w:widowControl w:val="0"/>
              <w:numPr>
                <w:ilvl w:val="3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 - fotografia dna oka,</w:t>
            </w:r>
          </w:p>
          <w:p w14:paraId="58C2FDE8" w14:textId="77777777" w:rsidR="00944B48" w:rsidRPr="000C2DCD" w:rsidRDefault="006305FF" w:rsidP="00172DB1">
            <w:pPr>
              <w:widowControl w:val="0"/>
              <w:numPr>
                <w:ilvl w:val="3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opcjonalnie - angiografia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-OCT (w przypadkach trudnych z diagnostycznego punktu widzenia - angiografia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).</w:t>
            </w:r>
          </w:p>
          <w:p w14:paraId="4B9380FA" w14:textId="77777777" w:rsidR="008C07C8" w:rsidRPr="000C2DCD" w:rsidRDefault="008C07C8" w:rsidP="00172DB1">
            <w:pPr>
              <w:widowControl w:val="0"/>
              <w:tabs>
                <w:tab w:val="left" w:pos="294"/>
              </w:tabs>
              <w:spacing w:after="60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C7CC89" w14:textId="56158F21" w:rsidR="00944B48" w:rsidRPr="000C2DCD" w:rsidRDefault="006305FF" w:rsidP="00172DB1">
            <w:pPr>
              <w:pStyle w:val="Akapitzlist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Leczenie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(wysiękowej) postaci zwyrodnienia plamki związanego z wiekiem </w:t>
            </w:r>
            <w:proofErr w:type="spellStart"/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ranibizumabem</w:t>
            </w:r>
            <w:proofErr w:type="spellEnd"/>
          </w:p>
          <w:p w14:paraId="2FFE9C2E" w14:textId="0A2C75FC" w:rsidR="00944B48" w:rsidRPr="000C2DCD" w:rsidRDefault="006305FF" w:rsidP="00172DB1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Badania przy kwalifikacji</w:t>
            </w:r>
          </w:p>
          <w:p w14:paraId="55BA66A7" w14:textId="77777777" w:rsidR="00944B48" w:rsidRPr="000C2DCD" w:rsidRDefault="006305FF" w:rsidP="00172DB1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 ETDRS;</w:t>
            </w:r>
          </w:p>
          <w:p w14:paraId="6B00FB9E" w14:textId="77777777" w:rsidR="00944B48" w:rsidRPr="000C2DCD" w:rsidRDefault="006305FF" w:rsidP="00172DB1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tomografia);</w:t>
            </w:r>
          </w:p>
          <w:p w14:paraId="1FC1CC45" w14:textId="77777777" w:rsidR="00944B48" w:rsidRPr="000C2DCD" w:rsidRDefault="006305FF" w:rsidP="00172DB1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fotografia dna oka;</w:t>
            </w:r>
          </w:p>
          <w:p w14:paraId="68C62DE2" w14:textId="77777777" w:rsidR="00944B48" w:rsidRPr="000C2DCD" w:rsidRDefault="006305FF" w:rsidP="00172DB1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-OCT (w przypadkach trudnych z diagnostycznego punktu widzenia – </w:t>
            </w:r>
            <w:r w:rsidR="00D64B50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="00D64B50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="00D64B50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 – w 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  ucz</w:t>
            </w:r>
            <w:r w:rsidR="00D64B50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ulenia na barwnik stosowany w 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angiografii lub w razie wystąpienia innych jednoznacznych przeciwwskazań do wykonania tego badania można od niego odstąpić. Fakt odstąpienia od badania należy 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opisać w dokumentacji medycznej pacjenta i przekazać do Zespołu Koordynacyjnego do Spraw Leczenia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Neowaskularnej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(Wysiękowej) Postaci Z</w:t>
            </w:r>
            <w:r w:rsidR="002A5020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wyrodnienia Plamki Związanego z 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Wiekiem.</w:t>
            </w:r>
          </w:p>
          <w:p w14:paraId="15DB277F" w14:textId="77777777" w:rsidR="008C07C8" w:rsidRPr="000C2DCD" w:rsidRDefault="008C07C8" w:rsidP="00172DB1">
            <w:pPr>
              <w:widowControl w:val="0"/>
              <w:spacing w:after="60"/>
              <w:ind w:left="318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  <w:p w14:paraId="1386F84C" w14:textId="5E98C4D7" w:rsidR="00944B48" w:rsidRPr="000C2DCD" w:rsidRDefault="006305FF" w:rsidP="00172DB1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Monitorowanie leczenia</w:t>
            </w:r>
          </w:p>
          <w:p w14:paraId="3BF04830" w14:textId="77777777" w:rsidR="00944B48" w:rsidRPr="000C2DCD" w:rsidRDefault="006305FF" w:rsidP="00172DB1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badania przeprowadzane przed każdym podaniem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ranibizumabu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(w dniu podania leku lub w terminie do 7 dni przed jego podaniem) zgodnie z harmonogramem dawkowania oraz nie rzadziej niż raz na 2 miesiące </w:t>
            </w:r>
            <w:r w:rsidRPr="000C2DCD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(tj. nie rzadziej niż co 62 dni),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jeżeli odstęp między podaniem kolejnych dawek został ustalony na więcej niż 2 miesiące: </w:t>
            </w:r>
          </w:p>
          <w:p w14:paraId="0C0E2558" w14:textId="77777777" w:rsidR="00944B48" w:rsidRPr="000C2DCD" w:rsidRDefault="006305FF" w:rsidP="00172DB1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ETDRS,</w:t>
            </w:r>
          </w:p>
          <w:p w14:paraId="15BB5486" w14:textId="77777777" w:rsidR="00944B48" w:rsidRPr="000C2DCD" w:rsidRDefault="006305FF" w:rsidP="00172DB1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tomografia),</w:t>
            </w:r>
          </w:p>
          <w:p w14:paraId="4EA64AF5" w14:textId="77777777" w:rsidR="00944B48" w:rsidRPr="000C2DCD" w:rsidRDefault="006305FF" w:rsidP="00172DB1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 - fotografia dna oka,</w:t>
            </w:r>
          </w:p>
          <w:p w14:paraId="5C966E45" w14:textId="77777777" w:rsidR="00A54180" w:rsidRPr="000C2DCD" w:rsidRDefault="006305FF" w:rsidP="00172DB1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opcjonalnie - angiografia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</w:t>
            </w:r>
            <w:r w:rsidR="007D7952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</w:t>
            </w:r>
            <w:proofErr w:type="spellEnd"/>
            <w:r w:rsidR="007D7952"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-OCT (w przypadkach trudnych z 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diagnostycznego punktu widzenia – angiografia </w:t>
            </w:r>
            <w:proofErr w:type="spellStart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Pr="000C2DC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).</w:t>
            </w:r>
          </w:p>
          <w:p w14:paraId="12114208" w14:textId="77777777" w:rsidR="008C07C8" w:rsidRPr="000C2DCD" w:rsidRDefault="008C07C8" w:rsidP="00172DB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  <w:p w14:paraId="3B1EF523" w14:textId="4E749D5B" w:rsidR="00944B48" w:rsidRPr="000C2DCD" w:rsidRDefault="006305FF" w:rsidP="00172DB1">
            <w:pPr>
              <w:pStyle w:val="Akapitzlist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2" w:name="_Hlk53653033"/>
            <w:r w:rsidRPr="000C2D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Monitorowanie programu</w:t>
            </w:r>
            <w:bookmarkEnd w:id="2"/>
          </w:p>
          <w:p w14:paraId="2DAF1D74" w14:textId="77777777" w:rsidR="00944B48" w:rsidRPr="000C2DCD" w:rsidRDefault="006305FF" w:rsidP="00172DB1">
            <w:pPr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przekazywanie do NFZ zakresu informacji sprawozdawczo – rozliczeniowych w formie papierowej lub w formie elektronicznej, zgodnie z wymaganiami opublikowanymi przez Narodowy Fundusz Zdrowia;</w:t>
            </w:r>
          </w:p>
          <w:p w14:paraId="4A7A8309" w14:textId="360C5653" w:rsidR="00172DB1" w:rsidRPr="00172DB1" w:rsidRDefault="006305FF" w:rsidP="00172DB1">
            <w:pPr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uzupełnianie danych zawartych w rejestrze Leczenia wysiękowej postaci zwyrodnienia plamki związanego z wiekiem (AMD) (SMPT - AMD), dostępnym za pomocą aplikacji internetowej udostępnionej przez </w:t>
            </w:r>
            <w:r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OW NFZ, z częstotliwością zgodną z opisem programu oraz na zakończenie leczenia</w:t>
            </w:r>
            <w:r w:rsidR="00172DB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76CF5AE" w14:textId="69F5A67A" w:rsidR="00944B48" w:rsidRPr="000C2DCD" w:rsidRDefault="00172DB1" w:rsidP="00172DB1">
            <w:pPr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="006305FF" w:rsidRPr="000C2DCD">
              <w:rPr>
                <w:rFonts w:ascii="Times New Roman" w:eastAsia="Calibri" w:hAnsi="Times New Roman" w:cs="Times New Roman"/>
                <w:sz w:val="20"/>
                <w:szCs w:val="20"/>
              </w:rPr>
              <w:t>ane dotyczące monitorowania leczenia należy gromadzić w dokumentacji pacjenta i każdorazowo przedstawiać na żądanie kontrolerom NFZ.</w:t>
            </w:r>
          </w:p>
        </w:tc>
      </w:tr>
    </w:tbl>
    <w:p w14:paraId="00FC0CD2" w14:textId="77777777" w:rsidR="00944B48" w:rsidRPr="000C2DCD" w:rsidRDefault="00944B48" w:rsidP="004C026C">
      <w:pPr>
        <w:rPr>
          <w:rFonts w:ascii="Times New Roman" w:hAnsi="Times New Roman" w:cs="Times New Roman"/>
        </w:rPr>
      </w:pPr>
    </w:p>
    <w:sectPr w:rsidR="00944B48" w:rsidRPr="000C2DCD" w:rsidSect="000F1559">
      <w:footerReference w:type="first" r:id="rId8"/>
      <w:pgSz w:w="16838" w:h="11906" w:orient="landscape"/>
      <w:pgMar w:top="1588" w:right="720" w:bottom="1418" w:left="720" w:header="0" w:footer="70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F6AFF" w14:textId="77777777" w:rsidR="00DF19DA" w:rsidRDefault="00DF19DA">
      <w:pPr>
        <w:spacing w:after="0" w:line="240" w:lineRule="auto"/>
      </w:pPr>
      <w:r>
        <w:separator/>
      </w:r>
    </w:p>
  </w:endnote>
  <w:endnote w:type="continuationSeparator" w:id="0">
    <w:p w14:paraId="014FE5CF" w14:textId="77777777" w:rsidR="00DF19DA" w:rsidRDefault="00DF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D0F82" w14:textId="77777777" w:rsidR="00E44A23" w:rsidRDefault="00E44A23">
    <w:pPr>
      <w:pStyle w:val="Stopka1"/>
    </w:pPr>
  </w:p>
  <w:p w14:paraId="4048A05B" w14:textId="77777777" w:rsidR="00E44A23" w:rsidRDefault="00E44A23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E9080" w14:textId="77777777" w:rsidR="00DF19DA" w:rsidRDefault="00DF19DA">
      <w:pPr>
        <w:spacing w:after="0" w:line="240" w:lineRule="auto"/>
      </w:pPr>
      <w:r>
        <w:separator/>
      </w:r>
    </w:p>
  </w:footnote>
  <w:footnote w:type="continuationSeparator" w:id="0">
    <w:p w14:paraId="293EED50" w14:textId="77777777" w:rsidR="00DF19DA" w:rsidRDefault="00DF1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2492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2B37145B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4A295A9F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55AE3505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48"/>
    <w:rsid w:val="00016D9B"/>
    <w:rsid w:val="000213B6"/>
    <w:rsid w:val="000249CA"/>
    <w:rsid w:val="000530B6"/>
    <w:rsid w:val="00085685"/>
    <w:rsid w:val="000944E8"/>
    <w:rsid w:val="000A0DFA"/>
    <w:rsid w:val="000C2DCD"/>
    <w:rsid w:val="000D357E"/>
    <w:rsid w:val="000F1559"/>
    <w:rsid w:val="000F581E"/>
    <w:rsid w:val="00114061"/>
    <w:rsid w:val="001208C9"/>
    <w:rsid w:val="00134D40"/>
    <w:rsid w:val="0014217F"/>
    <w:rsid w:val="00147250"/>
    <w:rsid w:val="00164623"/>
    <w:rsid w:val="00172DB1"/>
    <w:rsid w:val="00181FD5"/>
    <w:rsid w:val="00187D2C"/>
    <w:rsid w:val="00191078"/>
    <w:rsid w:val="001B453E"/>
    <w:rsid w:val="001E44A3"/>
    <w:rsid w:val="001E7CE2"/>
    <w:rsid w:val="00226864"/>
    <w:rsid w:val="00277D80"/>
    <w:rsid w:val="002A38B1"/>
    <w:rsid w:val="002A5020"/>
    <w:rsid w:val="002A7139"/>
    <w:rsid w:val="002D3EB5"/>
    <w:rsid w:val="00306CD3"/>
    <w:rsid w:val="0032022C"/>
    <w:rsid w:val="00334602"/>
    <w:rsid w:val="003947AD"/>
    <w:rsid w:val="003A1D33"/>
    <w:rsid w:val="003B558E"/>
    <w:rsid w:val="003C006F"/>
    <w:rsid w:val="003C13A0"/>
    <w:rsid w:val="004A3966"/>
    <w:rsid w:val="004B1402"/>
    <w:rsid w:val="004C026C"/>
    <w:rsid w:val="004C7ED7"/>
    <w:rsid w:val="004F5FBA"/>
    <w:rsid w:val="004F6A8C"/>
    <w:rsid w:val="00546786"/>
    <w:rsid w:val="005951AD"/>
    <w:rsid w:val="005A36B9"/>
    <w:rsid w:val="006305FF"/>
    <w:rsid w:val="006413E1"/>
    <w:rsid w:val="00644881"/>
    <w:rsid w:val="00654B64"/>
    <w:rsid w:val="006576A6"/>
    <w:rsid w:val="006911D7"/>
    <w:rsid w:val="006B362A"/>
    <w:rsid w:val="006D3FAB"/>
    <w:rsid w:val="006E0685"/>
    <w:rsid w:val="0074725F"/>
    <w:rsid w:val="007A3F64"/>
    <w:rsid w:val="007B61AC"/>
    <w:rsid w:val="007D10A6"/>
    <w:rsid w:val="007D7952"/>
    <w:rsid w:val="00804E53"/>
    <w:rsid w:val="00814E84"/>
    <w:rsid w:val="00853842"/>
    <w:rsid w:val="008A54A1"/>
    <w:rsid w:val="008B18DC"/>
    <w:rsid w:val="008C07C8"/>
    <w:rsid w:val="008D7FF5"/>
    <w:rsid w:val="008E34AE"/>
    <w:rsid w:val="00915CFE"/>
    <w:rsid w:val="00940404"/>
    <w:rsid w:val="00944B48"/>
    <w:rsid w:val="00970883"/>
    <w:rsid w:val="00975A52"/>
    <w:rsid w:val="009B7AC2"/>
    <w:rsid w:val="009D7C0B"/>
    <w:rsid w:val="009F4BE9"/>
    <w:rsid w:val="00A06E7F"/>
    <w:rsid w:val="00A43DD7"/>
    <w:rsid w:val="00A535CD"/>
    <w:rsid w:val="00A54180"/>
    <w:rsid w:val="00A62511"/>
    <w:rsid w:val="00A73F67"/>
    <w:rsid w:val="00A742BE"/>
    <w:rsid w:val="00A9130A"/>
    <w:rsid w:val="00AE3102"/>
    <w:rsid w:val="00AF0AD6"/>
    <w:rsid w:val="00B06EF4"/>
    <w:rsid w:val="00B377E2"/>
    <w:rsid w:val="00B63B8A"/>
    <w:rsid w:val="00B72DE4"/>
    <w:rsid w:val="00B73E94"/>
    <w:rsid w:val="00B83D73"/>
    <w:rsid w:val="00B90BCA"/>
    <w:rsid w:val="00BB6B12"/>
    <w:rsid w:val="00C00E3A"/>
    <w:rsid w:val="00C254EC"/>
    <w:rsid w:val="00C3536F"/>
    <w:rsid w:val="00C46F91"/>
    <w:rsid w:val="00C961A8"/>
    <w:rsid w:val="00CA1419"/>
    <w:rsid w:val="00CB2C24"/>
    <w:rsid w:val="00CC2779"/>
    <w:rsid w:val="00CC622D"/>
    <w:rsid w:val="00CE6836"/>
    <w:rsid w:val="00CF2FD3"/>
    <w:rsid w:val="00CF3511"/>
    <w:rsid w:val="00D42898"/>
    <w:rsid w:val="00D64B50"/>
    <w:rsid w:val="00D778B8"/>
    <w:rsid w:val="00DC5ADA"/>
    <w:rsid w:val="00DD0114"/>
    <w:rsid w:val="00DF19DA"/>
    <w:rsid w:val="00E06895"/>
    <w:rsid w:val="00E3765A"/>
    <w:rsid w:val="00E44A23"/>
    <w:rsid w:val="00E57D96"/>
    <w:rsid w:val="00E70523"/>
    <w:rsid w:val="00E87A92"/>
    <w:rsid w:val="00EA1A0E"/>
    <w:rsid w:val="00EA525E"/>
    <w:rsid w:val="00EC578A"/>
    <w:rsid w:val="00EC5D9D"/>
    <w:rsid w:val="00ED7344"/>
    <w:rsid w:val="00F04E88"/>
    <w:rsid w:val="00F11714"/>
    <w:rsid w:val="00F326E9"/>
    <w:rsid w:val="00F3451B"/>
    <w:rsid w:val="00F62A13"/>
    <w:rsid w:val="00FA394E"/>
    <w:rsid w:val="00FB0649"/>
    <w:rsid w:val="00FC66BF"/>
    <w:rsid w:val="00FD600E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09A02"/>
  <w15:docId w15:val="{37E64DEE-BF5C-4C0B-8532-53D2BE40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Heading"/>
    <w:qFormat/>
  </w:style>
  <w:style w:type="paragraph" w:customStyle="1" w:styleId="Nagwek21">
    <w:name w:val="Nagłówek 21"/>
    <w:basedOn w:val="Heading"/>
    <w:qFormat/>
  </w:style>
  <w:style w:type="paragraph" w:customStyle="1" w:styleId="Nagwek31">
    <w:name w:val="Nagłówek 31"/>
    <w:basedOn w:val="Heading"/>
    <w:qFormat/>
  </w:style>
  <w:style w:type="character" w:customStyle="1" w:styleId="NagwekZnak">
    <w:name w:val="Nagłówek Znak"/>
    <w:basedOn w:val="Domylnaczcionkaakapitu"/>
    <w:link w:val="Nagwek1"/>
    <w:qFormat/>
    <w:rsid w:val="0032765D"/>
  </w:style>
  <w:style w:type="character" w:customStyle="1" w:styleId="StopkaZnak">
    <w:name w:val="Stopka Znak"/>
    <w:basedOn w:val="Domylnaczcionkaakapitu"/>
    <w:link w:val="Stopka1"/>
    <w:uiPriority w:val="99"/>
    <w:qFormat/>
    <w:rsid w:val="0032765D"/>
  </w:style>
  <w:style w:type="character" w:customStyle="1" w:styleId="ListLabel1">
    <w:name w:val="ListLabel 1"/>
    <w:qFormat/>
    <w:rPr>
      <w:rFonts w:ascii="Times New Roman" w:hAnsi="Times New Roman"/>
      <w:b/>
      <w:sz w:val="20"/>
    </w:rPr>
  </w:style>
  <w:style w:type="character" w:customStyle="1" w:styleId="ListLabel2">
    <w:name w:val="ListLabel 2"/>
    <w:qFormat/>
    <w:rPr>
      <w:rFonts w:ascii="Times New Roman" w:eastAsia="Calibri" w:hAnsi="Times New Roman" w:cs="Times New Roman"/>
      <w:b/>
      <w:sz w:val="20"/>
    </w:rPr>
  </w:style>
  <w:style w:type="character" w:customStyle="1" w:styleId="ListLabel3">
    <w:name w:val="ListLabel 3"/>
    <w:qFormat/>
    <w:rPr>
      <w:rFonts w:ascii="Times New Roman" w:hAnsi="Times New Roman"/>
      <w:color w:val="FF0000"/>
      <w:sz w:val="20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link w:val="NagwekZnak"/>
    <w:unhideWhenUsed/>
    <w:rsid w:val="0032765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32765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2215"/>
    <w:pPr>
      <w:ind w:left="720"/>
      <w:contextualSpacing/>
    </w:pPr>
  </w:style>
  <w:style w:type="paragraph" w:customStyle="1" w:styleId="Quotations">
    <w:name w:val="Quotations"/>
    <w:basedOn w:val="Normalny"/>
    <w:qFormat/>
  </w:style>
  <w:style w:type="paragraph" w:styleId="Tytu">
    <w:name w:val="Title"/>
    <w:basedOn w:val="Heading"/>
    <w:qFormat/>
  </w:style>
  <w:style w:type="paragraph" w:styleId="Podtytu">
    <w:name w:val="Subtitle"/>
    <w:basedOn w:val="Heading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32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E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A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A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A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A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75A5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8294-5BAD-47BB-AE32-F6D5DD60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2433</Words>
  <Characters>14601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Klimkowska Katarzyna</dc:creator>
  <cp:lastModifiedBy>Królak-Buzakowska Joanna</cp:lastModifiedBy>
  <cp:revision>4</cp:revision>
  <cp:lastPrinted>2016-12-14T08:17:00Z</cp:lastPrinted>
  <dcterms:created xsi:type="dcterms:W3CDTF">2020-10-15T09:00:00Z</dcterms:created>
  <dcterms:modified xsi:type="dcterms:W3CDTF">2020-10-20T21:33:00Z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