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9E" w:rsidRDefault="000163C7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0163C7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2032374595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0163C7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7216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29 grudnia 2021 r.</w:t>
      </w:r>
      <w:bookmarkEnd w:id="0"/>
    </w:p>
    <w:p w:rsidR="004824F3" w:rsidRPr="00851E75" w:rsidRDefault="000163C7" w:rsidP="00691727">
      <w:pPr>
        <w:spacing w:before="840"/>
        <w:ind w:right="666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br/>
      </w:r>
      <w:bookmarkStart w:id="1" w:name="ezdSprawaZnak"/>
      <w:bookmarkStart w:id="2" w:name="_GoBack"/>
      <w:r w:rsidRPr="00851E75">
        <w:rPr>
          <w:rFonts w:ascii="Calibri" w:hAnsi="Calibri" w:cs="Calibri"/>
        </w:rPr>
        <w:t>WNP-O.4131.20.2021</w:t>
      </w:r>
      <w:bookmarkEnd w:id="1"/>
    </w:p>
    <w:bookmarkEnd w:id="2"/>
    <w:p w:rsidR="00851E75" w:rsidRDefault="000163C7" w:rsidP="00851E75">
      <w:pPr>
        <w:widowControl w:val="0"/>
        <w:suppressAutoHyphens/>
        <w:spacing w:line="360" w:lineRule="auto"/>
        <w:ind w:left="4332" w:firstLine="623"/>
        <w:rPr>
          <w:rFonts w:asciiTheme="minorHAnsi" w:eastAsia="Lucida Sans Unicode" w:hAnsiTheme="minorHAnsi" w:cstheme="minorHAnsi"/>
          <w:b/>
          <w:sz w:val="28"/>
          <w:szCs w:val="28"/>
          <w:lang w:eastAsia="ar-SA"/>
        </w:rPr>
      </w:pPr>
    </w:p>
    <w:p w:rsidR="007B4780" w:rsidRDefault="000163C7" w:rsidP="00851E75">
      <w:pPr>
        <w:widowControl w:val="0"/>
        <w:suppressAutoHyphens/>
        <w:spacing w:line="360" w:lineRule="auto"/>
        <w:ind w:left="4332" w:firstLine="623"/>
        <w:rPr>
          <w:rFonts w:asciiTheme="minorHAnsi" w:eastAsia="Lucida Sans Unicode" w:hAnsiTheme="minorHAnsi" w:cstheme="minorHAnsi"/>
          <w:b/>
          <w:sz w:val="28"/>
          <w:szCs w:val="28"/>
          <w:lang w:eastAsia="ar-SA"/>
        </w:rPr>
      </w:pPr>
    </w:p>
    <w:p w:rsidR="00851E75" w:rsidRPr="001A7D68" w:rsidRDefault="000163C7" w:rsidP="00851E75">
      <w:pPr>
        <w:widowControl w:val="0"/>
        <w:suppressAutoHyphens/>
        <w:spacing w:line="360" w:lineRule="auto"/>
        <w:ind w:left="4332" w:firstLine="623"/>
        <w:rPr>
          <w:rFonts w:asciiTheme="minorHAnsi" w:eastAsia="Lucida Sans Unicode" w:hAnsiTheme="minorHAnsi" w:cstheme="minorHAnsi"/>
          <w:b/>
          <w:sz w:val="28"/>
          <w:szCs w:val="28"/>
          <w:lang w:eastAsia="ar-SA"/>
        </w:rPr>
      </w:pPr>
      <w:r w:rsidRPr="001A7D68">
        <w:rPr>
          <w:rFonts w:asciiTheme="minorHAnsi" w:eastAsia="Lucida Sans Unicode" w:hAnsiTheme="minorHAnsi" w:cstheme="minorHAnsi"/>
          <w:b/>
          <w:sz w:val="28"/>
          <w:szCs w:val="28"/>
          <w:lang w:eastAsia="ar-SA"/>
        </w:rPr>
        <w:t>Rada Gminy w Szreńsku</w:t>
      </w:r>
    </w:p>
    <w:p w:rsidR="00851E75" w:rsidRPr="007B4780" w:rsidRDefault="000163C7" w:rsidP="00851E75">
      <w:pPr>
        <w:spacing w:line="360" w:lineRule="auto"/>
        <w:ind w:left="4247" w:firstLine="709"/>
        <w:rPr>
          <w:rFonts w:asciiTheme="minorHAnsi" w:hAnsiTheme="minorHAnsi" w:cstheme="minorHAnsi"/>
          <w:bCs/>
          <w:sz w:val="28"/>
          <w:szCs w:val="28"/>
        </w:rPr>
      </w:pPr>
      <w:r w:rsidRPr="007B4780">
        <w:rPr>
          <w:rFonts w:asciiTheme="minorHAnsi" w:hAnsiTheme="minorHAnsi" w:cstheme="minorHAnsi"/>
          <w:bCs/>
          <w:sz w:val="28"/>
          <w:szCs w:val="28"/>
        </w:rPr>
        <w:t>Plac Kanoniczny 10</w:t>
      </w:r>
    </w:p>
    <w:p w:rsidR="00851E75" w:rsidRPr="007B4780" w:rsidRDefault="000163C7" w:rsidP="00851E75">
      <w:pPr>
        <w:spacing w:line="360" w:lineRule="auto"/>
        <w:ind w:left="4248" w:firstLine="708"/>
        <w:rPr>
          <w:rFonts w:asciiTheme="minorHAnsi" w:hAnsiTheme="minorHAnsi" w:cstheme="minorHAnsi"/>
          <w:bCs/>
          <w:sz w:val="28"/>
          <w:szCs w:val="28"/>
        </w:rPr>
      </w:pPr>
      <w:r w:rsidRPr="007B4780">
        <w:rPr>
          <w:rFonts w:asciiTheme="minorHAnsi" w:hAnsiTheme="minorHAnsi" w:cstheme="minorHAnsi"/>
          <w:bCs/>
          <w:sz w:val="28"/>
          <w:szCs w:val="28"/>
        </w:rPr>
        <w:t>06-550 Szreńsk</w:t>
      </w:r>
    </w:p>
    <w:p w:rsidR="00851E75" w:rsidRDefault="000163C7" w:rsidP="00851E75">
      <w:pPr>
        <w:rPr>
          <w:rFonts w:asciiTheme="minorHAnsi" w:hAnsiTheme="minorHAnsi" w:cstheme="minorHAnsi"/>
          <w:b/>
        </w:rPr>
      </w:pPr>
    </w:p>
    <w:p w:rsidR="00851E75" w:rsidRPr="001A7D68" w:rsidRDefault="000163C7" w:rsidP="00851E75">
      <w:pPr>
        <w:rPr>
          <w:rFonts w:asciiTheme="minorHAnsi" w:hAnsiTheme="minorHAnsi" w:cstheme="minorHAnsi"/>
          <w:b/>
        </w:rPr>
      </w:pPr>
    </w:p>
    <w:p w:rsidR="00851E75" w:rsidRPr="001A7D68" w:rsidRDefault="000163C7" w:rsidP="007B4780">
      <w:pPr>
        <w:ind w:firstLine="3"/>
        <w:jc w:val="center"/>
        <w:rPr>
          <w:rFonts w:asciiTheme="minorHAnsi" w:hAnsiTheme="minorHAnsi" w:cstheme="minorHAnsi"/>
          <w:b/>
        </w:rPr>
      </w:pPr>
      <w:r w:rsidRPr="001A7D68">
        <w:rPr>
          <w:rFonts w:asciiTheme="minorHAnsi" w:hAnsiTheme="minorHAnsi" w:cstheme="minorHAnsi"/>
          <w:b/>
        </w:rPr>
        <w:t>Rozstrzygnięcie nadzorcze</w:t>
      </w:r>
    </w:p>
    <w:p w:rsidR="00851E75" w:rsidRPr="001A7D68" w:rsidRDefault="000163C7" w:rsidP="00851E75">
      <w:pPr>
        <w:rPr>
          <w:rFonts w:asciiTheme="minorHAnsi" w:hAnsiTheme="minorHAnsi" w:cstheme="minorHAnsi"/>
          <w:b/>
        </w:rPr>
      </w:pPr>
    </w:p>
    <w:p w:rsidR="00851E75" w:rsidRPr="001A7D68" w:rsidRDefault="000163C7" w:rsidP="00851E7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A7D68">
        <w:rPr>
          <w:rFonts w:asciiTheme="minorHAnsi" w:hAnsiTheme="minorHAnsi" w:cstheme="minorHAnsi"/>
        </w:rPr>
        <w:t xml:space="preserve">Na podstawie art. 91 ust. 1 oraz art. 92 ustawy z dnia 8 marca 1990r. </w:t>
      </w:r>
      <w:r w:rsidRPr="001A7D68">
        <w:rPr>
          <w:rFonts w:asciiTheme="minorHAnsi" w:hAnsiTheme="minorHAnsi" w:cstheme="minorHAnsi"/>
        </w:rPr>
        <w:br/>
      </w:r>
      <w:r w:rsidRPr="001A7D68">
        <w:rPr>
          <w:rFonts w:asciiTheme="minorHAnsi" w:hAnsiTheme="minorHAnsi" w:cstheme="minorHAnsi"/>
          <w:i/>
        </w:rPr>
        <w:t>o samorządzie gminnym</w:t>
      </w:r>
      <w:r w:rsidRPr="001A7D68">
        <w:rPr>
          <w:rFonts w:asciiTheme="minorHAnsi" w:hAnsiTheme="minorHAnsi" w:cstheme="minorHAnsi"/>
        </w:rPr>
        <w:t xml:space="preserve"> (Dz. U. z 2021 r. poz. 1372, 1834)</w:t>
      </w:r>
    </w:p>
    <w:p w:rsidR="007B4780" w:rsidRDefault="000163C7" w:rsidP="00851E75">
      <w:pPr>
        <w:spacing w:line="360" w:lineRule="auto"/>
        <w:rPr>
          <w:rFonts w:asciiTheme="minorHAnsi" w:hAnsiTheme="minorHAnsi" w:cstheme="minorHAnsi"/>
          <w:b/>
        </w:rPr>
      </w:pPr>
    </w:p>
    <w:p w:rsidR="00851E75" w:rsidRPr="001A7D68" w:rsidRDefault="000163C7" w:rsidP="007B4780">
      <w:pPr>
        <w:spacing w:line="360" w:lineRule="auto"/>
        <w:jc w:val="center"/>
        <w:rPr>
          <w:rFonts w:asciiTheme="minorHAnsi" w:hAnsiTheme="minorHAnsi" w:cstheme="minorHAnsi"/>
        </w:rPr>
      </w:pPr>
      <w:r w:rsidRPr="001A7D68">
        <w:rPr>
          <w:rFonts w:asciiTheme="minorHAnsi" w:hAnsiTheme="minorHAnsi" w:cstheme="minorHAnsi"/>
          <w:b/>
        </w:rPr>
        <w:t>stwierdzam nieważność</w:t>
      </w:r>
    </w:p>
    <w:p w:rsidR="00851E75" w:rsidRPr="001A7D68" w:rsidRDefault="000163C7" w:rsidP="00851E75">
      <w:pPr>
        <w:spacing w:line="360" w:lineRule="auto"/>
        <w:jc w:val="both"/>
        <w:rPr>
          <w:rFonts w:asciiTheme="minorHAnsi" w:hAnsiTheme="minorHAnsi" w:cstheme="minorHAnsi"/>
        </w:rPr>
      </w:pPr>
    </w:p>
    <w:p w:rsidR="00851E75" w:rsidRPr="001A7D68" w:rsidRDefault="000163C7" w:rsidP="00851E75">
      <w:pPr>
        <w:widowControl w:val="0"/>
        <w:suppressAutoHyphens/>
        <w:spacing w:line="360" w:lineRule="auto"/>
        <w:jc w:val="both"/>
        <w:rPr>
          <w:rFonts w:asciiTheme="minorHAnsi" w:eastAsia="Lucida Sans Unicode" w:hAnsiTheme="minorHAnsi" w:cstheme="minorHAnsi"/>
          <w:lang w:eastAsia="ar-SA"/>
        </w:rPr>
      </w:pPr>
      <w:r w:rsidRPr="001A7D68">
        <w:rPr>
          <w:rFonts w:asciiTheme="minorHAnsi" w:eastAsia="Lucida Sans Unicode" w:hAnsiTheme="minorHAnsi" w:cstheme="minorHAnsi"/>
          <w:lang w:eastAsia="ar-SA"/>
        </w:rPr>
        <w:t xml:space="preserve">uchwały Rady Gminy w Szreńsku nr XXIV/156/2021 z dnia 25 listopada 2021 r. </w:t>
      </w:r>
      <w:r w:rsidRPr="001A7D68">
        <w:rPr>
          <w:rFonts w:asciiTheme="minorHAnsi" w:eastAsia="Lucida Sans Unicode" w:hAnsiTheme="minorHAnsi" w:cstheme="minorHAnsi"/>
          <w:i/>
          <w:lang w:eastAsia="ar-SA"/>
        </w:rPr>
        <w:t xml:space="preserve">w sprawie ustalenia wysokości diety miesięcznej dla Przewodniczącego Rady Gminy w Szreńsku, </w:t>
      </w:r>
      <w:r w:rsidRPr="001A7D68">
        <w:rPr>
          <w:rFonts w:asciiTheme="minorHAnsi" w:eastAsia="Lucida Sans Unicode" w:hAnsiTheme="minorHAnsi" w:cstheme="minorHAnsi"/>
          <w:b/>
          <w:lang w:eastAsia="ar-SA"/>
        </w:rPr>
        <w:t xml:space="preserve">w części, 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to jest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A7D68">
        <w:rPr>
          <w:rFonts w:asciiTheme="minorHAnsi" w:eastAsia="Lucida Sans Unicode" w:hAnsiTheme="minorHAnsi" w:cstheme="minorHAnsi"/>
          <w:lang w:eastAsia="ar-SA"/>
        </w:rPr>
        <w:t>w zakresie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§ 1 ww. uchwały. </w:t>
      </w:r>
    </w:p>
    <w:p w:rsidR="00851E75" w:rsidRPr="001A7D68" w:rsidRDefault="000163C7" w:rsidP="00851E75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b/>
          <w:lang w:eastAsia="ar-SA"/>
        </w:rPr>
      </w:pPr>
    </w:p>
    <w:p w:rsidR="00851E75" w:rsidRPr="001A7D68" w:rsidRDefault="000163C7" w:rsidP="007B4780">
      <w:pPr>
        <w:widowControl w:val="0"/>
        <w:suppressAutoHyphens/>
        <w:spacing w:line="360" w:lineRule="auto"/>
        <w:jc w:val="center"/>
        <w:rPr>
          <w:rFonts w:asciiTheme="minorHAnsi" w:eastAsia="Lucida Sans Unicode" w:hAnsiTheme="minorHAnsi" w:cstheme="minorHAnsi"/>
          <w:b/>
          <w:lang w:eastAsia="ar-SA"/>
        </w:rPr>
      </w:pPr>
      <w:r w:rsidRPr="001A7D68">
        <w:rPr>
          <w:rFonts w:asciiTheme="minorHAnsi" w:eastAsia="Lucida Sans Unicode" w:hAnsiTheme="minorHAnsi" w:cstheme="minorHAnsi"/>
          <w:b/>
          <w:lang w:eastAsia="ar-SA"/>
        </w:rPr>
        <w:t>Uzasadnienie</w:t>
      </w:r>
    </w:p>
    <w:p w:rsidR="00851E75" w:rsidRPr="001A7D68" w:rsidRDefault="000163C7" w:rsidP="00851E75">
      <w:pPr>
        <w:widowControl w:val="0"/>
        <w:suppressAutoHyphens/>
        <w:spacing w:after="240" w:line="360" w:lineRule="auto"/>
        <w:ind w:firstLine="709"/>
        <w:jc w:val="both"/>
        <w:rPr>
          <w:rFonts w:asciiTheme="minorHAnsi" w:eastAsia="Lucida Sans Unicode" w:hAnsiTheme="minorHAnsi" w:cstheme="minorHAnsi"/>
          <w:i/>
          <w:spacing w:val="-1"/>
          <w:lang w:eastAsia="ar-SA"/>
        </w:rPr>
      </w:pP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>W dniu 25 listopada 2021 r. Rada Gminy w Szreńsku podjęła uchwałę nr XXIV/156/2021</w:t>
      </w:r>
      <w:r w:rsidRPr="001A7D68">
        <w:rPr>
          <w:rFonts w:asciiTheme="minorHAnsi" w:eastAsia="Lucida Sans Unicode" w:hAnsiTheme="minorHAnsi" w:cstheme="minorHAnsi"/>
          <w:i/>
          <w:spacing w:val="-1"/>
          <w:lang w:eastAsia="ar-SA"/>
        </w:rPr>
        <w:t xml:space="preserve"> </w:t>
      </w:r>
      <w:r>
        <w:rPr>
          <w:rFonts w:asciiTheme="minorHAnsi" w:eastAsia="Lucida Sans Unicode" w:hAnsiTheme="minorHAnsi" w:cstheme="minorHAnsi"/>
          <w:i/>
          <w:spacing w:val="-1"/>
          <w:lang w:eastAsia="ar-SA"/>
        </w:rPr>
        <w:br/>
      </w:r>
      <w:r w:rsidRPr="001A7D68">
        <w:rPr>
          <w:rFonts w:asciiTheme="minorHAnsi" w:eastAsia="Lucida Sans Unicode" w:hAnsiTheme="minorHAnsi" w:cstheme="minorHAnsi"/>
          <w:i/>
          <w:spacing w:val="-1"/>
          <w:lang w:eastAsia="ar-SA"/>
        </w:rPr>
        <w:t xml:space="preserve">w sprawie ustalenia wysokości diety miesięcznej dla Przewodniczącego Rady Gminy w Szreńsku. </w:t>
      </w:r>
    </w:p>
    <w:p w:rsidR="00851E75" w:rsidRPr="001A7D68" w:rsidRDefault="000163C7" w:rsidP="00851E75">
      <w:pPr>
        <w:widowControl w:val="0"/>
        <w:suppressAutoHyphens/>
        <w:spacing w:after="240" w:line="360" w:lineRule="auto"/>
        <w:ind w:firstLine="709"/>
        <w:jc w:val="both"/>
        <w:rPr>
          <w:rFonts w:asciiTheme="minorHAnsi" w:eastAsia="Lucida Sans Unicode" w:hAnsiTheme="minorHAnsi" w:cstheme="minorHAnsi"/>
          <w:spacing w:val="-1"/>
          <w:lang w:eastAsia="ar-SA"/>
        </w:rPr>
      </w:pP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 xml:space="preserve">Uchwała powyższa została doręczona Wojewodzie </w:t>
      </w: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>Mazowieckiemu, jako organowi nadzoru nad działalnością gminną, w dniu 1 grudnia 2021 r. Jako podstawę prawną uchwały</w:t>
      </w:r>
      <w:r>
        <w:rPr>
          <w:rFonts w:asciiTheme="minorHAnsi" w:eastAsia="Lucida Sans Unicode" w:hAnsiTheme="minorHAnsi" w:cstheme="minorHAnsi"/>
          <w:spacing w:val="-1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 xml:space="preserve"> Rada Gminy wskazała art. 25 ust. 4 ustawy </w:t>
      </w:r>
      <w:r w:rsidRPr="001A7D68">
        <w:rPr>
          <w:rFonts w:asciiTheme="minorHAnsi" w:eastAsia="Lucida Sans Unicode" w:hAnsiTheme="minorHAnsi" w:cstheme="minorHAnsi"/>
          <w:i/>
          <w:spacing w:val="-1"/>
          <w:lang w:eastAsia="ar-SA"/>
        </w:rPr>
        <w:t>o samorządzie gminnym.</w:t>
      </w: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 xml:space="preserve"> </w:t>
      </w:r>
    </w:p>
    <w:p w:rsidR="00851E75" w:rsidRPr="001A7D68" w:rsidRDefault="000163C7" w:rsidP="00851E75">
      <w:pPr>
        <w:widowControl w:val="0"/>
        <w:suppressAutoHyphens/>
        <w:spacing w:after="240"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A7D68">
        <w:rPr>
          <w:rFonts w:asciiTheme="minorHAnsi" w:hAnsiTheme="minorHAnsi" w:cstheme="minorHAnsi"/>
        </w:rPr>
        <w:t>Pismem z dnia 21 grudnia 2021 r. Wojewoda Mazowiecki zawiadomił Radę Gmi</w:t>
      </w:r>
      <w:r w:rsidRPr="001A7D68">
        <w:rPr>
          <w:rFonts w:asciiTheme="minorHAnsi" w:hAnsiTheme="minorHAnsi" w:cstheme="minorHAnsi"/>
        </w:rPr>
        <w:t>ny w Szreńsku o wszczęciu postępowania nadzorczego w sprawie stwierdzenia nieważności uchwały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A7D68">
        <w:rPr>
          <w:rFonts w:asciiTheme="minorHAnsi" w:eastAsia="Lucida Sans Unicode" w:hAnsiTheme="minorHAnsi" w:cstheme="minorHAnsi"/>
          <w:lang w:eastAsia="ar-SA"/>
        </w:rPr>
        <w:t>nr XXIV/156/2021.</w:t>
      </w:r>
    </w:p>
    <w:p w:rsidR="00851E75" w:rsidRPr="001A7D68" w:rsidRDefault="000163C7" w:rsidP="00851E75">
      <w:pPr>
        <w:widowControl w:val="0"/>
        <w:suppressAutoHyphens/>
        <w:spacing w:after="240" w:line="360" w:lineRule="auto"/>
        <w:ind w:firstLine="709"/>
        <w:jc w:val="both"/>
        <w:rPr>
          <w:rFonts w:asciiTheme="minorHAnsi" w:eastAsia="Lucida Sans Unicode" w:hAnsiTheme="minorHAnsi" w:cstheme="minorHAnsi"/>
          <w:spacing w:val="-1"/>
          <w:lang w:eastAsia="ar-SA"/>
        </w:rPr>
      </w:pP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lastRenderedPageBreak/>
        <w:t>W ocenie organu nadzoru</w:t>
      </w:r>
      <w:r>
        <w:rPr>
          <w:rFonts w:asciiTheme="minorHAnsi" w:eastAsia="Lucida Sans Unicode" w:hAnsiTheme="minorHAnsi" w:cstheme="minorHAnsi"/>
          <w:spacing w:val="-1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 xml:space="preserve"> uchwała nr XXIV/156/2021 została podjęta z istotnym naruszeniem prawa, z</w:t>
      </w:r>
      <w:r>
        <w:rPr>
          <w:rFonts w:asciiTheme="minorHAnsi" w:eastAsia="Lucida Sans Unicode" w:hAnsiTheme="minorHAnsi" w:cstheme="minorHAnsi"/>
          <w:spacing w:val="-1"/>
          <w:lang w:eastAsia="ar-SA"/>
        </w:rPr>
        <w:t xml:space="preserve"> przyczyn</w:t>
      </w: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 xml:space="preserve"> </w:t>
      </w:r>
      <w:r>
        <w:rPr>
          <w:rFonts w:asciiTheme="minorHAnsi" w:eastAsia="Lucida Sans Unicode" w:hAnsiTheme="minorHAnsi" w:cstheme="minorHAnsi"/>
          <w:spacing w:val="-1"/>
          <w:lang w:eastAsia="ar-SA"/>
        </w:rPr>
        <w:t>wskazanych</w:t>
      </w: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 xml:space="preserve"> poniżej.</w:t>
      </w:r>
    </w:p>
    <w:p w:rsidR="00851E75" w:rsidRPr="001A7D68" w:rsidRDefault="000163C7" w:rsidP="00851E75">
      <w:pPr>
        <w:widowControl w:val="0"/>
        <w:suppressAutoHyphens/>
        <w:spacing w:after="240" w:line="360" w:lineRule="auto"/>
        <w:ind w:firstLine="709"/>
        <w:jc w:val="both"/>
        <w:rPr>
          <w:rFonts w:asciiTheme="minorHAnsi" w:eastAsia="Lucida Sans Unicode" w:hAnsiTheme="minorHAnsi" w:cstheme="minorHAnsi"/>
          <w:i/>
          <w:spacing w:val="-1"/>
          <w:lang w:eastAsia="ar-SA"/>
        </w:rPr>
      </w:pP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 xml:space="preserve">W §1 </w:t>
      </w:r>
      <w:r>
        <w:rPr>
          <w:rFonts w:asciiTheme="minorHAnsi" w:eastAsia="Lucida Sans Unicode" w:hAnsiTheme="minorHAnsi" w:cstheme="minorHAnsi"/>
          <w:spacing w:val="-1"/>
          <w:lang w:eastAsia="ar-SA"/>
        </w:rPr>
        <w:t>kwestionowanej</w:t>
      </w: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 xml:space="preserve"> uchwały Rada Gminy unormowała</w:t>
      </w:r>
      <w:r>
        <w:rPr>
          <w:rFonts w:asciiTheme="minorHAnsi" w:eastAsia="Lucida Sans Unicode" w:hAnsiTheme="minorHAnsi" w:cstheme="minorHAnsi"/>
          <w:spacing w:val="-1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 xml:space="preserve"> co następuje: </w:t>
      </w:r>
      <w:r w:rsidRPr="001A7D68">
        <w:rPr>
          <w:rFonts w:asciiTheme="minorHAnsi" w:eastAsia="Lucida Sans Unicode" w:hAnsiTheme="minorHAnsi" w:cstheme="minorHAnsi"/>
          <w:i/>
          <w:spacing w:val="-1"/>
          <w:lang w:eastAsia="ar-SA"/>
        </w:rPr>
        <w:t>Ustala się miesięczną dietę dla Przewodniczącego Rady Gminy w wysokości 1500,00 (słownie: jeden tysiąc pięćset złotych)</w:t>
      </w: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 xml:space="preserve"> (ust. 1). </w:t>
      </w:r>
      <w:r w:rsidRPr="001A7D68">
        <w:rPr>
          <w:rFonts w:asciiTheme="minorHAnsi" w:eastAsia="Lucida Sans Unicode" w:hAnsiTheme="minorHAnsi" w:cstheme="minorHAnsi"/>
          <w:i/>
          <w:spacing w:val="-1"/>
          <w:lang w:eastAsia="ar-SA"/>
        </w:rPr>
        <w:t>W przypadku nieobecności Przewodniczącego na posiedzeniach sesji R</w:t>
      </w:r>
      <w:r w:rsidRPr="001A7D68">
        <w:rPr>
          <w:rFonts w:asciiTheme="minorHAnsi" w:eastAsia="Lucida Sans Unicode" w:hAnsiTheme="minorHAnsi" w:cstheme="minorHAnsi"/>
          <w:i/>
          <w:spacing w:val="-1"/>
          <w:lang w:eastAsia="ar-SA"/>
        </w:rPr>
        <w:t>ady Gminy dieta za dany miesiąc ulega obniżeniu o 10% za każdą nieobecność</w:t>
      </w: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 xml:space="preserve"> (ust. 2). </w:t>
      </w:r>
      <w:r w:rsidRPr="001A7D68">
        <w:rPr>
          <w:rFonts w:asciiTheme="minorHAnsi" w:eastAsia="Lucida Sans Unicode" w:hAnsiTheme="minorHAnsi" w:cstheme="minorHAnsi"/>
          <w:i/>
          <w:spacing w:val="-1"/>
          <w:lang w:eastAsia="ar-SA"/>
        </w:rPr>
        <w:t xml:space="preserve">Potrącenia dokonuje się z diety przysługującej w następnym miesiącu </w:t>
      </w: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>(ust. 3).</w:t>
      </w:r>
    </w:p>
    <w:p w:rsidR="00851E75" w:rsidRPr="001A7D68" w:rsidRDefault="000163C7" w:rsidP="00851E75">
      <w:pPr>
        <w:widowControl w:val="0"/>
        <w:suppressAutoHyphens/>
        <w:spacing w:after="240" w:line="360" w:lineRule="auto"/>
        <w:ind w:firstLine="709"/>
        <w:jc w:val="both"/>
        <w:rPr>
          <w:rFonts w:asciiTheme="minorHAnsi" w:eastAsia="Lucida Sans Unicode" w:hAnsiTheme="minorHAnsi" w:cstheme="minorHAnsi"/>
          <w:spacing w:val="-1"/>
          <w:lang w:eastAsia="ar-SA"/>
        </w:rPr>
      </w:pP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>W ocenie Wojewody Mazowieckiego, jako organu nadzoru nad działalnością gminną, opisane powyże</w:t>
      </w: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>j unormowania §1 uchwały nr XXIV/156/2021</w:t>
      </w:r>
      <w:r>
        <w:rPr>
          <w:rFonts w:asciiTheme="minorHAnsi" w:eastAsia="Lucida Sans Unicode" w:hAnsiTheme="minorHAnsi" w:cstheme="minorHAnsi"/>
          <w:spacing w:val="-1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spacing w:val="-1"/>
          <w:lang w:eastAsia="ar-SA"/>
        </w:rPr>
        <w:t xml:space="preserve"> istotnie naruszają art. 25 ust. 4 ustawy </w:t>
      </w:r>
      <w:r>
        <w:rPr>
          <w:rFonts w:asciiTheme="minorHAnsi" w:eastAsia="Lucida Sans Unicode" w:hAnsiTheme="minorHAnsi" w:cstheme="minorHAnsi"/>
          <w:spacing w:val="-1"/>
          <w:lang w:eastAsia="ar-SA"/>
        </w:rPr>
        <w:br/>
      </w:r>
      <w:r w:rsidRPr="001A7D68">
        <w:rPr>
          <w:rFonts w:asciiTheme="minorHAnsi" w:eastAsia="Lucida Sans Unicode" w:hAnsiTheme="minorHAnsi" w:cstheme="minorHAnsi"/>
          <w:i/>
          <w:spacing w:val="-1"/>
          <w:lang w:eastAsia="ar-SA"/>
        </w:rPr>
        <w:t xml:space="preserve">o samorządzie gminnym.  </w:t>
      </w: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A7D68">
        <w:rPr>
          <w:rFonts w:asciiTheme="minorHAnsi" w:eastAsia="Lucida Sans Unicode" w:hAnsiTheme="minorHAnsi" w:cstheme="minorHAnsi"/>
          <w:lang w:eastAsia="ar-SA"/>
        </w:rPr>
        <w:t xml:space="preserve">Zgodnie z brzmieniem art. 25 ustawy </w:t>
      </w:r>
      <w:r w:rsidRPr="001A7D68">
        <w:rPr>
          <w:rFonts w:asciiTheme="minorHAnsi" w:eastAsia="Lucida Sans Unicode" w:hAnsiTheme="minorHAnsi" w:cstheme="minorHAnsi"/>
          <w:i/>
          <w:lang w:eastAsia="ar-SA"/>
        </w:rPr>
        <w:t>o samorządzie gminnym,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radnemu przysługują diety oraz zwrot kosztów podróży służbowych na zasadach ustalonych 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przez radę gminy (ust. 4), a rada gminy przy ustalaniu wysokości diet radnych bierze pod uwagę funkcje pełnione przez radnego (ust. 8). </w:t>
      </w: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A7D68">
        <w:rPr>
          <w:rFonts w:asciiTheme="minorHAnsi" w:eastAsia="Lucida Sans Unicode" w:hAnsiTheme="minorHAnsi" w:cstheme="minorHAnsi"/>
          <w:lang w:eastAsia="ar-SA"/>
        </w:rPr>
        <w:t xml:space="preserve">Zarówno w doktrynie prawa, jak i </w:t>
      </w:r>
      <w:r>
        <w:rPr>
          <w:rFonts w:asciiTheme="minorHAnsi" w:eastAsia="Lucida Sans Unicode" w:hAnsiTheme="minorHAnsi" w:cstheme="minorHAnsi"/>
          <w:lang w:eastAsia="ar-SA"/>
        </w:rPr>
        <w:t xml:space="preserve">w </w:t>
      </w:r>
      <w:r w:rsidRPr="001A7D68">
        <w:rPr>
          <w:rFonts w:asciiTheme="minorHAnsi" w:eastAsia="Lucida Sans Unicode" w:hAnsiTheme="minorHAnsi" w:cstheme="minorHAnsi"/>
          <w:lang w:eastAsia="ar-SA"/>
        </w:rPr>
        <w:t>orzecznictwie sądów administracyjnych przyjęto, że dieta radnego, o której mowa w wyżej przytoczonych przepisach, stanowi jedynie rekompensatę utraconych przez radnego korzyści i nie posiada charakteru świadczenia pracowniczego. W wyroku Wojewódzkiego Sądu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Administracyjnego w Opolu z dnia 7 listopada 2013 r. (sygn. akt II SA/</w:t>
      </w:r>
      <w:proofErr w:type="spellStart"/>
      <w:r w:rsidRPr="001A7D68">
        <w:rPr>
          <w:rFonts w:asciiTheme="minorHAnsi" w:eastAsia="Lucida Sans Unicode" w:hAnsiTheme="minorHAnsi" w:cstheme="minorHAnsi"/>
          <w:lang w:eastAsia="ar-SA"/>
        </w:rPr>
        <w:t>Op</w:t>
      </w:r>
      <w:proofErr w:type="spellEnd"/>
      <w:r w:rsidRPr="001A7D68">
        <w:rPr>
          <w:rFonts w:asciiTheme="minorHAnsi" w:eastAsia="Lucida Sans Unicode" w:hAnsiTheme="minorHAnsi" w:cstheme="minorHAnsi"/>
          <w:lang w:eastAsia="ar-SA"/>
        </w:rPr>
        <w:t xml:space="preserve"> 316/13, źródło: </w:t>
      </w:r>
      <w:r w:rsidRPr="001A7D68">
        <w:rPr>
          <w:rFonts w:asciiTheme="minorHAnsi" w:eastAsia="Lucida Sans Unicode" w:hAnsiTheme="minorHAnsi" w:cstheme="minorHAnsi"/>
          <w:i/>
          <w:lang w:eastAsia="ar-SA"/>
        </w:rPr>
        <w:t>orzeczenia.nsa.gov.pl</w:t>
      </w:r>
      <w:r w:rsidRPr="001A7D68">
        <w:rPr>
          <w:rFonts w:asciiTheme="minorHAnsi" w:eastAsia="Lucida Sans Unicode" w:hAnsiTheme="minorHAnsi" w:cstheme="minorHAnsi"/>
          <w:lang w:eastAsia="ar-SA"/>
        </w:rPr>
        <w:t>) stwierdzono, że użyte przez ustawodawcę określenie „dieta”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należy rozumieć jako zwrot kosztów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związanych z pełnieniem funkcji radnego. Istota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diety sprowadza się do wyrównania wydatków i strat spowodowanych pełnieniem wskazanej funkcji. Osoba pełniąca daną funkcję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zachowuje prawo do zwrotu kosztów i wydatków (strat) poniesionych w związku ze sprawowaniem funkcji, a nie jedynie z powodu uzyskania danej funkcji. Dieta powinna być zatem ściśle powiązana z aktywnością radnych w pracach rady i zależna od rzeczywistego w</w:t>
      </w:r>
      <w:r w:rsidRPr="001A7D68">
        <w:rPr>
          <w:rFonts w:asciiTheme="minorHAnsi" w:eastAsia="Lucida Sans Unicode" w:hAnsiTheme="minorHAnsi" w:cstheme="minorHAnsi"/>
          <w:lang w:eastAsia="ar-SA"/>
        </w:rPr>
        <w:t>ykonywania obowiązków związanych z pełnioną funkcją (por. również wyroki Wojewódzkiego Sądu Administracyjnego w Opolu: z dnia 9 lipca 2015 r., sygn. akt II SA/</w:t>
      </w:r>
      <w:proofErr w:type="spellStart"/>
      <w:r w:rsidRPr="001A7D68">
        <w:rPr>
          <w:rFonts w:asciiTheme="minorHAnsi" w:eastAsia="Lucida Sans Unicode" w:hAnsiTheme="minorHAnsi" w:cstheme="minorHAnsi"/>
          <w:lang w:eastAsia="ar-SA"/>
        </w:rPr>
        <w:t>Op</w:t>
      </w:r>
      <w:proofErr w:type="spellEnd"/>
      <w:r w:rsidRPr="001A7D68">
        <w:rPr>
          <w:rFonts w:asciiTheme="minorHAnsi" w:eastAsia="Lucida Sans Unicode" w:hAnsiTheme="minorHAnsi" w:cstheme="minorHAnsi"/>
          <w:lang w:eastAsia="ar-SA"/>
        </w:rPr>
        <w:t xml:space="preserve"> 161/15, z dnia 21 lipca 2015 r., sygn. akt II SA/</w:t>
      </w:r>
      <w:proofErr w:type="spellStart"/>
      <w:r w:rsidRPr="001A7D68">
        <w:rPr>
          <w:rFonts w:asciiTheme="minorHAnsi" w:eastAsia="Lucida Sans Unicode" w:hAnsiTheme="minorHAnsi" w:cstheme="minorHAnsi"/>
          <w:lang w:eastAsia="ar-SA"/>
        </w:rPr>
        <w:t>Op</w:t>
      </w:r>
      <w:proofErr w:type="spellEnd"/>
      <w:r w:rsidRPr="001A7D68">
        <w:rPr>
          <w:rFonts w:asciiTheme="minorHAnsi" w:eastAsia="Lucida Sans Unicode" w:hAnsiTheme="minorHAnsi" w:cstheme="minorHAnsi"/>
          <w:lang w:eastAsia="ar-SA"/>
        </w:rPr>
        <w:t xml:space="preserve"> 177/15, z dnia 4 sierpnia 2015 r., sygn. a</w:t>
      </w:r>
      <w:r w:rsidRPr="001A7D68">
        <w:rPr>
          <w:rFonts w:asciiTheme="minorHAnsi" w:eastAsia="Lucida Sans Unicode" w:hAnsiTheme="minorHAnsi" w:cstheme="minorHAnsi"/>
          <w:lang w:eastAsia="ar-SA"/>
        </w:rPr>
        <w:t>kt II SA/</w:t>
      </w:r>
      <w:proofErr w:type="spellStart"/>
      <w:r w:rsidRPr="001A7D68">
        <w:rPr>
          <w:rFonts w:asciiTheme="minorHAnsi" w:eastAsia="Lucida Sans Unicode" w:hAnsiTheme="minorHAnsi" w:cstheme="minorHAnsi"/>
          <w:lang w:eastAsia="ar-SA"/>
        </w:rPr>
        <w:t>Op</w:t>
      </w:r>
      <w:proofErr w:type="spellEnd"/>
      <w:r w:rsidRPr="001A7D68">
        <w:rPr>
          <w:rFonts w:asciiTheme="minorHAnsi" w:eastAsia="Lucida Sans Unicode" w:hAnsiTheme="minorHAnsi" w:cstheme="minorHAnsi"/>
          <w:lang w:eastAsia="ar-SA"/>
        </w:rPr>
        <w:t xml:space="preserve"> 252/15, źródło: </w:t>
      </w:r>
      <w:r w:rsidRPr="001A7D68">
        <w:rPr>
          <w:rFonts w:asciiTheme="minorHAnsi" w:eastAsia="Lucida Sans Unicode" w:hAnsiTheme="minorHAnsi" w:cstheme="minorHAnsi"/>
          <w:i/>
          <w:lang w:eastAsia="ar-SA"/>
        </w:rPr>
        <w:t>orzeczenia.nsa.gov.pl</w:t>
      </w:r>
      <w:r w:rsidRPr="001A7D68">
        <w:rPr>
          <w:rFonts w:asciiTheme="minorHAnsi" w:eastAsia="Lucida Sans Unicode" w:hAnsiTheme="minorHAnsi" w:cstheme="minorHAnsi"/>
          <w:lang w:eastAsia="ar-SA"/>
        </w:rPr>
        <w:t>).</w:t>
      </w: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A7D68">
        <w:rPr>
          <w:rFonts w:asciiTheme="minorHAnsi" w:eastAsia="Lucida Sans Unicode" w:hAnsiTheme="minorHAnsi" w:cstheme="minorHAnsi"/>
          <w:lang w:eastAsia="ar-SA"/>
        </w:rPr>
        <w:lastRenderedPageBreak/>
        <w:t xml:space="preserve">W orzecznictwie podkreślono ponadto, że dopuszczalność wprowadzenia diety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A7D68">
        <w:rPr>
          <w:rFonts w:asciiTheme="minorHAnsi" w:eastAsia="Lucida Sans Unicode" w:hAnsiTheme="minorHAnsi" w:cstheme="minorHAnsi"/>
          <w:lang w:eastAsia="ar-SA"/>
        </w:rPr>
        <w:t>o charakterze ryczałtowym nie może prowadzić do sytuacji powstania stałego miesięcznego wynagrodzenia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niezależnego od udziału w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pracach organów gminy (patrz: </w:t>
      </w:r>
      <w:r w:rsidRPr="001A7D68">
        <w:rPr>
          <w:rFonts w:asciiTheme="minorHAnsi" w:eastAsia="Lucida Sans Unicode" w:hAnsiTheme="minorHAnsi" w:cstheme="minorHAnsi"/>
          <w:i/>
          <w:lang w:eastAsia="ar-SA"/>
        </w:rPr>
        <w:t>Ustawa o samorządzie gminnym. Komentarz,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pod red. B. Dolnickiego, WKP 2018). </w:t>
      </w:r>
      <w:r>
        <w:rPr>
          <w:rFonts w:asciiTheme="minorHAnsi" w:eastAsia="Lucida Sans Unicode" w:hAnsiTheme="minorHAnsi" w:cstheme="minorHAnsi"/>
          <w:lang w:eastAsia="ar-SA"/>
        </w:rPr>
        <w:t>W wyroku z dnia 26 czerwca 2014</w:t>
      </w:r>
      <w:r>
        <w:rPr>
          <w:rFonts w:asciiTheme="minorHAnsi" w:eastAsia="Lucida Sans Unicode" w:hAnsiTheme="minorHAnsi" w:cstheme="minorHAnsi"/>
          <w:lang w:eastAsia="ar-SA"/>
        </w:rPr>
        <w:t> </w:t>
      </w:r>
      <w:r w:rsidRPr="001A7D68">
        <w:rPr>
          <w:rFonts w:asciiTheme="minorHAnsi" w:eastAsia="Lucida Sans Unicode" w:hAnsiTheme="minorHAnsi" w:cstheme="minorHAnsi"/>
          <w:lang w:eastAsia="ar-SA"/>
        </w:rPr>
        <w:t>r. Naczelny Sąd Administracyjny orzekł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co następuje: </w:t>
      </w:r>
      <w:r w:rsidRPr="001A7D68">
        <w:rPr>
          <w:rFonts w:asciiTheme="minorHAnsi" w:eastAsia="Lucida Sans Unicode" w:hAnsiTheme="minorHAnsi" w:cstheme="minorHAnsi"/>
          <w:i/>
          <w:lang w:eastAsia="ar-SA"/>
        </w:rPr>
        <w:t>w sytuacji, gdy ustalenie świadczenia następuje w formie rycza</w:t>
      </w:r>
      <w:r w:rsidRPr="001A7D68">
        <w:rPr>
          <w:rFonts w:asciiTheme="minorHAnsi" w:eastAsia="Lucida Sans Unicode" w:hAnsiTheme="minorHAnsi" w:cstheme="minorHAnsi"/>
          <w:i/>
          <w:lang w:eastAsia="ar-SA"/>
        </w:rPr>
        <w:t xml:space="preserve">łtu, brak przewidzianych potrąceń diety za przypadki nieobecności przewodniczącego na posiedzeniach, czy innych obowiązkowych czynnościach, sprawia, że nie mamy już do czynienia ze świadczeniem wyrównawczym (kompensacyjnym) </w:t>
      </w:r>
      <w:r w:rsidRPr="001A7D68">
        <w:rPr>
          <w:rFonts w:asciiTheme="minorHAnsi" w:eastAsia="Lucida Sans Unicode" w:hAnsiTheme="minorHAnsi" w:cstheme="minorHAnsi"/>
          <w:lang w:eastAsia="ar-SA"/>
        </w:rPr>
        <w:t>(sygn. akt II OSK 406/14, źródło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: </w:t>
      </w:r>
      <w:r w:rsidRPr="001A7D68">
        <w:rPr>
          <w:rFonts w:asciiTheme="minorHAnsi" w:eastAsia="Lucida Sans Unicode" w:hAnsiTheme="minorHAnsi" w:cstheme="minorHAnsi"/>
          <w:i/>
          <w:lang w:eastAsia="ar-SA"/>
        </w:rPr>
        <w:t>orzeczenia.nsa.gov.pl</w:t>
      </w:r>
      <w:r w:rsidRPr="001A7D68">
        <w:rPr>
          <w:rFonts w:asciiTheme="minorHAnsi" w:eastAsia="Lucida Sans Unicode" w:hAnsiTheme="minorHAnsi" w:cstheme="minorHAnsi"/>
          <w:lang w:eastAsia="ar-SA"/>
        </w:rPr>
        <w:t>)</w:t>
      </w:r>
      <w:r w:rsidRPr="001A7D68">
        <w:rPr>
          <w:rFonts w:asciiTheme="minorHAnsi" w:eastAsia="Lucida Sans Unicode" w:hAnsiTheme="minorHAnsi" w:cstheme="minorHAnsi"/>
          <w:i/>
          <w:lang w:eastAsia="ar-SA"/>
        </w:rPr>
        <w:t>.</w:t>
      </w: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A7D68">
        <w:rPr>
          <w:rFonts w:asciiTheme="minorHAnsi" w:eastAsia="Lucida Sans Unicode" w:hAnsiTheme="minorHAnsi" w:cstheme="minorHAnsi"/>
          <w:lang w:eastAsia="ar-SA"/>
        </w:rPr>
        <w:t>Wprawdzie w uchwale nr XXIV/156/2021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Rada Gminy Szreńsk wskazała przypadki potrąceń w stosunku do miesięcznej wysokości diety (§ 1 ust. 2), nie zmienia to jednak faktu, że wypłata nadal będzie miała </w:t>
      </w:r>
      <w:r>
        <w:rPr>
          <w:rFonts w:asciiTheme="minorHAnsi" w:eastAsia="Lucida Sans Unicode" w:hAnsiTheme="minorHAnsi" w:cstheme="minorHAnsi"/>
          <w:lang w:eastAsia="ar-SA"/>
        </w:rPr>
        <w:t>charakter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miesięczn</w:t>
      </w:r>
      <w:r>
        <w:rPr>
          <w:rFonts w:asciiTheme="minorHAnsi" w:eastAsia="Lucida Sans Unicode" w:hAnsiTheme="minorHAnsi" w:cstheme="minorHAnsi"/>
          <w:lang w:eastAsia="ar-SA"/>
        </w:rPr>
        <w:t>ego uposaż</w:t>
      </w:r>
      <w:r>
        <w:rPr>
          <w:rFonts w:asciiTheme="minorHAnsi" w:eastAsia="Lucida Sans Unicode" w:hAnsiTheme="minorHAnsi" w:cstheme="minorHAnsi"/>
          <w:lang w:eastAsia="ar-SA"/>
        </w:rPr>
        <w:t>enia,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a więc</w:t>
      </w:r>
      <w:r>
        <w:rPr>
          <w:rFonts w:asciiTheme="minorHAnsi" w:eastAsia="Lucida Sans Unicode" w:hAnsiTheme="minorHAnsi" w:cstheme="minorHAnsi"/>
          <w:lang w:eastAsia="ar-SA"/>
        </w:rPr>
        <w:t xml:space="preserve"> charakter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ryczałtow</w:t>
      </w:r>
      <w:r>
        <w:rPr>
          <w:rFonts w:asciiTheme="minorHAnsi" w:eastAsia="Lucida Sans Unicode" w:hAnsiTheme="minorHAnsi" w:cstheme="minorHAnsi"/>
          <w:lang w:eastAsia="ar-SA"/>
        </w:rPr>
        <w:t>y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(§1 ust. 1 uchwały), niezależnie od faktycznej obecności Przewodniczącego Rady Gminy na sesji</w:t>
      </w:r>
      <w:r>
        <w:rPr>
          <w:rFonts w:asciiTheme="minorHAnsi" w:eastAsia="Lucida Sans Unicode" w:hAnsiTheme="minorHAnsi" w:cstheme="minorHAnsi"/>
          <w:lang w:eastAsia="ar-SA"/>
        </w:rPr>
        <w:t>, która co najwyżej, nieznacznie wpłynie na wysokość wypłacanej diety.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Świadczy o tym </w:t>
      </w:r>
      <w:r>
        <w:rPr>
          <w:rFonts w:asciiTheme="minorHAnsi" w:eastAsia="Lucida Sans Unicode" w:hAnsiTheme="minorHAnsi" w:cstheme="minorHAnsi"/>
          <w:lang w:eastAsia="ar-SA"/>
        </w:rPr>
        <w:t xml:space="preserve">przepis przewidujący </w:t>
      </w:r>
      <w:r w:rsidRPr="001A7D68">
        <w:rPr>
          <w:rFonts w:asciiTheme="minorHAnsi" w:eastAsia="Lucida Sans Unicode" w:hAnsiTheme="minorHAnsi" w:cstheme="minorHAnsi"/>
          <w:lang w:eastAsia="ar-SA"/>
        </w:rPr>
        <w:t>obniżanie</w:t>
      </w:r>
      <w:r w:rsidRPr="0081125F">
        <w:rPr>
          <w:rFonts w:asciiTheme="minorHAnsi" w:eastAsia="Lucida Sans Unicode" w:hAnsiTheme="minorHAnsi" w:cstheme="minorHAnsi"/>
          <w:lang w:eastAsia="ar-SA"/>
        </w:rPr>
        <w:t xml:space="preserve"> 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kwoty </w:t>
      </w:r>
      <w:r>
        <w:rPr>
          <w:rFonts w:asciiTheme="minorHAnsi" w:eastAsia="Lucida Sans Unicode" w:hAnsiTheme="minorHAnsi" w:cstheme="minorHAnsi"/>
          <w:lang w:eastAsia="ar-SA"/>
        </w:rPr>
        <w:t>miesię</w:t>
      </w:r>
      <w:r>
        <w:rPr>
          <w:rFonts w:asciiTheme="minorHAnsi" w:eastAsia="Lucida Sans Unicode" w:hAnsiTheme="minorHAnsi" w:cstheme="minorHAnsi"/>
          <w:lang w:eastAsia="ar-SA"/>
        </w:rPr>
        <w:t xml:space="preserve">cznej </w:t>
      </w:r>
      <w:r w:rsidRPr="001A7D68">
        <w:rPr>
          <w:rFonts w:asciiTheme="minorHAnsi" w:eastAsia="Lucida Sans Unicode" w:hAnsiTheme="minorHAnsi" w:cstheme="minorHAnsi"/>
          <w:lang w:eastAsia="ar-SA"/>
        </w:rPr>
        <w:t>diety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ale tylko o</w:t>
      </w:r>
      <w:r>
        <w:rPr>
          <w:rFonts w:asciiTheme="minorHAnsi" w:eastAsia="Lucida Sans Unicode" w:hAnsiTheme="minorHAnsi" w:cstheme="minorHAnsi"/>
          <w:lang w:eastAsia="ar-SA"/>
        </w:rPr>
        <w:t xml:space="preserve"> charakterze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procentowym</w:t>
      </w:r>
      <w:r>
        <w:rPr>
          <w:rFonts w:asciiTheme="minorHAnsi" w:eastAsia="Lucida Sans Unicode" w:hAnsiTheme="minorHAnsi" w:cstheme="minorHAnsi"/>
          <w:lang w:eastAsia="ar-SA"/>
        </w:rPr>
        <w:t xml:space="preserve"> (o 10%),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za każdą nieobecność na sesji Rady Gminy</w:t>
      </w:r>
      <w:r>
        <w:rPr>
          <w:rFonts w:asciiTheme="minorHAnsi" w:eastAsia="Lucida Sans Unicode" w:hAnsiTheme="minorHAnsi" w:cstheme="minorHAnsi"/>
          <w:lang w:eastAsia="ar-SA"/>
        </w:rPr>
        <w:t>.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</w:t>
      </w:r>
      <w:r>
        <w:rPr>
          <w:rFonts w:asciiTheme="minorHAnsi" w:eastAsia="Lucida Sans Unicode" w:hAnsiTheme="minorHAnsi" w:cstheme="minorHAnsi"/>
          <w:lang w:eastAsia="ar-SA"/>
        </w:rPr>
        <w:t>W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świetle opisanej powyżej argumentacji prawnej</w:t>
      </w:r>
      <w:r>
        <w:rPr>
          <w:rFonts w:asciiTheme="minorHAnsi" w:eastAsia="Lucida Sans Unicode" w:hAnsiTheme="minorHAnsi" w:cstheme="minorHAnsi"/>
          <w:lang w:eastAsia="ar-SA"/>
        </w:rPr>
        <w:t xml:space="preserve">, takie ukształtowanie treści uchwały w sprawie ustalenia diety, 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stanowi istotne naruszenie art. 25 ust. 4 ustawy </w:t>
      </w:r>
      <w:r w:rsidRPr="001A7D68">
        <w:rPr>
          <w:rFonts w:asciiTheme="minorHAnsi" w:eastAsia="Lucida Sans Unicode" w:hAnsiTheme="minorHAnsi" w:cstheme="minorHAnsi"/>
          <w:i/>
          <w:lang w:eastAsia="ar-SA"/>
        </w:rPr>
        <w:t>o samorządzie gminnym.</w:t>
      </w: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A7D68">
        <w:rPr>
          <w:rFonts w:asciiTheme="minorHAnsi" w:eastAsia="Lucida Sans Unicode" w:hAnsiTheme="minorHAnsi" w:cstheme="minorHAnsi"/>
          <w:lang w:eastAsia="ar-SA"/>
        </w:rPr>
        <w:t>W orzecznictwie sąd</w:t>
      </w:r>
      <w:r>
        <w:rPr>
          <w:rFonts w:asciiTheme="minorHAnsi" w:eastAsia="Lucida Sans Unicode" w:hAnsiTheme="minorHAnsi" w:cstheme="minorHAnsi"/>
          <w:lang w:eastAsia="ar-SA"/>
        </w:rPr>
        <w:t xml:space="preserve">ów </w:t>
      </w:r>
      <w:r w:rsidRPr="001A7D68">
        <w:rPr>
          <w:rFonts w:asciiTheme="minorHAnsi" w:eastAsia="Lucida Sans Unicode" w:hAnsiTheme="minorHAnsi" w:cstheme="minorHAnsi"/>
          <w:lang w:eastAsia="ar-SA"/>
        </w:rPr>
        <w:t>administracyjny</w:t>
      </w:r>
      <w:r>
        <w:rPr>
          <w:rFonts w:asciiTheme="minorHAnsi" w:eastAsia="Lucida Sans Unicode" w:hAnsiTheme="minorHAnsi" w:cstheme="minorHAnsi"/>
          <w:lang w:eastAsia="ar-SA"/>
        </w:rPr>
        <w:t>ch jednolicie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wskazuje się, że skoro dieta radnego sprowadza się do wyrównania wydatków i strat spowodowanych pełnieniem funkcji, to osoba pełniąc</w:t>
      </w:r>
      <w:r w:rsidRPr="001A7D68">
        <w:rPr>
          <w:rFonts w:asciiTheme="minorHAnsi" w:eastAsia="Lucida Sans Unicode" w:hAnsiTheme="minorHAnsi" w:cstheme="minorHAnsi"/>
          <w:lang w:eastAsia="ar-SA"/>
        </w:rPr>
        <w:t>a tę funkcję zachowuje prawo do zwrotu kosztów i wydat</w:t>
      </w:r>
      <w:r>
        <w:rPr>
          <w:rFonts w:asciiTheme="minorHAnsi" w:eastAsia="Lucida Sans Unicode" w:hAnsiTheme="minorHAnsi" w:cstheme="minorHAnsi"/>
          <w:lang w:eastAsia="ar-SA"/>
        </w:rPr>
        <w:t>ków</w:t>
      </w:r>
      <w:r>
        <w:rPr>
          <w:rFonts w:asciiTheme="minorHAnsi" w:eastAsia="Lucida Sans Unicode" w:hAnsiTheme="minorHAnsi" w:cstheme="minorHAnsi"/>
          <w:lang w:eastAsia="ar-SA"/>
        </w:rPr>
        <w:t>,</w:t>
      </w:r>
      <w:r>
        <w:rPr>
          <w:rFonts w:asciiTheme="minorHAnsi" w:eastAsia="Lucida Sans Unicode" w:hAnsiTheme="minorHAnsi" w:cstheme="minorHAnsi"/>
          <w:lang w:eastAsia="ar-SA"/>
        </w:rPr>
        <w:t xml:space="preserve"> poniesionych w związku ze 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sprawowaniem funkcji, a nie </w:t>
      </w:r>
      <w:r>
        <w:rPr>
          <w:rFonts w:asciiTheme="minorHAnsi" w:eastAsia="Lucida Sans Unicode" w:hAnsiTheme="minorHAnsi" w:cstheme="minorHAnsi"/>
          <w:lang w:eastAsia="ar-SA"/>
        </w:rPr>
        <w:t xml:space="preserve">do wynagrodzenia czy uposażenia </w:t>
      </w:r>
      <w:r w:rsidRPr="001A7D68">
        <w:rPr>
          <w:rFonts w:asciiTheme="minorHAnsi" w:eastAsia="Lucida Sans Unicode" w:hAnsiTheme="minorHAnsi" w:cstheme="minorHAnsi"/>
          <w:lang w:eastAsia="ar-SA"/>
        </w:rPr>
        <w:t>z tytułu samego faktu bycia taką osobą</w:t>
      </w:r>
      <w:r>
        <w:rPr>
          <w:rFonts w:asciiTheme="minorHAnsi" w:eastAsia="Lucida Sans Unicode" w:hAnsiTheme="minorHAnsi" w:cstheme="minorHAnsi"/>
          <w:lang w:eastAsia="ar-SA"/>
        </w:rPr>
        <w:t xml:space="preserve"> (radnym)</w:t>
      </w:r>
      <w:r w:rsidRPr="001A7D68">
        <w:rPr>
          <w:rFonts w:asciiTheme="minorHAnsi" w:eastAsia="Lucida Sans Unicode" w:hAnsiTheme="minorHAnsi" w:cstheme="minorHAnsi"/>
          <w:lang w:eastAsia="ar-SA"/>
        </w:rPr>
        <w:t>. Zakresem regulacji uchwały podjętej na podstawie delegacji ust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awowej zawartej w art. 25 ust. 4 ustawy </w:t>
      </w:r>
      <w:r w:rsidRPr="001A7D68">
        <w:rPr>
          <w:rFonts w:asciiTheme="minorHAnsi" w:eastAsia="Lucida Sans Unicode" w:hAnsiTheme="minorHAnsi" w:cstheme="minorHAnsi"/>
          <w:i/>
          <w:lang w:eastAsia="ar-SA"/>
        </w:rPr>
        <w:t>o samorządzie gminnym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winna być objęta m.in. sytuacja, gdy radny, przez dłuższy czas nie wykonuje obowiązków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wynikających z pełnionej funkcji, a tym samym nie ponosi żadnych kosztów związanych z pełnieniem funkcji. </w:t>
      </w:r>
      <w:r w:rsidRPr="001A7D68">
        <w:rPr>
          <w:rFonts w:asciiTheme="minorHAnsi" w:eastAsia="Lucida Sans Unicode" w:hAnsiTheme="minorHAnsi" w:cstheme="minorHAnsi"/>
          <w:lang w:eastAsia="ar-SA"/>
        </w:rPr>
        <w:t>W przeciwnym razie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dieta ustalona w stałej kwocie ma charakter ryczałtu miesięcznego, przez co traci charakter rekompensacyjny, a przyjmuje charakter stałego, miesięcznego wynagrodzenia, niezależnego od kosztów </w:t>
      </w:r>
      <w:r>
        <w:rPr>
          <w:rFonts w:asciiTheme="minorHAnsi" w:eastAsia="Lucida Sans Unicode" w:hAnsiTheme="minorHAnsi" w:cstheme="minorHAnsi"/>
          <w:lang w:eastAsia="ar-SA"/>
        </w:rPr>
        <w:t xml:space="preserve">czy strat, </w:t>
      </w:r>
      <w:r w:rsidRPr="001A7D68">
        <w:rPr>
          <w:rFonts w:asciiTheme="minorHAnsi" w:eastAsia="Lucida Sans Unicode" w:hAnsiTheme="minorHAnsi" w:cstheme="minorHAnsi"/>
          <w:lang w:eastAsia="ar-SA"/>
        </w:rPr>
        <w:t>związanych z pełnieniem funkcji (</w:t>
      </w:r>
      <w:r w:rsidRPr="001A7D68">
        <w:rPr>
          <w:rFonts w:asciiTheme="minorHAnsi" w:eastAsia="Lucida Sans Unicode" w:hAnsiTheme="minorHAnsi" w:cstheme="minorHAnsi"/>
          <w:lang w:eastAsia="ar-SA"/>
        </w:rPr>
        <w:t>por. wyrok Wojewódzkiego Sądu Administracyjnego w Opolu z dnia 21 lipca 2015 r. sygn. akt II SA/</w:t>
      </w:r>
      <w:proofErr w:type="spellStart"/>
      <w:r w:rsidRPr="001A7D68">
        <w:rPr>
          <w:rFonts w:asciiTheme="minorHAnsi" w:eastAsia="Lucida Sans Unicode" w:hAnsiTheme="minorHAnsi" w:cstheme="minorHAnsi"/>
          <w:lang w:eastAsia="ar-SA"/>
        </w:rPr>
        <w:t>Op</w:t>
      </w:r>
      <w:proofErr w:type="spellEnd"/>
      <w:r w:rsidRPr="001A7D68">
        <w:rPr>
          <w:rFonts w:asciiTheme="minorHAnsi" w:eastAsia="Lucida Sans Unicode" w:hAnsiTheme="minorHAnsi" w:cstheme="minorHAnsi"/>
          <w:lang w:eastAsia="ar-SA"/>
        </w:rPr>
        <w:t xml:space="preserve"> 177/15; źródło: </w:t>
      </w:r>
      <w:r w:rsidRPr="001A7D68">
        <w:rPr>
          <w:rFonts w:asciiTheme="minorHAnsi" w:eastAsia="Lucida Sans Unicode" w:hAnsiTheme="minorHAnsi" w:cstheme="minorHAnsi"/>
          <w:i/>
          <w:lang w:eastAsia="ar-SA"/>
        </w:rPr>
        <w:t>orzeczenia.nsa.gov.pl</w:t>
      </w:r>
      <w:r w:rsidRPr="001A7D68">
        <w:rPr>
          <w:rFonts w:asciiTheme="minorHAnsi" w:eastAsia="Lucida Sans Unicode" w:hAnsiTheme="minorHAnsi" w:cstheme="minorHAnsi"/>
          <w:lang w:eastAsia="ar-SA"/>
        </w:rPr>
        <w:t>).</w:t>
      </w: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>
        <w:rPr>
          <w:rFonts w:asciiTheme="minorHAnsi" w:eastAsia="Lucida Sans Unicode" w:hAnsiTheme="minorHAnsi" w:cstheme="minorHAnsi"/>
          <w:lang w:eastAsia="ar-SA"/>
        </w:rPr>
        <w:lastRenderedPageBreak/>
        <w:t>S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formułowania zawarte w §1 ust. </w:t>
      </w:r>
      <w:r>
        <w:rPr>
          <w:rFonts w:asciiTheme="minorHAnsi" w:eastAsia="Lucida Sans Unicode" w:hAnsiTheme="minorHAnsi" w:cstheme="minorHAnsi"/>
          <w:lang w:eastAsia="ar-SA"/>
        </w:rPr>
        <w:t>2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</w:t>
      </w:r>
      <w:r>
        <w:rPr>
          <w:rFonts w:asciiTheme="minorHAnsi" w:eastAsia="Lucida Sans Unicode" w:hAnsiTheme="minorHAnsi" w:cstheme="minorHAnsi"/>
          <w:lang w:eastAsia="ar-SA"/>
        </w:rPr>
        <w:t xml:space="preserve">badanej </w:t>
      </w:r>
      <w:r w:rsidRPr="001A7D68">
        <w:rPr>
          <w:rFonts w:asciiTheme="minorHAnsi" w:eastAsia="Lucida Sans Unicode" w:hAnsiTheme="minorHAnsi" w:cstheme="minorHAnsi"/>
          <w:lang w:eastAsia="ar-SA"/>
        </w:rPr>
        <w:t>uchwały, wprowadzające procentowe obniżenia kwoty miesięcznej diety spowod</w:t>
      </w:r>
      <w:r w:rsidRPr="001A7D68">
        <w:rPr>
          <w:rFonts w:asciiTheme="minorHAnsi" w:eastAsia="Lucida Sans Unicode" w:hAnsiTheme="minorHAnsi" w:cstheme="minorHAnsi"/>
          <w:lang w:eastAsia="ar-SA"/>
        </w:rPr>
        <w:t>ują, że w przypadku braku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w danym miesiącu sesji Rady Gminy, dieta będzie </w:t>
      </w:r>
      <w:r>
        <w:rPr>
          <w:rFonts w:asciiTheme="minorHAnsi" w:eastAsia="Lucida Sans Unicode" w:hAnsiTheme="minorHAnsi" w:cstheme="minorHAnsi"/>
          <w:lang w:eastAsia="ar-SA"/>
        </w:rPr>
        <w:t>nadal należna w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wysokości ustalonej przez Radę w §1 ust. 1 uchwały. Natomiast w przypadku, gdy sesje</w:t>
      </w:r>
      <w:r>
        <w:rPr>
          <w:rFonts w:asciiTheme="minorHAnsi" w:eastAsia="Lucida Sans Unicode" w:hAnsiTheme="minorHAnsi" w:cstheme="minorHAnsi"/>
          <w:lang w:eastAsia="ar-SA"/>
        </w:rPr>
        <w:t xml:space="preserve"> będą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się odbywały,</w:t>
      </w:r>
      <w:r>
        <w:rPr>
          <w:rFonts w:asciiTheme="minorHAnsi" w:eastAsia="Lucida Sans Unicode" w:hAnsiTheme="minorHAnsi" w:cstheme="minorHAnsi"/>
          <w:lang w:eastAsia="ar-SA"/>
        </w:rPr>
        <w:t xml:space="preserve"> a Przewodniczący nie będzie wykonywał </w:t>
      </w:r>
      <w:r>
        <w:rPr>
          <w:rFonts w:asciiTheme="minorHAnsi" w:eastAsia="Lucida Sans Unicode" w:hAnsiTheme="minorHAnsi" w:cstheme="minorHAnsi"/>
          <w:lang w:eastAsia="ar-SA"/>
        </w:rPr>
        <w:t xml:space="preserve">swojej </w:t>
      </w:r>
      <w:r>
        <w:rPr>
          <w:rFonts w:asciiTheme="minorHAnsi" w:eastAsia="Lucida Sans Unicode" w:hAnsiTheme="minorHAnsi" w:cstheme="minorHAnsi"/>
          <w:lang w:eastAsia="ar-SA"/>
        </w:rPr>
        <w:t>funkcji,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to i ta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k część diety, będzie wypłacana. </w:t>
      </w:r>
      <w:r>
        <w:rPr>
          <w:rFonts w:asciiTheme="minorHAnsi" w:eastAsia="Lucida Sans Unicode" w:hAnsiTheme="minorHAnsi" w:cstheme="minorHAnsi"/>
          <w:lang w:eastAsia="ar-SA"/>
        </w:rPr>
        <w:t>Tym samym, takie ukształtowanie zasad wypłaty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diet</w:t>
      </w:r>
      <w:r>
        <w:rPr>
          <w:rFonts w:asciiTheme="minorHAnsi" w:eastAsia="Lucida Sans Unicode" w:hAnsiTheme="minorHAnsi" w:cstheme="minorHAnsi"/>
          <w:lang w:eastAsia="ar-SA"/>
        </w:rPr>
        <w:t>y, stanowi o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</w:t>
      </w:r>
      <w:r>
        <w:rPr>
          <w:rFonts w:asciiTheme="minorHAnsi" w:eastAsia="Lucida Sans Unicode" w:hAnsiTheme="minorHAnsi" w:cstheme="minorHAnsi"/>
          <w:lang w:eastAsia="ar-SA"/>
        </w:rPr>
        <w:t>u</w:t>
      </w:r>
      <w:r w:rsidRPr="001A7D68">
        <w:rPr>
          <w:rFonts w:asciiTheme="minorHAnsi" w:eastAsia="Lucida Sans Unicode" w:hAnsiTheme="minorHAnsi" w:cstheme="minorHAnsi"/>
          <w:lang w:eastAsia="ar-SA"/>
        </w:rPr>
        <w:t>traci</w:t>
      </w:r>
      <w:r>
        <w:rPr>
          <w:rFonts w:asciiTheme="minorHAnsi" w:eastAsia="Lucida Sans Unicode" w:hAnsiTheme="minorHAnsi" w:cstheme="minorHAnsi"/>
          <w:lang w:eastAsia="ar-SA"/>
        </w:rPr>
        <w:t>e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charakter</w:t>
      </w:r>
      <w:r>
        <w:rPr>
          <w:rFonts w:asciiTheme="minorHAnsi" w:eastAsia="Lucida Sans Unicode" w:hAnsiTheme="minorHAnsi" w:cstheme="minorHAnsi"/>
          <w:lang w:eastAsia="ar-SA"/>
        </w:rPr>
        <w:t>u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rekompensaty</w:t>
      </w:r>
      <w:r>
        <w:rPr>
          <w:rFonts w:asciiTheme="minorHAnsi" w:eastAsia="Lucida Sans Unicode" w:hAnsiTheme="minorHAnsi" w:cstheme="minorHAnsi"/>
          <w:lang w:eastAsia="ar-SA"/>
        </w:rPr>
        <w:t xml:space="preserve"> tego świadczenia i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zbliż</w:t>
      </w:r>
      <w:r>
        <w:rPr>
          <w:rFonts w:asciiTheme="minorHAnsi" w:eastAsia="Lucida Sans Unicode" w:hAnsiTheme="minorHAnsi" w:cstheme="minorHAnsi"/>
          <w:lang w:eastAsia="ar-SA"/>
        </w:rPr>
        <w:t>eniu go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do wynagrodzenia</w:t>
      </w:r>
      <w:r>
        <w:rPr>
          <w:rFonts w:asciiTheme="minorHAnsi" w:eastAsia="Lucida Sans Unicode" w:hAnsiTheme="minorHAnsi" w:cstheme="minorHAnsi"/>
          <w:lang w:eastAsia="ar-SA"/>
        </w:rPr>
        <w:t xml:space="preserve"> czy uposażenia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. </w:t>
      </w: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A7D68">
        <w:rPr>
          <w:rFonts w:asciiTheme="minorHAnsi" w:eastAsia="Lucida Sans Unicode" w:hAnsiTheme="minorHAnsi" w:cstheme="minorHAnsi"/>
          <w:lang w:eastAsia="ar-SA"/>
        </w:rPr>
        <w:t>Stanowisko organu nadzoru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znajduje oparcie w wyrokach sądów administracyjnych zapadłych w następstwie rozpoznania skarg Wojewody Mazowieckiego na uchwały w sprawie zasad ustalania diet dla radnych (zob. wyroki Wojewódzkiego Sądu Administracyjnego w Warszawie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A7D68">
        <w:rPr>
          <w:rFonts w:asciiTheme="minorHAnsi" w:eastAsia="Lucida Sans Unicode" w:hAnsiTheme="minorHAnsi" w:cstheme="minorHAnsi"/>
          <w:lang w:eastAsia="ar-SA"/>
        </w:rPr>
        <w:t>z dnia 23 październik</w:t>
      </w:r>
      <w:r w:rsidRPr="001A7D68">
        <w:rPr>
          <w:rFonts w:asciiTheme="minorHAnsi" w:eastAsia="Lucida Sans Unicode" w:hAnsiTheme="minorHAnsi" w:cstheme="minorHAnsi"/>
          <w:lang w:eastAsia="ar-SA"/>
        </w:rPr>
        <w:t>a 2019 r. sygn. akt II SA/</w:t>
      </w:r>
      <w:proofErr w:type="spellStart"/>
      <w:r w:rsidRPr="001A7D68">
        <w:rPr>
          <w:rFonts w:asciiTheme="minorHAnsi" w:eastAsia="Lucida Sans Unicode" w:hAnsiTheme="minorHAnsi" w:cstheme="minorHAnsi"/>
          <w:lang w:eastAsia="ar-SA"/>
        </w:rPr>
        <w:t>Wa</w:t>
      </w:r>
      <w:proofErr w:type="spellEnd"/>
      <w:r w:rsidRPr="001A7D68">
        <w:rPr>
          <w:rFonts w:asciiTheme="minorHAnsi" w:eastAsia="Lucida Sans Unicode" w:hAnsiTheme="minorHAnsi" w:cstheme="minorHAnsi"/>
          <w:lang w:eastAsia="ar-SA"/>
        </w:rPr>
        <w:t xml:space="preserve"> 978/19, z dnia 24 października 2019 r. sygn. akt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A7D68">
        <w:rPr>
          <w:rFonts w:asciiTheme="minorHAnsi" w:eastAsia="Lucida Sans Unicode" w:hAnsiTheme="minorHAnsi" w:cstheme="minorHAnsi"/>
          <w:lang w:eastAsia="ar-SA"/>
        </w:rPr>
        <w:t>II SA/</w:t>
      </w:r>
      <w:proofErr w:type="spellStart"/>
      <w:r w:rsidRPr="001A7D68">
        <w:rPr>
          <w:rFonts w:asciiTheme="minorHAnsi" w:eastAsia="Lucida Sans Unicode" w:hAnsiTheme="minorHAnsi" w:cstheme="minorHAnsi"/>
          <w:lang w:eastAsia="ar-SA"/>
        </w:rPr>
        <w:t>Wa</w:t>
      </w:r>
      <w:proofErr w:type="spellEnd"/>
      <w:r w:rsidRPr="001A7D68">
        <w:rPr>
          <w:rFonts w:asciiTheme="minorHAnsi" w:eastAsia="Lucida Sans Unicode" w:hAnsiTheme="minorHAnsi" w:cstheme="minorHAnsi"/>
          <w:lang w:eastAsia="ar-SA"/>
        </w:rPr>
        <w:t xml:space="preserve"> 921/19 i z dnia 29 listopada 2019 r. sygn. akt II SA/</w:t>
      </w:r>
      <w:proofErr w:type="spellStart"/>
      <w:r w:rsidRPr="001A7D68">
        <w:rPr>
          <w:rFonts w:asciiTheme="minorHAnsi" w:eastAsia="Lucida Sans Unicode" w:hAnsiTheme="minorHAnsi" w:cstheme="minorHAnsi"/>
          <w:lang w:eastAsia="ar-SA"/>
        </w:rPr>
        <w:t>Wa</w:t>
      </w:r>
      <w:proofErr w:type="spellEnd"/>
      <w:r w:rsidRPr="001A7D68">
        <w:rPr>
          <w:rFonts w:asciiTheme="minorHAnsi" w:eastAsia="Lucida Sans Unicode" w:hAnsiTheme="minorHAnsi" w:cstheme="minorHAnsi"/>
          <w:lang w:eastAsia="ar-SA"/>
        </w:rPr>
        <w:t xml:space="preserve"> 1259/19). </w:t>
      </w: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A7D68">
        <w:rPr>
          <w:rFonts w:asciiTheme="minorHAnsi" w:eastAsia="Lucida Sans Unicode" w:hAnsiTheme="minorHAnsi" w:cstheme="minorHAnsi"/>
          <w:lang w:eastAsia="ar-SA"/>
        </w:rPr>
        <w:t>Stwierdzenie nieważności §1 ust. 2 uchwały nr XXIV/156/2021 pociąga za sobą konieczność stwierdzenia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nieważności również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ściśle z nim funkcjonalnie powiązanych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unormowań zawartych w §1 ust. 1 i ust. 3 </w:t>
      </w:r>
      <w:r>
        <w:rPr>
          <w:rFonts w:asciiTheme="minorHAnsi" w:eastAsia="Lucida Sans Unicode" w:hAnsiTheme="minorHAnsi" w:cstheme="minorHAnsi"/>
          <w:lang w:eastAsia="ar-SA"/>
        </w:rPr>
        <w:t>wymienionej wyżej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uchwały.</w:t>
      </w: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  <w:r w:rsidRPr="001A7D68">
        <w:rPr>
          <w:rFonts w:asciiTheme="minorHAnsi" w:eastAsia="Lucida Sans Unicode" w:hAnsiTheme="minorHAnsi" w:cstheme="minorHAnsi"/>
          <w:lang w:eastAsia="ar-SA"/>
        </w:rPr>
        <w:t xml:space="preserve">W ocenie Wojewody Mazowieckiego, jako organu nadzoru nad działalnością gminną,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1A7D68">
        <w:rPr>
          <w:rFonts w:asciiTheme="minorHAnsi" w:eastAsia="Lucida Sans Unicode" w:hAnsiTheme="minorHAnsi" w:cstheme="minorHAnsi"/>
          <w:lang w:eastAsia="ar-SA"/>
        </w:rPr>
        <w:t>w sytuacji, gdy mamy do czynienia z sekwencją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zdarzeń wywołanych</w:t>
      </w:r>
      <w:r>
        <w:rPr>
          <w:rFonts w:asciiTheme="minorHAnsi" w:eastAsia="Lucida Sans Unicode" w:hAnsiTheme="minorHAnsi" w:cstheme="minorHAnsi"/>
          <w:lang w:eastAsia="ar-SA"/>
        </w:rPr>
        <w:t xml:space="preserve"> danymi przepisami, które są ze </w:t>
      </w:r>
      <w:r w:rsidRPr="001A7D68">
        <w:rPr>
          <w:rFonts w:asciiTheme="minorHAnsi" w:eastAsia="Lucida Sans Unicode" w:hAnsiTheme="minorHAnsi" w:cstheme="minorHAnsi"/>
          <w:lang w:eastAsia="ar-SA"/>
        </w:rPr>
        <w:t>sobą powiązane, zaś przepis zależny oparty jest na ur</w:t>
      </w:r>
      <w:r>
        <w:rPr>
          <w:rFonts w:asciiTheme="minorHAnsi" w:eastAsia="Lucida Sans Unicode" w:hAnsiTheme="minorHAnsi" w:cstheme="minorHAnsi"/>
          <w:lang w:eastAsia="ar-SA"/>
        </w:rPr>
        <w:t>egulowaniu pierwotnym, którego </w:t>
      </w:r>
      <w:r w:rsidRPr="001A7D68">
        <w:rPr>
          <w:rFonts w:asciiTheme="minorHAnsi" w:eastAsia="Lucida Sans Unicode" w:hAnsiTheme="minorHAnsi" w:cstheme="minorHAnsi"/>
          <w:lang w:eastAsia="ar-SA"/>
        </w:rPr>
        <w:t>nieważność została stwierdzona, bądź jest przedmiotem postępowania w sprawie stwierdzenia nieważności i którego skutki pr</w:t>
      </w:r>
      <w:r w:rsidRPr="001A7D68">
        <w:rPr>
          <w:rFonts w:asciiTheme="minorHAnsi" w:eastAsia="Lucida Sans Unicode" w:hAnsiTheme="minorHAnsi" w:cstheme="minorHAnsi"/>
          <w:lang w:eastAsia="ar-SA"/>
        </w:rPr>
        <w:t>awne zostały zniesione, przyjąć należy, że przepis prawny zależny</w:t>
      </w:r>
      <w:r>
        <w:rPr>
          <w:rFonts w:asciiTheme="minorHAnsi" w:eastAsia="Lucida Sans Unicode" w:hAnsiTheme="minorHAnsi" w:cstheme="minorHAnsi"/>
          <w:lang w:eastAsia="ar-SA"/>
        </w:rPr>
        <w:t>,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 również został podjęty w sposób sprzeczny z prawem. Z tego powodu przepis podstawowy wpływa w sposób bezpośredni na ocenę prawną przepisu zależnego. </w:t>
      </w:r>
    </w:p>
    <w:p w:rsidR="00851E75" w:rsidRPr="001A7D68" w:rsidRDefault="000163C7" w:rsidP="00851E75">
      <w:pPr>
        <w:widowControl w:val="0"/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bCs/>
          <w:lang w:eastAsia="ar-SA"/>
        </w:rPr>
      </w:pPr>
    </w:p>
    <w:p w:rsidR="00851E75" w:rsidRPr="001A7D68" w:rsidRDefault="000163C7" w:rsidP="00851E75">
      <w:pPr>
        <w:suppressAutoHyphens/>
        <w:spacing w:line="360" w:lineRule="auto"/>
        <w:ind w:firstLine="709"/>
        <w:jc w:val="both"/>
        <w:rPr>
          <w:rFonts w:asciiTheme="minorHAnsi" w:eastAsia="Lucida Sans Unicode" w:hAnsiTheme="minorHAnsi" w:cstheme="minorHAnsi"/>
          <w:bCs/>
          <w:lang w:eastAsia="ar-SA"/>
        </w:rPr>
      </w:pPr>
      <w:r w:rsidRPr="001A7D68">
        <w:rPr>
          <w:rFonts w:asciiTheme="minorHAnsi" w:hAnsiTheme="minorHAnsi" w:cstheme="minorHAnsi"/>
        </w:rPr>
        <w:t xml:space="preserve">Art. 91 ust. 1 ustawy </w:t>
      </w:r>
      <w:r w:rsidRPr="001A7D68">
        <w:rPr>
          <w:rFonts w:asciiTheme="minorHAnsi" w:hAnsiTheme="minorHAnsi" w:cstheme="minorHAnsi"/>
          <w:i/>
        </w:rPr>
        <w:t>o samorządzie gm</w:t>
      </w:r>
      <w:r w:rsidRPr="001A7D68">
        <w:rPr>
          <w:rFonts w:asciiTheme="minorHAnsi" w:hAnsiTheme="minorHAnsi" w:cstheme="minorHAnsi"/>
          <w:i/>
        </w:rPr>
        <w:t xml:space="preserve">innym </w:t>
      </w:r>
      <w:r w:rsidRPr="001A7D68">
        <w:rPr>
          <w:rFonts w:asciiTheme="minorHAnsi" w:hAnsiTheme="minorHAnsi" w:cstheme="minorHAnsi"/>
        </w:rPr>
        <w:t xml:space="preserve">stwierdza: </w:t>
      </w:r>
      <w:r w:rsidRPr="001A7D68">
        <w:rPr>
          <w:rFonts w:asciiTheme="minorHAnsi" w:hAnsiTheme="minorHAnsi" w:cstheme="minorHAnsi"/>
          <w:i/>
        </w:rPr>
        <w:t xml:space="preserve">Uchwała lub zarządzenie organu gminy sprzeczne z prawem są nieważne. O nieważności uchwały lub zarządzenia </w:t>
      </w:r>
      <w:r w:rsidRPr="001A7D68">
        <w:rPr>
          <w:rFonts w:asciiTheme="minorHAnsi" w:hAnsiTheme="minorHAnsi" w:cstheme="minorHAnsi"/>
          <w:i/>
        </w:rPr>
        <w:br/>
        <w:t xml:space="preserve">w całości lub w części orzeka organ nadzoru w terminie nie dłuższym niż 30 dni od dnia doręczenia uchwały lub zarządzenia. </w:t>
      </w:r>
      <w:r w:rsidRPr="001A7D68">
        <w:rPr>
          <w:rStyle w:val="info-list-value-uzasadnienie"/>
          <w:rFonts w:asciiTheme="minorHAnsi" w:hAnsiTheme="minorHAnsi" w:cstheme="minorHAnsi"/>
        </w:rPr>
        <w:t xml:space="preserve">Zgodnie </w:t>
      </w:r>
      <w:r w:rsidRPr="001A7D68">
        <w:rPr>
          <w:rStyle w:val="info-list-value-uzasadnienie"/>
          <w:rFonts w:asciiTheme="minorHAnsi" w:hAnsiTheme="minorHAnsi" w:cstheme="minorHAnsi"/>
        </w:rPr>
        <w:t xml:space="preserve">ze stanowiskiem orzecznictwa i doktryny prawa istotnym naruszeniem jest nieprawidłowość oczywista i bezpośrednia, która prowadzi do takich skutków, które nie mogą być zaakceptowane w demokratycznym państwie prawnym. Do istotnych naruszeń </w:t>
      </w:r>
      <w:r w:rsidRPr="001A7D68">
        <w:rPr>
          <w:rStyle w:val="info-list-value-uzasadnienie"/>
          <w:rFonts w:asciiTheme="minorHAnsi" w:hAnsiTheme="minorHAnsi" w:cstheme="minorHAnsi"/>
        </w:rPr>
        <w:lastRenderedPageBreak/>
        <w:t>zalicza się między</w:t>
      </w:r>
      <w:r w:rsidRPr="001A7D68">
        <w:rPr>
          <w:rStyle w:val="info-list-value-uzasadnienie"/>
          <w:rFonts w:asciiTheme="minorHAnsi" w:hAnsiTheme="minorHAnsi" w:cstheme="minorHAnsi"/>
        </w:rPr>
        <w:t xml:space="preserve"> innymi: podjęcie aktu bez podstawy prawnej, podjęcie aktu na podstawie normy prawnej uznanej za niekonstytucyjną, powtarzanie w akcie normatywnym treści przepisów ustawowych, brak pełnej realizacji zakresu ustawowego upoważnienia, podjęcie unormowań trudn</w:t>
      </w:r>
      <w:r w:rsidRPr="001A7D68">
        <w:rPr>
          <w:rStyle w:val="info-list-value-uzasadnienie"/>
          <w:rFonts w:asciiTheme="minorHAnsi" w:hAnsiTheme="minorHAnsi" w:cstheme="minorHAnsi"/>
        </w:rPr>
        <w:t>ych do jednoznacznego odczytania i interpretacji (</w:t>
      </w:r>
      <w:r w:rsidRPr="001A7D68">
        <w:rPr>
          <w:rStyle w:val="info-list-value-uzasadnienie"/>
          <w:rFonts w:asciiTheme="minorHAnsi" w:hAnsiTheme="minorHAnsi" w:cstheme="minorHAnsi"/>
          <w:i/>
        </w:rPr>
        <w:t>vide:</w:t>
      </w:r>
      <w:r w:rsidRPr="001A7D68">
        <w:rPr>
          <w:rStyle w:val="info-list-value-uzasadnienie"/>
          <w:rFonts w:asciiTheme="minorHAnsi" w:hAnsiTheme="minorHAnsi" w:cstheme="minorHAnsi"/>
        </w:rPr>
        <w:t xml:space="preserve"> G. </w:t>
      </w:r>
      <w:proofErr w:type="spellStart"/>
      <w:r w:rsidRPr="001A7D68">
        <w:rPr>
          <w:rFonts w:asciiTheme="minorHAnsi" w:hAnsiTheme="minorHAnsi" w:cstheme="minorHAnsi"/>
        </w:rPr>
        <w:t>Jyż</w:t>
      </w:r>
      <w:proofErr w:type="spellEnd"/>
      <w:r w:rsidRPr="001A7D68">
        <w:rPr>
          <w:rFonts w:asciiTheme="minorHAnsi" w:hAnsiTheme="minorHAnsi" w:cstheme="minorHAnsi"/>
        </w:rPr>
        <w:t xml:space="preserve">, Z. Pławecki, A. Szewc, </w:t>
      </w:r>
      <w:r w:rsidRPr="001A7D68">
        <w:rPr>
          <w:rFonts w:asciiTheme="minorHAnsi" w:hAnsiTheme="minorHAnsi" w:cstheme="minorHAnsi"/>
          <w:i/>
        </w:rPr>
        <w:t xml:space="preserve">Ustawa </w:t>
      </w:r>
      <w:r>
        <w:rPr>
          <w:rFonts w:asciiTheme="minorHAnsi" w:hAnsiTheme="minorHAnsi" w:cstheme="minorHAnsi"/>
          <w:i/>
        </w:rPr>
        <w:br/>
      </w:r>
      <w:r w:rsidRPr="001A7D68">
        <w:rPr>
          <w:rFonts w:asciiTheme="minorHAnsi" w:hAnsiTheme="minorHAnsi" w:cstheme="minorHAnsi"/>
          <w:i/>
        </w:rPr>
        <w:t xml:space="preserve">o samorządzie gminnym. Komentarz, </w:t>
      </w:r>
      <w:r w:rsidRPr="001A7D68">
        <w:rPr>
          <w:rFonts w:asciiTheme="minorHAnsi" w:hAnsiTheme="minorHAnsi" w:cstheme="minorHAnsi"/>
        </w:rPr>
        <w:t xml:space="preserve">Lex 2012, </w:t>
      </w:r>
      <w:r w:rsidRPr="001A7D68">
        <w:rPr>
          <w:rFonts w:asciiTheme="minorHAnsi" w:hAnsiTheme="minorHAnsi" w:cstheme="minorHAnsi"/>
          <w:i/>
        </w:rPr>
        <w:t xml:space="preserve">Ustawa o samorządzie gminnym. Komentarz, </w:t>
      </w:r>
      <w:r>
        <w:rPr>
          <w:rFonts w:asciiTheme="minorHAnsi" w:hAnsiTheme="minorHAnsi" w:cstheme="minorHAnsi"/>
        </w:rPr>
        <w:t>pod </w:t>
      </w:r>
      <w:r>
        <w:rPr>
          <w:rFonts w:asciiTheme="minorHAnsi" w:hAnsiTheme="minorHAnsi" w:cstheme="minorHAnsi"/>
        </w:rPr>
        <w:t xml:space="preserve">red. </w:t>
      </w:r>
      <w:r w:rsidRPr="001A7D68">
        <w:rPr>
          <w:rFonts w:asciiTheme="minorHAnsi" w:hAnsiTheme="minorHAnsi" w:cstheme="minorHAnsi"/>
        </w:rPr>
        <w:t>B. Dolnickiego, Warszawa 2018).</w:t>
      </w:r>
    </w:p>
    <w:p w:rsidR="00851E75" w:rsidRPr="001A7D68" w:rsidRDefault="000163C7" w:rsidP="00851E7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851E75" w:rsidRPr="001A7D68" w:rsidRDefault="000163C7" w:rsidP="00851E7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A7D68">
        <w:rPr>
          <w:rFonts w:asciiTheme="minorHAnsi" w:hAnsiTheme="minorHAnsi" w:cstheme="minorHAnsi"/>
        </w:rPr>
        <w:t xml:space="preserve">Biorąc pod uwagę opisane powyżej </w:t>
      </w:r>
      <w:r w:rsidRPr="001A7D68">
        <w:rPr>
          <w:rFonts w:asciiTheme="minorHAnsi" w:hAnsiTheme="minorHAnsi" w:cstheme="minorHAnsi"/>
        </w:rPr>
        <w:t>okoliczności faktyczne i prawne</w:t>
      </w:r>
      <w:r>
        <w:rPr>
          <w:rFonts w:asciiTheme="minorHAnsi" w:hAnsiTheme="minorHAnsi" w:cstheme="minorHAnsi"/>
        </w:rPr>
        <w:t>,</w:t>
      </w:r>
      <w:r w:rsidRPr="001A7D68">
        <w:rPr>
          <w:rFonts w:asciiTheme="minorHAnsi" w:hAnsiTheme="minorHAnsi" w:cstheme="minorHAnsi"/>
        </w:rPr>
        <w:t xml:space="preserve"> Wojewoda Mazowiecki stwierdza, że uchwała Rady Gminy w Szreńsku nr XXIV/156/2021</w:t>
      </w:r>
      <w:r>
        <w:rPr>
          <w:rFonts w:asciiTheme="minorHAnsi" w:eastAsia="Lucida Sans Unicode" w:hAnsiTheme="minorHAnsi" w:cstheme="minorHAnsi"/>
          <w:lang w:eastAsia="ar-SA"/>
        </w:rPr>
        <w:t>, istotnie narusza prawo, we 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wskazanym w sentencji niniejszego rozstrzygnięcia zakresie, i </w:t>
      </w:r>
      <w:r>
        <w:rPr>
          <w:rFonts w:asciiTheme="minorHAnsi" w:eastAsia="Lucida Sans Unicode" w:hAnsiTheme="minorHAnsi" w:cstheme="minorHAnsi"/>
          <w:lang w:eastAsia="ar-SA"/>
        </w:rPr>
        <w:t>jako sprzeczna z prawem, jest w </w:t>
      </w:r>
      <w:r w:rsidRPr="001A7D68">
        <w:rPr>
          <w:rFonts w:asciiTheme="minorHAnsi" w:eastAsia="Lucida Sans Unicode" w:hAnsiTheme="minorHAnsi" w:cstheme="minorHAnsi"/>
          <w:lang w:eastAsia="ar-SA"/>
        </w:rPr>
        <w:t>tym zakresie nieważn</w:t>
      </w:r>
      <w:r w:rsidRPr="001A7D68">
        <w:rPr>
          <w:rFonts w:asciiTheme="minorHAnsi" w:eastAsia="Lucida Sans Unicode" w:hAnsiTheme="minorHAnsi" w:cstheme="minorHAnsi"/>
          <w:lang w:eastAsia="ar-SA"/>
        </w:rPr>
        <w:t xml:space="preserve">a. </w:t>
      </w:r>
    </w:p>
    <w:p w:rsidR="00851E75" w:rsidRPr="001A7D68" w:rsidRDefault="000163C7" w:rsidP="00851E7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851E75" w:rsidRPr="001A7D68" w:rsidRDefault="000163C7" w:rsidP="00851E75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1A7D68">
        <w:rPr>
          <w:rFonts w:asciiTheme="minorHAnsi" w:hAnsiTheme="minorHAnsi" w:cstheme="minorHAnsi"/>
        </w:rPr>
        <w:t>Na niniejsze rozstrzygnięcie nadzorcze</w:t>
      </w:r>
      <w:r>
        <w:rPr>
          <w:rFonts w:asciiTheme="minorHAnsi" w:hAnsiTheme="minorHAnsi" w:cstheme="minorHAnsi"/>
        </w:rPr>
        <w:t>,</w:t>
      </w:r>
      <w:r w:rsidRPr="001A7D68">
        <w:rPr>
          <w:rFonts w:asciiTheme="minorHAnsi" w:hAnsiTheme="minorHAnsi" w:cstheme="minorHAnsi"/>
        </w:rPr>
        <w:t xml:space="preserve"> Gminie przysługuje skarga do Wojewódzkiego Sądu Administracyjnego w Warszawie</w:t>
      </w:r>
      <w:r>
        <w:rPr>
          <w:rFonts w:asciiTheme="minorHAnsi" w:hAnsiTheme="minorHAnsi" w:cstheme="minorHAnsi"/>
        </w:rPr>
        <w:t>,</w:t>
      </w:r>
      <w:r w:rsidRPr="001A7D68">
        <w:rPr>
          <w:rFonts w:asciiTheme="minorHAnsi" w:hAnsiTheme="minorHAnsi" w:cstheme="minorHAnsi"/>
        </w:rPr>
        <w:t xml:space="preserve"> w terminie 30 dni od dnia doręczenia, wnoszona </w:t>
      </w:r>
      <w:r w:rsidRPr="001A7D68">
        <w:rPr>
          <w:rFonts w:asciiTheme="minorHAnsi" w:hAnsiTheme="minorHAnsi" w:cstheme="minorHAnsi"/>
        </w:rPr>
        <w:br/>
        <w:t>za pośrednictwem Wojewody Mazowieckiego.</w:t>
      </w:r>
    </w:p>
    <w:p w:rsidR="00851E75" w:rsidRPr="001A7D68" w:rsidRDefault="000163C7" w:rsidP="00851E75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</w:p>
    <w:p w:rsidR="00851E75" w:rsidRPr="00851E75" w:rsidRDefault="000163C7" w:rsidP="00851E75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1A7D68">
        <w:rPr>
          <w:rFonts w:asciiTheme="minorHAnsi" w:hAnsiTheme="minorHAnsi" w:cstheme="minorHAnsi"/>
        </w:rPr>
        <w:t>Informuję, że rozstrzygnięcie nadzorcze, z</w:t>
      </w:r>
      <w:r w:rsidRPr="001A7D68">
        <w:rPr>
          <w:rFonts w:asciiTheme="minorHAnsi" w:hAnsiTheme="minorHAnsi" w:cstheme="minorHAnsi"/>
        </w:rPr>
        <w:t xml:space="preserve"> dniem jego doręczenia, wstrzymuje wykonanie uchwały w zakresie objętym stwierdzeniem nieważności, z mocy prawa.</w:t>
      </w:r>
    </w:p>
    <w:p w:rsidR="004824F3" w:rsidRDefault="000163C7" w:rsidP="00691727">
      <w:pPr>
        <w:spacing w:before="840" w:after="240" w:line="276" w:lineRule="auto"/>
        <w:ind w:left="3402"/>
        <w:jc w:val="center"/>
        <w:rPr>
          <w:rFonts w:ascii="Calibri" w:hAnsi="Calibri" w:cs="Calibri"/>
        </w:rPr>
      </w:pPr>
    </w:p>
    <w:p w:rsidR="004824F3" w:rsidRDefault="000163C7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3" w:name="ezdPracownikStanowisko"/>
      <w:r>
        <w:rPr>
          <w:rFonts w:ascii="Calibri" w:hAnsi="Calibri" w:cs="Calibri"/>
        </w:rPr>
        <w:t>Wojewoda Mazowiecki</w:t>
      </w:r>
      <w:bookmarkEnd w:id="3"/>
    </w:p>
    <w:p w:rsidR="004824F3" w:rsidRDefault="000163C7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4" w:name="ezdPracownikNazwa"/>
      <w:r>
        <w:rPr>
          <w:rFonts w:ascii="Calibri" w:hAnsi="Calibri" w:cs="Calibri"/>
        </w:rPr>
        <w:t>Konstanty Radziwiłł</w:t>
      </w:r>
      <w:bookmarkEnd w:id="4"/>
    </w:p>
    <w:p w:rsidR="00691727" w:rsidRDefault="000163C7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0163C7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C7"/>
    <w:rsid w:val="0001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073C5C-B535-4242-B878-BC00FCDC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character" w:customStyle="1" w:styleId="info-list-value-uzasadnienie">
    <w:name w:val="info-list-value-uzasadnienie"/>
    <w:basedOn w:val="Domylnaczcionkaakapitu"/>
    <w:rsid w:val="00851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06EB-EBA9-4759-90DE-696751CB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1377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2021-12-29T14:13:00Z</dcterms:created>
  <dcterms:modified xsi:type="dcterms:W3CDTF">2021-12-29T14:13:00Z</dcterms:modified>
</cp:coreProperties>
</file>