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A44A" w14:textId="387C7DE0" w:rsidR="00C70140" w:rsidRDefault="00C70140" w:rsidP="002C34F2">
      <w:pPr>
        <w:spacing w:before="600" w:line="276" w:lineRule="auto"/>
        <w:jc w:val="center"/>
        <w:rPr>
          <w:sz w:val="36"/>
          <w:szCs w:val="36"/>
        </w:rPr>
      </w:pPr>
      <w:r w:rsidRPr="00B25C58">
        <w:rPr>
          <w:sz w:val="36"/>
          <w:szCs w:val="36"/>
        </w:rPr>
        <w:t>Rekomendacje</w:t>
      </w:r>
      <w:r w:rsidR="00B25C58" w:rsidRPr="00B25C58">
        <w:rPr>
          <w:sz w:val="36"/>
          <w:szCs w:val="36"/>
        </w:rPr>
        <w:t xml:space="preserve"> z pierwszej</w:t>
      </w:r>
      <w:r w:rsidR="00B25C58">
        <w:rPr>
          <w:sz w:val="36"/>
          <w:szCs w:val="36"/>
        </w:rPr>
        <w:t>,</w:t>
      </w:r>
      <w:r w:rsidR="00B25C58" w:rsidRPr="00B25C58">
        <w:rPr>
          <w:sz w:val="36"/>
          <w:szCs w:val="36"/>
        </w:rPr>
        <w:t xml:space="preserve"> pilotażowej edycji</w:t>
      </w:r>
    </w:p>
    <w:p w14:paraId="3CF9847A" w14:textId="014B9B81" w:rsidR="00B25C58" w:rsidRDefault="00B25C58" w:rsidP="00C70140">
      <w:pPr>
        <w:spacing w:before="1200" w:line="276" w:lineRule="auto"/>
        <w:jc w:val="center"/>
        <w:rPr>
          <w:sz w:val="48"/>
          <w:szCs w:val="48"/>
        </w:rPr>
      </w:pPr>
      <w:r w:rsidRPr="00B25C58">
        <w:rPr>
          <w:sz w:val="48"/>
          <w:szCs w:val="48"/>
        </w:rPr>
        <w:t>„Mistrzostw w Algorytmice i Programowaniu”</w:t>
      </w:r>
    </w:p>
    <w:p w14:paraId="5BC5E58A" w14:textId="1176C3F4" w:rsidR="00275F92" w:rsidRDefault="00B25C58" w:rsidP="00770EC9">
      <w:pPr>
        <w:spacing w:before="1200" w:after="120" w:line="276" w:lineRule="auto"/>
        <w:jc w:val="center"/>
        <w:rPr>
          <w:sz w:val="24"/>
          <w:szCs w:val="24"/>
        </w:rPr>
      </w:pPr>
      <w:r w:rsidRPr="00C70140">
        <w:rPr>
          <w:sz w:val="24"/>
          <w:szCs w:val="24"/>
        </w:rPr>
        <w:t>realizowanych przez</w:t>
      </w:r>
    </w:p>
    <w:p w14:paraId="1AF5BAD1" w14:textId="1A8E2FA1" w:rsidR="00C70140" w:rsidRDefault="00B25C58" w:rsidP="00770EC9">
      <w:pPr>
        <w:spacing w:line="276" w:lineRule="auto"/>
        <w:jc w:val="center"/>
        <w:rPr>
          <w:sz w:val="24"/>
          <w:szCs w:val="24"/>
        </w:rPr>
      </w:pPr>
      <w:r w:rsidRPr="00C70140">
        <w:rPr>
          <w:sz w:val="24"/>
          <w:szCs w:val="24"/>
        </w:rPr>
        <w:t>Fundację Rozwoju Informatyki</w:t>
      </w:r>
    </w:p>
    <w:p w14:paraId="1CBEE8F6" w14:textId="14482070" w:rsidR="00275F92" w:rsidRDefault="00B25C58" w:rsidP="00C70140">
      <w:pPr>
        <w:spacing w:before="1200" w:line="276" w:lineRule="auto"/>
        <w:jc w:val="center"/>
        <w:rPr>
          <w:sz w:val="24"/>
          <w:szCs w:val="24"/>
        </w:rPr>
      </w:pPr>
      <w:r w:rsidRPr="00C70140">
        <w:rPr>
          <w:sz w:val="24"/>
          <w:szCs w:val="24"/>
        </w:rPr>
        <w:t xml:space="preserve">Opracowane na podstawie ewaluacji przeprowadzonej przez </w:t>
      </w:r>
    </w:p>
    <w:p w14:paraId="0B63F768" w14:textId="41C77ACD" w:rsidR="00B25C58" w:rsidRPr="00C70140" w:rsidRDefault="00B25C58" w:rsidP="00770EC9">
      <w:pPr>
        <w:spacing w:after="3480" w:line="276" w:lineRule="auto"/>
        <w:jc w:val="center"/>
        <w:rPr>
          <w:sz w:val="24"/>
          <w:szCs w:val="24"/>
        </w:rPr>
      </w:pPr>
      <w:r w:rsidRPr="00C70140">
        <w:rPr>
          <w:sz w:val="24"/>
          <w:szCs w:val="24"/>
        </w:rPr>
        <w:t>Polskie Towarzystwo Informatyczne</w:t>
      </w:r>
      <w:r w:rsidR="00C70140">
        <w:rPr>
          <w:sz w:val="24"/>
          <w:szCs w:val="24"/>
        </w:rPr>
        <w:t>.</w:t>
      </w:r>
    </w:p>
    <w:p w14:paraId="5232A0A2" w14:textId="1F1C2199" w:rsidR="002C34F2" w:rsidRDefault="00B25C58" w:rsidP="00275F92">
      <w:pPr>
        <w:spacing w:before="2040" w:line="276" w:lineRule="auto"/>
        <w:jc w:val="center"/>
      </w:pPr>
      <w:r>
        <w:t xml:space="preserve">Warszawa, </w:t>
      </w:r>
      <w:r w:rsidR="002C34F2">
        <w:t>marzec 2022</w:t>
      </w:r>
    </w:p>
    <w:p w14:paraId="1541AE65" w14:textId="77777777" w:rsidR="002C34F2" w:rsidRDefault="002C34F2">
      <w:r>
        <w:br w:type="page"/>
      </w:r>
    </w:p>
    <w:p w14:paraId="0586443C" w14:textId="4136E1C2" w:rsidR="00B25C58" w:rsidRDefault="004818BE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lastRenderedPageBreak/>
        <w:t xml:space="preserve">Przeprowadzony pilotaż wskazał wyraźnie, </w:t>
      </w:r>
      <w:r w:rsidR="00DE0C62">
        <w:t>ż</w:t>
      </w:r>
      <w:r>
        <w:t xml:space="preserve">e wchodzący do projektu nauczyciele, </w:t>
      </w:r>
      <w:r w:rsidR="002C34F2">
        <w:t>w</w:t>
      </w:r>
      <w:r>
        <w:t xml:space="preserve"> pierwszym okresie, nie są w stanie pracować z nawet średniozaawansowanymi zespołami uczniowskimi, a z zaawansowanymi mogą tylko bardzo nieliczni. „Dochodzenie" przez nauczycieli do oczekiwanego poziomu jest procesem długotrwałym i wymagającym maksymalnego wsparcia poprzez działania szkół wyższych (wykładowców i mentorów). Niezbędne </w:t>
      </w:r>
      <w:r w:rsidR="002C34F2">
        <w:t>jest, zatem</w:t>
      </w:r>
      <w:r>
        <w:t xml:space="preserve"> </w:t>
      </w:r>
      <w:r w:rsidR="002C34F2">
        <w:t>przewidzenie, jako</w:t>
      </w:r>
      <w:r>
        <w:t xml:space="preserve"> instruktorów także zainteresowanych studentów kierunków informatycznych, przede wszystkim byłych olimpijczyków.</w:t>
      </w:r>
    </w:p>
    <w:p w14:paraId="48BDCF55" w14:textId="237081EE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Wprowadzić możliwość </w:t>
      </w:r>
      <w:r w:rsidR="00C70140">
        <w:t>(…) zaangażowania</w:t>
      </w:r>
      <w:r>
        <w:t xml:space="preserve"> wolontariuszy (np. w warsztatach weekendowych).</w:t>
      </w:r>
    </w:p>
    <w:p w14:paraId="6361797D" w14:textId="4B773F63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Konkursy i sparringi stanowią bardzo ważny komponent projektu. Młodzież chce ze sobą rywalizować. We współzawodnictwie widzi własne postępy, ocenia także własne braki. </w:t>
      </w:r>
      <w:r w:rsidR="00C70140">
        <w:t xml:space="preserve">(…) </w:t>
      </w:r>
      <w:r>
        <w:t xml:space="preserve"> Ich liczba powinna być uzależniona od stopnia przygotowania uczniów, im wyższy, tym nasycenie projektu zawodami, konkursami i sparingami powinno być większe.</w:t>
      </w:r>
    </w:p>
    <w:p w14:paraId="2D7EA29A" w14:textId="1A761174" w:rsidR="00AE47F6" w:rsidRDefault="00275F92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>Dobrze,</w:t>
      </w:r>
      <w:r w:rsidR="00AE47F6">
        <w:t xml:space="preserve"> gdyby konkursy i sparringi były skorelowane z programem </w:t>
      </w:r>
      <w:r w:rsidR="002C34F2">
        <w:t>nauczania, co</w:t>
      </w:r>
      <w:r w:rsidR="00AE47F6">
        <w:t xml:space="preserve"> pozwoli na bieżące ocenianie postępów indywidualnych uczniów oraz całych grup. Realizacja tego postulatu wymaga jednak zwiększenia liczby dostępnych zadań oraz opisywania ich w sposób pozwalający nauczycielom dobierać je stosownie do prowadzonych zajęć.</w:t>
      </w:r>
    </w:p>
    <w:p w14:paraId="6E30C0E3" w14:textId="7C187D6C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Ważnym komponentem konkursów i sparringów jest automatyczne sprawdzanie zadań. Każdemu zadaniu, w każdym razie na pewno konkursowemu, powinno towarzyszyć objaśnienie sposobu rozwiązania. Do ustalenia </w:t>
      </w:r>
      <w:r w:rsidR="00275F92">
        <w:t>jest,</w:t>
      </w:r>
      <w:r>
        <w:t xml:space="preserve"> czy nauczyciele powinni je otrzymywać jeszcze przed konkursem czy bezpośrednio po nim. Mogłyby to być nagrane wystąpienia autorskie lub jurorskie.</w:t>
      </w:r>
    </w:p>
    <w:p w14:paraId="5F64C796" w14:textId="6B5AD697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Rekomenduje </w:t>
      </w:r>
      <w:r w:rsidR="00275F92">
        <w:t>się,</w:t>
      </w:r>
      <w:r>
        <w:t xml:space="preserve"> aby w warsztatach/zajęciach weekendowych dla bardziej zaawansowanych przeprowadzane były dwa sparringi, jeden indywidualny a drugi zespołowy. Postulat ten wiąże się jednak z koniecznością poszerzenia bazy zadań.</w:t>
      </w:r>
    </w:p>
    <w:p w14:paraId="08B31B1B" w14:textId="77777777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Perspektywiczny program wieloletni powinien mieć mocne, wspólne więzi wewnętrzne pozwalające na wzajemne wsparcie, wymianę doświadczeń oraz pomoc. </w:t>
      </w:r>
    </w:p>
    <w:p w14:paraId="5A2386DD" w14:textId="4F5FC45C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Proponuje się </w:t>
      </w:r>
      <w:r w:rsidR="00C70140">
        <w:t xml:space="preserve">(…) </w:t>
      </w:r>
      <w:r>
        <w:t>organizowanie wspólnych warsztatów np. zlokalizowanych blisko siebie kółek.</w:t>
      </w:r>
    </w:p>
    <w:p w14:paraId="3B078DC4" w14:textId="77777777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Umożliwić wsparcie techniczne pojedynczych uczniów. </w:t>
      </w:r>
    </w:p>
    <w:p w14:paraId="2BD66ADA" w14:textId="77777777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>Zaproponować mechanizm wyróżniania szkół biorących udział i wspierających realizacje projektu.</w:t>
      </w:r>
    </w:p>
    <w:p w14:paraId="5BCDEE15" w14:textId="77777777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 w:rsidRPr="00A13BEB">
        <w:t xml:space="preserve">Projekt docelowy powinien przyjąć wzory organizacyjne projektu pilotażowego - stanowić jedną, wspólnie </w:t>
      </w:r>
      <w:r>
        <w:t>zarządzaną</w:t>
      </w:r>
      <w:r w:rsidRPr="00A13BEB">
        <w:t xml:space="preserve"> całość</w:t>
      </w:r>
      <w:r>
        <w:t>, ze wspólną</w:t>
      </w:r>
      <w:r w:rsidRPr="00A13BEB">
        <w:t xml:space="preserve"> podstawą programową, ale nie </w:t>
      </w:r>
      <w:r>
        <w:t>obowiązkową</w:t>
      </w:r>
      <w:r w:rsidRPr="00A13BEB">
        <w:t>, wykorzystujący wspólne narzędzia</w:t>
      </w:r>
      <w:r>
        <w:t>.</w:t>
      </w:r>
    </w:p>
    <w:p w14:paraId="66E8B6A1" w14:textId="24913836" w:rsidR="00AE47F6" w:rsidRDefault="00AE47F6" w:rsidP="002C34F2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Aby spowodować większe zainteresowanie oraz zaangażowanie ze strony mentorów - nauczycieli akademickich i doktorantów o dużym dorobku dydaktycznym w zakresie projektu, należy wprowadzić możliwość wynagradzania ich na adekwatnym do ich pozycji poziomie. </w:t>
      </w:r>
    </w:p>
    <w:sectPr w:rsidR="00AE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05D0"/>
    <w:multiLevelType w:val="hybridMultilevel"/>
    <w:tmpl w:val="7A741D64"/>
    <w:lvl w:ilvl="0" w:tplc="A30A24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461AC"/>
    <w:multiLevelType w:val="hybridMultilevel"/>
    <w:tmpl w:val="3F82B1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45485"/>
    <w:multiLevelType w:val="hybridMultilevel"/>
    <w:tmpl w:val="70584C10"/>
    <w:lvl w:ilvl="0" w:tplc="556EC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33397">
    <w:abstractNumId w:val="2"/>
  </w:num>
  <w:num w:numId="2" w16cid:durableId="739250325">
    <w:abstractNumId w:val="0"/>
  </w:num>
  <w:num w:numId="3" w16cid:durableId="181753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94"/>
    <w:rsid w:val="000B3318"/>
    <w:rsid w:val="00115335"/>
    <w:rsid w:val="001230A1"/>
    <w:rsid w:val="00133D80"/>
    <w:rsid w:val="0013449D"/>
    <w:rsid w:val="001439FF"/>
    <w:rsid w:val="00177F52"/>
    <w:rsid w:val="00195FFD"/>
    <w:rsid w:val="002045A6"/>
    <w:rsid w:val="00275F92"/>
    <w:rsid w:val="002C34F2"/>
    <w:rsid w:val="002E3E57"/>
    <w:rsid w:val="002F03CF"/>
    <w:rsid w:val="00322A81"/>
    <w:rsid w:val="00340331"/>
    <w:rsid w:val="00375BDF"/>
    <w:rsid w:val="004818BE"/>
    <w:rsid w:val="005A0E5C"/>
    <w:rsid w:val="005B6834"/>
    <w:rsid w:val="005E50E9"/>
    <w:rsid w:val="00656EE4"/>
    <w:rsid w:val="006653B9"/>
    <w:rsid w:val="00675865"/>
    <w:rsid w:val="006A6C29"/>
    <w:rsid w:val="00770EC9"/>
    <w:rsid w:val="007874C8"/>
    <w:rsid w:val="008A1822"/>
    <w:rsid w:val="008B58A4"/>
    <w:rsid w:val="009812BC"/>
    <w:rsid w:val="00A13BEB"/>
    <w:rsid w:val="00AE47F6"/>
    <w:rsid w:val="00B178B8"/>
    <w:rsid w:val="00B25C58"/>
    <w:rsid w:val="00B35BB0"/>
    <w:rsid w:val="00B86BD9"/>
    <w:rsid w:val="00C22E94"/>
    <w:rsid w:val="00C70140"/>
    <w:rsid w:val="00C71DB7"/>
    <w:rsid w:val="00CD1940"/>
    <w:rsid w:val="00DE0C62"/>
    <w:rsid w:val="00E34BE1"/>
    <w:rsid w:val="00E52C43"/>
    <w:rsid w:val="00E777F0"/>
    <w:rsid w:val="13BE3F69"/>
    <w:rsid w:val="4B8C2EEF"/>
    <w:rsid w:val="7F34B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5E98"/>
  <w15:chartTrackingRefBased/>
  <w15:docId w15:val="{98BB7F1E-FFC5-4024-A2D8-2926828C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3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0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C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C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C6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75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C845-058E-4001-9D6C-30D055C9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Anna</dc:creator>
  <cp:keywords/>
  <dc:description/>
  <cp:lastModifiedBy>Mierzejewska Anna</cp:lastModifiedBy>
  <cp:revision>2</cp:revision>
  <dcterms:created xsi:type="dcterms:W3CDTF">2026-05-04T07:17:00Z</dcterms:created>
  <dcterms:modified xsi:type="dcterms:W3CDTF">2026-05-04T07:17:00Z</dcterms:modified>
</cp:coreProperties>
</file>