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0903ED17" w:rsidR="008977B3" w:rsidRPr="008977B3" w:rsidRDefault="008977B3" w:rsidP="007523A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</w:t>
      </w:r>
      <w:r w:rsidR="00E70874">
        <w:rPr>
          <w:rFonts w:ascii="Arial" w:hAnsi="Arial" w:cs="Arial"/>
        </w:rPr>
        <w:t>29</w:t>
      </w:r>
      <w:r w:rsidRPr="008977B3">
        <w:rPr>
          <w:rFonts w:ascii="Arial" w:hAnsi="Arial" w:cs="Arial"/>
        </w:rPr>
        <w:t xml:space="preserve">  </w:t>
      </w:r>
      <w:r w:rsidR="00344842">
        <w:rPr>
          <w:rFonts w:ascii="Arial" w:hAnsi="Arial" w:cs="Arial"/>
        </w:rPr>
        <w:t>września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165A62E1" w:rsidR="008977B3" w:rsidRPr="008977B3" w:rsidRDefault="008977B3" w:rsidP="007523A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344842">
        <w:rPr>
          <w:rFonts w:ascii="Arial" w:hAnsi="Arial" w:cs="Arial"/>
        </w:rPr>
        <w:t>24</w:t>
      </w:r>
      <w:r w:rsidRPr="008977B3">
        <w:rPr>
          <w:rFonts w:ascii="Arial" w:hAnsi="Arial" w:cs="Arial"/>
        </w:rPr>
        <w:t>.2024.</w:t>
      </w:r>
      <w:r w:rsidR="00344842">
        <w:rPr>
          <w:rFonts w:ascii="Arial" w:hAnsi="Arial" w:cs="Arial"/>
        </w:rPr>
        <w:t>KB/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</w:t>
      </w:r>
      <w:r w:rsidR="00344842">
        <w:rPr>
          <w:rFonts w:ascii="Arial" w:hAnsi="Arial" w:cs="Arial"/>
        </w:rPr>
        <w:t>20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7523AA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7523AA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7523AA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0FBA877" w14:textId="65963B22" w:rsidR="00717352" w:rsidRDefault="008977B3" w:rsidP="007523AA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="00344842">
        <w:rPr>
          <w:rFonts w:ascii="Arial" w:eastAsia="Times New Roman" w:hAnsi="Arial" w:cs="Arial"/>
          <w:i/>
          <w:lang w:eastAsia="pl-PL"/>
        </w:rPr>
        <w:t xml:space="preserve"> ze zm.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8977B3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</w:t>
      </w:r>
      <w:r w:rsidR="00344842">
        <w:rPr>
          <w:rFonts w:ascii="Arial" w:eastAsia="Times New Roman" w:hAnsi="Arial" w:cs="Arial"/>
          <w:iCs/>
          <w:lang w:eastAsia="pl-PL"/>
        </w:rPr>
        <w:t> </w:t>
      </w:r>
      <w:r w:rsidRPr="008977B3">
        <w:rPr>
          <w:rFonts w:ascii="Arial" w:eastAsia="Times New Roman" w:hAnsi="Arial" w:cs="Arial"/>
          <w:iCs/>
          <w:lang w:eastAsia="pl-PL"/>
        </w:rPr>
        <w:t xml:space="preserve">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344842" w:rsidRPr="006A0EBB">
        <w:rPr>
          <w:rFonts w:ascii="Arial" w:eastAsia="Calibri" w:hAnsi="Arial" w:cs="Arial"/>
          <w:kern w:val="0"/>
        </w:rPr>
        <w:t>C-Wind Polska Sp. z o.o.,</w:t>
      </w:r>
      <w:r w:rsidR="00344842" w:rsidRPr="006A0EBB">
        <w:rPr>
          <w:rFonts w:ascii="Arial" w:eastAsia="Times New Roman" w:hAnsi="Arial" w:cs="Arial"/>
          <w:kern w:val="0"/>
          <w:lang w:eastAsia="pl-PL"/>
        </w:rPr>
        <w:t xml:space="preserve"> reprezentowanego przez p. Jagodę Gorloff, Antea Polska S.A., z dnia 26.04.2024 r. (wpływ 29.04.2024 r.</w:t>
      </w:r>
      <w:r w:rsidR="00717352" w:rsidRPr="0018454E">
        <w:rPr>
          <w:rFonts w:ascii="Arial" w:eastAsia="Times New Roman" w:hAnsi="Arial" w:cs="Arial"/>
          <w:lang w:eastAsia="pl-PL"/>
        </w:rPr>
        <w:t>)</w:t>
      </w:r>
      <w:r w:rsidR="00717352" w:rsidRPr="0018454E">
        <w:rPr>
          <w:rFonts w:ascii="Arial" w:hAnsi="Arial" w:cs="Arial"/>
        </w:rPr>
        <w:t>,</w:t>
      </w:r>
      <w:r w:rsidR="00717352" w:rsidRPr="0018454E">
        <w:rPr>
          <w:rFonts w:ascii="Arial" w:eastAsia="Times New Roman" w:hAnsi="Arial" w:cs="Arial"/>
          <w:lang w:eastAsia="pl-PL"/>
        </w:rPr>
        <w:t xml:space="preserve"> o wydanie decyzji o</w:t>
      </w:r>
      <w:r w:rsidR="00717352">
        <w:rPr>
          <w:rFonts w:ascii="Arial" w:eastAsia="Times New Roman" w:hAnsi="Arial" w:cs="Arial"/>
          <w:lang w:eastAsia="pl-PL"/>
        </w:rPr>
        <w:t> </w:t>
      </w:r>
      <w:r w:rsidR="00717352" w:rsidRPr="0018454E">
        <w:rPr>
          <w:rFonts w:ascii="Arial" w:eastAsia="Times New Roman" w:hAnsi="Arial" w:cs="Arial"/>
          <w:lang w:eastAsia="pl-PL"/>
        </w:rPr>
        <w:t>środowiskowych uwarunkowaniach dla przedsięwzięcia</w:t>
      </w:r>
      <w:r w:rsidR="00717352" w:rsidRPr="001E2103">
        <w:rPr>
          <w:rFonts w:ascii="Arial" w:eastAsia="Times New Roman" w:hAnsi="Arial" w:cs="Arial"/>
          <w:kern w:val="0"/>
          <w:lang w:eastAsia="pl-PL"/>
        </w:rPr>
        <w:t xml:space="preserve"> pod nazwą: </w:t>
      </w:r>
    </w:p>
    <w:p w14:paraId="017ABE6B" w14:textId="77777777" w:rsidR="00717352" w:rsidRPr="001E2103" w:rsidRDefault="00717352" w:rsidP="007523AA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458EFA9B" w14:textId="77777777" w:rsidR="00344842" w:rsidRDefault="00344842" w:rsidP="007523AA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bookmarkStart w:id="1" w:name="_Hlk45523445"/>
      <w:r w:rsidRPr="006A0E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„Przebudowa i budowa infrastruktury portowej we Władysławowie </w:t>
      </w:r>
    </w:p>
    <w:p w14:paraId="1930DD4F" w14:textId="77777777" w:rsidR="00344842" w:rsidRDefault="00344842" w:rsidP="007523AA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6A0E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potrzeby obsługi serwisowej dla Morskich Farm Wiatrowych”</w:t>
      </w:r>
      <w:bookmarkEnd w:id="1"/>
      <w:r w:rsidRPr="006A0EBB">
        <w:rPr>
          <w:rFonts w:ascii="Arial" w:eastAsia="Times New Roman" w:hAnsi="Arial" w:cs="Arial"/>
          <w:lang w:eastAsia="pl-PL"/>
        </w:rPr>
        <w:t xml:space="preserve">, </w:t>
      </w:r>
    </w:p>
    <w:p w14:paraId="02A6E0BE" w14:textId="77777777" w:rsidR="00344842" w:rsidRDefault="00344842" w:rsidP="007523AA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6A0EBB">
        <w:rPr>
          <w:rFonts w:ascii="Arial" w:eastAsia="Times New Roman" w:hAnsi="Arial" w:cs="Arial"/>
          <w:lang w:eastAsia="pl-PL"/>
        </w:rPr>
        <w:t xml:space="preserve">zlokalizowanego na działkach nr 331/8, 330/12, 330/27, </w:t>
      </w:r>
    </w:p>
    <w:p w14:paraId="57087F9C" w14:textId="77777777" w:rsidR="00344842" w:rsidRDefault="00344842" w:rsidP="007523AA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r w:rsidRPr="006A0EBB">
        <w:rPr>
          <w:rFonts w:ascii="Arial" w:eastAsia="Times New Roman" w:hAnsi="Arial" w:cs="Arial"/>
          <w:lang w:eastAsia="pl-PL"/>
        </w:rPr>
        <w:t>330/43, 330/46, 330/47, 330/24</w:t>
      </w:r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hAnsi="Arial" w:cs="Arial"/>
          <w:iCs/>
        </w:rPr>
        <w:t>330/26</w:t>
      </w:r>
      <w:r w:rsidRPr="006A0EBB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hAnsi="Arial" w:cs="Arial"/>
          <w:iCs/>
        </w:rPr>
        <w:t xml:space="preserve">330/30, 330/31, </w:t>
      </w:r>
      <w:r w:rsidRPr="006A0EBB">
        <w:rPr>
          <w:rFonts w:ascii="Arial" w:eastAsia="Times New Roman" w:hAnsi="Arial" w:cs="Arial"/>
          <w:lang w:eastAsia="pl-PL"/>
        </w:rPr>
        <w:t xml:space="preserve">330/44, 330/32 </w:t>
      </w:r>
    </w:p>
    <w:p w14:paraId="7C14726A" w14:textId="4AFA4F4C" w:rsidR="00344842" w:rsidRPr="00C21875" w:rsidRDefault="00344842" w:rsidP="007523AA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0EBB">
        <w:rPr>
          <w:rFonts w:ascii="Arial" w:eastAsia="Times New Roman" w:hAnsi="Arial" w:cs="Arial"/>
          <w:lang w:eastAsia="pl-PL"/>
        </w:rPr>
        <w:t>obręb Władysławowo 03, gm. Władysławowo (powiat pucki, województwo pomorskie)</w:t>
      </w:r>
      <w:r>
        <w:rPr>
          <w:rFonts w:ascii="Arial" w:eastAsia="Times New Roman" w:hAnsi="Arial" w:cs="Arial"/>
          <w:lang w:eastAsia="pl-PL"/>
        </w:rPr>
        <w:t>,</w:t>
      </w:r>
    </w:p>
    <w:p w14:paraId="3675B467" w14:textId="77777777" w:rsidR="00604EB7" w:rsidRPr="00C21875" w:rsidRDefault="00604EB7" w:rsidP="007523AA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1E333F35" w:rsidR="008977B3" w:rsidRPr="008977B3" w:rsidRDefault="008977B3" w:rsidP="007523A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344842">
        <w:rPr>
          <w:rFonts w:ascii="Arial" w:hAnsi="Arial" w:cs="Arial"/>
        </w:rPr>
        <w:t>24</w:t>
      </w:r>
      <w:r w:rsidRPr="008977B3">
        <w:rPr>
          <w:rFonts w:ascii="Arial" w:hAnsi="Arial" w:cs="Arial"/>
        </w:rPr>
        <w:t>.2024.</w:t>
      </w:r>
      <w:r w:rsidR="00344842">
        <w:rPr>
          <w:rFonts w:ascii="Arial" w:hAnsi="Arial" w:cs="Arial"/>
        </w:rPr>
        <w:t>KB/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</w:t>
      </w:r>
      <w:r w:rsidR="00344842">
        <w:rPr>
          <w:rFonts w:ascii="Arial" w:hAnsi="Arial" w:cs="Arial"/>
        </w:rPr>
        <w:t>19</w:t>
      </w:r>
      <w:r w:rsidR="00604EB7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7523A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7523A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7523A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39070488" w:rsidR="008977B3" w:rsidRPr="008977B3" w:rsidRDefault="008977B3" w:rsidP="007523AA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7523AA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7523AA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7523AA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7523AA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7523AA">
      <w:pPr>
        <w:spacing w:after="0" w:line="276" w:lineRule="auto"/>
        <w:rPr>
          <w:rFonts w:ascii="Arial" w:hAnsi="Arial" w:cs="Arial"/>
        </w:rPr>
      </w:pPr>
    </w:p>
    <w:p w14:paraId="3B80B6AE" w14:textId="08DD4B31" w:rsidR="008977B3" w:rsidRPr="00C16D09" w:rsidRDefault="008977B3" w:rsidP="007523A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r w:rsidR="00591F64" w:rsidRPr="003C4187">
        <w:rPr>
          <w:rFonts w:ascii="Arial" w:hAnsi="Arial" w:cs="Arial"/>
          <w:bCs/>
          <w:i/>
          <w:iCs/>
        </w:rPr>
        <w:t>SIOS (</w:t>
      </w:r>
      <w:r w:rsidR="00591F64" w:rsidRPr="003C4187">
        <w:rPr>
          <w:rFonts w:ascii="Arial" w:hAnsi="Arial" w:cs="Arial"/>
          <w:i/>
          <w:iCs/>
        </w:rPr>
        <w:t>https://system.sios.pl</w:t>
      </w:r>
      <w:r w:rsidR="00591F64" w:rsidRPr="003C4187">
        <w:rPr>
          <w:rFonts w:ascii="Arial" w:hAnsi="Arial" w:cs="Arial"/>
          <w:bCs/>
          <w:i/>
          <w:iCs/>
        </w:rPr>
        <w:t>)</w:t>
      </w:r>
      <w:r w:rsidR="00591F64" w:rsidRPr="003C4187">
        <w:rPr>
          <w:rFonts w:ascii="Arial" w:hAnsi="Arial" w:cs="Arial"/>
          <w:bCs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 xml:space="preserve"> pod nr </w:t>
      </w:r>
      <w:r w:rsidR="00344842">
        <w:rPr>
          <w:rFonts w:ascii="Arial" w:eastAsia="Times New Roman" w:hAnsi="Arial" w:cs="Arial"/>
          <w:lang w:eastAsia="pl-PL"/>
        </w:rPr>
        <w:t>52</w:t>
      </w:r>
      <w:r w:rsidRPr="00C16D09">
        <w:rPr>
          <w:rFonts w:ascii="Arial" w:eastAsia="Times New Roman" w:hAnsi="Arial" w:cs="Arial"/>
          <w:lang w:eastAsia="pl-PL"/>
        </w:rPr>
        <w:t>/202</w:t>
      </w:r>
      <w:r w:rsidR="00344842">
        <w:rPr>
          <w:rFonts w:ascii="Arial" w:eastAsia="Times New Roman" w:hAnsi="Arial" w:cs="Arial"/>
          <w:lang w:eastAsia="pl-PL"/>
        </w:rPr>
        <w:t>5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53ED0BE0" w14:textId="77777777" w:rsidR="008977B3" w:rsidRDefault="008977B3" w:rsidP="007523AA">
      <w:pPr>
        <w:spacing w:after="0" w:line="276" w:lineRule="auto"/>
        <w:ind w:firstLine="425"/>
        <w:rPr>
          <w:rFonts w:ascii="Arial" w:hAnsi="Arial" w:cs="Arial"/>
        </w:rPr>
      </w:pPr>
    </w:p>
    <w:p w14:paraId="608F4B83" w14:textId="77777777" w:rsidR="004B16E4" w:rsidRPr="008977B3" w:rsidRDefault="004B16E4" w:rsidP="007523AA">
      <w:pPr>
        <w:spacing w:after="0" w:line="276" w:lineRule="auto"/>
        <w:ind w:firstLine="425"/>
        <w:rPr>
          <w:rFonts w:ascii="Arial" w:hAnsi="Arial" w:cs="Arial"/>
        </w:rPr>
      </w:pPr>
    </w:p>
    <w:p w14:paraId="6ADC94DE" w14:textId="20343017" w:rsidR="00604EB7" w:rsidRPr="00604EB7" w:rsidRDefault="008977B3" w:rsidP="007523AA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7523AA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7523A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7523A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7523A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7523AA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7523AA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C444D00" w14:textId="77777777" w:rsidR="00344842" w:rsidRDefault="00344842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41DA699" w14:textId="77777777" w:rsidR="00344842" w:rsidRDefault="00344842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3669321D" w14:textId="77777777" w:rsidR="00344842" w:rsidRDefault="00344842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C9C53D1" w14:textId="77777777" w:rsidR="00344842" w:rsidRDefault="00344842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7523AA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7523AA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19D5373" w14:textId="77777777" w:rsidR="00C32950" w:rsidRDefault="00C32950" w:rsidP="007523A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33F6D" w14:textId="77777777" w:rsidR="00663BEB" w:rsidRDefault="00663BEB" w:rsidP="007523A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1D8A5E5" w14:textId="77777777" w:rsidR="00604EB7" w:rsidRPr="001C14EE" w:rsidRDefault="00604EB7" w:rsidP="007523A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7523A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7523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7523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773D1C41" w:rsidR="00F36FCF" w:rsidRPr="004A5342" w:rsidRDefault="00423C3C" w:rsidP="007523A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04EB7">
        <w:rPr>
          <w:rFonts w:ascii="Arial" w:eastAsia="Times New Roman" w:hAnsi="Arial" w:cs="Arial"/>
          <w:sz w:val="18"/>
          <w:szCs w:val="18"/>
          <w:lang w:eastAsia="pl-PL"/>
        </w:rPr>
        <w:t>Dominika Nowak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836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7377DA44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344842">
      <w:rPr>
        <w:rFonts w:ascii="Arial" w:eastAsia="Lucida Sans Unicode" w:hAnsi="Arial" w:cs="Arial"/>
        <w:kern w:val="0"/>
        <w:sz w:val="18"/>
        <w:szCs w:val="18"/>
        <w:lang w:bidi="en-US"/>
      </w:rPr>
      <w:t>24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344842">
      <w:rPr>
        <w:rFonts w:ascii="Arial" w:eastAsia="Lucida Sans Unicode" w:hAnsi="Arial" w:cs="Arial"/>
        <w:kern w:val="0"/>
        <w:sz w:val="18"/>
        <w:szCs w:val="18"/>
        <w:lang w:bidi="en-US"/>
      </w:rPr>
      <w:t>KB/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DN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344842">
      <w:rPr>
        <w:rFonts w:ascii="Arial" w:eastAsia="Lucida Sans Unicode" w:hAnsi="Arial" w:cs="Arial"/>
        <w:kern w:val="0"/>
        <w:sz w:val="18"/>
        <w:szCs w:val="18"/>
        <w:lang w:bidi="en-US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273B26"/>
    <w:rsid w:val="00280491"/>
    <w:rsid w:val="002E1CD3"/>
    <w:rsid w:val="002F2EF2"/>
    <w:rsid w:val="002F793B"/>
    <w:rsid w:val="00344842"/>
    <w:rsid w:val="003C6E62"/>
    <w:rsid w:val="00423C3C"/>
    <w:rsid w:val="004A5342"/>
    <w:rsid w:val="004B16E4"/>
    <w:rsid w:val="004F70C3"/>
    <w:rsid w:val="00591F64"/>
    <w:rsid w:val="00604EB7"/>
    <w:rsid w:val="00663BEB"/>
    <w:rsid w:val="00717352"/>
    <w:rsid w:val="007523AA"/>
    <w:rsid w:val="00893069"/>
    <w:rsid w:val="008977B3"/>
    <w:rsid w:val="0098623F"/>
    <w:rsid w:val="00A153B3"/>
    <w:rsid w:val="00A31356"/>
    <w:rsid w:val="00B607E6"/>
    <w:rsid w:val="00C16D09"/>
    <w:rsid w:val="00C32950"/>
    <w:rsid w:val="00C365E5"/>
    <w:rsid w:val="00D36327"/>
    <w:rsid w:val="00D50CF7"/>
    <w:rsid w:val="00DF1DD6"/>
    <w:rsid w:val="00E70874"/>
    <w:rsid w:val="00EA2B77"/>
    <w:rsid w:val="00F36FCF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17</cp:revision>
  <dcterms:created xsi:type="dcterms:W3CDTF">2024-09-11T09:56:00Z</dcterms:created>
  <dcterms:modified xsi:type="dcterms:W3CDTF">2025-09-29T13:35:00Z</dcterms:modified>
</cp:coreProperties>
</file>