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04" w:rsidRPr="00C62BA7" w:rsidRDefault="009C5E3F" w:rsidP="00936704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9264">
            <v:imagedata r:id="rId8" o:title=""/>
            <w10:wrap type="topAndBottom"/>
          </v:shape>
          <o:OLEObject Type="Embed" ProgID="CorelDraw.Rysunek.8" ShapeID="_x0000_s1026" DrawAspect="Content" ObjectID="_1700294631" r:id="rId9"/>
        </w:object>
      </w:r>
      <w:r w:rsidR="00936704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936704" w:rsidRPr="00D07E03" w:rsidRDefault="00936704" w:rsidP="005A4B46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bookmarkEnd w:id="0"/>
      <w:r w:rsidR="009C5E3F">
        <w:rPr>
          <w:rFonts w:ascii="Arial" w:hAnsi="Arial" w:cs="Arial"/>
        </w:rPr>
        <w:t xml:space="preserve">05 listopada 2021 </w:t>
      </w:r>
      <w:bookmarkStart w:id="1" w:name="_GoBack"/>
      <w:bookmarkEnd w:id="1"/>
      <w:r w:rsidRPr="00D07E03">
        <w:rPr>
          <w:rFonts w:ascii="Arial" w:hAnsi="Arial" w:cs="Arial"/>
        </w:rPr>
        <w:t>r.</w:t>
      </w:r>
    </w:p>
    <w:p w:rsidR="005E4DEB" w:rsidRPr="005E4DEB" w:rsidRDefault="005E4DEB" w:rsidP="005A4B46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B055B1">
        <w:rPr>
          <w:rFonts w:ascii="Arial" w:eastAsia="Times New Roman" w:hAnsi="Arial" w:cs="Arial"/>
          <w:sz w:val="24"/>
          <w:szCs w:val="24"/>
        </w:rPr>
        <w:t>5</w:t>
      </w:r>
      <w:r w:rsidRPr="005E4DEB">
        <w:rPr>
          <w:rFonts w:ascii="Arial" w:eastAsia="Times New Roman" w:hAnsi="Arial" w:cs="Arial"/>
          <w:sz w:val="24"/>
          <w:szCs w:val="24"/>
        </w:rPr>
        <w:t>.2021.EK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RDefault="00B055B1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Piotr Dzięciołowski</w:t>
      </w:r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2E25F4">
        <w:rPr>
          <w:rFonts w:ascii="Arial" w:eastAsia="Calibri" w:hAnsi="Arial" w:cs="Arial"/>
          <w:b/>
          <w:bCs/>
          <w:sz w:val="24"/>
          <w:szCs w:val="24"/>
        </w:rPr>
        <w:t>angielski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>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B055B1">
        <w:rPr>
          <w:rFonts w:ascii="Arial" w:eastAsia="Calibri" w:hAnsi="Arial" w:cs="Arial"/>
          <w:b/>
          <w:bCs/>
          <w:sz w:val="24"/>
          <w:szCs w:val="24"/>
        </w:rPr>
        <w:t>Sarnia 3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Pr="00F9166A" w:rsidRDefault="002E25F4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45</w:t>
      </w:r>
      <w:r w:rsidR="003F0246">
        <w:rPr>
          <w:rFonts w:ascii="Arial" w:eastAsia="Calibri" w:hAnsi="Arial" w:cs="Arial"/>
          <w:b/>
          <w:sz w:val="24"/>
          <w:szCs w:val="24"/>
        </w:rPr>
        <w:t>-</w:t>
      </w:r>
      <w:r w:rsidR="00B055B1">
        <w:rPr>
          <w:rFonts w:ascii="Arial" w:eastAsia="Calibri" w:hAnsi="Arial" w:cs="Arial"/>
          <w:b/>
          <w:sz w:val="24"/>
          <w:szCs w:val="24"/>
        </w:rPr>
        <w:t>471 Opole</w:t>
      </w:r>
    </w:p>
    <w:p w:rsidR="005E4DEB" w:rsidRPr="00F9166A" w:rsidRDefault="005E4DEB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WYSTĄPIENI</w:t>
      </w:r>
      <w:r w:rsidR="00936704">
        <w:rPr>
          <w:rFonts w:ascii="Arial" w:hAnsi="Arial" w:cs="Arial"/>
          <w:b/>
          <w:sz w:val="24"/>
          <w:szCs w:val="24"/>
        </w:rPr>
        <w:t>E</w:t>
      </w:r>
      <w:r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B055B1">
        <w:rPr>
          <w:rFonts w:ascii="Arial" w:eastAsia="Times New Roman" w:hAnsi="Arial" w:cs="Arial"/>
          <w:sz w:val="24"/>
          <w:szCs w:val="24"/>
        </w:rPr>
        <w:t>Piotr Dzięciołowski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2E25F4">
        <w:rPr>
          <w:rFonts w:ascii="Arial" w:eastAsia="Times New Roman" w:hAnsi="Arial" w:cs="Arial"/>
          <w:sz w:val="24"/>
          <w:szCs w:val="24"/>
        </w:rPr>
        <w:t>angielskieg</w:t>
      </w:r>
      <w:r w:rsidR="00F57989">
        <w:rPr>
          <w:rFonts w:ascii="Arial" w:eastAsia="Times New Roman" w:hAnsi="Arial" w:cs="Arial"/>
          <w:sz w:val="24"/>
          <w:szCs w:val="24"/>
        </w:rPr>
        <w:t>o</w:t>
      </w:r>
      <w:r w:rsidRPr="00F9166A">
        <w:rPr>
          <w:rFonts w:ascii="Arial" w:eastAsia="Times New Roman" w:hAnsi="Arial" w:cs="Arial"/>
          <w:sz w:val="24"/>
          <w:szCs w:val="24"/>
        </w:rPr>
        <w:t xml:space="preserve">, ul. </w:t>
      </w:r>
      <w:r w:rsidR="00B055B1">
        <w:rPr>
          <w:rFonts w:ascii="Arial" w:eastAsia="Times New Roman" w:hAnsi="Arial" w:cs="Arial"/>
          <w:sz w:val="24"/>
          <w:szCs w:val="24"/>
        </w:rPr>
        <w:t>Sarnia 3</w:t>
      </w:r>
      <w:r w:rsidR="00E02788">
        <w:rPr>
          <w:rFonts w:ascii="Arial" w:eastAsia="Times New Roman" w:hAnsi="Arial" w:cs="Arial"/>
          <w:sz w:val="24"/>
          <w:szCs w:val="24"/>
        </w:rPr>
        <w:t xml:space="preserve">, </w:t>
      </w:r>
      <w:r w:rsidR="002E25F4">
        <w:rPr>
          <w:rFonts w:ascii="Arial" w:eastAsia="Times New Roman" w:hAnsi="Arial" w:cs="Arial"/>
          <w:sz w:val="24"/>
          <w:szCs w:val="24"/>
        </w:rPr>
        <w:t>45-</w:t>
      </w:r>
      <w:r w:rsidR="00B055B1">
        <w:rPr>
          <w:rFonts w:ascii="Arial" w:eastAsia="Times New Roman" w:hAnsi="Arial" w:cs="Arial"/>
          <w:sz w:val="24"/>
          <w:szCs w:val="24"/>
        </w:rPr>
        <w:t>471</w:t>
      </w:r>
      <w:r w:rsidR="002E25F4">
        <w:rPr>
          <w:rFonts w:ascii="Arial" w:eastAsia="Times New Roman" w:hAnsi="Arial" w:cs="Arial"/>
          <w:sz w:val="24"/>
          <w:szCs w:val="24"/>
        </w:rPr>
        <w:t xml:space="preserve">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</w:t>
      </w:r>
      <w:r w:rsidR="00706AED">
        <w:rPr>
          <w:rFonts w:ascii="Arial" w:hAnsi="Arial" w:cs="Arial"/>
          <w:sz w:val="24"/>
        </w:rPr>
        <w:t>er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od 1 stycznia 2020 r. do 3</w:t>
      </w:r>
      <w:r w:rsidR="002E25F4">
        <w:rPr>
          <w:rFonts w:ascii="Arial" w:eastAsia="Times New Roman" w:hAnsi="Arial" w:cs="Arial"/>
          <w:bCs/>
          <w:sz w:val="24"/>
          <w:szCs w:val="24"/>
        </w:rPr>
        <w:t xml:space="preserve">1 lipca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B055B1">
        <w:rPr>
          <w:rFonts w:ascii="Arial" w:eastAsia="Times New Roman" w:hAnsi="Arial" w:cs="Arial"/>
          <w:sz w:val="24"/>
          <w:szCs w:val="24"/>
        </w:rPr>
        <w:t>16</w:t>
      </w:r>
      <w:r w:rsidR="002E25F4">
        <w:rPr>
          <w:rFonts w:ascii="Arial" w:eastAsia="Times New Roman" w:hAnsi="Arial" w:cs="Arial"/>
          <w:sz w:val="24"/>
          <w:szCs w:val="24"/>
        </w:rPr>
        <w:t xml:space="preserve"> - </w:t>
      </w:r>
      <w:r w:rsidR="00B055B1">
        <w:rPr>
          <w:rFonts w:ascii="Arial" w:eastAsia="Times New Roman" w:hAnsi="Arial" w:cs="Arial"/>
          <w:sz w:val="24"/>
          <w:szCs w:val="24"/>
        </w:rPr>
        <w:t>30</w:t>
      </w:r>
      <w:r w:rsidRPr="00F9166A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kontrolnego,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Daria Dec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– Starszy Inspektor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6871C3" w:rsidRDefault="005E4DEB" w:rsidP="006871C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D3588">
        <w:rPr>
          <w:rFonts w:ascii="Arial" w:hAnsi="Arial" w:cs="Arial"/>
          <w:b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sz w:val="24"/>
          <w:szCs w:val="24"/>
        </w:rPr>
        <w:t>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B055B1">
        <w:rPr>
          <w:rFonts w:ascii="Arial" w:hAnsi="Arial" w:cs="Arial"/>
          <w:sz w:val="24"/>
          <w:szCs w:val="24"/>
        </w:rPr>
        <w:t>Piotr Dzięciołowski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2E25F4">
        <w:rPr>
          <w:rFonts w:ascii="Arial" w:eastAsia="Times New Roman" w:hAnsi="Arial" w:cs="Arial"/>
          <w:sz w:val="24"/>
          <w:szCs w:val="24"/>
        </w:rPr>
        <w:t>angielski</w:t>
      </w:r>
      <w:r w:rsidRPr="00F9166A">
        <w:rPr>
          <w:rFonts w:ascii="Arial" w:eastAsia="Times New Roman" w:hAnsi="Arial" w:cs="Arial"/>
          <w:sz w:val="24"/>
          <w:szCs w:val="24"/>
        </w:rPr>
        <w:t>ego</w:t>
      </w:r>
      <w:r w:rsidR="00F57989">
        <w:rPr>
          <w:rFonts w:ascii="Arial" w:eastAsia="Times New Roman" w:hAnsi="Arial" w:cs="Arial"/>
          <w:sz w:val="24"/>
          <w:szCs w:val="24"/>
        </w:rPr>
        <w:t>.</w:t>
      </w:r>
      <w:r w:rsidR="000E0504" w:rsidRPr="00F9166A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B417A5">
        <w:rPr>
          <w:rFonts w:ascii="Arial" w:eastAsia="Times New Roman" w:hAnsi="Arial" w:cs="Arial"/>
          <w:sz w:val="24"/>
          <w:szCs w:val="24"/>
        </w:rPr>
        <w:t>angielskie</w:t>
      </w:r>
      <w:r w:rsidR="00CA5DC7">
        <w:rPr>
          <w:rFonts w:ascii="Arial" w:eastAsia="Times New Roman" w:hAnsi="Arial" w:cs="Arial"/>
          <w:sz w:val="24"/>
          <w:szCs w:val="24"/>
        </w:rPr>
        <w:t xml:space="preserve">go nabył </w:t>
      </w:r>
      <w:r w:rsidR="000E0504" w:rsidRPr="004D3588">
        <w:rPr>
          <w:rFonts w:ascii="Arial" w:eastAsia="Times New Roman" w:hAnsi="Arial" w:cs="Arial"/>
          <w:sz w:val="24"/>
          <w:szCs w:val="24"/>
        </w:rPr>
        <w:t>z dniem</w:t>
      </w:r>
      <w:r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B055B1">
        <w:rPr>
          <w:rFonts w:ascii="Arial" w:eastAsia="Times New Roman" w:hAnsi="Arial" w:cs="Arial"/>
          <w:sz w:val="24"/>
          <w:szCs w:val="24"/>
        </w:rPr>
        <w:t>7 listopada</w:t>
      </w:r>
      <w:r w:rsidR="00485264">
        <w:rPr>
          <w:rFonts w:ascii="Arial" w:eastAsia="Times New Roman" w:hAnsi="Arial" w:cs="Arial"/>
          <w:sz w:val="24"/>
          <w:szCs w:val="24"/>
        </w:rPr>
        <w:t xml:space="preserve"> 2018 </w:t>
      </w:r>
      <w:r w:rsidR="00E02788" w:rsidRPr="004D3588">
        <w:rPr>
          <w:rFonts w:ascii="Arial" w:eastAsia="Times New Roman" w:hAnsi="Arial" w:cs="Arial"/>
          <w:sz w:val="24"/>
          <w:szCs w:val="24"/>
        </w:rPr>
        <w:t>r.</w:t>
      </w:r>
      <w:r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6871C3">
        <w:rPr>
          <w:rFonts w:ascii="Arial" w:eastAsia="Times New Roman" w:hAnsi="Arial" w:cs="Arial"/>
          <w:sz w:val="24"/>
          <w:szCs w:val="24"/>
        </w:rPr>
        <w:t>, został wpisan</w:t>
      </w:r>
      <w:r w:rsidR="002E25F4">
        <w:rPr>
          <w:rFonts w:ascii="Arial" w:eastAsia="Times New Roman" w:hAnsi="Arial" w:cs="Arial"/>
          <w:sz w:val="24"/>
          <w:szCs w:val="24"/>
        </w:rPr>
        <w:t>y</w:t>
      </w:r>
      <w:r w:rsidR="006871C3">
        <w:rPr>
          <w:rFonts w:ascii="Arial" w:eastAsia="Times New Roman" w:hAnsi="Arial" w:cs="Arial"/>
          <w:sz w:val="24"/>
          <w:szCs w:val="24"/>
        </w:rPr>
        <w:t xml:space="preserve"> </w:t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pod </w:t>
      </w:r>
      <w:r w:rsidR="00F81FA4">
        <w:rPr>
          <w:rFonts w:ascii="Arial" w:eastAsia="Times New Roman" w:hAnsi="Arial" w:cs="Arial"/>
          <w:sz w:val="24"/>
          <w:szCs w:val="24"/>
        </w:rPr>
        <w:t>N</w:t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r </w:t>
      </w:r>
      <w:r w:rsidR="002E25F4">
        <w:rPr>
          <w:rFonts w:ascii="Arial" w:eastAsia="Times New Roman" w:hAnsi="Arial" w:cs="Arial"/>
          <w:sz w:val="24"/>
          <w:szCs w:val="24"/>
        </w:rPr>
        <w:t>TP/</w:t>
      </w:r>
      <w:r w:rsidR="00B055B1">
        <w:rPr>
          <w:rFonts w:ascii="Arial" w:eastAsia="Times New Roman" w:hAnsi="Arial" w:cs="Arial"/>
          <w:sz w:val="24"/>
          <w:szCs w:val="24"/>
        </w:rPr>
        <w:t>72</w:t>
      </w:r>
      <w:r w:rsidR="002E25F4">
        <w:rPr>
          <w:rFonts w:ascii="Arial" w:eastAsia="Times New Roman" w:hAnsi="Arial" w:cs="Arial"/>
          <w:sz w:val="24"/>
          <w:szCs w:val="24"/>
        </w:rPr>
        <w:t>/18</w:t>
      </w:r>
      <w:r w:rsidR="00F57989" w:rsidRPr="004D3588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1A0339" w:rsidRPr="006871C3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5E4DEB" w:rsidP="001A0339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FF6D90" w:rsidRPr="0097442C" w:rsidRDefault="00544F0D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="005E4DEB"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="005E4DEB"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="005E4DEB" w:rsidRPr="00544F0D">
        <w:rPr>
          <w:rFonts w:ascii="Arial" w:hAnsi="Arial" w:cs="Arial"/>
          <w:sz w:val="24"/>
        </w:rPr>
        <w:t xml:space="preserve"> prowadzenia repe</w:t>
      </w:r>
      <w:r w:rsidR="00706AED">
        <w:rPr>
          <w:rFonts w:ascii="Arial" w:hAnsi="Arial" w:cs="Arial"/>
          <w:sz w:val="24"/>
        </w:rPr>
        <w:t>r</w:t>
      </w:r>
      <w:r w:rsidR="005E4DEB" w:rsidRPr="00544F0D">
        <w:rPr>
          <w:rFonts w:ascii="Arial" w:hAnsi="Arial" w:cs="Arial"/>
          <w:sz w:val="24"/>
        </w:rPr>
        <w:t>torium</w:t>
      </w:r>
      <w:r w:rsidR="005E4DEB" w:rsidRPr="00F9166A">
        <w:rPr>
          <w:rFonts w:ascii="Arial" w:hAnsi="Arial" w:cs="Arial"/>
          <w:sz w:val="24"/>
        </w:rPr>
        <w:t xml:space="preserve"> </w:t>
      </w:r>
      <w:r w:rsidR="005C55D7"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="005C55D7">
        <w:rPr>
          <w:rFonts w:ascii="Arial" w:hAnsi="Arial" w:cs="Arial"/>
          <w:sz w:val="24"/>
        </w:rPr>
        <w:t xml:space="preserve">, </w:t>
      </w:r>
      <w:r w:rsidR="005E4DEB" w:rsidRPr="00F9166A">
        <w:rPr>
          <w:rFonts w:ascii="Arial" w:hAnsi="Arial" w:cs="Arial"/>
          <w:sz w:val="24"/>
          <w:szCs w:val="24"/>
        </w:rPr>
        <w:t xml:space="preserve">oceniono </w:t>
      </w:r>
      <w:r w:rsidR="005E4DEB" w:rsidRPr="00F9166A">
        <w:rPr>
          <w:rFonts w:ascii="Arial" w:hAnsi="Arial" w:cs="Arial"/>
          <w:b/>
          <w:sz w:val="24"/>
          <w:szCs w:val="24"/>
        </w:rPr>
        <w:t>pozytywnie</w:t>
      </w:r>
      <w:r w:rsidR="00A662F5">
        <w:rPr>
          <w:rFonts w:ascii="Arial" w:hAnsi="Arial" w:cs="Arial"/>
          <w:b/>
          <w:sz w:val="24"/>
          <w:szCs w:val="24"/>
        </w:rPr>
        <w:t xml:space="preserve"> </w:t>
      </w:r>
      <w:r w:rsidR="00A662F5">
        <w:rPr>
          <w:rFonts w:ascii="Arial" w:hAnsi="Arial" w:cs="Arial"/>
          <w:b/>
          <w:sz w:val="24"/>
          <w:szCs w:val="24"/>
        </w:rPr>
        <w:br/>
        <w:t xml:space="preserve">z </w:t>
      </w:r>
      <w:r w:rsidR="00994C41">
        <w:rPr>
          <w:rFonts w:ascii="Arial" w:hAnsi="Arial" w:cs="Arial"/>
          <w:b/>
          <w:sz w:val="24"/>
          <w:szCs w:val="24"/>
        </w:rPr>
        <w:t>nieprawidłowościami</w:t>
      </w:r>
      <w:r w:rsidR="00B54CBD">
        <w:rPr>
          <w:rFonts w:ascii="Arial" w:hAnsi="Arial" w:cs="Arial"/>
          <w:b/>
          <w:sz w:val="24"/>
          <w:szCs w:val="24"/>
        </w:rPr>
        <w:t>.</w:t>
      </w:r>
      <w:r w:rsidR="001A47F6" w:rsidRPr="00F9166A">
        <w:rPr>
          <w:rFonts w:ascii="Arial" w:hAnsi="Arial" w:cs="Arial"/>
          <w:sz w:val="24"/>
        </w:rPr>
        <w:t xml:space="preserve"> </w:t>
      </w:r>
    </w:p>
    <w:p w:rsidR="00D24973" w:rsidRPr="00D24973" w:rsidRDefault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FF6D90" w:rsidRDefault="003A6BC2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 xml:space="preserve">W okresie objętym kontrolą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  <w:szCs w:val="24"/>
        </w:rPr>
        <w:t xml:space="preserve"> prowadzone było w formie </w:t>
      </w:r>
      <w:r w:rsidR="001A47F6"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B055B1">
        <w:rPr>
          <w:rFonts w:ascii="Arial" w:hAnsi="Arial" w:cs="Arial"/>
          <w:sz w:val="24"/>
          <w:szCs w:val="24"/>
        </w:rPr>
        <w:t>192</w:t>
      </w:r>
      <w:r w:rsidR="00FF6D90" w:rsidRPr="00F9166A">
        <w:rPr>
          <w:rFonts w:ascii="Arial" w:hAnsi="Arial" w:cs="Arial"/>
          <w:sz w:val="24"/>
          <w:szCs w:val="24"/>
        </w:rPr>
        <w:t xml:space="preserve"> wpisów, w tym </w:t>
      </w:r>
      <w:r w:rsidR="00BE5948">
        <w:rPr>
          <w:rFonts w:ascii="Arial" w:hAnsi="Arial" w:cs="Arial"/>
          <w:sz w:val="24"/>
          <w:szCs w:val="24"/>
        </w:rPr>
        <w:t>1</w:t>
      </w:r>
      <w:r w:rsidR="00154275">
        <w:rPr>
          <w:rFonts w:ascii="Arial" w:hAnsi="Arial" w:cs="Arial"/>
          <w:sz w:val="24"/>
          <w:szCs w:val="24"/>
        </w:rPr>
        <w:t>3</w:t>
      </w:r>
      <w:r w:rsidR="00485264">
        <w:rPr>
          <w:rFonts w:ascii="Arial" w:hAnsi="Arial" w:cs="Arial"/>
          <w:sz w:val="24"/>
          <w:szCs w:val="24"/>
        </w:rPr>
        <w:t xml:space="preserve"> </w:t>
      </w:r>
      <w:r w:rsidR="00FF6D90" w:rsidRPr="00F9166A">
        <w:rPr>
          <w:rFonts w:ascii="Arial" w:hAnsi="Arial" w:cs="Arial"/>
          <w:sz w:val="24"/>
          <w:szCs w:val="24"/>
        </w:rPr>
        <w:t xml:space="preserve">wpisów na rzecz podmiotów, </w:t>
      </w:r>
      <w:r w:rsidR="00485264">
        <w:rPr>
          <w:rFonts w:ascii="Arial" w:hAnsi="Arial" w:cs="Arial"/>
          <w:sz w:val="24"/>
          <w:szCs w:val="24"/>
        </w:rPr>
        <w:br/>
      </w:r>
      <w:r w:rsidR="00FF6D90" w:rsidRPr="00F9166A">
        <w:rPr>
          <w:rFonts w:ascii="Arial" w:hAnsi="Arial" w:cs="Arial"/>
          <w:sz w:val="24"/>
          <w:szCs w:val="24"/>
        </w:rPr>
        <w:t xml:space="preserve">o </w:t>
      </w:r>
      <w:r w:rsidR="00FF6D90" w:rsidRPr="00F9166A">
        <w:rPr>
          <w:rFonts w:ascii="Arial" w:hAnsi="Arial" w:cs="Arial"/>
          <w:sz w:val="24"/>
        </w:rPr>
        <w:t>których mowa w art. 15 ustawy o zawodzie tłumacza przysięgłego</w:t>
      </w:r>
      <w:r w:rsidRPr="00F9166A">
        <w:rPr>
          <w:rFonts w:ascii="Arial" w:hAnsi="Arial" w:cs="Arial"/>
          <w:sz w:val="24"/>
        </w:rPr>
        <w:t xml:space="preserve">. Kontroli poddano </w:t>
      </w:r>
      <w:r w:rsidR="006871C3">
        <w:rPr>
          <w:rFonts w:ascii="Arial" w:hAnsi="Arial" w:cs="Arial"/>
          <w:sz w:val="24"/>
        </w:rPr>
        <w:t xml:space="preserve">– zgodnie z programem kontroli z dnia </w:t>
      </w:r>
      <w:r w:rsidR="00B055B1">
        <w:rPr>
          <w:rFonts w:ascii="Arial" w:hAnsi="Arial" w:cs="Arial"/>
          <w:sz w:val="24"/>
        </w:rPr>
        <w:t>30 lipca</w:t>
      </w:r>
      <w:r w:rsidR="00431E17">
        <w:rPr>
          <w:rFonts w:ascii="Arial" w:hAnsi="Arial" w:cs="Arial"/>
          <w:sz w:val="24"/>
        </w:rPr>
        <w:t xml:space="preserve"> 2021 r. – </w:t>
      </w:r>
      <w:r w:rsidR="00A3111E">
        <w:rPr>
          <w:rFonts w:ascii="Arial" w:hAnsi="Arial" w:cs="Arial"/>
          <w:sz w:val="24"/>
        </w:rPr>
        <w:t>ostatnie 50 wpisów</w:t>
      </w:r>
      <w:r w:rsidR="00017FEB">
        <w:rPr>
          <w:rFonts w:ascii="Arial" w:hAnsi="Arial" w:cs="Arial"/>
          <w:sz w:val="24"/>
        </w:rPr>
        <w:t xml:space="preserve"> </w:t>
      </w:r>
      <w:r w:rsidR="003F0F72">
        <w:rPr>
          <w:rFonts w:ascii="Arial" w:hAnsi="Arial" w:cs="Arial"/>
          <w:sz w:val="24"/>
        </w:rPr>
        <w:t xml:space="preserve"> </w:t>
      </w:r>
      <w:r w:rsidR="00431E17">
        <w:rPr>
          <w:rFonts w:ascii="Arial" w:hAnsi="Arial" w:cs="Arial"/>
          <w:sz w:val="24"/>
        </w:rPr>
        <w:t>(</w:t>
      </w:r>
      <w:r w:rsidR="006D14A9">
        <w:rPr>
          <w:rFonts w:ascii="Arial" w:hAnsi="Arial" w:cs="Arial"/>
          <w:sz w:val="24"/>
        </w:rPr>
        <w:t>za 2021</w:t>
      </w:r>
      <w:r w:rsidR="000B2140">
        <w:rPr>
          <w:rFonts w:ascii="Arial" w:hAnsi="Arial" w:cs="Arial"/>
          <w:sz w:val="24"/>
        </w:rPr>
        <w:t> </w:t>
      </w:r>
      <w:r w:rsidR="006D14A9">
        <w:rPr>
          <w:rFonts w:ascii="Arial" w:hAnsi="Arial" w:cs="Arial"/>
          <w:sz w:val="24"/>
        </w:rPr>
        <w:t xml:space="preserve">r. </w:t>
      </w:r>
      <w:r w:rsidR="00431E17">
        <w:rPr>
          <w:rFonts w:ascii="Arial" w:hAnsi="Arial" w:cs="Arial"/>
          <w:sz w:val="24"/>
        </w:rPr>
        <w:t>wpisy o lp</w:t>
      </w:r>
      <w:r w:rsidR="00017FEB">
        <w:rPr>
          <w:rFonts w:ascii="Arial" w:hAnsi="Arial" w:cs="Arial"/>
          <w:sz w:val="24"/>
        </w:rPr>
        <w:t xml:space="preserve">.: </w:t>
      </w:r>
      <w:r w:rsidR="00B055B1">
        <w:rPr>
          <w:rFonts w:ascii="Arial" w:hAnsi="Arial" w:cs="Arial"/>
          <w:sz w:val="24"/>
        </w:rPr>
        <w:t>19</w:t>
      </w:r>
      <w:r w:rsidR="00A662F5">
        <w:rPr>
          <w:rFonts w:ascii="Arial" w:hAnsi="Arial" w:cs="Arial"/>
          <w:sz w:val="24"/>
        </w:rPr>
        <w:t>/2021</w:t>
      </w:r>
      <w:r w:rsidR="0019558E">
        <w:rPr>
          <w:rFonts w:ascii="Arial" w:hAnsi="Arial" w:cs="Arial"/>
          <w:sz w:val="24"/>
        </w:rPr>
        <w:t>-</w:t>
      </w:r>
      <w:r w:rsidR="00B055B1">
        <w:rPr>
          <w:rFonts w:ascii="Arial" w:hAnsi="Arial" w:cs="Arial"/>
          <w:sz w:val="24"/>
        </w:rPr>
        <w:t>68</w:t>
      </w:r>
      <w:r w:rsidR="00D11F42">
        <w:rPr>
          <w:rFonts w:ascii="Arial" w:hAnsi="Arial" w:cs="Arial"/>
          <w:sz w:val="24"/>
        </w:rPr>
        <w:t>/2021</w:t>
      </w:r>
      <w:r w:rsidR="00017FEB">
        <w:rPr>
          <w:rFonts w:ascii="Arial" w:hAnsi="Arial" w:cs="Arial"/>
          <w:sz w:val="24"/>
        </w:rPr>
        <w:t>)</w:t>
      </w:r>
      <w:r w:rsidR="002B1781">
        <w:rPr>
          <w:rFonts w:ascii="Arial" w:hAnsi="Arial" w:cs="Arial"/>
          <w:sz w:val="24"/>
        </w:rPr>
        <w:t>,</w:t>
      </w:r>
      <w:r w:rsidR="0019558E">
        <w:rPr>
          <w:rFonts w:ascii="Arial" w:hAnsi="Arial" w:cs="Arial"/>
          <w:sz w:val="24"/>
        </w:rPr>
        <w:t xml:space="preserve"> w tym 8 </w:t>
      </w:r>
      <w:r w:rsidR="00F52A5E">
        <w:rPr>
          <w:rFonts w:ascii="Arial" w:hAnsi="Arial" w:cs="Arial"/>
          <w:sz w:val="24"/>
        </w:rPr>
        <w:t xml:space="preserve">wpisów </w:t>
      </w:r>
      <w:r w:rsidR="00927D25">
        <w:rPr>
          <w:rFonts w:ascii="Arial" w:hAnsi="Arial" w:cs="Arial"/>
          <w:sz w:val="24"/>
        </w:rPr>
        <w:t>(</w:t>
      </w:r>
      <w:r w:rsidR="00DD047A">
        <w:rPr>
          <w:rFonts w:ascii="Arial" w:hAnsi="Arial" w:cs="Arial"/>
          <w:sz w:val="24"/>
        </w:rPr>
        <w:t xml:space="preserve">51/2021, </w:t>
      </w:r>
      <w:r w:rsidR="00D55B0E">
        <w:rPr>
          <w:rFonts w:ascii="Arial" w:hAnsi="Arial" w:cs="Arial"/>
          <w:sz w:val="24"/>
        </w:rPr>
        <w:br/>
      </w:r>
      <w:r w:rsidR="00DD047A">
        <w:rPr>
          <w:rFonts w:ascii="Arial" w:hAnsi="Arial" w:cs="Arial"/>
          <w:sz w:val="24"/>
        </w:rPr>
        <w:t>59-60/2021, 62-66/2021</w:t>
      </w:r>
      <w:r w:rsidR="00927D25">
        <w:rPr>
          <w:rFonts w:ascii="Arial" w:hAnsi="Arial" w:cs="Arial"/>
          <w:sz w:val="24"/>
        </w:rPr>
        <w:t xml:space="preserve">) </w:t>
      </w:r>
      <w:r w:rsidR="00FF6D90">
        <w:rPr>
          <w:rFonts w:ascii="Arial" w:hAnsi="Arial" w:cs="Arial"/>
          <w:sz w:val="24"/>
        </w:rPr>
        <w:t xml:space="preserve">na </w:t>
      </w:r>
      <w:r w:rsidR="00CB322C">
        <w:rPr>
          <w:rFonts w:ascii="Arial" w:hAnsi="Arial" w:cs="Arial"/>
          <w:sz w:val="24"/>
        </w:rPr>
        <w:t xml:space="preserve">rzecz podmiotów określonych </w:t>
      </w:r>
      <w:r w:rsidR="00CB322C" w:rsidRPr="00F9166A">
        <w:rPr>
          <w:rFonts w:ascii="Arial" w:hAnsi="Arial" w:cs="Arial"/>
          <w:sz w:val="24"/>
        </w:rPr>
        <w:t xml:space="preserve">w art. 15 ustawy </w:t>
      </w:r>
      <w:r w:rsidR="00D55B0E">
        <w:rPr>
          <w:rFonts w:ascii="Arial" w:hAnsi="Arial" w:cs="Arial"/>
          <w:sz w:val="24"/>
        </w:rPr>
        <w:br/>
      </w:r>
      <w:r w:rsidR="00CB322C" w:rsidRPr="00F9166A">
        <w:rPr>
          <w:rFonts w:ascii="Arial" w:hAnsi="Arial" w:cs="Arial"/>
          <w:sz w:val="24"/>
        </w:rPr>
        <w:t>o zawodzie tłumacza przysięgłego.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[Dowód: akta kontroli, str. </w:t>
      </w:r>
      <w:r w:rsidR="00DE2186">
        <w:rPr>
          <w:rFonts w:ascii="Arial" w:hAnsi="Arial" w:cs="Arial"/>
          <w:sz w:val="24"/>
        </w:rPr>
        <w:t>2-10</w:t>
      </w:r>
      <w:r>
        <w:rPr>
          <w:rFonts w:ascii="Arial" w:hAnsi="Arial" w:cs="Arial"/>
          <w:sz w:val="24"/>
        </w:rPr>
        <w:t>]</w:t>
      </w:r>
    </w:p>
    <w:p w:rsidR="00D15423" w:rsidRDefault="00D15423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Zgodnie z oświadczeniem tłumacza przysięgłego, w okresie objętym kontrolą nie miały miejsca przypadki pisemnej odmowy wykonania tłumaczenia na żądanie sądu, prokuratora, Policji oraz organów administracji publicznej. </w:t>
      </w:r>
    </w:p>
    <w:p w:rsidR="00D15423" w:rsidRDefault="00D15423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DE2186">
        <w:rPr>
          <w:rFonts w:ascii="Arial" w:hAnsi="Arial" w:cs="Arial"/>
          <w:sz w:val="24"/>
        </w:rPr>
        <w:t>11-12</w:t>
      </w:r>
      <w:r>
        <w:rPr>
          <w:rFonts w:ascii="Arial" w:hAnsi="Arial" w:cs="Arial"/>
          <w:sz w:val="24"/>
        </w:rPr>
        <w:t>]</w:t>
      </w:r>
    </w:p>
    <w:p w:rsidR="00F62331" w:rsidRDefault="00F62331" w:rsidP="00F6233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3"/>
      </w:r>
      <w:r w:rsidRPr="00F9166A">
        <w:rPr>
          <w:rFonts w:ascii="Arial" w:hAnsi="Arial" w:cs="Arial"/>
          <w:sz w:val="24"/>
        </w:rPr>
        <w:t xml:space="preserve"> oraz spełnił ustawowy obowiązek złożenia 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o zawodzie tłumacza przysięgłego.</w:t>
      </w:r>
    </w:p>
    <w:p w:rsidR="00F62331" w:rsidRDefault="00F62331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13]</w:t>
      </w:r>
    </w:p>
    <w:p w:rsidR="00D83EC8" w:rsidRDefault="006E4C03" w:rsidP="00DE700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zakresie wysokości pobranych wynagrodzeń przez tłumacza przysięgłego, stwierdzono, iż we wszystkich </w:t>
      </w:r>
      <w:r w:rsidR="00F81FA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8</w:t>
      </w:r>
      <w:r w:rsidR="00F81FA4">
        <w:rPr>
          <w:rFonts w:ascii="Arial" w:hAnsi="Arial" w:cs="Arial"/>
          <w:sz w:val="24"/>
        </w:rPr>
        <w:t>)</w:t>
      </w:r>
      <w:r w:rsidR="00DD047A">
        <w:rPr>
          <w:rFonts w:ascii="Arial" w:hAnsi="Arial" w:cs="Arial"/>
          <w:sz w:val="24"/>
        </w:rPr>
        <w:t xml:space="preserve"> </w:t>
      </w:r>
      <w:r w:rsidR="00D15423">
        <w:rPr>
          <w:rFonts w:ascii="Arial" w:hAnsi="Arial" w:cs="Arial"/>
          <w:sz w:val="24"/>
        </w:rPr>
        <w:t>badanych przypadkach</w:t>
      </w:r>
      <w:r>
        <w:rPr>
          <w:rFonts w:ascii="Arial" w:hAnsi="Arial" w:cs="Arial"/>
          <w:sz w:val="24"/>
        </w:rPr>
        <w:t>,</w:t>
      </w:r>
      <w:r w:rsidR="00D15423">
        <w:rPr>
          <w:rFonts w:ascii="Arial" w:hAnsi="Arial" w:cs="Arial"/>
          <w:sz w:val="24"/>
        </w:rPr>
        <w:t xml:space="preserve"> pobrane wynagrodzenia został</w:t>
      </w:r>
      <w:r>
        <w:rPr>
          <w:rFonts w:ascii="Arial" w:hAnsi="Arial" w:cs="Arial"/>
          <w:sz w:val="24"/>
        </w:rPr>
        <w:t xml:space="preserve">y </w:t>
      </w:r>
      <w:r w:rsidR="00D15423">
        <w:rPr>
          <w:rFonts w:ascii="Arial" w:hAnsi="Arial" w:cs="Arial"/>
          <w:sz w:val="24"/>
        </w:rPr>
        <w:t>wyliczon</w:t>
      </w:r>
      <w:r w:rsidR="00F81FA4">
        <w:rPr>
          <w:rFonts w:ascii="Arial" w:hAnsi="Arial" w:cs="Arial"/>
          <w:sz w:val="24"/>
        </w:rPr>
        <w:t>e</w:t>
      </w:r>
      <w:r w:rsidR="00D15423">
        <w:rPr>
          <w:rFonts w:ascii="Arial" w:hAnsi="Arial" w:cs="Arial"/>
          <w:sz w:val="24"/>
        </w:rPr>
        <w:t xml:space="preserve"> </w:t>
      </w:r>
      <w:r w:rsidR="00E57950">
        <w:rPr>
          <w:rFonts w:ascii="Arial" w:hAnsi="Arial" w:cs="Arial"/>
          <w:sz w:val="24"/>
        </w:rPr>
        <w:t>nie</w:t>
      </w:r>
      <w:r w:rsidR="00D15423">
        <w:rPr>
          <w:rFonts w:ascii="Arial" w:hAnsi="Arial" w:cs="Arial"/>
          <w:sz w:val="24"/>
        </w:rPr>
        <w:t>zgodnie ze stawk</w:t>
      </w:r>
      <w:r w:rsidR="00FF39D8">
        <w:rPr>
          <w:rFonts w:ascii="Arial" w:hAnsi="Arial" w:cs="Arial"/>
          <w:sz w:val="24"/>
        </w:rPr>
        <w:t>ami</w:t>
      </w:r>
      <w:r w:rsidR="00D15423">
        <w:rPr>
          <w:rFonts w:ascii="Arial" w:hAnsi="Arial" w:cs="Arial"/>
          <w:sz w:val="24"/>
        </w:rPr>
        <w:t xml:space="preserve"> określon</w:t>
      </w:r>
      <w:r w:rsidR="00FF39D8">
        <w:rPr>
          <w:rFonts w:ascii="Arial" w:hAnsi="Arial" w:cs="Arial"/>
          <w:sz w:val="24"/>
        </w:rPr>
        <w:t>ymi</w:t>
      </w:r>
      <w:r w:rsidR="00D15423">
        <w:rPr>
          <w:rFonts w:ascii="Arial" w:hAnsi="Arial" w:cs="Arial"/>
          <w:sz w:val="24"/>
        </w:rPr>
        <w:t xml:space="preserve"> w </w:t>
      </w:r>
      <w:r w:rsidR="005C55D7">
        <w:rPr>
          <w:rFonts w:ascii="Arial" w:hAnsi="Arial" w:cs="Arial"/>
          <w:sz w:val="24"/>
        </w:rPr>
        <w:t>R</w:t>
      </w:r>
      <w:r w:rsidR="00D15423">
        <w:rPr>
          <w:rFonts w:ascii="Arial" w:hAnsi="Arial" w:cs="Arial"/>
          <w:sz w:val="24"/>
        </w:rPr>
        <w:t>ozporządzeniu Ministra Sprawiedliwości w sprawie wynagrodzenia za czynności tłumacza przysięgłego</w:t>
      </w:r>
      <w:r w:rsidR="00D15423">
        <w:rPr>
          <w:rStyle w:val="Odwoanieprzypisudolnego"/>
          <w:rFonts w:ascii="Arial" w:hAnsi="Arial" w:cs="Arial"/>
          <w:sz w:val="24"/>
        </w:rPr>
        <w:footnoteReference w:id="4"/>
      </w:r>
      <w:r w:rsidR="00D15423">
        <w:rPr>
          <w:rFonts w:ascii="Arial" w:hAnsi="Arial" w:cs="Arial"/>
          <w:sz w:val="24"/>
        </w:rPr>
        <w:t>.</w:t>
      </w:r>
      <w:r w:rsidR="00D83EC8">
        <w:rPr>
          <w:rFonts w:ascii="Arial" w:hAnsi="Arial" w:cs="Arial"/>
          <w:sz w:val="24"/>
        </w:rPr>
        <w:t xml:space="preserve"> </w:t>
      </w:r>
    </w:p>
    <w:p w:rsidR="00FF39D8" w:rsidRDefault="00FF39D8" w:rsidP="00FF39D8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7-9]</w:t>
      </w:r>
    </w:p>
    <w:p w:rsidR="00DD047A" w:rsidRPr="00DE700A" w:rsidRDefault="00986466" w:rsidP="00DE700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przypadku wpisów o lp.: 59/2021, 60/2021 i 64/2021 odnotowano </w:t>
      </w:r>
      <w:r w:rsidR="006E4C03">
        <w:rPr>
          <w:rFonts w:ascii="Arial" w:hAnsi="Arial" w:cs="Arial"/>
          <w:sz w:val="24"/>
        </w:rPr>
        <w:t xml:space="preserve">– za każdą czynność wykonaną przez tłumacza </w:t>
      </w:r>
      <w:r w:rsidR="00E62EC0">
        <w:rPr>
          <w:rFonts w:ascii="Arial" w:hAnsi="Arial" w:cs="Arial"/>
          <w:sz w:val="24"/>
        </w:rPr>
        <w:t>(</w:t>
      </w:r>
      <w:r w:rsidR="006E4C03">
        <w:rPr>
          <w:rFonts w:ascii="Arial" w:hAnsi="Arial" w:cs="Arial"/>
          <w:sz w:val="24"/>
        </w:rPr>
        <w:t>tłumaczenie jednej strony</w:t>
      </w:r>
      <w:r w:rsidR="00E62EC0">
        <w:rPr>
          <w:rFonts w:ascii="Arial" w:hAnsi="Arial" w:cs="Arial"/>
          <w:sz w:val="24"/>
        </w:rPr>
        <w:t>)</w:t>
      </w:r>
      <w:r w:rsidR="006E4C03">
        <w:rPr>
          <w:rFonts w:ascii="Arial" w:hAnsi="Arial" w:cs="Arial"/>
          <w:sz w:val="24"/>
        </w:rPr>
        <w:t xml:space="preserve"> </w:t>
      </w:r>
      <w:r w:rsidR="00DE700A">
        <w:rPr>
          <w:rFonts w:ascii="Arial" w:hAnsi="Arial" w:cs="Arial"/>
          <w:sz w:val="24"/>
        </w:rPr>
        <w:t xml:space="preserve">wysokość pobranych </w:t>
      </w:r>
      <w:r>
        <w:rPr>
          <w:rFonts w:ascii="Arial" w:hAnsi="Arial" w:cs="Arial"/>
          <w:sz w:val="24"/>
        </w:rPr>
        <w:t>wynagrodze</w:t>
      </w:r>
      <w:r w:rsidR="00DE700A">
        <w:rPr>
          <w:rFonts w:ascii="Arial" w:hAnsi="Arial" w:cs="Arial"/>
          <w:sz w:val="24"/>
        </w:rPr>
        <w:t xml:space="preserve">ń </w:t>
      </w:r>
      <w:r w:rsidR="00E62EC0">
        <w:rPr>
          <w:rFonts w:ascii="Arial" w:hAnsi="Arial" w:cs="Arial"/>
          <w:sz w:val="24"/>
        </w:rPr>
        <w:t xml:space="preserve">w kwocie po </w:t>
      </w:r>
      <w:r>
        <w:rPr>
          <w:rFonts w:ascii="Arial" w:hAnsi="Arial" w:cs="Arial"/>
          <w:sz w:val="24"/>
        </w:rPr>
        <w:t>35,00 z</w:t>
      </w:r>
      <w:r w:rsidR="00DE700A">
        <w:rPr>
          <w:rFonts w:ascii="Arial" w:hAnsi="Arial" w:cs="Arial"/>
          <w:sz w:val="24"/>
        </w:rPr>
        <w:t>łotych. Z w</w:t>
      </w:r>
      <w:r w:rsidR="0065286A">
        <w:rPr>
          <w:rFonts w:ascii="Arial" w:hAnsi="Arial" w:cs="Arial"/>
          <w:sz w:val="24"/>
        </w:rPr>
        <w:t>yjaśnie</w:t>
      </w:r>
      <w:r w:rsidR="00DE700A">
        <w:rPr>
          <w:rFonts w:ascii="Arial" w:hAnsi="Arial" w:cs="Arial"/>
          <w:sz w:val="24"/>
        </w:rPr>
        <w:t>ń</w:t>
      </w:r>
      <w:r w:rsidR="0065286A">
        <w:rPr>
          <w:rFonts w:ascii="Arial" w:hAnsi="Arial" w:cs="Arial"/>
          <w:sz w:val="24"/>
        </w:rPr>
        <w:t xml:space="preserve"> tłumacza</w:t>
      </w:r>
      <w:r w:rsidR="00DE700A">
        <w:rPr>
          <w:rFonts w:ascii="Arial" w:hAnsi="Arial" w:cs="Arial"/>
          <w:sz w:val="24"/>
        </w:rPr>
        <w:t xml:space="preserve"> przysięgłego wynika</w:t>
      </w:r>
      <w:r w:rsidR="0065286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65286A" w:rsidRPr="0065286A">
        <w:rPr>
          <w:rFonts w:ascii="Arial" w:hAnsi="Arial" w:cs="Arial"/>
          <w:sz w:val="24"/>
          <w:szCs w:val="24"/>
        </w:rPr>
        <w:t>„Jeżeli chodzi o tłumaczenia nr </w:t>
      </w:r>
      <w:r w:rsidR="0065286A" w:rsidRPr="0065286A">
        <w:rPr>
          <w:rFonts w:ascii="Arial" w:hAnsi="Arial" w:cs="Arial"/>
          <w:color w:val="000000"/>
          <w:sz w:val="24"/>
          <w:szCs w:val="24"/>
        </w:rPr>
        <w:t xml:space="preserve">59/2021 i 60/2021, 64/2021 stawka wynagrodzenia za stronę została przeze mnie zaokrąglona, natomiast były </w:t>
      </w:r>
      <w:r w:rsidR="00E62EC0">
        <w:rPr>
          <w:rFonts w:ascii="Arial" w:hAnsi="Arial" w:cs="Arial"/>
          <w:color w:val="000000"/>
          <w:sz w:val="24"/>
          <w:szCs w:val="24"/>
        </w:rPr>
        <w:br/>
      </w:r>
      <w:r w:rsidR="0065286A" w:rsidRPr="0065286A">
        <w:rPr>
          <w:rFonts w:ascii="Arial" w:hAnsi="Arial" w:cs="Arial"/>
          <w:color w:val="000000"/>
          <w:sz w:val="24"/>
          <w:szCs w:val="24"/>
        </w:rPr>
        <w:t>to tłumaczenia dokumentów sporządzonych odręcznie, w przypadku których, zgodnie z par. 3, pkt. 2 </w:t>
      </w:r>
      <w:r w:rsidR="0065286A" w:rsidRPr="0065286A">
        <w:rPr>
          <w:rFonts w:ascii="Arial" w:hAnsi="Arial" w:cs="Arial"/>
          <w:sz w:val="24"/>
          <w:szCs w:val="24"/>
        </w:rPr>
        <w:t xml:space="preserve">Rozporządzenia Ministra Sprawiedliwości z dnia 24 stycznia 2005 r. </w:t>
      </w:r>
      <w:r w:rsidR="00E62EC0">
        <w:rPr>
          <w:rFonts w:ascii="Arial" w:hAnsi="Arial" w:cs="Arial"/>
          <w:sz w:val="24"/>
          <w:szCs w:val="24"/>
        </w:rPr>
        <w:br/>
      </w:r>
      <w:r w:rsidR="0065286A" w:rsidRPr="0065286A">
        <w:rPr>
          <w:rFonts w:ascii="Arial" w:hAnsi="Arial" w:cs="Arial"/>
          <w:sz w:val="24"/>
          <w:szCs w:val="24"/>
        </w:rPr>
        <w:t>w sprawie wynagrodzenia za czynności tłumacza przysięgłego, stawkę podwyższa się o 25%. W związku z czym, kwota wynagrodzenia nie została bezzasadnie podwyższona”.</w:t>
      </w:r>
    </w:p>
    <w:p w:rsidR="00DE700A" w:rsidRDefault="008D054A" w:rsidP="003A6BC2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62EC0">
        <w:rPr>
          <w:rFonts w:ascii="Arial" w:hAnsi="Arial" w:cs="Arial"/>
          <w:sz w:val="24"/>
          <w:szCs w:val="24"/>
        </w:rPr>
        <w:t xml:space="preserve"> prowadzonym</w:t>
      </w:r>
      <w:r w:rsidR="00DE700A">
        <w:rPr>
          <w:rFonts w:ascii="Arial" w:hAnsi="Arial" w:cs="Arial"/>
          <w:sz w:val="24"/>
          <w:szCs w:val="24"/>
        </w:rPr>
        <w:t xml:space="preserve">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6E4C03">
        <w:rPr>
          <w:rFonts w:ascii="Arial" w:hAnsi="Arial" w:cs="Arial"/>
          <w:sz w:val="24"/>
          <w:szCs w:val="24"/>
        </w:rPr>
        <w:t xml:space="preserve"> </w:t>
      </w:r>
      <w:r w:rsidR="00F81FA4">
        <w:rPr>
          <w:rFonts w:ascii="Arial" w:hAnsi="Arial" w:cs="Arial"/>
          <w:sz w:val="24"/>
          <w:szCs w:val="24"/>
        </w:rPr>
        <w:t xml:space="preserve">w ogóle </w:t>
      </w:r>
      <w:r w:rsidR="006E4C03">
        <w:rPr>
          <w:rFonts w:ascii="Arial" w:hAnsi="Arial" w:cs="Arial"/>
          <w:sz w:val="24"/>
          <w:szCs w:val="24"/>
        </w:rPr>
        <w:t>nie</w:t>
      </w:r>
      <w:r w:rsidR="00DE700A">
        <w:rPr>
          <w:rFonts w:ascii="Arial" w:hAnsi="Arial" w:cs="Arial"/>
          <w:sz w:val="24"/>
          <w:szCs w:val="24"/>
        </w:rPr>
        <w:t xml:space="preserve"> odnotowan</w:t>
      </w:r>
      <w:r w:rsidR="006E4C03">
        <w:rPr>
          <w:rFonts w:ascii="Arial" w:hAnsi="Arial" w:cs="Arial"/>
          <w:sz w:val="24"/>
          <w:szCs w:val="24"/>
        </w:rPr>
        <w:t xml:space="preserve">o </w:t>
      </w:r>
      <w:r w:rsidR="003C37D2">
        <w:rPr>
          <w:rFonts w:ascii="Arial" w:hAnsi="Arial" w:cs="Arial"/>
          <w:sz w:val="24"/>
          <w:szCs w:val="24"/>
        </w:rPr>
        <w:t>informacji o stanie dokument</w:t>
      </w:r>
      <w:r w:rsidR="00CA7C48">
        <w:rPr>
          <w:rFonts w:ascii="Arial" w:hAnsi="Arial" w:cs="Arial"/>
          <w:sz w:val="24"/>
          <w:szCs w:val="24"/>
        </w:rPr>
        <w:t>ów,</w:t>
      </w:r>
      <w:r w:rsidR="006E4C03">
        <w:rPr>
          <w:rFonts w:ascii="Arial" w:hAnsi="Arial" w:cs="Arial"/>
          <w:sz w:val="24"/>
          <w:szCs w:val="24"/>
        </w:rPr>
        <w:t xml:space="preserve"> </w:t>
      </w:r>
      <w:r w:rsidR="00F81FA4">
        <w:rPr>
          <w:rFonts w:ascii="Arial" w:hAnsi="Arial" w:cs="Arial"/>
          <w:sz w:val="24"/>
          <w:szCs w:val="24"/>
        </w:rPr>
        <w:t xml:space="preserve">jednak, </w:t>
      </w:r>
      <w:r w:rsidR="006E4C03">
        <w:rPr>
          <w:rFonts w:ascii="Arial" w:hAnsi="Arial" w:cs="Arial"/>
          <w:sz w:val="24"/>
          <w:szCs w:val="24"/>
        </w:rPr>
        <w:t>przyjmując wyjaśnienia tłumacza przysięgłego</w:t>
      </w:r>
      <w:r w:rsidR="00F81FA4">
        <w:rPr>
          <w:rFonts w:ascii="Arial" w:hAnsi="Arial" w:cs="Arial"/>
          <w:sz w:val="24"/>
          <w:szCs w:val="24"/>
        </w:rPr>
        <w:t>,</w:t>
      </w:r>
      <w:r w:rsidR="006E4C03">
        <w:rPr>
          <w:rFonts w:ascii="Arial" w:hAnsi="Arial" w:cs="Arial"/>
          <w:sz w:val="24"/>
          <w:szCs w:val="24"/>
        </w:rPr>
        <w:t xml:space="preserve"> należy </w:t>
      </w:r>
      <w:r w:rsidR="006E4C03">
        <w:rPr>
          <w:rFonts w:ascii="Arial" w:hAnsi="Arial" w:cs="Arial"/>
          <w:sz w:val="24"/>
          <w:szCs w:val="24"/>
        </w:rPr>
        <w:lastRenderedPageBreak/>
        <w:t>stwierdzić, iż pobran</w:t>
      </w:r>
      <w:r w:rsidR="00E62EC0">
        <w:rPr>
          <w:rFonts w:ascii="Arial" w:hAnsi="Arial" w:cs="Arial"/>
          <w:sz w:val="24"/>
          <w:szCs w:val="24"/>
        </w:rPr>
        <w:t>e</w:t>
      </w:r>
      <w:r w:rsidR="006E4C03">
        <w:rPr>
          <w:rFonts w:ascii="Arial" w:hAnsi="Arial" w:cs="Arial"/>
          <w:sz w:val="24"/>
          <w:szCs w:val="24"/>
        </w:rPr>
        <w:t xml:space="preserve"> kwoty wynagrodze</w:t>
      </w:r>
      <w:r w:rsidR="00E62EC0">
        <w:rPr>
          <w:rFonts w:ascii="Arial" w:hAnsi="Arial" w:cs="Arial"/>
          <w:sz w:val="24"/>
          <w:szCs w:val="24"/>
        </w:rPr>
        <w:t>ń zostały zaniżone</w:t>
      </w:r>
      <w:r w:rsidR="006E4C03">
        <w:rPr>
          <w:rFonts w:ascii="Arial" w:hAnsi="Arial" w:cs="Arial"/>
          <w:sz w:val="24"/>
          <w:szCs w:val="24"/>
        </w:rPr>
        <w:t xml:space="preserve">, </w:t>
      </w:r>
      <w:r w:rsidR="00CA7C48">
        <w:rPr>
          <w:rFonts w:ascii="Arial" w:hAnsi="Arial" w:cs="Arial"/>
          <w:sz w:val="24"/>
          <w:szCs w:val="24"/>
        </w:rPr>
        <w:t>wyliczon</w:t>
      </w:r>
      <w:r w:rsidR="00E62EC0">
        <w:rPr>
          <w:rFonts w:ascii="Arial" w:hAnsi="Arial" w:cs="Arial"/>
          <w:sz w:val="24"/>
          <w:szCs w:val="24"/>
        </w:rPr>
        <w:t xml:space="preserve">e niezgodnie </w:t>
      </w:r>
      <w:r w:rsidR="00F81FA4">
        <w:rPr>
          <w:rFonts w:ascii="Arial" w:hAnsi="Arial" w:cs="Arial"/>
          <w:sz w:val="24"/>
          <w:szCs w:val="24"/>
        </w:rPr>
        <w:br/>
      </w:r>
      <w:r w:rsidR="006E4C03">
        <w:rPr>
          <w:rFonts w:ascii="Arial" w:hAnsi="Arial" w:cs="Arial"/>
          <w:sz w:val="24"/>
          <w:szCs w:val="24"/>
        </w:rPr>
        <w:t xml:space="preserve">z </w:t>
      </w:r>
      <w:r w:rsidR="00E62EC0">
        <w:rPr>
          <w:rFonts w:ascii="Arial" w:hAnsi="Arial" w:cs="Arial"/>
          <w:sz w:val="24"/>
          <w:szCs w:val="24"/>
        </w:rPr>
        <w:t>§ 2 ust. 1 pkt 1 lit. a w związku z § 3 pkt 2 Rozporządzenia. Wynagrodzenia</w:t>
      </w:r>
      <w:r w:rsidR="00CA7C48">
        <w:rPr>
          <w:rFonts w:ascii="Arial" w:hAnsi="Arial" w:cs="Arial"/>
          <w:sz w:val="24"/>
          <w:szCs w:val="24"/>
        </w:rPr>
        <w:t xml:space="preserve"> </w:t>
      </w:r>
      <w:r w:rsidR="00E62EC0">
        <w:rPr>
          <w:rFonts w:ascii="Arial" w:hAnsi="Arial" w:cs="Arial"/>
          <w:sz w:val="24"/>
          <w:szCs w:val="24"/>
        </w:rPr>
        <w:t xml:space="preserve">pobrano </w:t>
      </w:r>
      <w:r w:rsidR="00CA7C48">
        <w:rPr>
          <w:rFonts w:ascii="Arial" w:hAnsi="Arial" w:cs="Arial"/>
          <w:sz w:val="24"/>
          <w:szCs w:val="24"/>
        </w:rPr>
        <w:t xml:space="preserve">– za każde tłumaczenie - </w:t>
      </w:r>
      <w:r w:rsidR="00E62EC0">
        <w:rPr>
          <w:rFonts w:ascii="Arial" w:hAnsi="Arial" w:cs="Arial"/>
          <w:sz w:val="24"/>
          <w:szCs w:val="24"/>
        </w:rPr>
        <w:t>o 8,62 zł niższe niż wynikające z ww. przepisów.</w:t>
      </w:r>
      <w:r w:rsidR="006E4C03">
        <w:rPr>
          <w:rFonts w:ascii="Arial" w:hAnsi="Arial" w:cs="Arial"/>
          <w:sz w:val="24"/>
          <w:szCs w:val="24"/>
        </w:rPr>
        <w:t xml:space="preserve"> </w:t>
      </w:r>
    </w:p>
    <w:p w:rsidR="0065286A" w:rsidRDefault="002300EA" w:rsidP="0065286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przypadku w wpisu o lp. 51/2021 odnotowano wynagrodzenie</w:t>
      </w:r>
      <w:r w:rsidR="00DD047A"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za dwie strony tłumaczenia </w:t>
      </w:r>
      <w:r w:rsidR="00DD047A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 xml:space="preserve">w kwocie 90,00 zł, tj. 0,22 </w:t>
      </w:r>
      <w:r w:rsidR="00D55B0E">
        <w:rPr>
          <w:rFonts w:ascii="Arial" w:hAnsi="Arial" w:cs="Arial"/>
          <w:sz w:val="24"/>
        </w:rPr>
        <w:t>złotych</w:t>
      </w:r>
      <w:r>
        <w:rPr>
          <w:rFonts w:ascii="Arial" w:hAnsi="Arial" w:cs="Arial"/>
          <w:sz w:val="24"/>
        </w:rPr>
        <w:t xml:space="preserve"> niższe niż wynikające ze stawki określonej w § 2 ust. </w:t>
      </w:r>
      <w:r w:rsidR="00CA7C48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pkt </w:t>
      </w:r>
      <w:r w:rsidR="00CA7C48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lit. a ww. Rozporządzenia. </w:t>
      </w:r>
      <w:r w:rsidR="0065286A">
        <w:rPr>
          <w:rFonts w:ascii="Arial" w:hAnsi="Arial" w:cs="Arial"/>
          <w:sz w:val="24"/>
        </w:rPr>
        <w:t xml:space="preserve">Zgodnie </w:t>
      </w:r>
      <w:r w:rsidR="0009097C">
        <w:rPr>
          <w:rFonts w:ascii="Arial" w:hAnsi="Arial" w:cs="Arial"/>
          <w:sz w:val="24"/>
        </w:rPr>
        <w:br/>
      </w:r>
      <w:r w:rsidR="0065286A">
        <w:rPr>
          <w:rFonts w:ascii="Arial" w:hAnsi="Arial" w:cs="Arial"/>
          <w:sz w:val="24"/>
        </w:rPr>
        <w:t>z wyjaśnieniem tłumacza</w:t>
      </w:r>
      <w:r w:rsidR="0009097C">
        <w:rPr>
          <w:rFonts w:ascii="Arial" w:hAnsi="Arial" w:cs="Arial"/>
          <w:sz w:val="24"/>
        </w:rPr>
        <w:t xml:space="preserve"> przysięgłego</w:t>
      </w:r>
      <w:r w:rsidR="0065286A">
        <w:rPr>
          <w:rFonts w:ascii="Arial" w:hAnsi="Arial" w:cs="Arial"/>
          <w:sz w:val="24"/>
        </w:rPr>
        <w:t>: „</w:t>
      </w:r>
      <w:r w:rsidR="0009097C">
        <w:rPr>
          <w:rFonts w:ascii="Arial" w:hAnsi="Arial" w:cs="Arial"/>
          <w:sz w:val="24"/>
        </w:rPr>
        <w:t>J</w:t>
      </w:r>
      <w:r w:rsidR="0065286A">
        <w:rPr>
          <w:rFonts w:ascii="Arial" w:hAnsi="Arial" w:cs="Arial"/>
          <w:sz w:val="24"/>
        </w:rPr>
        <w:t>eśli chodzi o tłumaczenie Nr 51/2021 zaokrągliłem kwotę do równych 45 zł”.</w:t>
      </w:r>
    </w:p>
    <w:p w:rsidR="0065286A" w:rsidRDefault="00986466" w:rsidP="00412FE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65286A">
        <w:rPr>
          <w:rFonts w:ascii="Arial" w:hAnsi="Arial" w:cs="Arial"/>
          <w:sz w:val="24"/>
          <w:szCs w:val="24"/>
        </w:rPr>
        <w:t xml:space="preserve">Natomiast w przypadku </w:t>
      </w:r>
      <w:r w:rsidR="002300EA" w:rsidRPr="0065286A">
        <w:rPr>
          <w:rFonts w:ascii="Arial" w:hAnsi="Arial" w:cs="Arial"/>
          <w:sz w:val="24"/>
          <w:szCs w:val="24"/>
        </w:rPr>
        <w:t>4</w:t>
      </w:r>
      <w:r w:rsidRPr="0065286A">
        <w:rPr>
          <w:rFonts w:ascii="Arial" w:hAnsi="Arial" w:cs="Arial"/>
          <w:sz w:val="24"/>
          <w:szCs w:val="24"/>
        </w:rPr>
        <w:t xml:space="preserve"> wpisów o lp.: 62</w:t>
      </w:r>
      <w:r w:rsidR="0009097C">
        <w:rPr>
          <w:rFonts w:ascii="Arial" w:hAnsi="Arial" w:cs="Arial"/>
          <w:sz w:val="24"/>
          <w:szCs w:val="24"/>
        </w:rPr>
        <w:t>/2021, 6</w:t>
      </w:r>
      <w:r w:rsidR="00032942" w:rsidRPr="0065286A">
        <w:rPr>
          <w:rFonts w:ascii="Arial" w:hAnsi="Arial" w:cs="Arial"/>
          <w:sz w:val="24"/>
          <w:szCs w:val="24"/>
        </w:rPr>
        <w:t>3</w:t>
      </w:r>
      <w:r w:rsidRPr="0065286A">
        <w:rPr>
          <w:rFonts w:ascii="Arial" w:hAnsi="Arial" w:cs="Arial"/>
          <w:sz w:val="24"/>
          <w:szCs w:val="24"/>
        </w:rPr>
        <w:t xml:space="preserve">/2021, </w:t>
      </w:r>
      <w:r w:rsidR="002300EA" w:rsidRPr="0065286A">
        <w:rPr>
          <w:rFonts w:ascii="Arial" w:hAnsi="Arial" w:cs="Arial"/>
          <w:sz w:val="24"/>
          <w:szCs w:val="24"/>
        </w:rPr>
        <w:t>65</w:t>
      </w:r>
      <w:r w:rsidR="0009097C">
        <w:rPr>
          <w:rFonts w:ascii="Arial" w:hAnsi="Arial" w:cs="Arial"/>
          <w:sz w:val="24"/>
          <w:szCs w:val="24"/>
        </w:rPr>
        <w:t xml:space="preserve">/2021 i </w:t>
      </w:r>
      <w:r w:rsidR="002300EA" w:rsidRPr="0065286A">
        <w:rPr>
          <w:rFonts w:ascii="Arial" w:hAnsi="Arial" w:cs="Arial"/>
          <w:sz w:val="24"/>
          <w:szCs w:val="24"/>
        </w:rPr>
        <w:t xml:space="preserve">66/2021 </w:t>
      </w:r>
      <w:r w:rsidR="0009097C">
        <w:rPr>
          <w:rFonts w:ascii="Arial" w:hAnsi="Arial" w:cs="Arial"/>
          <w:sz w:val="24"/>
          <w:szCs w:val="24"/>
        </w:rPr>
        <w:t>odnotowano po jednej stronie sporządzon</w:t>
      </w:r>
      <w:r w:rsidR="00412FE4">
        <w:rPr>
          <w:rFonts w:ascii="Arial" w:hAnsi="Arial" w:cs="Arial"/>
          <w:sz w:val="24"/>
          <w:szCs w:val="24"/>
        </w:rPr>
        <w:t>ych</w:t>
      </w:r>
      <w:r w:rsidR="0009097C">
        <w:rPr>
          <w:rFonts w:ascii="Arial" w:hAnsi="Arial" w:cs="Arial"/>
          <w:sz w:val="24"/>
          <w:szCs w:val="24"/>
        </w:rPr>
        <w:t xml:space="preserve"> tłumacze</w:t>
      </w:r>
      <w:r w:rsidR="00412FE4">
        <w:rPr>
          <w:rFonts w:ascii="Arial" w:hAnsi="Arial" w:cs="Arial"/>
          <w:sz w:val="24"/>
          <w:szCs w:val="24"/>
        </w:rPr>
        <w:t>ń</w:t>
      </w:r>
      <w:r w:rsidR="0009097C">
        <w:rPr>
          <w:rFonts w:ascii="Arial" w:hAnsi="Arial" w:cs="Arial"/>
          <w:sz w:val="24"/>
          <w:szCs w:val="24"/>
        </w:rPr>
        <w:t xml:space="preserve">, podczas gdy z wysokości odnotowanych wynagrodzeń wynika, że pobrano je jak za </w:t>
      </w:r>
      <w:r w:rsidR="00412FE4">
        <w:rPr>
          <w:rFonts w:ascii="Arial" w:hAnsi="Arial" w:cs="Arial"/>
          <w:sz w:val="24"/>
          <w:szCs w:val="24"/>
        </w:rPr>
        <w:t>–</w:t>
      </w:r>
      <w:r w:rsidR="0009097C">
        <w:rPr>
          <w:rFonts w:ascii="Arial" w:hAnsi="Arial" w:cs="Arial"/>
          <w:sz w:val="24"/>
          <w:szCs w:val="24"/>
        </w:rPr>
        <w:t xml:space="preserve"> kolejno – 5, 4, </w:t>
      </w:r>
      <w:r w:rsidR="00D83EC8">
        <w:rPr>
          <w:rFonts w:ascii="Arial" w:hAnsi="Arial" w:cs="Arial"/>
          <w:sz w:val="24"/>
          <w:szCs w:val="24"/>
        </w:rPr>
        <w:t xml:space="preserve">2 </w:t>
      </w:r>
      <w:r w:rsidR="0009097C">
        <w:rPr>
          <w:rFonts w:ascii="Arial" w:hAnsi="Arial" w:cs="Arial"/>
          <w:sz w:val="24"/>
          <w:szCs w:val="24"/>
        </w:rPr>
        <w:t>i 2 strony, tj. kwoty</w:t>
      </w:r>
      <w:r w:rsidR="007C5306" w:rsidRPr="0065286A">
        <w:rPr>
          <w:rFonts w:ascii="Arial" w:hAnsi="Arial" w:cs="Arial"/>
          <w:sz w:val="24"/>
          <w:szCs w:val="24"/>
        </w:rPr>
        <w:t>: 225,00 zł, 180,00 zł</w:t>
      </w:r>
      <w:r w:rsidR="00D83EC8">
        <w:rPr>
          <w:rFonts w:ascii="Arial" w:hAnsi="Arial" w:cs="Arial"/>
          <w:sz w:val="24"/>
          <w:szCs w:val="24"/>
        </w:rPr>
        <w:t>, 90,00</w:t>
      </w:r>
      <w:r w:rsidR="00412FE4">
        <w:rPr>
          <w:rFonts w:ascii="Arial" w:hAnsi="Arial" w:cs="Arial"/>
          <w:sz w:val="24"/>
          <w:szCs w:val="24"/>
        </w:rPr>
        <w:t xml:space="preserve"> i</w:t>
      </w:r>
      <w:r w:rsidR="007C5306" w:rsidRPr="0065286A">
        <w:rPr>
          <w:rFonts w:ascii="Arial" w:hAnsi="Arial" w:cs="Arial"/>
          <w:sz w:val="24"/>
          <w:szCs w:val="24"/>
        </w:rPr>
        <w:t xml:space="preserve"> 90,00</w:t>
      </w:r>
      <w:r w:rsidR="00412FE4">
        <w:rPr>
          <w:rFonts w:ascii="Arial" w:hAnsi="Arial" w:cs="Arial"/>
          <w:sz w:val="24"/>
          <w:szCs w:val="24"/>
        </w:rPr>
        <w:t xml:space="preserve">. </w:t>
      </w:r>
      <w:r w:rsidR="0065286A" w:rsidRPr="0065286A">
        <w:rPr>
          <w:rFonts w:ascii="Arial" w:hAnsi="Arial" w:cs="Arial"/>
          <w:sz w:val="24"/>
          <w:szCs w:val="24"/>
        </w:rPr>
        <w:t>Z wyjaśnień tłumacza</w:t>
      </w:r>
      <w:r w:rsidR="00412FE4">
        <w:rPr>
          <w:rFonts w:ascii="Arial" w:hAnsi="Arial" w:cs="Arial"/>
          <w:sz w:val="24"/>
          <w:szCs w:val="24"/>
        </w:rPr>
        <w:t xml:space="preserve"> przysięgłego</w:t>
      </w:r>
      <w:r w:rsidR="0065286A" w:rsidRPr="0065286A">
        <w:rPr>
          <w:rFonts w:ascii="Arial" w:hAnsi="Arial" w:cs="Arial"/>
          <w:sz w:val="24"/>
          <w:szCs w:val="24"/>
        </w:rPr>
        <w:t xml:space="preserve"> wynika: „W przypadku tłumaczenia nr 62/2021 zaszła pomyłka polegająca na tym, że błędnie wpisałem liczbę stron i sporządzonych egzemplarzy, </w:t>
      </w:r>
      <w:r w:rsidR="007D119D">
        <w:rPr>
          <w:rFonts w:ascii="Arial" w:hAnsi="Arial" w:cs="Arial"/>
          <w:sz w:val="24"/>
          <w:szCs w:val="24"/>
        </w:rPr>
        <w:br/>
      </w:r>
      <w:r w:rsidR="0065286A" w:rsidRPr="0065286A">
        <w:rPr>
          <w:rFonts w:ascii="Arial" w:hAnsi="Arial" w:cs="Arial"/>
          <w:sz w:val="24"/>
          <w:szCs w:val="24"/>
        </w:rPr>
        <w:t xml:space="preserve">tj. tłumaczenie obejmowało 5 stron i zostało wydane w 1 egzemplarzu (5 stron x 45 zł za stronę = 225 zł za całość). Podobnie w przypadku tłumaczenia nr 63/2021 </w:t>
      </w:r>
      <w:r w:rsidR="007D119D">
        <w:rPr>
          <w:rFonts w:ascii="Arial" w:hAnsi="Arial" w:cs="Arial"/>
          <w:sz w:val="24"/>
          <w:szCs w:val="24"/>
        </w:rPr>
        <w:br/>
      </w:r>
      <w:r w:rsidR="0065286A" w:rsidRPr="0065286A">
        <w:rPr>
          <w:rFonts w:ascii="Arial" w:hAnsi="Arial" w:cs="Arial"/>
          <w:sz w:val="24"/>
          <w:szCs w:val="24"/>
        </w:rPr>
        <w:t>(4 strony x 45 zł = 180 zł za całość). Podobnie w przypadku tłumaczenia nr 65/2021 (2 strony x 45 zł = 90 zł za całość). Podobnie w przypadku tłumaczenia nr 66/2021</w:t>
      </w:r>
      <w:r w:rsidR="0065286A">
        <w:rPr>
          <w:rFonts w:ascii="Arial" w:hAnsi="Arial" w:cs="Arial"/>
          <w:sz w:val="24"/>
          <w:szCs w:val="24"/>
        </w:rPr>
        <w:t>”</w:t>
      </w:r>
      <w:r w:rsidR="0065286A" w:rsidRPr="0065286A">
        <w:rPr>
          <w:rFonts w:ascii="Arial" w:hAnsi="Arial" w:cs="Arial"/>
          <w:sz w:val="24"/>
          <w:szCs w:val="24"/>
        </w:rPr>
        <w:t>.</w:t>
      </w:r>
    </w:p>
    <w:p w:rsidR="00412FE4" w:rsidRPr="0009097C" w:rsidRDefault="00412FE4" w:rsidP="00E308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Przyjmując powyższe wyjaśnienia, należy stwierdzić, iż stawki określone </w:t>
      </w:r>
      <w:r w:rsidR="007D119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</w:rPr>
        <w:t>§ 2 ust. 1 pkt 2 lit. a Rozporządzenia,</w:t>
      </w:r>
      <w:r>
        <w:rPr>
          <w:rFonts w:ascii="Arial" w:hAnsi="Arial" w:cs="Arial"/>
          <w:sz w:val="24"/>
          <w:szCs w:val="24"/>
        </w:rPr>
        <w:t xml:space="preserve"> zostały zaokrąglone</w:t>
      </w:r>
      <w:r w:rsidR="00E30829">
        <w:rPr>
          <w:rFonts w:ascii="Arial" w:hAnsi="Arial" w:cs="Arial"/>
          <w:sz w:val="24"/>
          <w:szCs w:val="24"/>
        </w:rPr>
        <w:t xml:space="preserve"> w dół,</w:t>
      </w:r>
      <w:r>
        <w:rPr>
          <w:rFonts w:ascii="Arial" w:hAnsi="Arial" w:cs="Arial"/>
          <w:sz w:val="24"/>
          <w:szCs w:val="24"/>
        </w:rPr>
        <w:t xml:space="preserve"> w związku </w:t>
      </w:r>
      <w:r w:rsidR="007D119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czym wynagrodzenia pobrano o </w:t>
      </w:r>
      <w:r w:rsidR="00E30829">
        <w:rPr>
          <w:rFonts w:ascii="Arial" w:hAnsi="Arial" w:cs="Arial"/>
          <w:sz w:val="24"/>
          <w:szCs w:val="24"/>
        </w:rPr>
        <w:t xml:space="preserve">– kolejno – </w:t>
      </w:r>
      <w:r>
        <w:rPr>
          <w:rFonts w:ascii="Arial" w:hAnsi="Arial" w:cs="Arial"/>
          <w:sz w:val="24"/>
          <w:szCs w:val="24"/>
        </w:rPr>
        <w:t xml:space="preserve">0,55 złotych, </w:t>
      </w:r>
      <w:r w:rsidR="00E30829">
        <w:rPr>
          <w:rFonts w:ascii="Arial" w:hAnsi="Arial" w:cs="Arial"/>
          <w:sz w:val="24"/>
          <w:szCs w:val="24"/>
        </w:rPr>
        <w:t>0,44 złotych i 0,22 złotych (dwukrotnie) niższe, niż stawki określone ww. przepisie.</w:t>
      </w:r>
    </w:p>
    <w:p w:rsidR="00DD047A" w:rsidRDefault="003C3F9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 w:rsidR="00DD047A">
        <w:rPr>
          <w:rFonts w:ascii="Arial" w:hAnsi="Arial" w:cs="Arial"/>
          <w:sz w:val="24"/>
        </w:rPr>
        <w:t>zakresie</w:t>
      </w:r>
      <w:r w:rsidR="007D119D">
        <w:rPr>
          <w:rFonts w:ascii="Arial" w:hAnsi="Arial" w:cs="Arial"/>
          <w:sz w:val="24"/>
        </w:rPr>
        <w:t xml:space="preserve"> poprawności</w:t>
      </w:r>
      <w:r w:rsidR="00DD047A">
        <w:rPr>
          <w:rFonts w:ascii="Arial" w:hAnsi="Arial" w:cs="Arial"/>
          <w:sz w:val="24"/>
        </w:rPr>
        <w:t xml:space="preserve"> prowadzenia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DD047A">
        <w:rPr>
          <w:rFonts w:ascii="Arial" w:hAnsi="Arial" w:cs="Arial"/>
          <w:sz w:val="24"/>
        </w:rPr>
        <w:t xml:space="preserve"> stwierdzono następujące </w:t>
      </w:r>
      <w:r w:rsidRPr="00F9166A">
        <w:rPr>
          <w:rFonts w:ascii="Arial" w:hAnsi="Arial" w:cs="Arial"/>
          <w:sz w:val="24"/>
        </w:rPr>
        <w:t>nieprawidłowości</w:t>
      </w:r>
      <w:r w:rsidR="00DD047A">
        <w:rPr>
          <w:rFonts w:ascii="Arial" w:hAnsi="Arial" w:cs="Arial"/>
          <w:sz w:val="24"/>
        </w:rPr>
        <w:t>:</w:t>
      </w:r>
    </w:p>
    <w:p w:rsidR="003C3F9A" w:rsidRPr="00DD047A" w:rsidRDefault="00DD047A" w:rsidP="00DD047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3C3F9A" w:rsidRPr="00DD047A">
        <w:rPr>
          <w:rFonts w:ascii="Arial" w:hAnsi="Arial" w:cs="Arial"/>
          <w:sz w:val="24"/>
        </w:rPr>
        <w:t xml:space="preserve">rak odnotowania w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3C3F9A" w:rsidRPr="00DD047A">
        <w:rPr>
          <w:rFonts w:ascii="Arial" w:hAnsi="Arial" w:cs="Arial"/>
          <w:sz w:val="24"/>
        </w:rPr>
        <w:t xml:space="preserve"> niektórych ustawowo wymaganych danych, tj.:</w:t>
      </w:r>
    </w:p>
    <w:p w:rsidR="00154275" w:rsidRPr="00DD047A" w:rsidRDefault="00F2464E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o</w:t>
      </w:r>
      <w:r w:rsidR="000C4C05" w:rsidRPr="00DD047A">
        <w:rPr>
          <w:rFonts w:ascii="Arial" w:hAnsi="Arial" w:cs="Arial"/>
          <w:sz w:val="24"/>
        </w:rPr>
        <w:t>soby lub instytucji, która sporządziła dokument – w 9 wpisach poddanych kontroli (lp.: 32/2021, 40/2021, 52-58/2021)</w:t>
      </w:r>
      <w:r w:rsidR="00FD2562" w:rsidRPr="00DD047A">
        <w:rPr>
          <w:rFonts w:ascii="Arial" w:hAnsi="Arial" w:cs="Arial"/>
          <w:sz w:val="24"/>
        </w:rPr>
        <w:t>,</w:t>
      </w:r>
    </w:p>
    <w:p w:rsidR="0089785E" w:rsidRDefault="00F2464E" w:rsidP="0089785E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[Dowód: akta kontroli, str.</w:t>
      </w:r>
      <w:r w:rsidR="00D55B0E">
        <w:rPr>
          <w:rFonts w:ascii="Arial" w:hAnsi="Arial" w:cs="Arial"/>
          <w:sz w:val="24"/>
        </w:rPr>
        <w:t xml:space="preserve"> 4-5, 7-8</w:t>
      </w:r>
      <w:r w:rsidRPr="00DD047A">
        <w:rPr>
          <w:rFonts w:ascii="Arial" w:hAnsi="Arial" w:cs="Arial"/>
          <w:sz w:val="24"/>
        </w:rPr>
        <w:t>]</w:t>
      </w:r>
    </w:p>
    <w:p w:rsidR="0089785E" w:rsidRDefault="007D119D" w:rsidP="007D119D">
      <w:pPr>
        <w:pStyle w:val="Akapitzlist"/>
        <w:tabs>
          <w:tab w:val="left" w:pos="1134"/>
        </w:tabs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55B0E" w:rsidRPr="0089785E">
        <w:rPr>
          <w:rFonts w:ascii="Arial" w:hAnsi="Arial" w:cs="Arial"/>
          <w:sz w:val="24"/>
        </w:rPr>
        <w:t xml:space="preserve">W badanych przypadkach w ogóle nie odnotowano </w:t>
      </w:r>
      <w:r w:rsidR="00843523" w:rsidRPr="0089785E">
        <w:rPr>
          <w:rFonts w:ascii="Arial" w:hAnsi="Arial" w:cs="Arial"/>
          <w:sz w:val="24"/>
        </w:rPr>
        <w:t xml:space="preserve">ww. informacji, natomiast we wpisie o lp. 40/2021 </w:t>
      </w:r>
      <w:r w:rsidR="001B2E7C">
        <w:rPr>
          <w:rFonts w:ascii="Arial" w:hAnsi="Arial" w:cs="Arial"/>
          <w:sz w:val="24"/>
        </w:rPr>
        <w:t xml:space="preserve">zamiast osoby lub instytucji, która sporządziła dokument, </w:t>
      </w:r>
      <w:r>
        <w:rPr>
          <w:rFonts w:ascii="Arial" w:hAnsi="Arial" w:cs="Arial"/>
          <w:sz w:val="24"/>
        </w:rPr>
        <w:t>odnotowano</w:t>
      </w:r>
      <w:r w:rsidR="00843523" w:rsidRPr="0089785E">
        <w:rPr>
          <w:rFonts w:ascii="Arial" w:hAnsi="Arial" w:cs="Arial"/>
          <w:sz w:val="24"/>
        </w:rPr>
        <w:t xml:space="preserve"> nazwę dokumentu.</w:t>
      </w:r>
    </w:p>
    <w:p w:rsidR="003C3F9A" w:rsidRPr="00DD047A" w:rsidRDefault="003C3F9A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lastRenderedPageBreak/>
        <w:t xml:space="preserve">oznaczenia dokumentu albo adnotacji o jego braku na tłumaczonym dokumencie – w </w:t>
      </w:r>
      <w:r w:rsidR="00FD2562" w:rsidRPr="00DD047A">
        <w:rPr>
          <w:rFonts w:ascii="Arial" w:hAnsi="Arial" w:cs="Arial"/>
          <w:sz w:val="24"/>
        </w:rPr>
        <w:t>3</w:t>
      </w:r>
      <w:r w:rsidR="001B2E7C">
        <w:rPr>
          <w:rFonts w:ascii="Arial" w:hAnsi="Arial" w:cs="Arial"/>
          <w:sz w:val="24"/>
        </w:rPr>
        <w:t>5</w:t>
      </w:r>
      <w:r w:rsidRPr="00DD047A">
        <w:rPr>
          <w:rFonts w:ascii="Arial" w:hAnsi="Arial" w:cs="Arial"/>
          <w:sz w:val="24"/>
        </w:rPr>
        <w:t xml:space="preserve"> wpisach poddanych kontroli (lp.:</w:t>
      </w:r>
      <w:r w:rsidR="00A86FAE" w:rsidRPr="00DD047A">
        <w:rPr>
          <w:rFonts w:ascii="Arial" w:hAnsi="Arial" w:cs="Arial"/>
          <w:sz w:val="24"/>
        </w:rPr>
        <w:t xml:space="preserve"> 22-25/2021, 27-3</w:t>
      </w:r>
      <w:r w:rsidR="0013622C">
        <w:rPr>
          <w:rFonts w:ascii="Arial" w:hAnsi="Arial" w:cs="Arial"/>
          <w:sz w:val="24"/>
        </w:rPr>
        <w:t>1</w:t>
      </w:r>
      <w:r w:rsidR="00A86FAE" w:rsidRPr="00DD047A">
        <w:rPr>
          <w:rFonts w:ascii="Arial" w:hAnsi="Arial" w:cs="Arial"/>
          <w:sz w:val="24"/>
        </w:rPr>
        <w:t>/2021, 34/2021, 36-38/2021, 40-44/2021, 51-</w:t>
      </w:r>
      <w:r w:rsidR="00FD2562" w:rsidRPr="00DD047A">
        <w:rPr>
          <w:rFonts w:ascii="Arial" w:hAnsi="Arial" w:cs="Arial"/>
          <w:sz w:val="24"/>
        </w:rPr>
        <w:t>67/2021</w:t>
      </w:r>
      <w:r w:rsidRPr="00DD047A">
        <w:rPr>
          <w:rFonts w:ascii="Arial" w:hAnsi="Arial" w:cs="Arial"/>
          <w:sz w:val="24"/>
        </w:rPr>
        <w:t>)</w:t>
      </w:r>
      <w:r w:rsidR="00DC0D8C">
        <w:rPr>
          <w:rFonts w:ascii="Arial" w:hAnsi="Arial" w:cs="Arial"/>
          <w:sz w:val="24"/>
        </w:rPr>
        <w:t>,</w:t>
      </w:r>
    </w:p>
    <w:p w:rsidR="003C3F9A" w:rsidRPr="00DD047A" w:rsidRDefault="003C3F9A" w:rsidP="003C3F9A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[Dowód: akta kontroli, str.</w:t>
      </w:r>
      <w:r w:rsidR="00D55B0E">
        <w:rPr>
          <w:rFonts w:ascii="Arial" w:hAnsi="Arial" w:cs="Arial"/>
          <w:sz w:val="24"/>
        </w:rPr>
        <w:t xml:space="preserve"> </w:t>
      </w:r>
      <w:r w:rsidR="00695332">
        <w:rPr>
          <w:rFonts w:ascii="Arial" w:hAnsi="Arial" w:cs="Arial"/>
          <w:sz w:val="24"/>
        </w:rPr>
        <w:t>3-10</w:t>
      </w:r>
      <w:r w:rsidRPr="00DD047A">
        <w:rPr>
          <w:rFonts w:ascii="Arial" w:hAnsi="Arial" w:cs="Arial"/>
          <w:sz w:val="24"/>
        </w:rPr>
        <w:t>]</w:t>
      </w:r>
    </w:p>
    <w:p w:rsidR="003C3F9A" w:rsidRPr="00DD047A" w:rsidRDefault="003C3F9A" w:rsidP="003C3F9A">
      <w:pPr>
        <w:spacing w:before="120" w:after="120" w:line="360" w:lineRule="auto"/>
        <w:ind w:left="708" w:firstLine="348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stanowiska Komisji Odpowiedzialności Zawodowej Tłumaczy Przysięgłych przy Ministrze Sprawiedliwości z dnia 21 listopada 2019 r.</w:t>
      </w:r>
      <w:r w:rsidRPr="00DD047A">
        <w:rPr>
          <w:rStyle w:val="Odwoanieprzypisudolnego"/>
          <w:rFonts w:ascii="Arial" w:hAnsi="Arial" w:cs="Arial"/>
          <w:sz w:val="24"/>
        </w:rPr>
        <w:footnoteReference w:id="5"/>
      </w:r>
      <w:r w:rsidRPr="00DD047A">
        <w:rPr>
          <w:rFonts w:ascii="Arial" w:hAnsi="Arial" w:cs="Arial"/>
          <w:sz w:val="24"/>
        </w:rPr>
        <w:t xml:space="preserve">: </w:t>
      </w:r>
      <w:r w:rsidRPr="00DD047A">
        <w:rPr>
          <w:rFonts w:ascii="Arial" w:hAnsi="Arial" w:cs="Arial"/>
          <w:sz w:val="24"/>
        </w:rPr>
        <w:br/>
        <w:t xml:space="preserve">„(…) </w:t>
      </w:r>
      <w:r w:rsidRPr="00DD047A">
        <w:rPr>
          <w:rFonts w:ascii="Arial" w:hAnsi="Arial" w:cs="Arial"/>
          <w:sz w:val="24"/>
          <w:u w:val="single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należy ten fakt odnotować zwrotem „bez oznaczenia” lub skrótami „b.d.” albo „</w:t>
      </w:r>
      <w:proofErr w:type="spellStart"/>
      <w:r w:rsidRPr="00DD047A">
        <w:rPr>
          <w:rFonts w:ascii="Arial" w:hAnsi="Arial" w:cs="Arial"/>
          <w:sz w:val="24"/>
        </w:rPr>
        <w:t>b.o</w:t>
      </w:r>
      <w:proofErr w:type="spellEnd"/>
      <w:r w:rsidRPr="00DD047A">
        <w:rPr>
          <w:rFonts w:ascii="Arial" w:hAnsi="Arial" w:cs="Arial"/>
          <w:sz w:val="24"/>
        </w:rPr>
        <w:t>.”</w:t>
      </w:r>
      <w:r w:rsidR="00DC0D8C">
        <w:rPr>
          <w:rFonts w:ascii="Arial" w:hAnsi="Arial" w:cs="Arial"/>
          <w:sz w:val="24"/>
        </w:rPr>
        <w:t>.</w:t>
      </w:r>
    </w:p>
    <w:p w:rsidR="003C3F9A" w:rsidRPr="00DD047A" w:rsidRDefault="003C3F9A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daty dokumentu albo adnotacji o jej braku na tłumaczonym dokumencie – </w:t>
      </w:r>
      <w:r w:rsidRPr="00DD047A">
        <w:rPr>
          <w:rFonts w:ascii="Arial" w:hAnsi="Arial" w:cs="Arial"/>
          <w:sz w:val="24"/>
        </w:rPr>
        <w:br/>
        <w:t>w</w:t>
      </w:r>
      <w:r w:rsidR="00A86FAE" w:rsidRPr="00DD047A">
        <w:rPr>
          <w:rFonts w:ascii="Arial" w:hAnsi="Arial" w:cs="Arial"/>
          <w:sz w:val="24"/>
        </w:rPr>
        <w:t xml:space="preserve"> 2</w:t>
      </w:r>
      <w:r w:rsidR="00D83E8B">
        <w:rPr>
          <w:rFonts w:ascii="Arial" w:hAnsi="Arial" w:cs="Arial"/>
          <w:sz w:val="24"/>
        </w:rPr>
        <w:t>4</w:t>
      </w:r>
      <w:r w:rsidR="00A86FAE" w:rsidRPr="00DD047A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 xml:space="preserve">wpisach poddanych kontroli (lp.: </w:t>
      </w:r>
      <w:r w:rsidR="00AB1ACF" w:rsidRPr="00DD047A">
        <w:rPr>
          <w:rFonts w:ascii="Arial" w:hAnsi="Arial" w:cs="Arial"/>
          <w:sz w:val="24"/>
        </w:rPr>
        <w:t>19-21/2021, 27-28/2021, 3</w:t>
      </w:r>
      <w:r w:rsidR="00D83E8B">
        <w:rPr>
          <w:rFonts w:ascii="Arial" w:hAnsi="Arial" w:cs="Arial"/>
          <w:sz w:val="24"/>
        </w:rPr>
        <w:t>3</w:t>
      </w:r>
      <w:r w:rsidR="00AB1ACF" w:rsidRPr="00DD047A">
        <w:rPr>
          <w:rFonts w:ascii="Arial" w:hAnsi="Arial" w:cs="Arial"/>
          <w:sz w:val="24"/>
        </w:rPr>
        <w:t xml:space="preserve">-34/2021, 39/2021, 42-45/2021, </w:t>
      </w:r>
      <w:r w:rsidR="00A86FAE" w:rsidRPr="00DD047A">
        <w:rPr>
          <w:rFonts w:ascii="Arial" w:hAnsi="Arial" w:cs="Arial"/>
          <w:sz w:val="24"/>
        </w:rPr>
        <w:t>50/2021, 52-60/2021, 64/2021, 68/2021</w:t>
      </w:r>
      <w:r w:rsidRPr="00DD047A">
        <w:rPr>
          <w:rFonts w:ascii="Arial" w:hAnsi="Arial" w:cs="Arial"/>
          <w:sz w:val="24"/>
        </w:rPr>
        <w:t>),</w:t>
      </w:r>
    </w:p>
    <w:p w:rsidR="003C3F9A" w:rsidRPr="00DD047A" w:rsidRDefault="003C3F9A" w:rsidP="003C3F9A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[Dowód: akta kontroli, str. </w:t>
      </w:r>
      <w:r w:rsidR="00D83E8B">
        <w:rPr>
          <w:rFonts w:ascii="Arial" w:hAnsi="Arial" w:cs="Arial"/>
          <w:sz w:val="24"/>
        </w:rPr>
        <w:t>3-10</w:t>
      </w:r>
      <w:r w:rsidRPr="00DD047A">
        <w:rPr>
          <w:rFonts w:ascii="Arial" w:hAnsi="Arial" w:cs="Arial"/>
          <w:sz w:val="24"/>
        </w:rPr>
        <w:t>]</w:t>
      </w:r>
    </w:p>
    <w:p w:rsidR="003C3F9A" w:rsidRPr="00DD047A" w:rsidRDefault="003C3F9A" w:rsidP="0089785E">
      <w:pPr>
        <w:pStyle w:val="Akapitzlist"/>
        <w:spacing w:before="120" w:after="120" w:line="360" w:lineRule="auto"/>
        <w:ind w:firstLine="414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Zgodnie z ww. stanowiskiem „data dokumentu podobnie jak w innych rubrykach, powinna być pełna i podana zgodnie ze zwyczajem zapisu dat </w:t>
      </w:r>
      <w:r w:rsidRPr="00DD047A">
        <w:rPr>
          <w:rFonts w:ascii="Arial" w:hAnsi="Arial" w:cs="Arial"/>
          <w:sz w:val="24"/>
        </w:rPr>
        <w:br/>
        <w:t>w Polsce (…). W razie braku daty lub oznaczenia dokumentu, należy ten fakt odnotować zwrotem „bez oznaczenia lub skrótami „b.d.” lub „</w:t>
      </w:r>
      <w:proofErr w:type="spellStart"/>
      <w:r w:rsidRPr="00DD047A">
        <w:rPr>
          <w:rFonts w:ascii="Arial" w:hAnsi="Arial" w:cs="Arial"/>
          <w:sz w:val="24"/>
        </w:rPr>
        <w:t>b.o</w:t>
      </w:r>
      <w:proofErr w:type="spellEnd"/>
      <w:r w:rsidRPr="00DD047A">
        <w:rPr>
          <w:rFonts w:ascii="Arial" w:hAnsi="Arial" w:cs="Arial"/>
          <w:sz w:val="24"/>
        </w:rPr>
        <w:t>.”</w:t>
      </w:r>
      <w:r w:rsidR="00DC0D8C">
        <w:rPr>
          <w:rFonts w:ascii="Arial" w:hAnsi="Arial" w:cs="Arial"/>
          <w:sz w:val="24"/>
        </w:rPr>
        <w:t>.</w:t>
      </w:r>
    </w:p>
    <w:p w:rsidR="003C3F9A" w:rsidRPr="00DD047A" w:rsidRDefault="003C3F9A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2" w:name="_Hlk85189018"/>
      <w:r w:rsidRPr="00DD047A">
        <w:rPr>
          <w:rFonts w:ascii="Arial" w:hAnsi="Arial" w:cs="Arial"/>
          <w:sz w:val="24"/>
        </w:rPr>
        <w:t xml:space="preserve">rodzaju wykonanej czynności </w:t>
      </w:r>
      <w:bookmarkEnd w:id="2"/>
      <w:r w:rsidRPr="00DD047A">
        <w:rPr>
          <w:rFonts w:ascii="Arial" w:hAnsi="Arial" w:cs="Arial"/>
          <w:sz w:val="24"/>
        </w:rPr>
        <w:t xml:space="preserve">– we wszystkich 50 wpisach (lp.: </w:t>
      </w:r>
      <w:r w:rsidR="00F2464E" w:rsidRPr="00DD047A">
        <w:rPr>
          <w:rFonts w:ascii="Arial" w:hAnsi="Arial" w:cs="Arial"/>
          <w:sz w:val="24"/>
        </w:rPr>
        <w:t>19</w:t>
      </w:r>
      <w:r w:rsidR="00D83E8B">
        <w:rPr>
          <w:rFonts w:ascii="Arial" w:hAnsi="Arial" w:cs="Arial"/>
          <w:sz w:val="24"/>
        </w:rPr>
        <w:t>-68</w:t>
      </w:r>
      <w:r w:rsidR="00F2464E" w:rsidRPr="00DD047A">
        <w:rPr>
          <w:rFonts w:ascii="Arial" w:hAnsi="Arial" w:cs="Arial"/>
          <w:sz w:val="24"/>
        </w:rPr>
        <w:t>/202</w:t>
      </w:r>
      <w:r w:rsidR="00D83E8B">
        <w:rPr>
          <w:rFonts w:ascii="Arial" w:hAnsi="Arial" w:cs="Arial"/>
          <w:sz w:val="24"/>
        </w:rPr>
        <w:t>1</w:t>
      </w:r>
      <w:r w:rsidR="00F2464E" w:rsidRPr="00DD047A">
        <w:rPr>
          <w:rFonts w:ascii="Arial" w:hAnsi="Arial" w:cs="Arial"/>
          <w:sz w:val="24"/>
        </w:rPr>
        <w:t>)</w:t>
      </w:r>
      <w:r w:rsidRPr="00DD047A">
        <w:rPr>
          <w:rFonts w:ascii="Arial" w:hAnsi="Arial" w:cs="Arial"/>
          <w:sz w:val="24"/>
        </w:rPr>
        <w:t xml:space="preserve">, </w:t>
      </w:r>
    </w:p>
    <w:p w:rsidR="003C3F9A" w:rsidRPr="00DD047A" w:rsidRDefault="003C3F9A" w:rsidP="0089785E">
      <w:pPr>
        <w:tabs>
          <w:tab w:val="left" w:pos="1276"/>
          <w:tab w:val="left" w:pos="6690"/>
        </w:tabs>
        <w:spacing w:before="120" w:after="120" w:line="360" w:lineRule="auto"/>
        <w:ind w:left="360" w:firstLine="491"/>
        <w:jc w:val="right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[Dowód: akta kontroli, str. </w:t>
      </w:r>
      <w:r w:rsidR="00D83E8B">
        <w:rPr>
          <w:rFonts w:ascii="Arial" w:hAnsi="Arial" w:cs="Arial"/>
          <w:sz w:val="24"/>
        </w:rPr>
        <w:t>3-10</w:t>
      </w:r>
      <w:r w:rsidRPr="00DD047A">
        <w:rPr>
          <w:rFonts w:ascii="Arial" w:hAnsi="Arial" w:cs="Arial"/>
          <w:sz w:val="24"/>
        </w:rPr>
        <w:t>]</w:t>
      </w:r>
    </w:p>
    <w:p w:rsidR="003C3F9A" w:rsidRPr="00DD047A" w:rsidRDefault="003C3F9A" w:rsidP="003C3F9A">
      <w:pPr>
        <w:pStyle w:val="Akapitzlist"/>
        <w:spacing w:before="120" w:after="120" w:line="360" w:lineRule="auto"/>
        <w:ind w:left="708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We wszystkich wpisach wykonaną czynność określono</w:t>
      </w:r>
      <w:r w:rsidR="00F2464E" w:rsidRPr="00DD047A">
        <w:rPr>
          <w:rFonts w:ascii="Arial" w:hAnsi="Arial" w:cs="Arial"/>
          <w:sz w:val="24"/>
        </w:rPr>
        <w:t xml:space="preserve"> zapisem</w:t>
      </w:r>
      <w:r w:rsidRPr="00DD047A">
        <w:rPr>
          <w:rFonts w:ascii="Arial" w:hAnsi="Arial" w:cs="Arial"/>
          <w:sz w:val="24"/>
        </w:rPr>
        <w:t xml:space="preserve"> </w:t>
      </w:r>
      <w:r w:rsidR="00F2464E" w:rsidRPr="00DD047A">
        <w:rPr>
          <w:rFonts w:ascii="Arial" w:hAnsi="Arial" w:cs="Arial"/>
          <w:sz w:val="24"/>
        </w:rPr>
        <w:t>„</w:t>
      </w:r>
      <w:r w:rsidRPr="00DD047A">
        <w:rPr>
          <w:rFonts w:ascii="Arial" w:hAnsi="Arial" w:cs="Arial"/>
          <w:sz w:val="24"/>
        </w:rPr>
        <w:t>tłumaczenie</w:t>
      </w:r>
      <w:r w:rsidR="00F2464E" w:rsidRPr="00DD047A">
        <w:rPr>
          <w:rFonts w:ascii="Arial" w:hAnsi="Arial" w:cs="Arial"/>
          <w:sz w:val="24"/>
        </w:rPr>
        <w:t>”.</w:t>
      </w:r>
    </w:p>
    <w:p w:rsidR="00F2464E" w:rsidRPr="00DD047A" w:rsidRDefault="00F2464E" w:rsidP="00F2464E">
      <w:pPr>
        <w:spacing w:before="120" w:after="120" w:line="360" w:lineRule="auto"/>
        <w:ind w:left="360" w:firstLine="348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ww. stanowiska „wpis do tej rubryki ma określić czynność wykonaną przez tłumacza przysięgłego, do wykonania której pozostaje uprawniony mocą art. 13 ww. ustawy, a więc jedną z następujących czynności: tłumaczenie pisemne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 (…), tłumaczenie ustne (zawsze na język […] </w:t>
      </w:r>
      <w:r w:rsidR="00D61FDB">
        <w:rPr>
          <w:rFonts w:ascii="Arial" w:hAnsi="Arial" w:cs="Arial"/>
          <w:sz w:val="24"/>
        </w:rPr>
        <w:br/>
      </w:r>
      <w:r w:rsidRPr="00DC0D8C">
        <w:rPr>
          <w:rFonts w:ascii="Arial" w:hAnsi="Arial" w:cs="Arial"/>
          <w:sz w:val="24"/>
        </w:rPr>
        <w:t>i z języka</w:t>
      </w:r>
      <w:r w:rsidRPr="00DD047A">
        <w:rPr>
          <w:rFonts w:ascii="Arial" w:hAnsi="Arial" w:cs="Arial"/>
          <w:sz w:val="24"/>
        </w:rPr>
        <w:t xml:space="preserve"> […] na język polski), poświadczenie dostarczonego tłumaczenia pisemnego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język, odpis dokumentu w języku (…), poświadczenie dostarczonego odpisu dokumentu w języku (…). </w:t>
      </w:r>
    </w:p>
    <w:p w:rsidR="00635162" w:rsidRPr="00635162" w:rsidRDefault="00635162" w:rsidP="00DD047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 xml:space="preserve">Brak w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Pr="00635162">
        <w:rPr>
          <w:rFonts w:ascii="Arial" w:hAnsi="Arial" w:cs="Arial"/>
          <w:sz w:val="24"/>
        </w:rPr>
        <w:t xml:space="preserve"> rubryk do odnotowania informacji określonych w art. 17 ust. 2 pkt 1, 3, 4, 5 i 7, tj.:</w:t>
      </w:r>
    </w:p>
    <w:p w:rsidR="00635162" w:rsidRPr="00635162" w:rsidRDefault="00635162" w:rsidP="00635162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bookmarkStart w:id="3" w:name="_Hlk85189761"/>
      <w:r w:rsidRPr="00635162">
        <w:rPr>
          <w:rFonts w:ascii="Arial" w:hAnsi="Arial" w:cs="Arial"/>
          <w:sz w:val="24"/>
        </w:rPr>
        <w:lastRenderedPageBreak/>
        <w:t>daty zwrotu dokumentu wraz z tłumaczeniem;</w:t>
      </w:r>
    </w:p>
    <w:p w:rsidR="00635162" w:rsidRPr="00635162" w:rsidRDefault="00635162" w:rsidP="00635162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uwag o rodzaju, formie i stanie dokumentu;</w:t>
      </w:r>
    </w:p>
    <w:p w:rsidR="00635162" w:rsidRPr="00635162" w:rsidRDefault="00635162" w:rsidP="00635162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języka tłumaczenia;</w:t>
      </w:r>
    </w:p>
    <w:p w:rsidR="00635162" w:rsidRDefault="00635162" w:rsidP="00635162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opisu tłumaczenia ustnego wskazującego datę, miejsce, zakres i czas trwania tłumaczenia;</w:t>
      </w:r>
    </w:p>
    <w:bookmarkEnd w:id="3"/>
    <w:p w:rsidR="0013622C" w:rsidRPr="0013622C" w:rsidRDefault="0013622C" w:rsidP="00695332">
      <w:pPr>
        <w:pStyle w:val="Akapitzlist"/>
        <w:spacing w:before="120" w:after="120" w:line="360" w:lineRule="auto"/>
        <w:ind w:firstLine="131"/>
        <w:rPr>
          <w:rFonts w:ascii="Arial" w:hAnsi="Arial" w:cs="Arial"/>
          <w:sz w:val="24"/>
        </w:rPr>
      </w:pPr>
      <w:r w:rsidRPr="0013622C">
        <w:rPr>
          <w:rFonts w:ascii="Arial" w:hAnsi="Arial" w:cs="Arial"/>
          <w:sz w:val="24"/>
        </w:rPr>
        <w:t xml:space="preserve">We wpisie o lp. 32/2021 r. </w:t>
      </w:r>
      <w:r>
        <w:rPr>
          <w:rFonts w:ascii="Arial" w:hAnsi="Arial" w:cs="Arial"/>
          <w:sz w:val="24"/>
        </w:rPr>
        <w:t xml:space="preserve">w rubryce „nazwa, data i numer dokumentu” </w:t>
      </w:r>
      <w:r w:rsidR="00695332">
        <w:rPr>
          <w:rFonts w:ascii="Arial" w:hAnsi="Arial" w:cs="Arial"/>
          <w:sz w:val="24"/>
        </w:rPr>
        <w:t xml:space="preserve">błędnie </w:t>
      </w:r>
      <w:r>
        <w:rPr>
          <w:rFonts w:ascii="Arial" w:hAnsi="Arial" w:cs="Arial"/>
          <w:sz w:val="24"/>
        </w:rPr>
        <w:t xml:space="preserve">zanotowano </w:t>
      </w:r>
      <w:r w:rsidRPr="0013622C">
        <w:rPr>
          <w:rFonts w:ascii="Arial" w:hAnsi="Arial" w:cs="Arial"/>
          <w:sz w:val="24"/>
        </w:rPr>
        <w:t xml:space="preserve">rodzaj </w:t>
      </w:r>
      <w:r>
        <w:rPr>
          <w:rFonts w:ascii="Arial" w:hAnsi="Arial" w:cs="Arial"/>
          <w:sz w:val="24"/>
        </w:rPr>
        <w:t xml:space="preserve">dokonanej </w:t>
      </w:r>
      <w:r w:rsidRPr="0013622C">
        <w:rPr>
          <w:rFonts w:ascii="Arial" w:hAnsi="Arial" w:cs="Arial"/>
          <w:sz w:val="24"/>
        </w:rPr>
        <w:t>czynności</w:t>
      </w:r>
      <w:r>
        <w:rPr>
          <w:rFonts w:ascii="Arial" w:hAnsi="Arial" w:cs="Arial"/>
          <w:sz w:val="24"/>
        </w:rPr>
        <w:t>, tj.</w:t>
      </w:r>
      <w:r w:rsidRPr="0013622C">
        <w:rPr>
          <w:rFonts w:ascii="Arial" w:hAnsi="Arial" w:cs="Arial"/>
          <w:sz w:val="24"/>
        </w:rPr>
        <w:t xml:space="preserve"> „tłumaczenie ustne czynności notarialnej</w:t>
      </w:r>
      <w:r w:rsidR="00DC0D8C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. Przedmiotowe działanie powinno zostać wpisane </w:t>
      </w:r>
      <w:r w:rsidR="00695332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w </w:t>
      </w:r>
      <w:r w:rsidR="00695332">
        <w:rPr>
          <w:rFonts w:ascii="Arial" w:hAnsi="Arial" w:cs="Arial"/>
          <w:sz w:val="24"/>
        </w:rPr>
        <w:t>powyższą rubrykę, tj. „</w:t>
      </w:r>
      <w:r w:rsidR="00695332" w:rsidRPr="00635162">
        <w:rPr>
          <w:rFonts w:ascii="Arial" w:hAnsi="Arial" w:cs="Arial"/>
          <w:sz w:val="24"/>
        </w:rPr>
        <w:t xml:space="preserve">opis tłumaczenia ustnego </w:t>
      </w:r>
      <w:r w:rsidR="00695332">
        <w:rPr>
          <w:rFonts w:ascii="Arial" w:hAnsi="Arial" w:cs="Arial"/>
          <w:sz w:val="24"/>
        </w:rPr>
        <w:t>wraz ze wskazaniem</w:t>
      </w:r>
      <w:r w:rsidR="00695332" w:rsidRPr="00635162">
        <w:rPr>
          <w:rFonts w:ascii="Arial" w:hAnsi="Arial" w:cs="Arial"/>
          <w:sz w:val="24"/>
        </w:rPr>
        <w:t xml:space="preserve"> dat</w:t>
      </w:r>
      <w:r w:rsidR="00695332">
        <w:rPr>
          <w:rFonts w:ascii="Arial" w:hAnsi="Arial" w:cs="Arial"/>
          <w:sz w:val="24"/>
        </w:rPr>
        <w:t>y</w:t>
      </w:r>
      <w:r w:rsidR="00695332" w:rsidRPr="00635162">
        <w:rPr>
          <w:rFonts w:ascii="Arial" w:hAnsi="Arial" w:cs="Arial"/>
          <w:sz w:val="24"/>
        </w:rPr>
        <w:t>, miejsc</w:t>
      </w:r>
      <w:r w:rsidR="00695332">
        <w:rPr>
          <w:rFonts w:ascii="Arial" w:hAnsi="Arial" w:cs="Arial"/>
          <w:sz w:val="24"/>
        </w:rPr>
        <w:t>a</w:t>
      </w:r>
      <w:r w:rsidR="00695332" w:rsidRPr="00635162">
        <w:rPr>
          <w:rFonts w:ascii="Arial" w:hAnsi="Arial" w:cs="Arial"/>
          <w:sz w:val="24"/>
        </w:rPr>
        <w:t>, zakres i czas trwania tłumaczenia</w:t>
      </w:r>
      <w:r w:rsidR="00695332">
        <w:rPr>
          <w:rFonts w:ascii="Arial" w:hAnsi="Arial" w:cs="Arial"/>
          <w:sz w:val="24"/>
        </w:rPr>
        <w:t>”.</w:t>
      </w:r>
    </w:p>
    <w:p w:rsidR="00635162" w:rsidRPr="00D85190" w:rsidRDefault="00635162" w:rsidP="00D85190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informacji o odmowie wykonania tłumaczenia na rzecz podmiotów, o których mowa w art. 15, zawierającą datę odmowy, określenie podmiotu żądającego tłumaczenia oraz przyczynę odmowy tłumaczenia.</w:t>
      </w:r>
    </w:p>
    <w:p w:rsidR="003C3F9A" w:rsidRPr="00D83E8B" w:rsidRDefault="00635162" w:rsidP="00D83E8B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D85190">
        <w:rPr>
          <w:rFonts w:ascii="Arial" w:hAnsi="Arial" w:cs="Arial"/>
          <w:sz w:val="24"/>
        </w:rPr>
        <w:t xml:space="preserve">Nieprawidłowe nazewnictwo </w:t>
      </w:r>
      <w:r w:rsidR="003C3F9A" w:rsidRPr="00D85190">
        <w:rPr>
          <w:rFonts w:ascii="Arial" w:hAnsi="Arial" w:cs="Arial"/>
          <w:sz w:val="24"/>
        </w:rPr>
        <w:t>rubryk</w:t>
      </w:r>
      <w:r w:rsidR="00D61FDB">
        <w:rPr>
          <w:rFonts w:ascii="Arial" w:hAnsi="Arial" w:cs="Arial"/>
          <w:sz w:val="24"/>
        </w:rPr>
        <w:t>i</w:t>
      </w:r>
      <w:r w:rsidR="003C3F9A" w:rsidRPr="00D85190">
        <w:rPr>
          <w:rFonts w:ascii="Arial" w:hAnsi="Arial" w:cs="Arial"/>
          <w:sz w:val="24"/>
        </w:rPr>
        <w:t xml:space="preserve">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D61FDB">
        <w:rPr>
          <w:rFonts w:ascii="Arial" w:hAnsi="Arial" w:cs="Arial"/>
          <w:sz w:val="24"/>
        </w:rPr>
        <w:t>,</w:t>
      </w:r>
      <w:r w:rsidR="003C3F9A" w:rsidRPr="00D85190">
        <w:rPr>
          <w:rFonts w:ascii="Arial" w:hAnsi="Arial" w:cs="Arial"/>
          <w:sz w:val="24"/>
        </w:rPr>
        <w:t xml:space="preserve"> tj.</w:t>
      </w:r>
      <w:r w:rsidR="00D83E8B">
        <w:rPr>
          <w:rFonts w:ascii="Arial" w:hAnsi="Arial" w:cs="Arial"/>
          <w:sz w:val="24"/>
        </w:rPr>
        <w:t xml:space="preserve"> „</w:t>
      </w:r>
      <w:r w:rsidR="003C3F9A" w:rsidRPr="00D83E8B">
        <w:rPr>
          <w:rFonts w:ascii="Arial" w:hAnsi="Arial" w:cs="Arial"/>
          <w:sz w:val="24"/>
        </w:rPr>
        <w:t>nazwisko (nazwa) i adres zleceniodawcy</w:t>
      </w:r>
      <w:r w:rsidR="00D83E8B">
        <w:rPr>
          <w:rFonts w:ascii="Arial" w:hAnsi="Arial" w:cs="Arial"/>
          <w:sz w:val="24"/>
        </w:rPr>
        <w:t>”</w:t>
      </w:r>
    </w:p>
    <w:p w:rsidR="003C3F9A" w:rsidRDefault="003C3F9A" w:rsidP="00D61FDB">
      <w:pPr>
        <w:spacing w:before="120" w:after="120" w:line="360" w:lineRule="auto"/>
        <w:ind w:left="360" w:firstLine="348"/>
        <w:rPr>
          <w:rFonts w:ascii="Arial" w:hAnsi="Arial" w:cs="Arial"/>
          <w:sz w:val="24"/>
        </w:rPr>
      </w:pPr>
      <w:r w:rsidRPr="00D85190">
        <w:rPr>
          <w:rFonts w:ascii="Arial" w:hAnsi="Arial" w:cs="Arial"/>
          <w:sz w:val="24"/>
        </w:rPr>
        <w:t xml:space="preserve">Prawidłowo – zgodnie z treścią art. 17 ust. 2 pkt 2 ustawy o zawodzie tłumacza przysięgłego – rubryka ta powinna zostać nazwana „Oznaczenie zleceniodawcy albo zamawiającego wykonanie oznaczonego tłumaczenia”. Zgodnie </w:t>
      </w:r>
      <w:r w:rsidR="00A95E85">
        <w:rPr>
          <w:rFonts w:ascii="Arial" w:hAnsi="Arial" w:cs="Arial"/>
          <w:sz w:val="24"/>
        </w:rPr>
        <w:t>ze</w:t>
      </w:r>
      <w:r w:rsidRPr="00D85190">
        <w:rPr>
          <w:rFonts w:ascii="Arial" w:hAnsi="Arial" w:cs="Arial"/>
          <w:sz w:val="24"/>
        </w:rPr>
        <w:t xml:space="preserve"> stanowiskiem</w:t>
      </w:r>
      <w:r w:rsidR="00A95E85" w:rsidRPr="00A95E85">
        <w:rPr>
          <w:rFonts w:ascii="Arial" w:hAnsi="Arial" w:cs="Arial"/>
          <w:sz w:val="24"/>
        </w:rPr>
        <w:t xml:space="preserve"> </w:t>
      </w:r>
      <w:r w:rsidR="00A95E85" w:rsidRPr="00DD047A">
        <w:rPr>
          <w:rFonts w:ascii="Arial" w:hAnsi="Arial" w:cs="Arial"/>
          <w:sz w:val="24"/>
        </w:rPr>
        <w:t>Komisji Odpowiedzialności Zawodowej Tłumaczy Przysięgłych przy Ministrze Sprawiedliwości</w:t>
      </w:r>
      <w:r w:rsidR="00A95E85">
        <w:rPr>
          <w:rFonts w:ascii="Arial" w:hAnsi="Arial" w:cs="Arial"/>
          <w:sz w:val="24"/>
        </w:rPr>
        <w:t xml:space="preserve"> </w:t>
      </w:r>
      <w:r w:rsidRPr="00D85190">
        <w:rPr>
          <w:rFonts w:ascii="Arial" w:hAnsi="Arial" w:cs="Arial"/>
          <w:sz w:val="24"/>
        </w:rPr>
        <w:t xml:space="preserve"> „’</w:t>
      </w:r>
      <w:r w:rsidR="00A95E85">
        <w:rPr>
          <w:rFonts w:ascii="Arial" w:hAnsi="Arial" w:cs="Arial"/>
          <w:sz w:val="24"/>
        </w:rPr>
        <w:t>o</w:t>
      </w:r>
      <w:r w:rsidRPr="00D85190">
        <w:rPr>
          <w:rFonts w:ascii="Arial" w:hAnsi="Arial" w:cs="Arial"/>
          <w:sz w:val="24"/>
        </w:rPr>
        <w:t xml:space="preserve">znaczenie zleceniodawcy albo zamawiającego wykonanie oznaczonego tłumaczenia’ nie jest równoznaczne </w:t>
      </w:r>
      <w:r w:rsidR="00A95E85">
        <w:rPr>
          <w:rFonts w:ascii="Arial" w:hAnsi="Arial" w:cs="Arial"/>
          <w:sz w:val="24"/>
        </w:rPr>
        <w:br/>
      </w:r>
      <w:r w:rsidRPr="00D85190">
        <w:rPr>
          <w:rFonts w:ascii="Arial" w:hAnsi="Arial" w:cs="Arial"/>
          <w:sz w:val="24"/>
        </w:rPr>
        <w:t xml:space="preserve">z błędnym określeniem występującym w różnych wersjach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Pr="00D85190">
        <w:rPr>
          <w:rFonts w:ascii="Arial" w:hAnsi="Arial" w:cs="Arial"/>
          <w:sz w:val="24"/>
        </w:rPr>
        <w:t xml:space="preserve"> jako ‘nazwisko (nazwa) i adres zleceniodawcy’. Pomijając bowiem brak rozróżnienia między zleceniodawcą a zamawiającym, termin ‘oznaczenie’ należy rozumieć wyłącznie jako imię i nazwisko osoby fizycznej lub nazwę osoby prawnej lub podmiotu nieposiadającego osobowości prawnej (…). Umieszczenie w tej rubryce adresu zleceniodawcy lub zamawiającego nie jest więc obowiązkowe i brak tego elementu nie stanowi naruszenia zasad poprawności. </w:t>
      </w:r>
    </w:p>
    <w:p w:rsidR="00A662F5" w:rsidRPr="00D61FDB" w:rsidRDefault="00D61FDB" w:rsidP="00A662F5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D61FDB">
        <w:rPr>
          <w:rFonts w:ascii="Arial" w:hAnsi="Arial" w:cs="Arial"/>
          <w:sz w:val="24"/>
        </w:rPr>
        <w:t>Ponadto, nieprawidłowość s</w:t>
      </w:r>
      <w:r w:rsidR="00A662F5" w:rsidRPr="00D61FDB">
        <w:rPr>
          <w:rFonts w:ascii="Arial" w:hAnsi="Arial" w:cs="Arial"/>
          <w:sz w:val="24"/>
        </w:rPr>
        <w:t>twierdzono również w samych zapisach liczby porządkowej. W</w:t>
      </w:r>
      <w:r w:rsidR="00A95E85">
        <w:rPr>
          <w:rFonts w:ascii="Arial" w:hAnsi="Arial" w:cs="Arial"/>
          <w:sz w:val="24"/>
        </w:rPr>
        <w:t xml:space="preserve">e </w:t>
      </w:r>
      <w:r w:rsidR="00A662F5" w:rsidRPr="00D61FDB">
        <w:rPr>
          <w:rFonts w:ascii="Arial" w:hAnsi="Arial" w:cs="Arial"/>
          <w:sz w:val="24"/>
        </w:rPr>
        <w:t>wszystkich skontrolowanych wpis</w:t>
      </w:r>
      <w:r w:rsidR="00A95E85">
        <w:rPr>
          <w:rFonts w:ascii="Arial" w:hAnsi="Arial" w:cs="Arial"/>
          <w:sz w:val="24"/>
        </w:rPr>
        <w:t xml:space="preserve">ach w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A662F5" w:rsidRPr="00D61FDB">
        <w:rPr>
          <w:rFonts w:ascii="Arial" w:hAnsi="Arial" w:cs="Arial"/>
          <w:sz w:val="24"/>
        </w:rPr>
        <w:t xml:space="preserve">, liczba porządkowa była podawana wraz z rokiem </w:t>
      </w:r>
      <w:r w:rsidR="009D112F" w:rsidRPr="00D61FDB">
        <w:rPr>
          <w:rFonts w:ascii="Arial" w:hAnsi="Arial" w:cs="Arial"/>
          <w:sz w:val="24"/>
        </w:rPr>
        <w:t>wpisu</w:t>
      </w:r>
      <w:r w:rsidR="00932584" w:rsidRPr="00D61FDB">
        <w:rPr>
          <w:rFonts w:ascii="Arial" w:hAnsi="Arial" w:cs="Arial"/>
          <w:sz w:val="24"/>
        </w:rPr>
        <w:t xml:space="preserve"> (przedzielona ukośnikiem)</w:t>
      </w:r>
      <w:r w:rsidR="009D112F" w:rsidRPr="00D61FDB">
        <w:rPr>
          <w:rFonts w:ascii="Arial" w:hAnsi="Arial" w:cs="Arial"/>
          <w:sz w:val="24"/>
        </w:rPr>
        <w:t>.</w:t>
      </w:r>
    </w:p>
    <w:p w:rsidR="00A662F5" w:rsidRPr="00D61FDB" w:rsidRDefault="00A662F5" w:rsidP="00A662F5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D61FDB">
        <w:rPr>
          <w:rFonts w:ascii="Arial" w:hAnsi="Arial" w:cs="Arial"/>
          <w:sz w:val="24"/>
        </w:rPr>
        <w:t xml:space="preserve">[Dowód: akta kontroli, str. </w:t>
      </w:r>
      <w:r w:rsidR="003F0246" w:rsidRPr="00D61FDB">
        <w:rPr>
          <w:rFonts w:ascii="Arial" w:hAnsi="Arial" w:cs="Arial"/>
          <w:sz w:val="24"/>
        </w:rPr>
        <w:t>3-5</w:t>
      </w:r>
      <w:r w:rsidRPr="00D61FDB">
        <w:rPr>
          <w:rFonts w:ascii="Arial" w:hAnsi="Arial" w:cs="Arial"/>
          <w:sz w:val="24"/>
        </w:rPr>
        <w:t>]</w:t>
      </w:r>
    </w:p>
    <w:p w:rsidR="00A662F5" w:rsidRPr="00D61FDB" w:rsidRDefault="00A662F5" w:rsidP="009D112F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D61FDB">
        <w:rPr>
          <w:rFonts w:ascii="Arial" w:hAnsi="Arial" w:cs="Arial"/>
          <w:sz w:val="24"/>
        </w:rPr>
        <w:lastRenderedPageBreak/>
        <w:t>W myśl ww. stanowiska</w:t>
      </w:r>
      <w:r w:rsidR="00932584" w:rsidRPr="00D61FDB">
        <w:rPr>
          <w:rFonts w:ascii="Arial" w:hAnsi="Arial" w:cs="Arial"/>
          <w:sz w:val="24"/>
        </w:rPr>
        <w:t>,</w:t>
      </w:r>
      <w:r w:rsidRPr="00D61FDB">
        <w:rPr>
          <w:rFonts w:ascii="Arial" w:hAnsi="Arial" w:cs="Arial"/>
          <w:sz w:val="24"/>
        </w:rPr>
        <w:t xml:space="preserve"> </w:t>
      </w:r>
      <w:r w:rsidR="009D112F" w:rsidRPr="00D61FDB">
        <w:rPr>
          <w:rFonts w:ascii="Arial" w:hAnsi="Arial" w:cs="Arial"/>
          <w:sz w:val="24"/>
        </w:rPr>
        <w:t>l</w:t>
      </w:r>
      <w:r w:rsidRPr="00D61FDB">
        <w:rPr>
          <w:rFonts w:ascii="Arial" w:hAnsi="Arial" w:cs="Arial"/>
          <w:sz w:val="24"/>
        </w:rPr>
        <w:t xml:space="preserve">iczba porządkowa </w:t>
      </w:r>
      <w:r w:rsidR="009D112F" w:rsidRPr="00D61FDB">
        <w:rPr>
          <w:rFonts w:ascii="Arial" w:hAnsi="Arial" w:cs="Arial"/>
          <w:sz w:val="24"/>
        </w:rPr>
        <w:t>„</w:t>
      </w:r>
      <w:r w:rsidRPr="00A95E85">
        <w:rPr>
          <w:rFonts w:ascii="Arial" w:hAnsi="Arial" w:cs="Arial"/>
          <w:sz w:val="24"/>
        </w:rPr>
        <w:t xml:space="preserve">jest numerem kolejnym wpisu do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Pr="00A95E85">
        <w:rPr>
          <w:rFonts w:ascii="Arial" w:hAnsi="Arial" w:cs="Arial"/>
          <w:sz w:val="24"/>
        </w:rPr>
        <w:t>.</w:t>
      </w:r>
      <w:r w:rsidRPr="00D61FDB">
        <w:rPr>
          <w:rFonts w:ascii="Arial" w:hAnsi="Arial" w:cs="Arial"/>
          <w:sz w:val="24"/>
        </w:rPr>
        <w:t xml:space="preserve"> Zaleca się</w:t>
      </w:r>
      <w:r w:rsidR="009D112F" w:rsidRPr="00D61FDB">
        <w:rPr>
          <w:rFonts w:ascii="Arial" w:hAnsi="Arial" w:cs="Arial"/>
          <w:sz w:val="24"/>
        </w:rPr>
        <w:t>,</w:t>
      </w:r>
      <w:r w:rsidRPr="00D61FDB">
        <w:rPr>
          <w:rFonts w:ascii="Arial" w:hAnsi="Arial" w:cs="Arial"/>
          <w:sz w:val="24"/>
        </w:rPr>
        <w:t xml:space="preserve"> aby liczba porządkowa była pisana cyframi arabskimi, którymi oznacza się wpisy dokonywane od pierwszego do ostatniego dnia danego roku, dla każdego roku oddzielnie”.</w:t>
      </w:r>
    </w:p>
    <w:p w:rsidR="00203C29" w:rsidRPr="00F9166A" w:rsidRDefault="00203C29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0042EE" w:rsidRDefault="00F11A01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AB1ACF">
        <w:rPr>
          <w:rFonts w:ascii="Arial" w:hAnsi="Arial" w:cs="Arial"/>
          <w:sz w:val="24"/>
          <w:szCs w:val="24"/>
        </w:rPr>
        <w:t>nieprawidłowości</w:t>
      </w:r>
      <w:r w:rsidR="00932584">
        <w:rPr>
          <w:rFonts w:ascii="Arial" w:hAnsi="Arial" w:cs="Arial"/>
          <w:sz w:val="24"/>
          <w:szCs w:val="24"/>
        </w:rPr>
        <w:t xml:space="preserve"> </w:t>
      </w:r>
      <w:r w:rsidR="005D686B">
        <w:rPr>
          <w:rFonts w:ascii="Arial" w:hAnsi="Arial" w:cs="Arial"/>
          <w:sz w:val="24"/>
          <w:szCs w:val="24"/>
        </w:rPr>
        <w:t>w prowadz</w:t>
      </w:r>
      <w:r w:rsidR="00274E62">
        <w:rPr>
          <w:rFonts w:ascii="Arial" w:hAnsi="Arial" w:cs="Arial"/>
          <w:sz w:val="24"/>
          <w:szCs w:val="24"/>
        </w:rPr>
        <w:t>e</w:t>
      </w:r>
      <w:r w:rsidR="005D686B">
        <w:rPr>
          <w:rFonts w:ascii="Arial" w:hAnsi="Arial" w:cs="Arial"/>
          <w:sz w:val="24"/>
          <w:szCs w:val="24"/>
        </w:rPr>
        <w:t xml:space="preserve">niu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5D686B">
        <w:rPr>
          <w:rFonts w:ascii="Arial" w:hAnsi="Arial" w:cs="Arial"/>
          <w:sz w:val="24"/>
          <w:szCs w:val="24"/>
        </w:rPr>
        <w:t xml:space="preserve"> </w:t>
      </w:r>
      <w:r w:rsidR="005D686B">
        <w:rPr>
          <w:rFonts w:ascii="Arial" w:hAnsi="Arial" w:cs="Arial"/>
          <w:sz w:val="24"/>
          <w:szCs w:val="24"/>
        </w:rPr>
        <w:br/>
      </w:r>
      <w:r w:rsidR="00CA5FA6">
        <w:rPr>
          <w:rFonts w:ascii="Arial" w:hAnsi="Arial" w:cs="Arial"/>
          <w:sz w:val="24"/>
          <w:szCs w:val="24"/>
        </w:rPr>
        <w:t xml:space="preserve">w </w:t>
      </w:r>
      <w:r w:rsidR="005D686B">
        <w:rPr>
          <w:rFonts w:ascii="Arial" w:hAnsi="Arial" w:cs="Arial"/>
          <w:sz w:val="24"/>
          <w:szCs w:val="24"/>
        </w:rPr>
        <w:t xml:space="preserve">zakresie </w:t>
      </w:r>
      <w:r w:rsidR="004057AD">
        <w:rPr>
          <w:rFonts w:ascii="Arial" w:hAnsi="Arial" w:cs="Arial"/>
          <w:sz w:val="24"/>
          <w:szCs w:val="24"/>
        </w:rPr>
        <w:t>stosowani</w:t>
      </w:r>
      <w:r w:rsidR="005D686B">
        <w:rPr>
          <w:rFonts w:ascii="Arial" w:hAnsi="Arial" w:cs="Arial"/>
          <w:sz w:val="24"/>
          <w:szCs w:val="24"/>
        </w:rPr>
        <w:t>a</w:t>
      </w:r>
      <w:r w:rsidR="004057AD">
        <w:rPr>
          <w:rFonts w:ascii="Arial" w:hAnsi="Arial" w:cs="Arial"/>
          <w:sz w:val="24"/>
          <w:szCs w:val="24"/>
        </w:rPr>
        <w:t xml:space="preserve"> </w:t>
      </w:r>
      <w:r w:rsidR="00CA5FA6" w:rsidRPr="00DF489A">
        <w:rPr>
          <w:rFonts w:ascii="Arial" w:hAnsi="Arial" w:cs="Arial"/>
          <w:sz w:val="24"/>
        </w:rPr>
        <w:t xml:space="preserve">art. 17 ust. </w:t>
      </w:r>
      <w:r w:rsidR="000042EE">
        <w:rPr>
          <w:rFonts w:ascii="Arial" w:hAnsi="Arial" w:cs="Arial"/>
          <w:sz w:val="24"/>
        </w:rPr>
        <w:t xml:space="preserve">2 </w:t>
      </w:r>
      <w:r w:rsidR="00CA5FA6" w:rsidRPr="00DF489A">
        <w:rPr>
          <w:rFonts w:ascii="Arial" w:hAnsi="Arial" w:cs="Arial"/>
          <w:sz w:val="24"/>
        </w:rPr>
        <w:t xml:space="preserve">pkt </w:t>
      </w:r>
      <w:r w:rsidR="00D83E8B">
        <w:rPr>
          <w:rFonts w:ascii="Arial" w:hAnsi="Arial" w:cs="Arial"/>
          <w:sz w:val="24"/>
        </w:rPr>
        <w:t>1-7</w:t>
      </w:r>
      <w:r w:rsidR="00932584">
        <w:rPr>
          <w:rFonts w:ascii="Arial" w:hAnsi="Arial" w:cs="Arial"/>
          <w:sz w:val="24"/>
        </w:rPr>
        <w:t xml:space="preserve"> </w:t>
      </w:r>
      <w:r w:rsidR="00CA5FA6" w:rsidRPr="00DF489A">
        <w:rPr>
          <w:rFonts w:ascii="Arial" w:hAnsi="Arial" w:cs="Arial"/>
          <w:sz w:val="24"/>
        </w:rPr>
        <w:t>ustawy o zawodzie tłumacza przysięgłego</w:t>
      </w:r>
      <w:r w:rsidR="00932584">
        <w:rPr>
          <w:rFonts w:ascii="Arial" w:hAnsi="Arial" w:cs="Arial"/>
          <w:sz w:val="24"/>
        </w:rPr>
        <w:t xml:space="preserve"> oraz </w:t>
      </w:r>
      <w:r w:rsidR="00D83E8B">
        <w:rPr>
          <w:rFonts w:ascii="Arial" w:hAnsi="Arial" w:cs="Arial"/>
          <w:sz w:val="24"/>
        </w:rPr>
        <w:t>nieprawidłowości</w:t>
      </w:r>
      <w:r w:rsidR="00932584">
        <w:rPr>
          <w:rFonts w:ascii="Arial" w:hAnsi="Arial" w:cs="Arial"/>
          <w:sz w:val="24"/>
        </w:rPr>
        <w:t xml:space="preserve"> </w:t>
      </w:r>
      <w:r w:rsidR="008D2EF4">
        <w:rPr>
          <w:rFonts w:ascii="Arial" w:hAnsi="Arial" w:cs="Arial"/>
          <w:sz w:val="24"/>
        </w:rPr>
        <w:t xml:space="preserve">w </w:t>
      </w:r>
      <w:r w:rsidR="005D686B">
        <w:rPr>
          <w:rFonts w:ascii="Arial" w:hAnsi="Arial" w:cs="Arial"/>
          <w:sz w:val="24"/>
        </w:rPr>
        <w:t xml:space="preserve">zakresie wyliczania wynagrodzenia za czynności dokonane na rzecz podmiotów określonych w art. 15 ustawy o zawodzie tłumacza przysięgłego, tj. naruszenie zasad określonych </w:t>
      </w:r>
      <w:r w:rsidR="00AA0957">
        <w:rPr>
          <w:rFonts w:ascii="Arial" w:hAnsi="Arial" w:cs="Arial"/>
          <w:sz w:val="24"/>
        </w:rPr>
        <w:t xml:space="preserve">w </w:t>
      </w:r>
      <w:r w:rsidR="005D686B">
        <w:rPr>
          <w:rFonts w:ascii="Arial" w:hAnsi="Arial" w:cs="Arial"/>
          <w:sz w:val="24"/>
        </w:rPr>
        <w:t xml:space="preserve">§ 2 ust. 1 pkt 1 lit. a i § 2 ust. </w:t>
      </w:r>
      <w:r w:rsidR="00C96B5C">
        <w:rPr>
          <w:rFonts w:ascii="Arial" w:hAnsi="Arial" w:cs="Arial"/>
          <w:sz w:val="24"/>
        </w:rPr>
        <w:t>1</w:t>
      </w:r>
      <w:r w:rsidR="005D686B">
        <w:rPr>
          <w:rFonts w:ascii="Arial" w:hAnsi="Arial" w:cs="Arial"/>
          <w:sz w:val="24"/>
        </w:rPr>
        <w:t xml:space="preserve"> pkt </w:t>
      </w:r>
      <w:r w:rsidR="00C96B5C">
        <w:rPr>
          <w:rFonts w:ascii="Arial" w:hAnsi="Arial" w:cs="Arial"/>
          <w:sz w:val="24"/>
        </w:rPr>
        <w:t>2</w:t>
      </w:r>
      <w:r w:rsidR="005D686B">
        <w:rPr>
          <w:rFonts w:ascii="Arial" w:hAnsi="Arial" w:cs="Arial"/>
          <w:sz w:val="24"/>
        </w:rPr>
        <w:t xml:space="preserve"> lit. a</w:t>
      </w:r>
      <w:r w:rsidR="00C96B5C" w:rsidRPr="00C96B5C">
        <w:rPr>
          <w:rFonts w:ascii="Arial" w:hAnsi="Arial" w:cs="Arial"/>
          <w:sz w:val="24"/>
        </w:rPr>
        <w:t xml:space="preserve"> </w:t>
      </w:r>
      <w:r w:rsidR="00C96B5C">
        <w:rPr>
          <w:rFonts w:ascii="Arial" w:hAnsi="Arial" w:cs="Arial"/>
          <w:sz w:val="24"/>
        </w:rPr>
        <w:t>Rozporządzenia</w:t>
      </w:r>
      <w:r w:rsidR="005D686B">
        <w:rPr>
          <w:rFonts w:ascii="Arial" w:hAnsi="Arial" w:cs="Arial"/>
          <w:sz w:val="24"/>
        </w:rPr>
        <w:t xml:space="preserve"> </w:t>
      </w:r>
      <w:r w:rsidR="00C96B5C">
        <w:rPr>
          <w:rFonts w:ascii="Arial" w:hAnsi="Arial" w:cs="Arial"/>
          <w:sz w:val="24"/>
        </w:rPr>
        <w:t xml:space="preserve">w związku z § 3 pkt 2 </w:t>
      </w:r>
      <w:r w:rsidR="005D686B">
        <w:rPr>
          <w:rFonts w:ascii="Arial" w:hAnsi="Arial" w:cs="Arial"/>
          <w:sz w:val="24"/>
        </w:rPr>
        <w:t xml:space="preserve">Rozporządzenia. </w:t>
      </w:r>
    </w:p>
    <w:p w:rsidR="000042EE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</w:t>
      </w:r>
      <w:r w:rsidR="00D83E8B">
        <w:rPr>
          <w:rFonts w:ascii="Arial" w:hAnsi="Arial" w:cs="Arial"/>
          <w:sz w:val="24"/>
          <w:szCs w:val="24"/>
        </w:rPr>
        <w:t>nieprawidłowości</w:t>
      </w:r>
      <w:r w:rsidRPr="00CB4E15">
        <w:rPr>
          <w:rFonts w:ascii="Arial" w:hAnsi="Arial" w:cs="Arial"/>
          <w:sz w:val="24"/>
          <w:szCs w:val="24"/>
        </w:rPr>
        <w:t xml:space="preserve"> 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D83E8B">
        <w:rPr>
          <w:rFonts w:ascii="Arial" w:hAnsi="Arial" w:cs="Arial"/>
          <w:sz w:val="24"/>
          <w:szCs w:val="24"/>
        </w:rPr>
        <w:t xml:space="preserve"> oraz</w:t>
      </w:r>
      <w:r w:rsidR="00C96B5C">
        <w:rPr>
          <w:rFonts w:ascii="Arial" w:hAnsi="Arial" w:cs="Arial"/>
          <w:sz w:val="24"/>
          <w:szCs w:val="24"/>
        </w:rPr>
        <w:t xml:space="preserve"> przy</w:t>
      </w:r>
      <w:r w:rsidR="00D83E8B">
        <w:rPr>
          <w:rFonts w:ascii="Arial" w:hAnsi="Arial" w:cs="Arial"/>
          <w:sz w:val="24"/>
          <w:szCs w:val="24"/>
        </w:rPr>
        <w:t xml:space="preserve"> wyliczaniu wynagrodzenia</w:t>
      </w:r>
      <w:r w:rsidR="00F11A01">
        <w:rPr>
          <w:rFonts w:ascii="Arial" w:hAnsi="Arial" w:cs="Arial"/>
          <w:sz w:val="24"/>
          <w:szCs w:val="24"/>
        </w:rPr>
        <w:t xml:space="preserve">. </w:t>
      </w:r>
    </w:p>
    <w:p w:rsidR="00203C29" w:rsidRPr="00203C29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AE2F7C">
        <w:rPr>
          <w:rFonts w:ascii="Arial" w:hAnsi="Arial" w:cs="Arial"/>
          <w:sz w:val="24"/>
          <w:szCs w:val="24"/>
        </w:rPr>
        <w:t>nieprawidłowości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nieprawidłowego i nierzetelnego prowadzenia </w:t>
      </w:r>
      <w:r w:rsidR="00C96B5C">
        <w:rPr>
          <w:rFonts w:ascii="Arial" w:hAnsi="Arial" w:cs="Arial"/>
          <w:sz w:val="24"/>
          <w:szCs w:val="24"/>
        </w:rPr>
        <w:t>sporej 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D83E8B">
        <w:rPr>
          <w:rFonts w:ascii="Arial" w:hAnsi="Arial" w:cs="Arial"/>
          <w:sz w:val="24"/>
          <w:szCs w:val="24"/>
        </w:rPr>
        <w:t xml:space="preserve"> oraz nieprawidłowego wyliczania stawek wynagro</w:t>
      </w:r>
      <w:r w:rsidR="006A19C4">
        <w:rPr>
          <w:rFonts w:ascii="Arial" w:hAnsi="Arial" w:cs="Arial"/>
          <w:sz w:val="24"/>
          <w:szCs w:val="24"/>
        </w:rPr>
        <w:t>d</w:t>
      </w:r>
      <w:r w:rsidR="00D83E8B">
        <w:rPr>
          <w:rFonts w:ascii="Arial" w:hAnsi="Arial" w:cs="Arial"/>
          <w:sz w:val="24"/>
          <w:szCs w:val="24"/>
        </w:rPr>
        <w:t>zenia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936704" w:rsidRPr="006315FC" w:rsidRDefault="00936704" w:rsidP="00936704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Zalecenia lub wnioski dotyczące usunięcia nieprawidłowości lub usprawnienia funkcjonowania </w:t>
      </w:r>
      <w:r w:rsidR="00947AD1"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 w:rsidR="00947AD1"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936704" w:rsidRPr="006315FC" w:rsidRDefault="00936704" w:rsidP="00936704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936704" w:rsidRDefault="00293E83" w:rsidP="00936704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36704">
        <w:rPr>
          <w:rFonts w:ascii="Arial" w:eastAsiaTheme="minorHAnsi" w:hAnsi="Arial" w:cs="Arial"/>
          <w:sz w:val="24"/>
          <w:szCs w:val="24"/>
          <w:lang w:eastAsia="en-US"/>
        </w:rPr>
        <w:t xml:space="preserve">dnotowywać w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="00936704"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="00936704" w:rsidRPr="00DF489A">
        <w:rPr>
          <w:rFonts w:ascii="Arial" w:hAnsi="Arial" w:cs="Arial"/>
          <w:sz w:val="24"/>
        </w:rPr>
        <w:t xml:space="preserve">art. 17 ust. </w:t>
      </w:r>
      <w:r w:rsidR="00936704">
        <w:rPr>
          <w:rFonts w:ascii="Arial" w:hAnsi="Arial" w:cs="Arial"/>
          <w:sz w:val="24"/>
        </w:rPr>
        <w:t xml:space="preserve">2 </w:t>
      </w:r>
      <w:r w:rsidR="00936704" w:rsidRPr="00DF489A">
        <w:rPr>
          <w:rFonts w:ascii="Arial" w:hAnsi="Arial" w:cs="Arial"/>
          <w:sz w:val="24"/>
        </w:rPr>
        <w:t xml:space="preserve">pkt </w:t>
      </w:r>
      <w:r w:rsidR="00234AB7">
        <w:rPr>
          <w:rFonts w:ascii="Arial" w:hAnsi="Arial" w:cs="Arial"/>
          <w:sz w:val="24"/>
        </w:rPr>
        <w:t xml:space="preserve">3 </w:t>
      </w:r>
      <w:r w:rsidR="00234AB7">
        <w:rPr>
          <w:rFonts w:ascii="Arial" w:hAnsi="Arial" w:cs="Arial"/>
          <w:sz w:val="24"/>
        </w:rPr>
        <w:br/>
        <w:t xml:space="preserve">i 4 </w:t>
      </w:r>
      <w:r w:rsidR="00936704" w:rsidRPr="00DF489A">
        <w:rPr>
          <w:rFonts w:ascii="Arial" w:hAnsi="Arial" w:cs="Arial"/>
          <w:sz w:val="24"/>
        </w:rPr>
        <w:t>ustawy o zawodzie tłumacza przysięgłego</w:t>
      </w:r>
      <w:r w:rsidR="00936704"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="00936704"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936704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936704" w:rsidRPr="007D211B" w:rsidRDefault="00936704" w:rsidP="0093670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osob</w:t>
      </w:r>
      <w:r w:rsidR="00AB0718"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lub instytucj</w:t>
      </w:r>
      <w:r w:rsidR="00AB0718"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>, która sporządziła dokument</w:t>
      </w:r>
      <w:r w:rsidRPr="007D211B">
        <w:rPr>
          <w:rFonts w:ascii="Arial" w:hAnsi="Arial" w:cs="Arial"/>
          <w:sz w:val="24"/>
        </w:rPr>
        <w:t>;</w:t>
      </w:r>
    </w:p>
    <w:p w:rsidR="00936704" w:rsidRPr="00936704" w:rsidRDefault="00936704" w:rsidP="0093670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 w:rsidR="00580B7B"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 w:rsidR="00AB0718"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936704" w:rsidRPr="00B86521" w:rsidRDefault="00B86521" w:rsidP="0093670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dat</w:t>
      </w:r>
      <w:r w:rsidR="00580B7B"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dokumentu albo adnotacj</w:t>
      </w:r>
      <w:r w:rsidR="00AB0718"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B86521" w:rsidRPr="00AD2060" w:rsidRDefault="00B86521" w:rsidP="0093670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rodzaj</w:t>
      </w:r>
      <w:r w:rsidR="00AB0718">
        <w:rPr>
          <w:rFonts w:ascii="Arial" w:hAnsi="Arial" w:cs="Arial"/>
          <w:sz w:val="24"/>
        </w:rPr>
        <w:t>u</w:t>
      </w:r>
      <w:r w:rsidRPr="00DD047A">
        <w:rPr>
          <w:rFonts w:ascii="Arial" w:hAnsi="Arial" w:cs="Arial"/>
          <w:sz w:val="24"/>
        </w:rPr>
        <w:t xml:space="preserve"> wykonanej czynności</w:t>
      </w:r>
      <w:r w:rsidR="00F53B92">
        <w:rPr>
          <w:rFonts w:ascii="Arial" w:hAnsi="Arial" w:cs="Arial"/>
          <w:sz w:val="24"/>
        </w:rPr>
        <w:t>,</w:t>
      </w:r>
    </w:p>
    <w:p w:rsidR="00B86521" w:rsidRPr="00293E83" w:rsidRDefault="00234AB7" w:rsidP="00293E83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Uzupełnić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>
        <w:rPr>
          <w:rFonts w:ascii="Arial" w:hAnsi="Arial" w:cs="Arial"/>
          <w:sz w:val="24"/>
        </w:rPr>
        <w:t xml:space="preserve"> o rubryki </w:t>
      </w:r>
      <w:r w:rsidR="00BC1CB4">
        <w:rPr>
          <w:rFonts w:ascii="Arial" w:hAnsi="Arial" w:cs="Arial"/>
          <w:sz w:val="24"/>
        </w:rPr>
        <w:t>(i uzupełnia</w:t>
      </w:r>
      <w:r w:rsidR="00AB0718">
        <w:rPr>
          <w:rFonts w:ascii="Arial" w:hAnsi="Arial" w:cs="Arial"/>
          <w:sz w:val="24"/>
        </w:rPr>
        <w:t>ć je</w:t>
      </w:r>
      <w:r w:rsidR="00BC1CB4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do odnotowywania </w:t>
      </w:r>
      <w:r w:rsidR="00580B7B">
        <w:rPr>
          <w:rFonts w:ascii="Arial" w:hAnsi="Arial" w:cs="Arial"/>
          <w:sz w:val="24"/>
        </w:rPr>
        <w:t>informacj</w:t>
      </w:r>
      <w:r>
        <w:rPr>
          <w:rFonts w:ascii="Arial" w:hAnsi="Arial" w:cs="Arial"/>
          <w:sz w:val="24"/>
        </w:rPr>
        <w:t>i</w:t>
      </w:r>
      <w:r w:rsidR="00580B7B">
        <w:rPr>
          <w:rFonts w:ascii="Arial" w:hAnsi="Arial" w:cs="Arial"/>
          <w:sz w:val="24"/>
        </w:rPr>
        <w:t xml:space="preserve"> </w:t>
      </w:r>
      <w:r w:rsidR="00293E83" w:rsidRPr="00293E83">
        <w:rPr>
          <w:rFonts w:ascii="Arial" w:hAnsi="Arial" w:cs="Arial"/>
          <w:sz w:val="24"/>
        </w:rPr>
        <w:t>określon</w:t>
      </w:r>
      <w:r>
        <w:rPr>
          <w:rFonts w:ascii="Arial" w:hAnsi="Arial" w:cs="Arial"/>
          <w:sz w:val="24"/>
        </w:rPr>
        <w:t>ych</w:t>
      </w:r>
      <w:r w:rsidR="00580B7B">
        <w:rPr>
          <w:rFonts w:ascii="Arial" w:hAnsi="Arial" w:cs="Arial"/>
          <w:sz w:val="24"/>
        </w:rPr>
        <w:t xml:space="preserve"> </w:t>
      </w:r>
      <w:r w:rsidR="00293E83" w:rsidRPr="00293E83">
        <w:rPr>
          <w:rFonts w:ascii="Arial" w:hAnsi="Arial" w:cs="Arial"/>
          <w:sz w:val="24"/>
        </w:rPr>
        <w:t>w art. 17 ust. 2 pkt 1, 3, 4, 5 i 7, tj.:</w:t>
      </w:r>
    </w:p>
    <w:p w:rsidR="00F34A97" w:rsidRDefault="00F34A97" w:rsidP="00F34A97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dat</w:t>
      </w:r>
      <w:r w:rsidR="00580B7B">
        <w:rPr>
          <w:rFonts w:ascii="Arial" w:hAnsi="Arial" w:cs="Arial"/>
          <w:sz w:val="24"/>
        </w:rPr>
        <w:t>ę</w:t>
      </w:r>
      <w:r w:rsidRPr="00635162">
        <w:rPr>
          <w:rFonts w:ascii="Arial" w:hAnsi="Arial" w:cs="Arial"/>
          <w:sz w:val="24"/>
        </w:rPr>
        <w:t xml:space="preserve"> zwrotu dokumentu wraz z tłumaczeniem;</w:t>
      </w:r>
    </w:p>
    <w:p w:rsidR="00F34A97" w:rsidRDefault="00F34A97" w:rsidP="00F34A97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F34A97">
        <w:rPr>
          <w:rFonts w:ascii="Arial" w:hAnsi="Arial" w:cs="Arial"/>
          <w:sz w:val="24"/>
        </w:rPr>
        <w:lastRenderedPageBreak/>
        <w:t>uwag o rodzaju, formie i stanie dokumentu;</w:t>
      </w:r>
    </w:p>
    <w:p w:rsidR="00F34A97" w:rsidRDefault="00F34A97" w:rsidP="00F34A97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F34A97">
        <w:rPr>
          <w:rFonts w:ascii="Arial" w:hAnsi="Arial" w:cs="Arial"/>
          <w:sz w:val="24"/>
        </w:rPr>
        <w:t>język</w:t>
      </w:r>
      <w:r w:rsidR="00AB0718">
        <w:rPr>
          <w:rFonts w:ascii="Arial" w:hAnsi="Arial" w:cs="Arial"/>
          <w:sz w:val="24"/>
        </w:rPr>
        <w:t>u</w:t>
      </w:r>
      <w:r w:rsidRPr="00F34A97">
        <w:rPr>
          <w:rFonts w:ascii="Arial" w:hAnsi="Arial" w:cs="Arial"/>
          <w:sz w:val="24"/>
        </w:rPr>
        <w:t xml:space="preserve"> tłumaczenia;</w:t>
      </w:r>
    </w:p>
    <w:p w:rsidR="00F34A97" w:rsidRDefault="00F34A97" w:rsidP="00F34A97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F34A97">
        <w:rPr>
          <w:rFonts w:ascii="Arial" w:hAnsi="Arial" w:cs="Arial"/>
          <w:sz w:val="24"/>
        </w:rPr>
        <w:t>opis</w:t>
      </w:r>
      <w:r w:rsidR="00AB0718">
        <w:rPr>
          <w:rFonts w:ascii="Arial" w:hAnsi="Arial" w:cs="Arial"/>
          <w:sz w:val="24"/>
        </w:rPr>
        <w:t>u</w:t>
      </w:r>
      <w:r w:rsidRPr="00F34A97">
        <w:rPr>
          <w:rFonts w:ascii="Arial" w:hAnsi="Arial" w:cs="Arial"/>
          <w:sz w:val="24"/>
        </w:rPr>
        <w:t xml:space="preserve"> tłumaczenia ustnego wskazującego datę, miejsce, zakres i czas trwania tłumaczenia;</w:t>
      </w:r>
    </w:p>
    <w:p w:rsidR="00675958" w:rsidRDefault="00F34A97" w:rsidP="00675958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</w:rPr>
      </w:pPr>
      <w:r w:rsidRPr="00635162">
        <w:rPr>
          <w:rFonts w:ascii="Arial" w:hAnsi="Arial" w:cs="Arial"/>
          <w:sz w:val="24"/>
        </w:rPr>
        <w:t>informacj</w:t>
      </w:r>
      <w:r w:rsidR="00AB0718">
        <w:rPr>
          <w:rFonts w:ascii="Arial" w:hAnsi="Arial" w:cs="Arial"/>
          <w:sz w:val="24"/>
        </w:rPr>
        <w:t>i</w:t>
      </w:r>
      <w:r w:rsidRPr="00635162">
        <w:rPr>
          <w:rFonts w:ascii="Arial" w:hAnsi="Arial" w:cs="Arial"/>
          <w:sz w:val="24"/>
        </w:rPr>
        <w:t xml:space="preserve"> o odmowie wykonania tłumaczenia na rzecz podmiotów, </w:t>
      </w:r>
      <w:r>
        <w:rPr>
          <w:rFonts w:ascii="Arial" w:hAnsi="Arial" w:cs="Arial"/>
          <w:sz w:val="24"/>
        </w:rPr>
        <w:br/>
      </w:r>
      <w:r w:rsidRPr="00635162">
        <w:rPr>
          <w:rFonts w:ascii="Arial" w:hAnsi="Arial" w:cs="Arial"/>
          <w:sz w:val="24"/>
        </w:rPr>
        <w:t>o których mowa w art. 15, zawierającą datę odmowy, określenie podmiotu żądającego tłumaczenia oraz przyczynę odmowy tłumaczenia</w:t>
      </w:r>
      <w:r w:rsidR="00F53B92">
        <w:rPr>
          <w:rFonts w:ascii="Arial" w:hAnsi="Arial" w:cs="Arial"/>
          <w:sz w:val="24"/>
        </w:rPr>
        <w:t>,</w:t>
      </w:r>
    </w:p>
    <w:p w:rsidR="00936704" w:rsidRPr="00936704" w:rsidRDefault="00936704" w:rsidP="00936704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Ustalać wysokość stawek wynagrodzenia za czynności tłumacza przysięgłego wykonywane na rzecz podmiotów, o których mowa w art. 15 ustawy o zawodzie tłumacza przysięgłego, zgodn</w:t>
      </w:r>
      <w:r w:rsidR="00F34A97">
        <w:rPr>
          <w:rFonts w:ascii="Arial" w:hAnsi="Arial" w:cs="Arial"/>
          <w:sz w:val="24"/>
        </w:rPr>
        <w:t xml:space="preserve">ie z przepisami zawartymi w Rozporządzeniu </w:t>
      </w:r>
      <w:r w:rsidR="00F34A97">
        <w:rPr>
          <w:rFonts w:ascii="Arial" w:hAnsi="Arial" w:cs="Arial"/>
          <w:sz w:val="24"/>
        </w:rPr>
        <w:br/>
        <w:t>w sprawie wynagrodzenia za czynności tłumacza przysięgłego</w:t>
      </w:r>
      <w:r w:rsidR="00F53B92">
        <w:rPr>
          <w:rFonts w:ascii="Arial" w:hAnsi="Arial" w:cs="Arial"/>
          <w:sz w:val="24"/>
        </w:rPr>
        <w:t>,</w:t>
      </w:r>
    </w:p>
    <w:p w:rsidR="00F34A97" w:rsidRPr="00F34A97" w:rsidRDefault="00936704" w:rsidP="00F34A97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 w:rsidRPr="00F34A97">
        <w:rPr>
          <w:rFonts w:ascii="Arial" w:eastAsiaTheme="minorHAnsi" w:hAnsi="Arial" w:cs="Arial"/>
          <w:sz w:val="24"/>
          <w:szCs w:val="24"/>
          <w:lang w:eastAsia="en-US"/>
        </w:rPr>
        <w:t xml:space="preserve">Prawidłowo zapisywać liczbę porządkową wszystkich wpisów do </w:t>
      </w:r>
      <w:r w:rsidR="00706AED" w:rsidRPr="00544F0D">
        <w:rPr>
          <w:rFonts w:ascii="Arial" w:hAnsi="Arial" w:cs="Arial"/>
          <w:sz w:val="24"/>
        </w:rPr>
        <w:t>repe</w:t>
      </w:r>
      <w:r w:rsidR="00706AED">
        <w:rPr>
          <w:rFonts w:ascii="Arial" w:hAnsi="Arial" w:cs="Arial"/>
          <w:sz w:val="24"/>
        </w:rPr>
        <w:t>r</w:t>
      </w:r>
      <w:r w:rsidR="00706AED" w:rsidRPr="00544F0D">
        <w:rPr>
          <w:rFonts w:ascii="Arial" w:hAnsi="Arial" w:cs="Arial"/>
          <w:sz w:val="24"/>
        </w:rPr>
        <w:t>torium</w:t>
      </w:r>
      <w:r w:rsidRPr="00F34A9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F34A97">
        <w:rPr>
          <w:rFonts w:ascii="Arial" w:eastAsiaTheme="minorHAnsi" w:hAnsi="Arial" w:cs="Arial"/>
          <w:sz w:val="24"/>
          <w:szCs w:val="24"/>
          <w:lang w:eastAsia="en-US"/>
        </w:rPr>
        <w:br/>
        <w:t>tj.</w:t>
      </w:r>
      <w:r w:rsidRPr="00F34A97">
        <w:rPr>
          <w:rFonts w:ascii="Arial" w:hAnsi="Arial" w:cs="Arial"/>
          <w:sz w:val="24"/>
        </w:rPr>
        <w:t xml:space="preserve"> cyframi arabskimi, od pierwszego do ostatniego dnia danego roku, dla każdego roku oddzielnie </w:t>
      </w:r>
      <w:r w:rsidR="00F34A97" w:rsidRPr="00F34A97">
        <w:rPr>
          <w:rFonts w:ascii="Arial" w:hAnsi="Arial" w:cs="Arial"/>
          <w:sz w:val="24"/>
        </w:rPr>
        <w:t>(bez przedzielania ukośnikiem liczby porządkowej z rokiem).</w:t>
      </w:r>
    </w:p>
    <w:p w:rsidR="00936704" w:rsidRPr="00F34A97" w:rsidRDefault="00936704" w:rsidP="003C7F25">
      <w:pPr>
        <w:pStyle w:val="Akapitzlist"/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34A9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F34A97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936704" w:rsidRPr="006315FC" w:rsidRDefault="00936704" w:rsidP="00936704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</w:t>
      </w:r>
      <w:r w:rsidRPr="00F34A9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proszę </w:t>
      </w:r>
      <w:r w:rsidRPr="00F34A9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br/>
        <w:t>o przekazanie pisemnej informacji o sposobie wykonania zaleceń,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293E83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936704" w:rsidRPr="006315FC" w:rsidRDefault="00936704" w:rsidP="00936704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936704" w:rsidRPr="007A3049" w:rsidRDefault="00936704" w:rsidP="00936704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936704" w:rsidRPr="007A3049" w:rsidRDefault="00936704" w:rsidP="00936704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936704" w:rsidRPr="0009114A" w:rsidRDefault="00936704" w:rsidP="00936704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p w:rsidR="00936704" w:rsidRPr="00CA5FA6" w:rsidRDefault="00936704" w:rsidP="00936704">
      <w:pPr>
        <w:pStyle w:val="Akapitzlist"/>
        <w:spacing w:before="120" w:after="0" w:line="360" w:lineRule="auto"/>
        <w:ind w:left="0"/>
        <w:rPr>
          <w:rFonts w:ascii="Arial" w:hAnsi="Arial" w:cs="Arial"/>
          <w:b/>
          <w:color w:val="FF0000"/>
          <w:sz w:val="20"/>
          <w:szCs w:val="20"/>
        </w:rPr>
      </w:pPr>
    </w:p>
    <w:p w:rsidR="00C96B5C" w:rsidRPr="00CA5FA6" w:rsidRDefault="00C96B5C" w:rsidP="00936704">
      <w:pPr>
        <w:pStyle w:val="Akapitzlist"/>
        <w:spacing w:before="120" w:after="240" w:line="360" w:lineRule="auto"/>
        <w:ind w:left="0"/>
        <w:rPr>
          <w:rFonts w:ascii="Arial" w:hAnsi="Arial" w:cs="Arial"/>
          <w:b/>
          <w:color w:val="FF0000"/>
          <w:sz w:val="20"/>
          <w:szCs w:val="20"/>
        </w:rPr>
      </w:pPr>
    </w:p>
    <w:sectPr w:rsidR="00C96B5C" w:rsidRPr="00CA5FA6" w:rsidSect="00C96B5C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A21" w:rsidRDefault="00E55A21" w:rsidP="005E4DEB">
      <w:pPr>
        <w:spacing w:after="0" w:line="240" w:lineRule="auto"/>
      </w:pPr>
      <w:r>
        <w:separator/>
      </w:r>
    </w:p>
  </w:endnote>
  <w:endnote w:type="continuationSeparator" w:id="0">
    <w:p w:rsidR="00E55A21" w:rsidRDefault="00E55A21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B46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A21" w:rsidRDefault="00E55A21" w:rsidP="005E4DEB">
      <w:pPr>
        <w:spacing w:after="0" w:line="240" w:lineRule="auto"/>
      </w:pPr>
      <w:r>
        <w:separator/>
      </w:r>
    </w:p>
  </w:footnote>
  <w:footnote w:type="continuationSeparator" w:id="0">
    <w:p w:rsidR="00E55A21" w:rsidRDefault="00E55A21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F57989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 </w:t>
      </w:r>
      <w:hyperlink r:id="rId1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D15423">
        <w:rPr>
          <w:rFonts w:ascii="Arial" w:hAnsi="Arial" w:cs="Arial"/>
        </w:rPr>
        <w:t xml:space="preserve"> w zakładce Znajdź tłumacza przysięgłego</w:t>
      </w:r>
      <w:r w:rsidR="002651AB" w:rsidRPr="00D15423">
        <w:rPr>
          <w:rFonts w:ascii="Arial" w:hAnsi="Arial" w:cs="Arial"/>
        </w:rPr>
        <w:t>.</w:t>
      </w:r>
    </w:p>
  </w:footnote>
  <w:footnote w:id="3">
    <w:p w:rsidR="00F62331" w:rsidRPr="00D15423" w:rsidRDefault="00F62331" w:rsidP="00F62331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 w:rsidR="00706AED"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 xml:space="preserve">, w zakładce – Urząd wojewódzki, </w:t>
      </w:r>
      <w:proofErr w:type="spellStart"/>
      <w:r w:rsidRPr="00D15423">
        <w:rPr>
          <w:rFonts w:ascii="Arial" w:hAnsi="Arial" w:cs="Arial"/>
        </w:rPr>
        <w:t>podzakładce</w:t>
      </w:r>
      <w:proofErr w:type="spellEnd"/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4">
    <w:p w:rsidR="00D15423" w:rsidRPr="00D15423" w:rsidRDefault="00D15423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</w:t>
      </w:r>
      <w:r w:rsidR="005C55D7"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 w:rsidR="006A19C4">
        <w:rPr>
          <w:rFonts w:ascii="Arial" w:hAnsi="Arial" w:cs="Arial"/>
        </w:rPr>
        <w:t>. Dalej: Rozporz</w:t>
      </w:r>
      <w:r w:rsidR="0065286A">
        <w:rPr>
          <w:rFonts w:ascii="Arial" w:hAnsi="Arial" w:cs="Arial"/>
        </w:rPr>
        <w:t>ą</w:t>
      </w:r>
      <w:r w:rsidR="006A19C4">
        <w:rPr>
          <w:rFonts w:ascii="Arial" w:hAnsi="Arial" w:cs="Arial"/>
        </w:rPr>
        <w:t>dzenie.</w:t>
      </w:r>
    </w:p>
  </w:footnote>
  <w:footnote w:id="5">
    <w:p w:rsidR="003C3F9A" w:rsidRPr="00544F0D" w:rsidRDefault="003C3F9A" w:rsidP="003C3F9A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 xml:space="preserve">, w zakładce – Co robimy, </w:t>
      </w:r>
      <w:proofErr w:type="spellStart"/>
      <w:r w:rsidRPr="00DF489A">
        <w:rPr>
          <w:rFonts w:ascii="Arial" w:hAnsi="Arial" w:cs="Arial"/>
        </w:rPr>
        <w:t>podzakładce</w:t>
      </w:r>
      <w:proofErr w:type="spellEnd"/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5040"/>
    <w:multiLevelType w:val="hybridMultilevel"/>
    <w:tmpl w:val="C3BA4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C1C1E87"/>
    <w:multiLevelType w:val="hybridMultilevel"/>
    <w:tmpl w:val="B73893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94EA4"/>
    <w:multiLevelType w:val="hybridMultilevel"/>
    <w:tmpl w:val="C61A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63246CA"/>
    <w:multiLevelType w:val="hybridMultilevel"/>
    <w:tmpl w:val="D37A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4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2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B"/>
    <w:rsid w:val="000042EE"/>
    <w:rsid w:val="00006017"/>
    <w:rsid w:val="00017FEB"/>
    <w:rsid w:val="00032942"/>
    <w:rsid w:val="0004479F"/>
    <w:rsid w:val="0006207D"/>
    <w:rsid w:val="0007089F"/>
    <w:rsid w:val="00077152"/>
    <w:rsid w:val="0009097C"/>
    <w:rsid w:val="000B2140"/>
    <w:rsid w:val="000C4C05"/>
    <w:rsid w:val="000D035D"/>
    <w:rsid w:val="000E0504"/>
    <w:rsid w:val="000E7669"/>
    <w:rsid w:val="000F0EFB"/>
    <w:rsid w:val="00104ABA"/>
    <w:rsid w:val="00126A24"/>
    <w:rsid w:val="0013437D"/>
    <w:rsid w:val="0013622C"/>
    <w:rsid w:val="00154275"/>
    <w:rsid w:val="0015788F"/>
    <w:rsid w:val="0017207E"/>
    <w:rsid w:val="0018480A"/>
    <w:rsid w:val="001860A9"/>
    <w:rsid w:val="0019558E"/>
    <w:rsid w:val="001A0339"/>
    <w:rsid w:val="001A47F6"/>
    <w:rsid w:val="001B2E7C"/>
    <w:rsid w:val="001F0979"/>
    <w:rsid w:val="001F4E9B"/>
    <w:rsid w:val="0020076E"/>
    <w:rsid w:val="00203C29"/>
    <w:rsid w:val="00203C74"/>
    <w:rsid w:val="002300EA"/>
    <w:rsid w:val="00234AB7"/>
    <w:rsid w:val="00242276"/>
    <w:rsid w:val="002554C1"/>
    <w:rsid w:val="00255664"/>
    <w:rsid w:val="002651AB"/>
    <w:rsid w:val="00274E62"/>
    <w:rsid w:val="00277B50"/>
    <w:rsid w:val="002879EE"/>
    <w:rsid w:val="00293E83"/>
    <w:rsid w:val="002B1781"/>
    <w:rsid w:val="002C7455"/>
    <w:rsid w:val="002E25F4"/>
    <w:rsid w:val="0030138E"/>
    <w:rsid w:val="00302F57"/>
    <w:rsid w:val="00311B24"/>
    <w:rsid w:val="00340C82"/>
    <w:rsid w:val="003442AB"/>
    <w:rsid w:val="00380EA3"/>
    <w:rsid w:val="003A1B37"/>
    <w:rsid w:val="003A6BC2"/>
    <w:rsid w:val="003B43ED"/>
    <w:rsid w:val="003C37D2"/>
    <w:rsid w:val="003C3F9A"/>
    <w:rsid w:val="003E728C"/>
    <w:rsid w:val="003F0246"/>
    <w:rsid w:val="003F0F72"/>
    <w:rsid w:val="00405256"/>
    <w:rsid w:val="004057AD"/>
    <w:rsid w:val="004078DE"/>
    <w:rsid w:val="00412FE4"/>
    <w:rsid w:val="00426782"/>
    <w:rsid w:val="00431E17"/>
    <w:rsid w:val="00463707"/>
    <w:rsid w:val="00485264"/>
    <w:rsid w:val="004C4A9F"/>
    <w:rsid w:val="004D3588"/>
    <w:rsid w:val="00544F0D"/>
    <w:rsid w:val="00580B7B"/>
    <w:rsid w:val="005A4B46"/>
    <w:rsid w:val="005B4EB8"/>
    <w:rsid w:val="005C55D7"/>
    <w:rsid w:val="005D4E0E"/>
    <w:rsid w:val="005D686B"/>
    <w:rsid w:val="005E4DEB"/>
    <w:rsid w:val="005E512A"/>
    <w:rsid w:val="006009E3"/>
    <w:rsid w:val="00617BCF"/>
    <w:rsid w:val="00620290"/>
    <w:rsid w:val="00635162"/>
    <w:rsid w:val="00644708"/>
    <w:rsid w:val="0065286A"/>
    <w:rsid w:val="006558F2"/>
    <w:rsid w:val="0065615C"/>
    <w:rsid w:val="00675958"/>
    <w:rsid w:val="0068226D"/>
    <w:rsid w:val="006871C3"/>
    <w:rsid w:val="00695332"/>
    <w:rsid w:val="006A19C4"/>
    <w:rsid w:val="006B2488"/>
    <w:rsid w:val="006D14A9"/>
    <w:rsid w:val="006D627A"/>
    <w:rsid w:val="006E4C03"/>
    <w:rsid w:val="006F2E3A"/>
    <w:rsid w:val="00702934"/>
    <w:rsid w:val="00706AED"/>
    <w:rsid w:val="00720232"/>
    <w:rsid w:val="007340D5"/>
    <w:rsid w:val="00755F1C"/>
    <w:rsid w:val="00783915"/>
    <w:rsid w:val="007C5306"/>
    <w:rsid w:val="007D119D"/>
    <w:rsid w:val="007D4706"/>
    <w:rsid w:val="007F119E"/>
    <w:rsid w:val="007F1D5F"/>
    <w:rsid w:val="007F2FF3"/>
    <w:rsid w:val="00821A26"/>
    <w:rsid w:val="00822D8C"/>
    <w:rsid w:val="00843523"/>
    <w:rsid w:val="00875514"/>
    <w:rsid w:val="00893257"/>
    <w:rsid w:val="0089785E"/>
    <w:rsid w:val="008B569E"/>
    <w:rsid w:val="008C1900"/>
    <w:rsid w:val="008D054A"/>
    <w:rsid w:val="008D2EF4"/>
    <w:rsid w:val="008D494E"/>
    <w:rsid w:val="00903F1D"/>
    <w:rsid w:val="00914EF2"/>
    <w:rsid w:val="0092036C"/>
    <w:rsid w:val="00927D25"/>
    <w:rsid w:val="009310C8"/>
    <w:rsid w:val="00932584"/>
    <w:rsid w:val="00936704"/>
    <w:rsid w:val="00947AD1"/>
    <w:rsid w:val="009579EB"/>
    <w:rsid w:val="00966485"/>
    <w:rsid w:val="0097442C"/>
    <w:rsid w:val="00977883"/>
    <w:rsid w:val="00986466"/>
    <w:rsid w:val="00994C41"/>
    <w:rsid w:val="009A5686"/>
    <w:rsid w:val="009A713C"/>
    <w:rsid w:val="009B221F"/>
    <w:rsid w:val="009C5E3F"/>
    <w:rsid w:val="009D112F"/>
    <w:rsid w:val="009D4506"/>
    <w:rsid w:val="00A22BBF"/>
    <w:rsid w:val="00A3111E"/>
    <w:rsid w:val="00A341AD"/>
    <w:rsid w:val="00A34C9C"/>
    <w:rsid w:val="00A538B9"/>
    <w:rsid w:val="00A5507A"/>
    <w:rsid w:val="00A62684"/>
    <w:rsid w:val="00A63720"/>
    <w:rsid w:val="00A662F5"/>
    <w:rsid w:val="00A70C1B"/>
    <w:rsid w:val="00A80B6A"/>
    <w:rsid w:val="00A8408F"/>
    <w:rsid w:val="00A86FAE"/>
    <w:rsid w:val="00A95E85"/>
    <w:rsid w:val="00AA0957"/>
    <w:rsid w:val="00AB0718"/>
    <w:rsid w:val="00AB1ACF"/>
    <w:rsid w:val="00AB6870"/>
    <w:rsid w:val="00AE2F7C"/>
    <w:rsid w:val="00AF3E3F"/>
    <w:rsid w:val="00B055B1"/>
    <w:rsid w:val="00B06112"/>
    <w:rsid w:val="00B417A5"/>
    <w:rsid w:val="00B54CBD"/>
    <w:rsid w:val="00B57A13"/>
    <w:rsid w:val="00B7390B"/>
    <w:rsid w:val="00B86521"/>
    <w:rsid w:val="00BB3470"/>
    <w:rsid w:val="00BC1CB4"/>
    <w:rsid w:val="00BC793B"/>
    <w:rsid w:val="00BE5948"/>
    <w:rsid w:val="00BF2E42"/>
    <w:rsid w:val="00C45419"/>
    <w:rsid w:val="00C56A2B"/>
    <w:rsid w:val="00C952DF"/>
    <w:rsid w:val="00C961B3"/>
    <w:rsid w:val="00C96B5C"/>
    <w:rsid w:val="00CA2CD7"/>
    <w:rsid w:val="00CA5DC7"/>
    <w:rsid w:val="00CA5FA6"/>
    <w:rsid w:val="00CA7C48"/>
    <w:rsid w:val="00CB322C"/>
    <w:rsid w:val="00D01E15"/>
    <w:rsid w:val="00D023B9"/>
    <w:rsid w:val="00D11F42"/>
    <w:rsid w:val="00D15423"/>
    <w:rsid w:val="00D2121C"/>
    <w:rsid w:val="00D24973"/>
    <w:rsid w:val="00D30619"/>
    <w:rsid w:val="00D35BD3"/>
    <w:rsid w:val="00D52033"/>
    <w:rsid w:val="00D55B0E"/>
    <w:rsid w:val="00D61FDB"/>
    <w:rsid w:val="00D83E8B"/>
    <w:rsid w:val="00D83EC8"/>
    <w:rsid w:val="00D85190"/>
    <w:rsid w:val="00D92174"/>
    <w:rsid w:val="00D9620F"/>
    <w:rsid w:val="00DA7C25"/>
    <w:rsid w:val="00DC0D8C"/>
    <w:rsid w:val="00DD047A"/>
    <w:rsid w:val="00DE2186"/>
    <w:rsid w:val="00DE700A"/>
    <w:rsid w:val="00DF489A"/>
    <w:rsid w:val="00E00DC8"/>
    <w:rsid w:val="00E02788"/>
    <w:rsid w:val="00E3019E"/>
    <w:rsid w:val="00E30829"/>
    <w:rsid w:val="00E32E78"/>
    <w:rsid w:val="00E55A21"/>
    <w:rsid w:val="00E57950"/>
    <w:rsid w:val="00E62EC0"/>
    <w:rsid w:val="00EB0949"/>
    <w:rsid w:val="00EC2FEC"/>
    <w:rsid w:val="00F11A01"/>
    <w:rsid w:val="00F2464E"/>
    <w:rsid w:val="00F34A97"/>
    <w:rsid w:val="00F45644"/>
    <w:rsid w:val="00F52A5E"/>
    <w:rsid w:val="00F53B92"/>
    <w:rsid w:val="00F57989"/>
    <w:rsid w:val="00F62331"/>
    <w:rsid w:val="00F75FD4"/>
    <w:rsid w:val="00F77FEB"/>
    <w:rsid w:val="00F81FA4"/>
    <w:rsid w:val="00F9166A"/>
    <w:rsid w:val="00FB154B"/>
    <w:rsid w:val="00FB7CB4"/>
    <w:rsid w:val="00FD2562"/>
    <w:rsid w:val="00FF39D8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87D0B"/>
  <w15:docId w15:val="{1DFC132A-38F9-42EB-A6E3-7516491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16D4-5440-4870-8E71-C3E552CC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1986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OUW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Estera Kołodziej</dc:creator>
  <cp:lastModifiedBy>Estera Kołodziej</cp:lastModifiedBy>
  <cp:revision>3</cp:revision>
  <dcterms:created xsi:type="dcterms:W3CDTF">2021-12-06T10:16:00Z</dcterms:created>
  <dcterms:modified xsi:type="dcterms:W3CDTF">2021-12-06T10:17:00Z</dcterms:modified>
</cp:coreProperties>
</file>