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35C3" w14:textId="77777777" w:rsidR="00BB76F6" w:rsidRDefault="00BB76F6" w:rsidP="00BB76F6">
      <w:pPr>
        <w:jc w:val="center"/>
        <w:rPr>
          <w:rFonts w:ascii="Lato" w:hAnsi="Lato"/>
          <w:b/>
          <w:bCs/>
          <w:color w:val="00B0F0"/>
          <w:sz w:val="36"/>
          <w:szCs w:val="36"/>
          <w:u w:val="single"/>
        </w:rPr>
      </w:pPr>
    </w:p>
    <w:p w14:paraId="40052C19" w14:textId="363210B1" w:rsidR="00BB76F6" w:rsidRPr="00BB76F6" w:rsidRDefault="002F43BB" w:rsidP="00BB76F6">
      <w:pPr>
        <w:jc w:val="center"/>
        <w:rPr>
          <w:rFonts w:ascii="Lato" w:hAnsi="Lato"/>
          <w:b/>
          <w:bCs/>
          <w:color w:val="00B0F0"/>
          <w:sz w:val="36"/>
          <w:szCs w:val="36"/>
          <w:u w:val="single"/>
        </w:rPr>
      </w:pPr>
      <w:r w:rsidRPr="001A28EB">
        <w:rPr>
          <w:rFonts w:ascii="Lato" w:hAnsi="Lato"/>
          <w:b/>
          <w:bCs/>
          <w:color w:val="00B0F0"/>
          <w:sz w:val="36"/>
          <w:szCs w:val="36"/>
          <w:u w:val="single"/>
        </w:rPr>
        <w:t>OBWIESZCZENI</w:t>
      </w:r>
      <w:r w:rsidR="00BB76F6">
        <w:rPr>
          <w:rFonts w:ascii="Lato" w:hAnsi="Lato"/>
          <w:b/>
          <w:bCs/>
          <w:color w:val="00B0F0"/>
          <w:sz w:val="36"/>
          <w:szCs w:val="36"/>
          <w:u w:val="single"/>
        </w:rPr>
        <w:t>E</w:t>
      </w:r>
      <w:r w:rsidRPr="001A28EB">
        <w:rPr>
          <w:rFonts w:ascii="Lato" w:hAnsi="Lato"/>
          <w:b/>
          <w:bCs/>
          <w:color w:val="00B0F0"/>
          <w:sz w:val="36"/>
          <w:szCs w:val="36"/>
          <w:u w:val="single"/>
        </w:rPr>
        <w:t xml:space="preserve"> REFUNDACYJNE NR 7</w:t>
      </w:r>
      <w:r w:rsidR="00D079C9" w:rsidRPr="001A28EB">
        <w:rPr>
          <w:rFonts w:ascii="Lato" w:hAnsi="Lato"/>
          <w:b/>
          <w:bCs/>
          <w:color w:val="00B0F0"/>
          <w:sz w:val="36"/>
          <w:szCs w:val="36"/>
          <w:u w:val="single"/>
        </w:rPr>
        <w:t>3</w:t>
      </w:r>
      <w:r w:rsidRPr="001A28EB">
        <w:rPr>
          <w:rFonts w:ascii="Lato" w:hAnsi="Lato"/>
          <w:b/>
          <w:bCs/>
          <w:color w:val="00B0F0"/>
          <w:sz w:val="36"/>
          <w:szCs w:val="36"/>
          <w:u w:val="single"/>
        </w:rPr>
        <w:t xml:space="preserve"> (1 </w:t>
      </w:r>
      <w:r w:rsidR="00D079C9" w:rsidRPr="001A28EB">
        <w:rPr>
          <w:rFonts w:ascii="Lato" w:hAnsi="Lato"/>
          <w:b/>
          <w:bCs/>
          <w:color w:val="00B0F0"/>
          <w:sz w:val="36"/>
          <w:szCs w:val="36"/>
          <w:u w:val="single"/>
        </w:rPr>
        <w:t>STYCZNIA</w:t>
      </w:r>
      <w:r w:rsidR="0028225A" w:rsidRPr="001A28EB">
        <w:rPr>
          <w:rFonts w:ascii="Lato" w:hAnsi="Lato"/>
          <w:b/>
          <w:bCs/>
          <w:color w:val="00B0F0"/>
          <w:sz w:val="36"/>
          <w:szCs w:val="36"/>
          <w:u w:val="single"/>
        </w:rPr>
        <w:t xml:space="preserve"> </w:t>
      </w:r>
      <w:r w:rsidRPr="001A28EB">
        <w:rPr>
          <w:rFonts w:ascii="Lato" w:hAnsi="Lato"/>
          <w:b/>
          <w:bCs/>
          <w:color w:val="00B0F0"/>
          <w:sz w:val="36"/>
          <w:szCs w:val="36"/>
          <w:u w:val="single"/>
        </w:rPr>
        <w:t>202</w:t>
      </w:r>
      <w:r w:rsidR="00D079C9" w:rsidRPr="001A28EB">
        <w:rPr>
          <w:rFonts w:ascii="Lato" w:hAnsi="Lato"/>
          <w:b/>
          <w:bCs/>
          <w:color w:val="00B0F0"/>
          <w:sz w:val="36"/>
          <w:szCs w:val="36"/>
          <w:u w:val="single"/>
        </w:rPr>
        <w:t xml:space="preserve">4 </w:t>
      </w:r>
      <w:r w:rsidRPr="001A28EB">
        <w:rPr>
          <w:rFonts w:ascii="Lato" w:hAnsi="Lato"/>
          <w:b/>
          <w:bCs/>
          <w:color w:val="00B0F0"/>
          <w:sz w:val="36"/>
          <w:szCs w:val="36"/>
          <w:u w:val="single"/>
        </w:rPr>
        <w:t>r.)</w:t>
      </w:r>
    </w:p>
    <w:p w14:paraId="44B6DC66" w14:textId="77777777" w:rsidR="00BB76F6" w:rsidRDefault="00BB76F6" w:rsidP="00BB76F6">
      <w:pPr>
        <w:spacing w:after="120" w:line="276" w:lineRule="auto"/>
        <w:jc w:val="both"/>
        <w:rPr>
          <w:rFonts w:ascii="Lato" w:hAnsi="Lato"/>
        </w:rPr>
      </w:pPr>
    </w:p>
    <w:p w14:paraId="5976BE2E" w14:textId="2A406BB9" w:rsidR="002F43BB" w:rsidRPr="00BB76F6" w:rsidRDefault="00BB76F6" w:rsidP="00BB76F6">
      <w:pPr>
        <w:spacing w:after="120" w:line="276" w:lineRule="auto"/>
        <w:jc w:val="both"/>
        <w:rPr>
          <w:rFonts w:ascii="Lato" w:hAnsi="Lato"/>
        </w:rPr>
      </w:pPr>
      <w:r w:rsidRPr="00BB76F6">
        <w:rPr>
          <w:rFonts w:ascii="Lato" w:hAnsi="Lato"/>
        </w:rPr>
        <w:t>W</w:t>
      </w:r>
      <w:r w:rsidR="00D079C9" w:rsidRPr="00BB76F6">
        <w:rPr>
          <w:rFonts w:ascii="Lato" w:hAnsi="Lato"/>
        </w:rPr>
        <w:t xml:space="preserve"> pierwszym wykazie </w:t>
      </w:r>
      <w:r>
        <w:rPr>
          <w:rFonts w:ascii="Lato" w:hAnsi="Lato"/>
        </w:rPr>
        <w:t>obowiązującym</w:t>
      </w:r>
      <w:r w:rsidRPr="00BB76F6">
        <w:rPr>
          <w:rFonts w:ascii="Lato" w:hAnsi="Lato"/>
        </w:rPr>
        <w:t xml:space="preserve"> </w:t>
      </w:r>
      <w:r w:rsidR="00D079C9" w:rsidRPr="00BB76F6">
        <w:rPr>
          <w:rFonts w:ascii="Lato" w:hAnsi="Lato"/>
        </w:rPr>
        <w:t>w</w:t>
      </w:r>
      <w:r w:rsidR="002F43BB" w:rsidRPr="00BB76F6">
        <w:rPr>
          <w:rFonts w:ascii="Lato" w:hAnsi="Lato"/>
        </w:rPr>
        <w:t xml:space="preserve"> roku 202</w:t>
      </w:r>
      <w:r w:rsidR="00D079C9" w:rsidRPr="00BB76F6">
        <w:rPr>
          <w:rFonts w:ascii="Lato" w:hAnsi="Lato"/>
        </w:rPr>
        <w:t>4</w:t>
      </w:r>
      <w:r w:rsidR="002F43BB" w:rsidRPr="00BB76F6">
        <w:rPr>
          <w:rFonts w:ascii="Lato" w:hAnsi="Lato"/>
        </w:rPr>
        <w:t>, finansowaniem ze środków publicznych zosta</w:t>
      </w:r>
      <w:r w:rsidRPr="00BB76F6">
        <w:rPr>
          <w:rFonts w:ascii="Lato" w:hAnsi="Lato"/>
        </w:rPr>
        <w:t>ło</w:t>
      </w:r>
      <w:r w:rsidR="002F43BB" w:rsidRPr="00BB76F6">
        <w:rPr>
          <w:rFonts w:ascii="Lato" w:hAnsi="Lato"/>
        </w:rPr>
        <w:t xml:space="preserve"> objętych </w:t>
      </w:r>
      <w:r w:rsidR="00937B3C" w:rsidRPr="00BB76F6">
        <w:rPr>
          <w:rFonts w:ascii="Lato" w:hAnsi="Lato"/>
          <w:b/>
          <w:bCs/>
        </w:rPr>
        <w:t>19</w:t>
      </w:r>
      <w:r w:rsidR="00D079C9" w:rsidRPr="00BB76F6">
        <w:rPr>
          <w:rFonts w:ascii="Lato" w:hAnsi="Lato"/>
          <w:b/>
          <w:bCs/>
        </w:rPr>
        <w:t xml:space="preserve"> </w:t>
      </w:r>
      <w:r w:rsidR="002F43BB" w:rsidRPr="00BB76F6">
        <w:rPr>
          <w:rFonts w:ascii="Lato" w:hAnsi="Lato"/>
          <w:b/>
          <w:bCs/>
        </w:rPr>
        <w:t xml:space="preserve">nowych </w:t>
      </w:r>
      <w:r w:rsidR="002F43BB" w:rsidRPr="00BB76F6">
        <w:rPr>
          <w:rFonts w:ascii="Lato" w:hAnsi="Lato"/>
          <w:b/>
          <w:bCs/>
        </w:rPr>
        <w:br/>
        <w:t>cząsteczko – wskazań</w:t>
      </w:r>
      <w:r w:rsidR="002F43BB" w:rsidRPr="00BB76F6">
        <w:rPr>
          <w:rFonts w:ascii="Lato" w:hAnsi="Lato"/>
        </w:rPr>
        <w:t>, w tym:</w:t>
      </w:r>
    </w:p>
    <w:p w14:paraId="3B6AC00E" w14:textId="38263925" w:rsidR="002F43BB" w:rsidRPr="00BB76F6" w:rsidRDefault="00937B3C" w:rsidP="00BB76F6">
      <w:pPr>
        <w:pStyle w:val="Akapitzlist"/>
        <w:numPr>
          <w:ilvl w:val="0"/>
          <w:numId w:val="41"/>
        </w:numPr>
        <w:spacing w:after="120" w:line="276" w:lineRule="auto"/>
        <w:jc w:val="both"/>
        <w:textAlignment w:val="auto"/>
        <w:rPr>
          <w:rFonts w:ascii="Lato" w:hAnsi="Lato"/>
        </w:rPr>
      </w:pPr>
      <w:r w:rsidRPr="00BB76F6">
        <w:rPr>
          <w:rFonts w:ascii="Lato" w:hAnsi="Lato"/>
        </w:rPr>
        <w:t>8</w:t>
      </w:r>
      <w:r w:rsidR="002F43BB" w:rsidRPr="00BB76F6">
        <w:rPr>
          <w:rFonts w:ascii="Lato" w:hAnsi="Lato"/>
        </w:rPr>
        <w:t xml:space="preserve"> cząsteczko – wskazań onkologicznych,</w:t>
      </w:r>
    </w:p>
    <w:p w14:paraId="0956AEA8" w14:textId="32748C38" w:rsidR="002F43BB" w:rsidRPr="00BB76F6" w:rsidRDefault="00937B3C" w:rsidP="00BB76F6">
      <w:pPr>
        <w:pStyle w:val="Akapitzlist"/>
        <w:numPr>
          <w:ilvl w:val="0"/>
          <w:numId w:val="41"/>
        </w:numPr>
        <w:spacing w:after="120" w:line="276" w:lineRule="auto"/>
        <w:jc w:val="both"/>
        <w:textAlignment w:val="auto"/>
        <w:rPr>
          <w:rFonts w:ascii="Lato" w:hAnsi="Lato"/>
        </w:rPr>
      </w:pPr>
      <w:r w:rsidRPr="00BB76F6">
        <w:rPr>
          <w:rFonts w:ascii="Lato" w:hAnsi="Lato"/>
        </w:rPr>
        <w:t>11</w:t>
      </w:r>
      <w:r w:rsidR="0028225A" w:rsidRPr="00BB76F6">
        <w:rPr>
          <w:rFonts w:ascii="Lato" w:hAnsi="Lato"/>
        </w:rPr>
        <w:t xml:space="preserve"> </w:t>
      </w:r>
      <w:r w:rsidR="002F43BB" w:rsidRPr="00BB76F6">
        <w:rPr>
          <w:rFonts w:ascii="Lato" w:hAnsi="Lato"/>
        </w:rPr>
        <w:t>cząsteczko - wskaza</w:t>
      </w:r>
      <w:r w:rsidRPr="00BB76F6">
        <w:rPr>
          <w:rFonts w:ascii="Lato" w:hAnsi="Lato"/>
        </w:rPr>
        <w:t>ń</w:t>
      </w:r>
      <w:r w:rsidR="002F43BB" w:rsidRPr="00BB76F6">
        <w:rPr>
          <w:rFonts w:ascii="Lato" w:hAnsi="Lato"/>
        </w:rPr>
        <w:t xml:space="preserve"> nieonkologiczn</w:t>
      </w:r>
      <w:r w:rsidRPr="00BB76F6">
        <w:rPr>
          <w:rFonts w:ascii="Lato" w:hAnsi="Lato"/>
        </w:rPr>
        <w:t>ych</w:t>
      </w:r>
      <w:r w:rsidR="002F43BB" w:rsidRPr="00BB76F6">
        <w:rPr>
          <w:rFonts w:ascii="Lato" w:hAnsi="Lato"/>
        </w:rPr>
        <w:t>,</w:t>
      </w:r>
    </w:p>
    <w:p w14:paraId="5D772724" w14:textId="0BD4994F" w:rsidR="002F43BB" w:rsidRPr="00BB76F6" w:rsidRDefault="00937B3C" w:rsidP="00BB76F6">
      <w:pPr>
        <w:pStyle w:val="Akapitzlist"/>
        <w:numPr>
          <w:ilvl w:val="0"/>
          <w:numId w:val="41"/>
        </w:numPr>
        <w:spacing w:after="120" w:line="276" w:lineRule="auto"/>
        <w:jc w:val="both"/>
        <w:textAlignment w:val="auto"/>
        <w:rPr>
          <w:rFonts w:ascii="Lato" w:hAnsi="Lato"/>
        </w:rPr>
      </w:pPr>
      <w:r w:rsidRPr="00BB76F6">
        <w:rPr>
          <w:rFonts w:ascii="Lato" w:hAnsi="Lato"/>
        </w:rPr>
        <w:t>10</w:t>
      </w:r>
      <w:r w:rsidR="0028225A" w:rsidRPr="00BB76F6">
        <w:rPr>
          <w:rFonts w:ascii="Lato" w:hAnsi="Lato"/>
        </w:rPr>
        <w:t xml:space="preserve"> </w:t>
      </w:r>
      <w:r w:rsidR="002F43BB" w:rsidRPr="00BB76F6">
        <w:rPr>
          <w:rFonts w:ascii="Lato" w:hAnsi="Lato"/>
        </w:rPr>
        <w:t>cząsteczko - wskaza</w:t>
      </w:r>
      <w:r w:rsidRPr="00BB76F6">
        <w:rPr>
          <w:rFonts w:ascii="Lato" w:hAnsi="Lato"/>
        </w:rPr>
        <w:t>ń</w:t>
      </w:r>
      <w:r w:rsidR="002F43BB" w:rsidRPr="00BB76F6">
        <w:rPr>
          <w:rFonts w:ascii="Lato" w:hAnsi="Lato"/>
        </w:rPr>
        <w:t xml:space="preserve"> dedykowan</w:t>
      </w:r>
      <w:r w:rsidRPr="00BB76F6">
        <w:rPr>
          <w:rFonts w:ascii="Lato" w:hAnsi="Lato"/>
        </w:rPr>
        <w:t>ych</w:t>
      </w:r>
      <w:r w:rsidR="002F43BB" w:rsidRPr="00BB76F6">
        <w:rPr>
          <w:rFonts w:ascii="Lato" w:hAnsi="Lato"/>
        </w:rPr>
        <w:t xml:space="preserve"> chorobom rzadkim.</w:t>
      </w:r>
    </w:p>
    <w:p w14:paraId="41AFC19F" w14:textId="09894536" w:rsidR="00BB76F6" w:rsidRPr="005C5349" w:rsidRDefault="00BB76F6" w:rsidP="00BB76F6">
      <w:pPr>
        <w:spacing w:line="276" w:lineRule="auto"/>
        <w:jc w:val="both"/>
        <w:rPr>
          <w:rFonts w:ascii="Lato" w:hAnsi="Lato"/>
          <w:color w:val="000000" w:themeColor="text1"/>
        </w:rPr>
      </w:pPr>
      <w:r w:rsidRPr="005C5349">
        <w:rPr>
          <w:rFonts w:ascii="Lato" w:hAnsi="Lato"/>
          <w:color w:val="000000" w:themeColor="text1"/>
        </w:rPr>
        <w:t>Obwieszczenie refundacyjne obowiązujące od 1 stycznia 2024 r. (nr 73), w porównaniu do obwieszczenia 72 zawiera następujące zmiany:</w:t>
      </w:r>
    </w:p>
    <w:p w14:paraId="0EA3D1F2" w14:textId="55293773"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W związku z wydaniem pozytywnych decyzji o objęciu refundacją ogółem do wykazu zostało dodanych 5</w:t>
      </w:r>
      <w:r w:rsidR="00AE3E90" w:rsidRPr="005C5349">
        <w:rPr>
          <w:rFonts w:ascii="Lato" w:hAnsi="Lato"/>
        </w:rPr>
        <w:t>5</w:t>
      </w:r>
      <w:r w:rsidRPr="005C5349">
        <w:rPr>
          <w:rFonts w:ascii="Lato" w:hAnsi="Lato"/>
        </w:rPr>
        <w:t xml:space="preserve"> produktów bądź nowych wskazań.</w:t>
      </w:r>
    </w:p>
    <w:p w14:paraId="3DB9FAF2" w14:textId="5BF24378"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 xml:space="preserve">Dla </w:t>
      </w:r>
      <w:r w:rsidR="00AE3E90" w:rsidRPr="005C5349">
        <w:rPr>
          <w:rFonts w:ascii="Lato" w:hAnsi="Lato"/>
        </w:rPr>
        <w:t>7</w:t>
      </w:r>
      <w:r w:rsidRPr="005C5349">
        <w:rPr>
          <w:rFonts w:ascii="Lato" w:hAnsi="Lato"/>
        </w:rPr>
        <w:t xml:space="preserve">2 produktów wprowadzono obniżki cen zbytu </w:t>
      </w:r>
      <w:r w:rsidR="00AE3E90" w:rsidRPr="005C5349">
        <w:rPr>
          <w:rFonts w:ascii="Lato" w:hAnsi="Lato"/>
        </w:rPr>
        <w:t xml:space="preserve">netto </w:t>
      </w:r>
      <w:r w:rsidRPr="005C5349">
        <w:rPr>
          <w:rFonts w:ascii="Lato" w:hAnsi="Lato"/>
        </w:rPr>
        <w:t>(od 0,</w:t>
      </w:r>
      <w:r w:rsidR="00AE3E90" w:rsidRPr="005C5349">
        <w:rPr>
          <w:rFonts w:ascii="Lato" w:hAnsi="Lato"/>
        </w:rPr>
        <w:t>03</w:t>
      </w:r>
      <w:r w:rsidRPr="005C5349">
        <w:rPr>
          <w:rFonts w:ascii="Lato" w:hAnsi="Lato"/>
        </w:rPr>
        <w:t xml:space="preserve"> zł do </w:t>
      </w:r>
      <w:r w:rsidR="00AE3E90" w:rsidRPr="005C5349">
        <w:rPr>
          <w:rFonts w:ascii="Lato" w:hAnsi="Lato"/>
        </w:rPr>
        <w:t>2925,32</w:t>
      </w:r>
      <w:r w:rsidRPr="005C5349">
        <w:rPr>
          <w:rFonts w:ascii="Lato" w:hAnsi="Lato"/>
        </w:rPr>
        <w:t xml:space="preserve"> zł).</w:t>
      </w:r>
    </w:p>
    <w:p w14:paraId="22DCDB13" w14:textId="616EBC5E"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 xml:space="preserve">Dla </w:t>
      </w:r>
      <w:r w:rsidR="00AE3E90" w:rsidRPr="005C5349">
        <w:rPr>
          <w:rFonts w:ascii="Lato" w:hAnsi="Lato"/>
        </w:rPr>
        <w:t>4</w:t>
      </w:r>
      <w:r w:rsidR="002B5040">
        <w:rPr>
          <w:rFonts w:ascii="Lato" w:hAnsi="Lato"/>
        </w:rPr>
        <w:t>9</w:t>
      </w:r>
      <w:r w:rsidRPr="005C5349">
        <w:rPr>
          <w:rFonts w:ascii="Lato" w:hAnsi="Lato"/>
        </w:rPr>
        <w:t xml:space="preserve"> produktów podwyższono ceny zbytu </w:t>
      </w:r>
      <w:r w:rsidR="00AE3E90" w:rsidRPr="005C5349">
        <w:rPr>
          <w:rFonts w:ascii="Lato" w:hAnsi="Lato"/>
        </w:rPr>
        <w:t xml:space="preserve">netto </w:t>
      </w:r>
      <w:r w:rsidRPr="005C5349">
        <w:rPr>
          <w:rFonts w:ascii="Lato" w:hAnsi="Lato"/>
        </w:rPr>
        <w:t>(od 0,0</w:t>
      </w:r>
      <w:r w:rsidR="00AE3E90" w:rsidRPr="005C5349">
        <w:rPr>
          <w:rFonts w:ascii="Lato" w:hAnsi="Lato"/>
        </w:rPr>
        <w:t>5</w:t>
      </w:r>
      <w:r w:rsidRPr="005C5349">
        <w:rPr>
          <w:rFonts w:ascii="Lato" w:hAnsi="Lato"/>
        </w:rPr>
        <w:t xml:space="preserve"> zł do </w:t>
      </w:r>
      <w:r w:rsidR="00AE3E90" w:rsidRPr="005C5349">
        <w:rPr>
          <w:rFonts w:ascii="Lato" w:hAnsi="Lato"/>
        </w:rPr>
        <w:t>49</w:t>
      </w:r>
      <w:r w:rsidRPr="005C5349">
        <w:rPr>
          <w:rFonts w:ascii="Lato" w:hAnsi="Lato"/>
        </w:rPr>
        <w:t>,</w:t>
      </w:r>
      <w:r w:rsidR="00AE3E90" w:rsidRPr="005C5349">
        <w:rPr>
          <w:rFonts w:ascii="Lato" w:hAnsi="Lato"/>
        </w:rPr>
        <w:t>00</w:t>
      </w:r>
      <w:r w:rsidRPr="005C5349">
        <w:rPr>
          <w:rFonts w:ascii="Lato" w:hAnsi="Lato"/>
        </w:rPr>
        <w:t xml:space="preserve"> zł).</w:t>
      </w:r>
    </w:p>
    <w:p w14:paraId="0DCD347C" w14:textId="53C3CDCB"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 xml:space="preserve">Dla </w:t>
      </w:r>
      <w:r w:rsidR="005C5349" w:rsidRPr="005C5349">
        <w:rPr>
          <w:rFonts w:ascii="Lato" w:hAnsi="Lato"/>
        </w:rPr>
        <w:t>3</w:t>
      </w:r>
      <w:r w:rsidRPr="005C5349">
        <w:rPr>
          <w:rFonts w:ascii="Lato" w:hAnsi="Lato"/>
        </w:rPr>
        <w:t>7</w:t>
      </w:r>
      <w:r w:rsidR="005C5349" w:rsidRPr="005C5349">
        <w:rPr>
          <w:rFonts w:ascii="Lato" w:hAnsi="Lato"/>
        </w:rPr>
        <w:t>5</w:t>
      </w:r>
      <w:r w:rsidRPr="005C5349">
        <w:rPr>
          <w:rFonts w:ascii="Lato" w:hAnsi="Lato"/>
        </w:rPr>
        <w:t xml:space="preserve"> pozycji w obwieszczeniu spadnie dopłata pacjenta (od 0,01 zł do </w:t>
      </w:r>
      <w:r w:rsidR="005C5349" w:rsidRPr="005C5349">
        <w:rPr>
          <w:rFonts w:ascii="Lato" w:hAnsi="Lato"/>
        </w:rPr>
        <w:t>51</w:t>
      </w:r>
      <w:r w:rsidRPr="005C5349">
        <w:rPr>
          <w:rFonts w:ascii="Lato" w:hAnsi="Lato"/>
        </w:rPr>
        <w:t>,7</w:t>
      </w:r>
      <w:r w:rsidR="005C5349" w:rsidRPr="005C5349">
        <w:rPr>
          <w:rFonts w:ascii="Lato" w:hAnsi="Lato"/>
        </w:rPr>
        <w:t>1</w:t>
      </w:r>
      <w:r w:rsidRPr="005C5349">
        <w:rPr>
          <w:rFonts w:ascii="Lato" w:hAnsi="Lato"/>
        </w:rPr>
        <w:t xml:space="preserve"> zł).</w:t>
      </w:r>
    </w:p>
    <w:p w14:paraId="14631E97" w14:textId="6B200E67"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Dla 3</w:t>
      </w:r>
      <w:r w:rsidR="005C5349" w:rsidRPr="005C5349">
        <w:rPr>
          <w:rFonts w:ascii="Lato" w:hAnsi="Lato"/>
        </w:rPr>
        <w:t>56</w:t>
      </w:r>
      <w:r w:rsidRPr="005C5349">
        <w:rPr>
          <w:rFonts w:ascii="Lato" w:hAnsi="Lato"/>
        </w:rPr>
        <w:t xml:space="preserve"> pozycji w obwieszczeniu wzrośnie dopłata pacjenta (od 0,01 zł do </w:t>
      </w:r>
      <w:r w:rsidR="005C5349" w:rsidRPr="005C5349">
        <w:rPr>
          <w:rFonts w:ascii="Lato" w:hAnsi="Lato"/>
        </w:rPr>
        <w:t>456,63</w:t>
      </w:r>
      <w:r w:rsidRPr="005C5349">
        <w:rPr>
          <w:rFonts w:ascii="Lato" w:hAnsi="Lato"/>
        </w:rPr>
        <w:t xml:space="preserve"> zł).</w:t>
      </w:r>
    </w:p>
    <w:p w14:paraId="39993A68" w14:textId="559A63F3"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 xml:space="preserve">Dla </w:t>
      </w:r>
      <w:r w:rsidR="00CD64B0" w:rsidRPr="005C5349">
        <w:rPr>
          <w:rFonts w:ascii="Lato" w:hAnsi="Lato"/>
        </w:rPr>
        <w:t>268</w:t>
      </w:r>
      <w:r w:rsidRPr="005C5349">
        <w:rPr>
          <w:rFonts w:ascii="Lato" w:hAnsi="Lato"/>
        </w:rPr>
        <w:t xml:space="preserve"> produktów ulegną obniżeniu ceny detaliczne (od 0,01 zł do </w:t>
      </w:r>
      <w:r w:rsidR="00CD64B0" w:rsidRPr="005C5349">
        <w:rPr>
          <w:rFonts w:ascii="Lato" w:hAnsi="Lato"/>
        </w:rPr>
        <w:t>51</w:t>
      </w:r>
      <w:r w:rsidRPr="005C5349">
        <w:rPr>
          <w:rFonts w:ascii="Lato" w:hAnsi="Lato"/>
        </w:rPr>
        <w:t>,</w:t>
      </w:r>
      <w:r w:rsidR="00CD64B0" w:rsidRPr="005C5349">
        <w:rPr>
          <w:rFonts w:ascii="Lato" w:hAnsi="Lato"/>
        </w:rPr>
        <w:t>7</w:t>
      </w:r>
      <w:r w:rsidRPr="005C5349">
        <w:rPr>
          <w:rFonts w:ascii="Lato" w:hAnsi="Lato"/>
        </w:rPr>
        <w:t>1 zł).</w:t>
      </w:r>
    </w:p>
    <w:p w14:paraId="4662806C" w14:textId="2C39F1D3" w:rsidR="00BB76F6"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 xml:space="preserve">Dla </w:t>
      </w:r>
      <w:r w:rsidR="00CD64B0" w:rsidRPr="005C5349">
        <w:rPr>
          <w:rFonts w:ascii="Lato" w:hAnsi="Lato"/>
        </w:rPr>
        <w:t>4</w:t>
      </w:r>
      <w:r w:rsidRPr="005C5349">
        <w:rPr>
          <w:rFonts w:ascii="Lato" w:hAnsi="Lato"/>
        </w:rPr>
        <w:t>1</w:t>
      </w:r>
      <w:r w:rsidR="002B5040">
        <w:rPr>
          <w:rFonts w:ascii="Lato" w:hAnsi="Lato"/>
        </w:rPr>
        <w:t>3</w:t>
      </w:r>
      <w:r w:rsidRPr="005C5349">
        <w:rPr>
          <w:rFonts w:ascii="Lato" w:hAnsi="Lato"/>
        </w:rPr>
        <w:t xml:space="preserve"> produktów wzrosną ceny detaliczne (od 0,01 zł do </w:t>
      </w:r>
      <w:r w:rsidR="005C5349" w:rsidRPr="005C5349">
        <w:rPr>
          <w:rFonts w:ascii="Lato" w:hAnsi="Lato"/>
        </w:rPr>
        <w:t>2</w:t>
      </w:r>
      <w:r w:rsidRPr="005C5349">
        <w:rPr>
          <w:rFonts w:ascii="Lato" w:hAnsi="Lato"/>
        </w:rPr>
        <w:t>0,</w:t>
      </w:r>
      <w:r w:rsidR="005C5349" w:rsidRPr="005C5349">
        <w:rPr>
          <w:rFonts w:ascii="Lato" w:hAnsi="Lato"/>
        </w:rPr>
        <w:t>46</w:t>
      </w:r>
      <w:r w:rsidRPr="005C5349">
        <w:rPr>
          <w:rFonts w:ascii="Lato" w:hAnsi="Lato"/>
        </w:rPr>
        <w:t xml:space="preserve"> zł).</w:t>
      </w:r>
    </w:p>
    <w:p w14:paraId="4D8309EF" w14:textId="6B838162" w:rsidR="0075176D" w:rsidRPr="005C5349" w:rsidRDefault="00BB76F6" w:rsidP="00BB76F6">
      <w:pPr>
        <w:numPr>
          <w:ilvl w:val="0"/>
          <w:numId w:val="4"/>
        </w:numPr>
        <w:suppressAutoHyphens w:val="0"/>
        <w:spacing w:line="276" w:lineRule="auto"/>
        <w:ind w:left="567"/>
        <w:jc w:val="both"/>
        <w:rPr>
          <w:rFonts w:ascii="Lato" w:hAnsi="Lato"/>
        </w:rPr>
      </w:pPr>
      <w:r w:rsidRPr="005C5349">
        <w:rPr>
          <w:rFonts w:ascii="Lato" w:hAnsi="Lato"/>
        </w:rPr>
        <w:t>W związku z wpłynięciem wniosków o skrócenie terminu obowiązywania decyzji refundacyjnych lub upłynięciem terminu obowiązywania decyzji refundacyjnych lub odmową refundacji na kolejny okres w obwieszczeniu nie znajd</w:t>
      </w:r>
      <w:r w:rsidR="00AE3E90" w:rsidRPr="005C5349">
        <w:rPr>
          <w:rFonts w:ascii="Lato" w:hAnsi="Lato"/>
        </w:rPr>
        <w:t>ą się 72</w:t>
      </w:r>
      <w:r w:rsidRPr="005C5349">
        <w:rPr>
          <w:rFonts w:ascii="Lato" w:hAnsi="Lato"/>
        </w:rPr>
        <w:t xml:space="preserve"> produkt</w:t>
      </w:r>
      <w:r w:rsidR="00AE3E90" w:rsidRPr="005C5349">
        <w:rPr>
          <w:rFonts w:ascii="Lato" w:hAnsi="Lato"/>
        </w:rPr>
        <w:t>y</w:t>
      </w:r>
      <w:r w:rsidRPr="005C5349">
        <w:rPr>
          <w:rFonts w:ascii="Lato" w:hAnsi="Lato"/>
        </w:rPr>
        <w:t xml:space="preserve"> bądź wskaza</w:t>
      </w:r>
      <w:r w:rsidR="00AE3E90" w:rsidRPr="005C5349">
        <w:rPr>
          <w:rFonts w:ascii="Lato" w:hAnsi="Lato"/>
        </w:rPr>
        <w:t>nia</w:t>
      </w:r>
      <w:r w:rsidRPr="005C5349">
        <w:rPr>
          <w:rFonts w:ascii="Lato" w:hAnsi="Lato"/>
        </w:rPr>
        <w:t xml:space="preserve"> figurując</w:t>
      </w:r>
      <w:r w:rsidR="00AE3E90" w:rsidRPr="005C5349">
        <w:rPr>
          <w:rFonts w:ascii="Lato" w:hAnsi="Lato"/>
        </w:rPr>
        <w:t>e</w:t>
      </w:r>
      <w:r w:rsidRPr="005C5349">
        <w:rPr>
          <w:rFonts w:ascii="Lato" w:hAnsi="Lato"/>
        </w:rPr>
        <w:t xml:space="preserve"> w poprzednim obwieszczeniu.</w:t>
      </w:r>
    </w:p>
    <w:p w14:paraId="525453A4" w14:textId="76778024" w:rsidR="0075176D" w:rsidRDefault="0075176D" w:rsidP="000B65F8">
      <w:pPr>
        <w:suppressAutoHyphens w:val="0"/>
        <w:autoSpaceDE w:val="0"/>
        <w:spacing w:after="0" w:line="360" w:lineRule="auto"/>
        <w:rPr>
          <w:rFonts w:ascii="Lato" w:hAnsi="Lato"/>
          <w:sz w:val="24"/>
          <w:szCs w:val="24"/>
        </w:rPr>
      </w:pPr>
      <w:r>
        <w:rPr>
          <w:noProof/>
        </w:rPr>
        <w:lastRenderedPageBreak/>
        <w:drawing>
          <wp:inline distT="0" distB="0" distL="0" distR="0" wp14:anchorId="757DB389" wp14:editId="4DC548CE">
            <wp:extent cx="4448175" cy="2659380"/>
            <wp:effectExtent l="0" t="0" r="9525" b="7620"/>
            <wp:docPr id="1471505528" name="Wykres 1">
              <a:extLst xmlns:a="http://schemas.openxmlformats.org/drawingml/2006/main">
                <a:ext uri="{FF2B5EF4-FFF2-40B4-BE49-F238E27FC236}">
                  <a16:creationId xmlns:a16="http://schemas.microsoft.com/office/drawing/2014/main" id="{FC6074ED-C953-414E-8657-6D9838D8D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B65F8" w:rsidRPr="001A28EB">
        <w:rPr>
          <w:rFonts w:ascii="Lato" w:hAnsi="Lato"/>
          <w:sz w:val="24"/>
          <w:szCs w:val="24"/>
        </w:rPr>
        <w:t xml:space="preserve"> </w:t>
      </w:r>
      <w:r>
        <w:rPr>
          <w:noProof/>
        </w:rPr>
        <w:drawing>
          <wp:inline distT="0" distB="0" distL="0" distR="0" wp14:anchorId="617BE341" wp14:editId="6AB586CA">
            <wp:extent cx="4400550" cy="2657475"/>
            <wp:effectExtent l="0" t="0" r="0" b="9525"/>
            <wp:docPr id="2038963007" name="Wykres 1">
              <a:extLst xmlns:a="http://schemas.openxmlformats.org/drawingml/2006/main">
                <a:ext uri="{FF2B5EF4-FFF2-40B4-BE49-F238E27FC236}">
                  <a16:creationId xmlns:a16="http://schemas.microsoft.com/office/drawing/2014/main" id="{F3EEC769-7086-49DE-8BAD-8CC35BDC1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C758C3" w14:textId="3543DE6A" w:rsidR="002241C0" w:rsidRPr="001A28EB" w:rsidRDefault="0075176D">
      <w:pPr>
        <w:suppressAutoHyphens w:val="0"/>
        <w:rPr>
          <w:rFonts w:ascii="Lato" w:hAnsi="Lato"/>
          <w:b/>
          <w:bCs/>
          <w:color w:val="00B0F0"/>
          <w:sz w:val="36"/>
          <w:szCs w:val="36"/>
          <w:u w:val="single"/>
        </w:rPr>
      </w:pPr>
      <w:r>
        <w:rPr>
          <w:noProof/>
        </w:rPr>
        <w:drawing>
          <wp:inline distT="0" distB="0" distL="0" distR="0" wp14:anchorId="2DE8B3CA" wp14:editId="4B3CF4BD">
            <wp:extent cx="4438650" cy="2990850"/>
            <wp:effectExtent l="0" t="0" r="0" b="0"/>
            <wp:docPr id="1444665057" name="Wykres 1">
              <a:extLst xmlns:a="http://schemas.openxmlformats.org/drawingml/2006/main">
                <a:ext uri="{FF2B5EF4-FFF2-40B4-BE49-F238E27FC236}">
                  <a16:creationId xmlns:a16="http://schemas.microsoft.com/office/drawing/2014/main" id="{EA79078D-806F-4958-9948-92A3449EF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Lato" w:hAnsi="Lato"/>
          <w:noProof/>
        </w:rPr>
        <w:t xml:space="preserve"> </w:t>
      </w:r>
      <w:r w:rsidR="00614693">
        <w:rPr>
          <w:noProof/>
        </w:rPr>
        <w:drawing>
          <wp:inline distT="0" distB="0" distL="0" distR="0" wp14:anchorId="4FD38D7F" wp14:editId="7A69E32B">
            <wp:extent cx="4419600" cy="2981325"/>
            <wp:effectExtent l="0" t="0" r="0" b="9525"/>
            <wp:docPr id="644985510" name="Wykres 1">
              <a:extLst xmlns:a="http://schemas.openxmlformats.org/drawingml/2006/main">
                <a:ext uri="{FF2B5EF4-FFF2-40B4-BE49-F238E27FC236}">
                  <a16:creationId xmlns:a16="http://schemas.microsoft.com/office/drawing/2014/main" id="{8E0023C9-8891-4322-B9CF-5D2C6FA255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0B65F8" w:rsidRPr="001A28EB">
        <w:rPr>
          <w:rFonts w:ascii="Lato" w:hAnsi="Lato"/>
          <w:noProof/>
        </w:rPr>
        <w:t xml:space="preserve"> </w:t>
      </w:r>
      <w:r w:rsidR="002241C0" w:rsidRPr="001A28EB">
        <w:rPr>
          <w:rFonts w:ascii="Lato" w:hAnsi="Lato"/>
          <w:sz w:val="24"/>
          <w:szCs w:val="24"/>
        </w:rPr>
        <w:t xml:space="preserve"> </w:t>
      </w:r>
      <w:r w:rsidR="002241C0" w:rsidRPr="001A28EB">
        <w:rPr>
          <w:rFonts w:ascii="Lato" w:hAnsi="Lato"/>
          <w:b/>
          <w:bCs/>
          <w:color w:val="00B0F0"/>
          <w:sz w:val="36"/>
          <w:szCs w:val="36"/>
          <w:u w:val="single"/>
        </w:rPr>
        <w:br w:type="page"/>
      </w:r>
    </w:p>
    <w:p w14:paraId="6C2BC407" w14:textId="77777777" w:rsidR="002F43BB" w:rsidRPr="001A28EB" w:rsidRDefault="002F43BB" w:rsidP="008C0E92">
      <w:pPr>
        <w:jc w:val="center"/>
        <w:rPr>
          <w:rFonts w:ascii="Lato" w:hAnsi="Lato"/>
          <w:b/>
          <w:bCs/>
          <w:color w:val="00B0F0"/>
          <w:sz w:val="36"/>
          <w:szCs w:val="36"/>
          <w:u w:val="single"/>
        </w:rPr>
      </w:pPr>
    </w:p>
    <w:p w14:paraId="6B466A0C" w14:textId="6A2ABAF6" w:rsidR="004D093B" w:rsidRPr="001A28EB" w:rsidRDefault="004D093B">
      <w:pPr>
        <w:suppressAutoHyphens w:val="0"/>
        <w:rPr>
          <w:rFonts w:ascii="Lato" w:hAnsi="Lato"/>
          <w:sz w:val="24"/>
          <w:szCs w:val="24"/>
        </w:rPr>
      </w:pPr>
    </w:p>
    <w:p w14:paraId="06A06678" w14:textId="7D136BFD" w:rsidR="00AD08C5" w:rsidRPr="001A28EB" w:rsidRDefault="006A7DCE" w:rsidP="005058F2">
      <w:pPr>
        <w:jc w:val="center"/>
        <w:rPr>
          <w:rFonts w:ascii="Lato" w:hAnsi="Lato"/>
          <w:b/>
          <w:bCs/>
          <w:color w:val="00B0F0"/>
          <w:sz w:val="28"/>
          <w:szCs w:val="28"/>
        </w:rPr>
      </w:pPr>
      <w:r w:rsidRPr="001A28EB">
        <w:rPr>
          <w:rFonts w:ascii="Lato" w:hAnsi="Lato"/>
          <w:b/>
          <w:bCs/>
          <w:color w:val="00B0F0"/>
          <w:sz w:val="28"/>
          <w:szCs w:val="28"/>
        </w:rPr>
        <w:t>NOWE WSKAZANIA ORAZ ZMIANY W PROGRA</w:t>
      </w:r>
      <w:bookmarkStart w:id="0" w:name="_Hlk95686308"/>
      <w:r w:rsidRPr="001A28EB">
        <w:rPr>
          <w:rFonts w:ascii="Lato" w:hAnsi="Lato"/>
          <w:b/>
          <w:bCs/>
          <w:color w:val="00B0F0"/>
          <w:sz w:val="28"/>
          <w:szCs w:val="28"/>
        </w:rPr>
        <w:t>M</w:t>
      </w:r>
      <w:bookmarkEnd w:id="0"/>
      <w:r w:rsidRPr="001A28EB">
        <w:rPr>
          <w:rFonts w:ascii="Lato" w:hAnsi="Lato"/>
          <w:b/>
          <w:bCs/>
          <w:color w:val="00B0F0"/>
          <w:sz w:val="28"/>
          <w:szCs w:val="28"/>
        </w:rPr>
        <w:t>ACH LEKOWYCH</w:t>
      </w:r>
      <w:r w:rsidR="0056748F" w:rsidRPr="001A28EB">
        <w:rPr>
          <w:rFonts w:ascii="Lato" w:hAnsi="Lato"/>
          <w:b/>
          <w:bCs/>
          <w:color w:val="00B0F0"/>
          <w:sz w:val="28"/>
          <w:szCs w:val="28"/>
        </w:rPr>
        <w:t xml:space="preserve"> i CHEMIOTERAPII</w:t>
      </w:r>
    </w:p>
    <w:tbl>
      <w:tblPr>
        <w:tblW w:w="5000" w:type="pct"/>
        <w:tblCellMar>
          <w:top w:w="113" w:type="dxa"/>
          <w:left w:w="10" w:type="dxa"/>
          <w:bottom w:w="113" w:type="dxa"/>
          <w:right w:w="10" w:type="dxa"/>
        </w:tblCellMar>
        <w:tblLook w:val="0000" w:firstRow="0" w:lastRow="0" w:firstColumn="0" w:lastColumn="0" w:noHBand="0" w:noVBand="0"/>
      </w:tblPr>
      <w:tblGrid>
        <w:gridCol w:w="710"/>
        <w:gridCol w:w="1502"/>
        <w:gridCol w:w="2255"/>
        <w:gridCol w:w="1867"/>
        <w:gridCol w:w="2730"/>
        <w:gridCol w:w="4924"/>
      </w:tblGrid>
      <w:tr w:rsidR="005058F2" w:rsidRPr="001A28EB" w14:paraId="7E2E9B6A" w14:textId="77777777" w:rsidTr="004D093B">
        <w:trPr>
          <w:cantSplit/>
          <w:trHeight w:val="186"/>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0094C8"/>
            <w:tcMar>
              <w:top w:w="0" w:type="dxa"/>
              <w:left w:w="108" w:type="dxa"/>
              <w:bottom w:w="0" w:type="dxa"/>
              <w:right w:w="108" w:type="dxa"/>
            </w:tcMar>
            <w:vAlign w:val="center"/>
          </w:tcPr>
          <w:p w14:paraId="5287C9CE" w14:textId="77777777" w:rsidR="005058F2" w:rsidRPr="001A28EB" w:rsidRDefault="005058F2"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Programy lekowe i chemioterapia</w:t>
            </w:r>
          </w:p>
        </w:tc>
      </w:tr>
      <w:tr w:rsidR="005058F2" w:rsidRPr="001A28EB" w14:paraId="1C096482" w14:textId="77777777" w:rsidTr="004D093B">
        <w:trPr>
          <w:cantSplit/>
          <w:trHeight w:val="206"/>
        </w:trPr>
        <w:tc>
          <w:tcPr>
            <w:tcW w:w="5000" w:type="pct"/>
            <w:gridSpan w:val="6"/>
            <w:tcBorders>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5D0D3F6C" w14:textId="047D7715" w:rsidR="005058F2" w:rsidRPr="001A28EB" w:rsidRDefault="005058F2"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Nowe wskazania onkologiczne</w:t>
            </w:r>
          </w:p>
        </w:tc>
      </w:tr>
      <w:tr w:rsidR="006D7964" w:rsidRPr="001A28EB" w14:paraId="60CDF2D4"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F618D0B"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Lp.</w:t>
            </w:r>
          </w:p>
        </w:tc>
        <w:tc>
          <w:tcPr>
            <w:tcW w:w="53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4C6CB337"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Nazwa leku</w:t>
            </w:r>
          </w:p>
        </w:tc>
        <w:tc>
          <w:tcPr>
            <w:tcW w:w="80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0124251E"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Substancja czynna</w:t>
            </w:r>
          </w:p>
        </w:tc>
        <w:tc>
          <w:tcPr>
            <w:tcW w:w="66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2B0A519"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Numer programu lekowego/załącznika chemioterapii</w:t>
            </w:r>
          </w:p>
        </w:tc>
        <w:tc>
          <w:tcPr>
            <w:tcW w:w="97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DBA8893" w14:textId="77777777" w:rsidR="005058F2" w:rsidRPr="001A28EB" w:rsidRDefault="005058F2" w:rsidP="007B043E">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programu lekowego/ Załącznika chemioterapii</w:t>
            </w:r>
          </w:p>
        </w:tc>
        <w:tc>
          <w:tcPr>
            <w:tcW w:w="1760"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8164232" w14:textId="77777777" w:rsidR="005058F2" w:rsidRPr="001A28EB" w:rsidRDefault="005058F2" w:rsidP="007B043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Doprecyzowanie wskazania</w:t>
            </w:r>
          </w:p>
        </w:tc>
      </w:tr>
      <w:tr w:rsidR="006804BE" w:rsidRPr="001A28EB" w14:paraId="78AD09CB"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945B0B8" w14:textId="4E9AF342"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1.</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993CFC" w14:textId="1E139091" w:rsidR="006804BE" w:rsidRPr="001A28EB" w:rsidRDefault="006804BE" w:rsidP="006804BE">
            <w:pPr>
              <w:spacing w:before="60" w:after="60" w:line="240" w:lineRule="auto"/>
              <w:jc w:val="center"/>
              <w:rPr>
                <w:rFonts w:ascii="Lato" w:hAnsi="Lato" w:cstheme="majorHAnsi"/>
                <w:b/>
                <w:bCs/>
                <w:sz w:val="18"/>
                <w:szCs w:val="18"/>
              </w:rPr>
            </w:pPr>
            <w:r w:rsidRPr="001A28EB">
              <w:rPr>
                <w:rFonts w:ascii="Lato" w:hAnsi="Lato" w:cstheme="majorHAnsi"/>
                <w:b/>
                <w:bCs/>
                <w:color w:val="000000"/>
                <w:sz w:val="18"/>
                <w:szCs w:val="18"/>
              </w:rPr>
              <w:t>Polivy</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C58DF4" w14:textId="6F9DD753" w:rsidR="006804BE" w:rsidRPr="001A28EB" w:rsidRDefault="006804BE" w:rsidP="006804BE">
            <w:pPr>
              <w:spacing w:before="60" w:after="60" w:line="240" w:lineRule="auto"/>
              <w:jc w:val="center"/>
              <w:rPr>
                <w:rFonts w:ascii="Lato" w:hAnsi="Lato" w:cstheme="majorHAnsi"/>
                <w:i/>
                <w:iCs/>
                <w:sz w:val="18"/>
                <w:szCs w:val="18"/>
              </w:rPr>
            </w:pPr>
            <w:r w:rsidRPr="001A28EB">
              <w:rPr>
                <w:rFonts w:ascii="Lato" w:hAnsi="Lato" w:cstheme="majorHAnsi"/>
                <w:i/>
                <w:iCs/>
                <w:color w:val="000000"/>
                <w:sz w:val="18"/>
                <w:szCs w:val="18"/>
              </w:rPr>
              <w:t>polatuzumab vedotin</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E38D9A" w14:textId="155A8464"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B.12.FM</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BC1D1F" w14:textId="4C959FE8"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LECZENIE CHORYCH NA CHŁONIAKI B-KOMÓRKOWE (ICD-10: C82, C83, C85)</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46E3C" w14:textId="41E01AA5"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dorosłych chorych na chłoniaka rozlanego z dużych komórek B (DLBCL), z międzynarodowym indeksem prognostycznym (IPI): 3-5 polatuzumabem vedotin w skojarzeniu z rytuksymabem, cyklofosfamidem, doksorubicyną i prednizonem</w:t>
            </w:r>
            <w:r w:rsidRPr="001A28EB">
              <w:rPr>
                <w:rFonts w:ascii="Lato" w:hAnsi="Lato" w:cstheme="majorHAnsi"/>
                <w:color w:val="000000"/>
                <w:sz w:val="18"/>
                <w:szCs w:val="18"/>
              </w:rPr>
              <w:t>.</w:t>
            </w:r>
          </w:p>
          <w:p w14:paraId="62B5EF5F" w14:textId="47A5BD4D"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71CF2711"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947ACB" w14:textId="3A986E1A"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2.</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DA2989" w14:textId="77777777"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 xml:space="preserve">Darzalex </w:t>
            </w:r>
          </w:p>
          <w:p w14:paraId="7E37CD4E" w14:textId="4883AEEA"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color w:val="000000"/>
                <w:sz w:val="18"/>
                <w:szCs w:val="18"/>
              </w:rPr>
              <w:t>(forma podskórna)</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CC2A70" w14:textId="337B2CB1"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daratumumab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84E354" w14:textId="176E4B95"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B.54</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111E2C8" w14:textId="7D565F54"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NA SZPICZAKA PLAZMOCYTOWEGO (ICD-10: C90.0)</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940F4D" w14:textId="3E44B88F"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dorosłych chorych na szpiczaka plazmocytowego, niekwalifikujących się do przeszczepienia autologicznych krwiotwórczych komórek macierzystych daratumumabem (w formie do podania podskórnego) w skojarzeniu z lenalidomidem i deksametazonem (schemat DRd)</w:t>
            </w:r>
            <w:r w:rsidRPr="001A28EB">
              <w:rPr>
                <w:rFonts w:ascii="Lato" w:hAnsi="Lato" w:cstheme="majorHAnsi"/>
                <w:color w:val="000000"/>
                <w:sz w:val="18"/>
                <w:szCs w:val="18"/>
              </w:rPr>
              <w:t>.</w:t>
            </w:r>
          </w:p>
          <w:p w14:paraId="5636079E" w14:textId="4C1BEB7E"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531B9990"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8C6B3F" w14:textId="07941868"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3.</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FB36D7" w14:textId="6626179D"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Adcetris</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739FC2" w14:textId="5E64CFE1"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brentuksymab vedotin</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3C4C486" w14:textId="5C87CF84"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B.77</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B4037F" w14:textId="6130E08E"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NA KLASYCZNEGO CHŁONIAKA HODGKINA (ICD-10: C81)</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238D1E" w14:textId="1675BF9D"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dorosłych chorych na klasycznego chłoniak Hodgkina w IV stadium zaawansowania brentuksymabem vedotin w skojarzeniu z doksorubicyną, winblastyną i dakarbazyną</w:t>
            </w:r>
            <w:r w:rsidRPr="001A28EB">
              <w:rPr>
                <w:rFonts w:ascii="Lato" w:hAnsi="Lato" w:cstheme="majorHAnsi"/>
                <w:color w:val="000000"/>
                <w:sz w:val="18"/>
                <w:szCs w:val="18"/>
              </w:rPr>
              <w:t>.</w:t>
            </w:r>
          </w:p>
          <w:p w14:paraId="5AF70F87" w14:textId="0DE97019"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71DF152B"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137C66" w14:textId="55ED6CC5"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t>4.</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984C57" w14:textId="4F7E2B66"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Brukinsa</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B58609" w14:textId="3653CA5D"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zanubrutynib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AE3FEB4" w14:textId="47871140"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B.79</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AF2DE8" w14:textId="23AD9852"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NA PRZEWLEKŁĄ BIAŁACZKĘ LIMFOCYTOWĄ (ICD-10: C91.1)</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B953FC" w14:textId="58474E6A"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i kolejnych linii</w:t>
            </w:r>
            <w:r w:rsidR="006804BE" w:rsidRPr="001A28EB">
              <w:rPr>
                <w:rFonts w:ascii="Lato" w:hAnsi="Lato" w:cstheme="majorHAnsi"/>
                <w:color w:val="000000"/>
                <w:sz w:val="18"/>
                <w:szCs w:val="18"/>
              </w:rPr>
              <w:t xml:space="preserve"> dorosłych chorych na przewlekłą białaczkę limfocytową zanubrutynibem w monoterapii</w:t>
            </w:r>
            <w:r w:rsidRPr="001A28EB">
              <w:rPr>
                <w:rFonts w:ascii="Lato" w:hAnsi="Lato" w:cstheme="majorHAnsi"/>
                <w:color w:val="000000"/>
                <w:sz w:val="18"/>
                <w:szCs w:val="18"/>
              </w:rPr>
              <w:t>.</w:t>
            </w:r>
          </w:p>
          <w:p w14:paraId="16811A6A" w14:textId="41D7CE5A"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2F304C7B"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F3EF10" w14:textId="3179CC02"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sz w:val="18"/>
                <w:szCs w:val="18"/>
              </w:rPr>
              <w:lastRenderedPageBreak/>
              <w:t>5.</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270B9C" w14:textId="0F142A71" w:rsidR="006804BE" w:rsidRPr="001A28EB" w:rsidRDefault="006804BE" w:rsidP="006804BE">
            <w:pPr>
              <w:spacing w:before="60" w:after="60" w:line="240" w:lineRule="auto"/>
              <w:jc w:val="center"/>
              <w:rPr>
                <w:rFonts w:ascii="Lato" w:hAnsi="Lato" w:cstheme="majorHAnsi"/>
                <w:b/>
                <w:bCs/>
                <w:sz w:val="18"/>
                <w:szCs w:val="18"/>
              </w:rPr>
            </w:pPr>
            <w:r w:rsidRPr="001A28EB">
              <w:rPr>
                <w:rFonts w:ascii="Lato" w:hAnsi="Lato" w:cstheme="majorHAnsi"/>
                <w:b/>
                <w:bCs/>
                <w:color w:val="000000"/>
                <w:sz w:val="18"/>
                <w:szCs w:val="18"/>
              </w:rPr>
              <w:t>Venclyxto</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1F52E7F" w14:textId="13ACD911" w:rsidR="006804BE" w:rsidRPr="001A28EB" w:rsidRDefault="006804BE" w:rsidP="006804BE">
            <w:pPr>
              <w:spacing w:before="60" w:after="60" w:line="240" w:lineRule="auto"/>
              <w:jc w:val="center"/>
              <w:rPr>
                <w:rFonts w:ascii="Lato" w:hAnsi="Lato" w:cstheme="majorHAnsi"/>
                <w:i/>
                <w:iCs/>
                <w:sz w:val="18"/>
                <w:szCs w:val="18"/>
              </w:rPr>
            </w:pPr>
            <w:r w:rsidRPr="001A28EB">
              <w:rPr>
                <w:rFonts w:ascii="Lato" w:hAnsi="Lato" w:cstheme="majorHAnsi"/>
                <w:i/>
                <w:iCs/>
                <w:color w:val="000000"/>
                <w:sz w:val="18"/>
                <w:szCs w:val="18"/>
              </w:rPr>
              <w:t>wenetoklaks</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059B47" w14:textId="69101480"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B.79</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229DCD" w14:textId="28EF5C9A" w:rsidR="006804BE" w:rsidRPr="001A28EB" w:rsidRDefault="006804BE" w:rsidP="006804B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LECZENIE CHORYCH NA PRZEWLEKŁĄ BIAŁACZKĘ LIMFOCYTOWĄ (ICD-10: C91.1)</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C03B38" w14:textId="46D29977" w:rsidR="006804BE" w:rsidRPr="001A28EB" w:rsidRDefault="00BA760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I linii</w:t>
            </w:r>
            <w:r w:rsidR="006804BE" w:rsidRPr="001A28EB">
              <w:rPr>
                <w:rFonts w:ascii="Lato" w:hAnsi="Lato" w:cstheme="majorHAnsi"/>
                <w:color w:val="000000"/>
                <w:sz w:val="18"/>
                <w:szCs w:val="18"/>
              </w:rPr>
              <w:t xml:space="preserve"> populacji FIT dorosłych chorych na przewlekłą białaczkę limfocytową wenetoklaksem w skojarzeniu z obinutuzumabem (rozszerzenie aktualnie refundowanego wskazania o populację FIT)</w:t>
            </w:r>
            <w:r w:rsidRPr="001A28EB">
              <w:rPr>
                <w:rFonts w:ascii="Lato" w:hAnsi="Lato" w:cstheme="majorHAnsi"/>
                <w:color w:val="000000"/>
                <w:sz w:val="18"/>
                <w:szCs w:val="18"/>
              </w:rPr>
              <w:t>.</w:t>
            </w:r>
          </w:p>
          <w:p w14:paraId="7B0CA559" w14:textId="46AC7A75"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BA7602" w:rsidRPr="001A28EB" w14:paraId="41B567AC"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30FECB" w14:textId="22D9C9DF" w:rsidR="00BA7602" w:rsidRPr="001A28EB" w:rsidRDefault="00BA7602" w:rsidP="00BA7602">
            <w:pPr>
              <w:spacing w:before="60" w:after="60" w:line="240" w:lineRule="auto"/>
              <w:jc w:val="center"/>
              <w:rPr>
                <w:rFonts w:ascii="Lato" w:hAnsi="Lato" w:cstheme="majorHAnsi"/>
                <w:sz w:val="18"/>
                <w:szCs w:val="18"/>
              </w:rPr>
            </w:pPr>
            <w:r w:rsidRPr="001A28EB">
              <w:rPr>
                <w:rFonts w:ascii="Lato" w:hAnsi="Lato" w:cstheme="majorHAnsi"/>
                <w:sz w:val="18"/>
                <w:szCs w:val="18"/>
              </w:rPr>
              <w:t xml:space="preserve">6. </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ABA0DD" w14:textId="0BC7C761" w:rsidR="00BA7602" w:rsidRPr="001A28EB" w:rsidRDefault="00BA7602" w:rsidP="00BA7602">
            <w:pPr>
              <w:spacing w:before="60" w:after="60" w:line="240" w:lineRule="auto"/>
              <w:jc w:val="center"/>
              <w:rPr>
                <w:rFonts w:ascii="Lato" w:hAnsi="Lato" w:cstheme="majorHAnsi"/>
                <w:b/>
                <w:bCs/>
                <w:color w:val="000000"/>
                <w:sz w:val="18"/>
                <w:szCs w:val="18"/>
              </w:rPr>
            </w:pPr>
            <w:r w:rsidRPr="001A28EB">
              <w:rPr>
                <w:rFonts w:ascii="Lato" w:hAnsi="Lato" w:cstheme="majorHAnsi"/>
                <w:b/>
                <w:bCs/>
                <w:sz w:val="18"/>
                <w:szCs w:val="18"/>
              </w:rPr>
              <w:t>Cabometyx</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472683" w14:textId="0A38920F" w:rsidR="00BA7602" w:rsidRPr="001A28EB" w:rsidRDefault="00BA7602" w:rsidP="00BA7602">
            <w:pPr>
              <w:spacing w:before="60" w:after="60" w:line="240" w:lineRule="auto"/>
              <w:jc w:val="center"/>
              <w:rPr>
                <w:rFonts w:ascii="Lato" w:hAnsi="Lato" w:cstheme="majorHAnsi"/>
                <w:i/>
                <w:iCs/>
                <w:color w:val="000000"/>
                <w:sz w:val="18"/>
                <w:szCs w:val="18"/>
              </w:rPr>
            </w:pPr>
            <w:r w:rsidRPr="001A28EB">
              <w:rPr>
                <w:rFonts w:ascii="Lato" w:hAnsi="Lato" w:cstheme="majorHAnsi"/>
                <w:i/>
                <w:iCs/>
                <w:sz w:val="18"/>
                <w:szCs w:val="18"/>
              </w:rPr>
              <w:t>kabozantynib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9D3C78" w14:textId="3747F74E" w:rsidR="00BA7602" w:rsidRPr="001A28EB" w:rsidRDefault="00BA7602" w:rsidP="00BA7602">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B.119</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F258902" w14:textId="5EE74B78" w:rsidR="00BA7602" w:rsidRPr="001A28EB" w:rsidRDefault="00BA7602" w:rsidP="00BA7602">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LECZENIE PACJENTÓW ZE ZRÓŻNICOWANYM RAKIEM TARCZYCY (ICD-10 C 73)</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05DB27" w14:textId="4347B4D7" w:rsidR="00BA7602" w:rsidRPr="001A28EB" w:rsidRDefault="00BA7602" w:rsidP="00BA760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Leczenie II linii </w:t>
            </w:r>
            <w:r w:rsidR="00596E33">
              <w:rPr>
                <w:rFonts w:ascii="Lato" w:hAnsi="Lato" w:cstheme="majorHAnsi"/>
                <w:color w:val="000000"/>
                <w:sz w:val="18"/>
                <w:szCs w:val="18"/>
              </w:rPr>
              <w:t xml:space="preserve">dorosłych chorych na </w:t>
            </w:r>
            <w:r w:rsidRPr="001A28EB">
              <w:rPr>
                <w:rFonts w:ascii="Lato" w:hAnsi="Lato" w:cstheme="majorHAnsi"/>
                <w:color w:val="000000"/>
                <w:sz w:val="18"/>
                <w:szCs w:val="18"/>
              </w:rPr>
              <w:t>zróżnicowanego raka tarczycy opornego na terapię radiojodem.</w:t>
            </w:r>
          </w:p>
        </w:tc>
      </w:tr>
      <w:tr w:rsidR="001778F7" w:rsidRPr="001A28EB" w14:paraId="47FAC6A7" w14:textId="77777777" w:rsidTr="00912B91">
        <w:trPr>
          <w:cantSplit/>
          <w:trHeight w:val="20"/>
        </w:trPr>
        <w:tc>
          <w:tcPr>
            <w:tcW w:w="25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1186A9" w14:textId="42817FE2" w:rsidR="001778F7" w:rsidRPr="001A28EB" w:rsidRDefault="001778F7" w:rsidP="001778F7">
            <w:pPr>
              <w:spacing w:before="60" w:after="60" w:line="240" w:lineRule="auto"/>
              <w:jc w:val="center"/>
              <w:rPr>
                <w:rFonts w:ascii="Lato" w:hAnsi="Lato" w:cstheme="majorHAnsi"/>
                <w:sz w:val="18"/>
                <w:szCs w:val="18"/>
              </w:rPr>
            </w:pPr>
            <w:r>
              <w:rPr>
                <w:rFonts w:ascii="Lato" w:hAnsi="Lato" w:cstheme="majorHAnsi"/>
                <w:sz w:val="18"/>
                <w:szCs w:val="18"/>
              </w:rPr>
              <w:t>7.</w:t>
            </w:r>
          </w:p>
        </w:tc>
        <w:tc>
          <w:tcPr>
            <w:tcW w:w="53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7EA5F" w14:textId="480A3423" w:rsidR="001778F7" w:rsidRPr="001A28EB" w:rsidRDefault="001778F7" w:rsidP="001778F7">
            <w:pPr>
              <w:spacing w:before="60" w:after="60" w:line="240" w:lineRule="auto"/>
              <w:jc w:val="center"/>
              <w:rPr>
                <w:rFonts w:ascii="Lato" w:hAnsi="Lato" w:cstheme="majorHAnsi"/>
                <w:b/>
                <w:bCs/>
                <w:sz w:val="18"/>
                <w:szCs w:val="18"/>
              </w:rPr>
            </w:pPr>
            <w:r w:rsidRPr="001A28EB">
              <w:rPr>
                <w:rFonts w:ascii="Lato" w:hAnsi="Lato" w:cstheme="majorHAnsi"/>
                <w:b/>
                <w:bCs/>
                <w:sz w:val="18"/>
                <w:szCs w:val="18"/>
              </w:rPr>
              <w:t>Koselugo</w:t>
            </w:r>
          </w:p>
        </w:tc>
        <w:tc>
          <w:tcPr>
            <w:tcW w:w="80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970459" w14:textId="4A7F034C" w:rsidR="001778F7" w:rsidRPr="001A28EB" w:rsidRDefault="001778F7" w:rsidP="001778F7">
            <w:pPr>
              <w:spacing w:before="60" w:after="60" w:line="240" w:lineRule="auto"/>
              <w:jc w:val="center"/>
              <w:rPr>
                <w:rFonts w:ascii="Lato" w:hAnsi="Lato" w:cstheme="majorHAnsi"/>
                <w:i/>
                <w:iCs/>
                <w:sz w:val="18"/>
                <w:szCs w:val="18"/>
              </w:rPr>
            </w:pPr>
            <w:r w:rsidRPr="001A28EB">
              <w:rPr>
                <w:rFonts w:ascii="Lato" w:hAnsi="Lato" w:cstheme="majorHAnsi"/>
                <w:i/>
                <w:iCs/>
                <w:sz w:val="18"/>
                <w:szCs w:val="18"/>
              </w:rPr>
              <w:t>selumetynib</w:t>
            </w:r>
          </w:p>
        </w:tc>
        <w:tc>
          <w:tcPr>
            <w:tcW w:w="6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38E88E6" w14:textId="05AE599F" w:rsidR="001778F7" w:rsidRPr="001A28EB" w:rsidRDefault="001778F7" w:rsidP="001778F7">
            <w:pPr>
              <w:spacing w:before="60" w:after="60" w:line="240" w:lineRule="auto"/>
              <w:jc w:val="center"/>
              <w:rPr>
                <w:rFonts w:ascii="Lato" w:hAnsi="Lato" w:cstheme="majorHAnsi"/>
                <w:sz w:val="18"/>
                <w:szCs w:val="18"/>
              </w:rPr>
            </w:pPr>
            <w:r w:rsidRPr="001A28EB">
              <w:rPr>
                <w:rFonts w:ascii="Lato" w:hAnsi="Lato" w:cstheme="majorHAnsi"/>
                <w:sz w:val="18"/>
                <w:szCs w:val="18"/>
              </w:rPr>
              <w:t>B.</w:t>
            </w:r>
            <w:r>
              <w:rPr>
                <w:rFonts w:ascii="Lato" w:hAnsi="Lato" w:cstheme="majorHAnsi"/>
                <w:sz w:val="18"/>
                <w:szCs w:val="18"/>
              </w:rPr>
              <w:t>155</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26ACBB" w14:textId="0CB0E887" w:rsidR="001778F7" w:rsidRPr="001A28EB" w:rsidRDefault="001778F7" w:rsidP="001778F7">
            <w:pPr>
              <w:spacing w:before="60" w:after="60" w:line="240" w:lineRule="auto"/>
              <w:jc w:val="center"/>
              <w:rPr>
                <w:rFonts w:ascii="Lato" w:hAnsi="Lato" w:cstheme="majorHAnsi"/>
                <w:sz w:val="18"/>
                <w:szCs w:val="18"/>
              </w:rPr>
            </w:pPr>
            <w:r w:rsidRPr="001A28EB">
              <w:rPr>
                <w:rFonts w:ascii="Lato" w:hAnsi="Lato" w:cstheme="majorHAnsi"/>
                <w:sz w:val="18"/>
                <w:szCs w:val="18"/>
              </w:rPr>
              <w:t>LECZENIE CHORYCH Z NERWIAKOWŁÓKNIAKAMI SPLOTOWATYMI W PRZEBIEGU NEUROFIBROMATOZY TYPU 1 (NF1) (ICD-10: Q85.0)</w:t>
            </w:r>
          </w:p>
        </w:tc>
        <w:tc>
          <w:tcPr>
            <w:tcW w:w="176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D54C9F" w14:textId="77777777" w:rsidR="001778F7" w:rsidRPr="001A28EB" w:rsidRDefault="001778F7" w:rsidP="001778F7">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objawowych, nieoperacyjnych nerwiakowłókniaków splotowych (PN) u dzieci i młodzieży w wieku 3 lat i starszych z neurofibromatozą typu 1 (NF1).</w:t>
            </w:r>
          </w:p>
          <w:p w14:paraId="3CBD5F38" w14:textId="06E957D7" w:rsidR="001778F7" w:rsidRPr="001A28EB" w:rsidRDefault="001778F7" w:rsidP="001778F7">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bl>
    <w:p w14:paraId="7F9CCF36" w14:textId="51B74B46" w:rsidR="004D093B" w:rsidRPr="001A28EB" w:rsidRDefault="004D093B">
      <w:pPr>
        <w:rPr>
          <w:rFonts w:ascii="Lato" w:hAnsi="Lato"/>
        </w:rPr>
      </w:pPr>
    </w:p>
    <w:p w14:paraId="7FCF9A29" w14:textId="557F0802" w:rsidR="004D093B" w:rsidRPr="001A28EB" w:rsidRDefault="004D093B">
      <w:pPr>
        <w:suppressAutoHyphens w:val="0"/>
        <w:rPr>
          <w:rFonts w:ascii="Lato" w:hAnsi="Lato"/>
        </w:rPr>
      </w:pPr>
    </w:p>
    <w:tbl>
      <w:tblPr>
        <w:tblW w:w="5000" w:type="pct"/>
        <w:tblCellMar>
          <w:top w:w="113" w:type="dxa"/>
          <w:left w:w="10" w:type="dxa"/>
          <w:bottom w:w="113" w:type="dxa"/>
          <w:right w:w="10" w:type="dxa"/>
        </w:tblCellMar>
        <w:tblLook w:val="0000" w:firstRow="0" w:lastRow="0" w:firstColumn="0" w:lastColumn="0" w:noHBand="0" w:noVBand="0"/>
      </w:tblPr>
      <w:tblGrid>
        <w:gridCol w:w="607"/>
        <w:gridCol w:w="1586"/>
        <w:gridCol w:w="1807"/>
        <w:gridCol w:w="1872"/>
        <w:gridCol w:w="3335"/>
        <w:gridCol w:w="4781"/>
      </w:tblGrid>
      <w:tr w:rsidR="002D6ED9" w:rsidRPr="001A28EB" w14:paraId="4C9C4901" w14:textId="77777777" w:rsidTr="004D093B">
        <w:trPr>
          <w:cantSplit/>
          <w:trHeight w:val="183"/>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72A390A7" w14:textId="5C4E25DC" w:rsidR="002D6ED9" w:rsidRPr="001A28EB" w:rsidRDefault="002D6ED9" w:rsidP="002D6ED9">
            <w:pPr>
              <w:spacing w:before="60" w:after="60" w:line="240" w:lineRule="auto"/>
              <w:jc w:val="center"/>
              <w:rPr>
                <w:rFonts w:ascii="Lato" w:hAnsi="Lato" w:cstheme="majorHAnsi"/>
                <w:b/>
                <w:bCs/>
                <w:color w:val="FFFFFF"/>
              </w:rPr>
            </w:pPr>
            <w:r w:rsidRPr="001A28EB">
              <w:rPr>
                <w:rFonts w:ascii="Lato" w:hAnsi="Lato" w:cstheme="majorHAnsi"/>
                <w:b/>
                <w:bCs/>
                <w:color w:val="FFFFFF"/>
              </w:rPr>
              <w:t>Nowe wskazania nieonkologiczne</w:t>
            </w:r>
          </w:p>
        </w:tc>
      </w:tr>
      <w:tr w:rsidR="002D6ED9" w:rsidRPr="001A28EB" w14:paraId="1394CD71" w14:textId="77777777" w:rsidTr="004D093B">
        <w:trPr>
          <w:cantSplit/>
          <w:trHeight w:val="628"/>
        </w:trPr>
        <w:tc>
          <w:tcPr>
            <w:tcW w:w="21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2A979BE"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Lp.</w:t>
            </w:r>
          </w:p>
        </w:tc>
        <w:tc>
          <w:tcPr>
            <w:tcW w:w="56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5AB02159"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leku</w:t>
            </w:r>
          </w:p>
        </w:tc>
        <w:tc>
          <w:tcPr>
            <w:tcW w:w="64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1FC3D6F"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Substancja czynna</w:t>
            </w:r>
          </w:p>
        </w:tc>
        <w:tc>
          <w:tcPr>
            <w:tcW w:w="66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4CD8698"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Numer programu lekowego/załącznika chemioterapii</w:t>
            </w:r>
          </w:p>
        </w:tc>
        <w:tc>
          <w:tcPr>
            <w:tcW w:w="1192"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4BB142B2"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programu lekowego/ Załącznika chemioterapii</w:t>
            </w:r>
          </w:p>
        </w:tc>
        <w:tc>
          <w:tcPr>
            <w:tcW w:w="170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A587975" w14:textId="77777777" w:rsidR="002D6ED9" w:rsidRPr="001A28EB" w:rsidRDefault="002D6ED9" w:rsidP="002D6ED9">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Doprecyzowanie wskazania</w:t>
            </w:r>
          </w:p>
        </w:tc>
      </w:tr>
      <w:tr w:rsidR="00AB2C7E" w:rsidRPr="001A28EB" w14:paraId="221C45C7"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B9CB5B" w14:textId="54B4CF55"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1.</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BB2E6A" w14:textId="587FF703" w:rsidR="00AB2C7E" w:rsidRPr="001A28EB" w:rsidRDefault="00AB2C7E" w:rsidP="00AB2C7E">
            <w:pPr>
              <w:spacing w:before="60" w:after="60" w:line="240" w:lineRule="auto"/>
              <w:jc w:val="center"/>
              <w:rPr>
                <w:rFonts w:ascii="Lato" w:hAnsi="Lato" w:cstheme="majorHAnsi"/>
                <w:b/>
                <w:bCs/>
                <w:sz w:val="18"/>
                <w:szCs w:val="18"/>
              </w:rPr>
            </w:pPr>
            <w:r w:rsidRPr="001A28EB">
              <w:rPr>
                <w:rFonts w:ascii="Lato" w:hAnsi="Lato" w:cstheme="majorHAnsi"/>
                <w:b/>
                <w:bCs/>
                <w:color w:val="000000"/>
                <w:sz w:val="18"/>
                <w:szCs w:val="18"/>
              </w:rPr>
              <w:t>Nexviadyme</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F04F82" w14:textId="40341C16" w:rsidR="00AB2C7E" w:rsidRPr="001A28EB" w:rsidRDefault="00AB2C7E" w:rsidP="00AB2C7E">
            <w:pPr>
              <w:spacing w:before="60" w:after="60" w:line="240" w:lineRule="auto"/>
              <w:jc w:val="center"/>
              <w:rPr>
                <w:rFonts w:ascii="Lato" w:hAnsi="Lato" w:cstheme="majorHAnsi"/>
                <w:i/>
                <w:iCs/>
                <w:sz w:val="18"/>
                <w:szCs w:val="18"/>
              </w:rPr>
            </w:pPr>
            <w:r w:rsidRPr="001A28EB">
              <w:rPr>
                <w:rFonts w:ascii="Lato" w:hAnsi="Lato" w:cstheme="majorHAnsi"/>
                <w:i/>
                <w:iCs/>
                <w:color w:val="000000"/>
                <w:sz w:val="18"/>
                <w:szCs w:val="18"/>
              </w:rPr>
              <w:t>awalglukozydaza alfa</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26EE25" w14:textId="2A265B59" w:rsidR="00AB2C7E" w:rsidRPr="001A28EB" w:rsidRDefault="00AB2C7E" w:rsidP="00AB2C7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B.22</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8AB298" w14:textId="1C8B39A1" w:rsidR="00AB2C7E" w:rsidRPr="001A28EB" w:rsidRDefault="00AB2C7E" w:rsidP="00AB2C7E">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LECZENIE PACJENTÓW Z CHOROBĄ POMPEGO (ICD-10: E74.0)</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2E963A" w14:textId="08ACC2C0"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w:t>
            </w:r>
            <w:r w:rsidR="00BB76F6">
              <w:rPr>
                <w:rFonts w:ascii="Lato" w:hAnsi="Lato" w:cstheme="majorHAnsi"/>
                <w:color w:val="000000"/>
                <w:sz w:val="18"/>
                <w:szCs w:val="18"/>
              </w:rPr>
              <w:t xml:space="preserve"> z</w:t>
            </w:r>
            <w:r w:rsidRPr="001A28EB">
              <w:rPr>
                <w:rFonts w:ascii="Lato" w:hAnsi="Lato" w:cstheme="majorHAnsi"/>
                <w:color w:val="000000"/>
                <w:sz w:val="18"/>
                <w:szCs w:val="18"/>
              </w:rPr>
              <w:t xml:space="preserve"> rozpoznaniem choroby Pompego na podstawie udokumentowanego braku lub głębokiego niedoboru aktywności alfa-glukozydazy w leukocytach krwi obwodowej lub fibroblastach skóry.</w:t>
            </w:r>
          </w:p>
          <w:p w14:paraId="3A5665D9" w14:textId="75FB0DFB"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Druga opcja terapeutyczna stanowiąca enzymatyczną terapię zastępczą obok obecnej już w programie alglukozydazy alfa</w:t>
            </w:r>
            <w:r w:rsidR="00BA7602" w:rsidRPr="001A28EB">
              <w:rPr>
                <w:rFonts w:ascii="Lato" w:hAnsi="Lato" w:cstheme="majorHAnsi"/>
                <w:color w:val="000000"/>
                <w:sz w:val="18"/>
                <w:szCs w:val="18"/>
              </w:rPr>
              <w:t>.</w:t>
            </w:r>
          </w:p>
          <w:p w14:paraId="23F2510E" w14:textId="693F3EBA" w:rsidR="00AB2C7E" w:rsidRPr="001A28EB" w:rsidRDefault="00AB2C7E" w:rsidP="00AB2C7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AB2C7E" w:rsidRPr="001A28EB" w14:paraId="7522F87A"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47D592E" w14:textId="3782DBC7" w:rsidR="00AB2C7E" w:rsidRPr="001A28EB" w:rsidRDefault="00AB2C7E" w:rsidP="00AB2C7E">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2.</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D2FB93" w14:textId="4D6C11E3" w:rsidR="00AB2C7E" w:rsidRPr="001A28EB" w:rsidRDefault="00AB2C7E" w:rsidP="00AB2C7E">
            <w:pPr>
              <w:spacing w:before="60" w:after="60" w:line="240" w:lineRule="auto"/>
              <w:jc w:val="center"/>
              <w:rPr>
                <w:rFonts w:ascii="Lato" w:hAnsi="Lato" w:cstheme="majorHAnsi"/>
                <w:b/>
                <w:bCs/>
                <w:color w:val="FF0000"/>
                <w:sz w:val="18"/>
                <w:szCs w:val="18"/>
              </w:rPr>
            </w:pPr>
            <w:r w:rsidRPr="001A28EB">
              <w:rPr>
                <w:rFonts w:ascii="Lato" w:hAnsi="Lato" w:cstheme="majorHAnsi"/>
                <w:b/>
                <w:bCs/>
                <w:sz w:val="18"/>
                <w:szCs w:val="18"/>
              </w:rPr>
              <w:t>Beovu</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0A0348" w14:textId="45F701B7" w:rsidR="00AB2C7E" w:rsidRPr="001A28EB" w:rsidRDefault="00AB2C7E" w:rsidP="00AB2C7E">
            <w:pPr>
              <w:spacing w:before="60" w:after="60" w:line="240" w:lineRule="auto"/>
              <w:jc w:val="center"/>
              <w:rPr>
                <w:rFonts w:ascii="Lato" w:hAnsi="Lato" w:cstheme="majorHAnsi"/>
                <w:i/>
                <w:iCs/>
                <w:color w:val="FF0000"/>
                <w:sz w:val="18"/>
                <w:szCs w:val="18"/>
              </w:rPr>
            </w:pPr>
            <w:r w:rsidRPr="001A28EB">
              <w:rPr>
                <w:rFonts w:ascii="Lato" w:hAnsi="Lato" w:cstheme="majorHAnsi"/>
                <w:i/>
                <w:iCs/>
                <w:sz w:val="18"/>
                <w:szCs w:val="18"/>
              </w:rPr>
              <w:t>brolucizumab</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2CA292" w14:textId="30099190"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sz w:val="18"/>
                <w:szCs w:val="18"/>
              </w:rPr>
              <w:t>B.70</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E658478" w14:textId="7A22111C"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sz w:val="18"/>
                <w:szCs w:val="18"/>
              </w:rPr>
              <w:t>LECZENIE PACJENTÓW Z CHOROBAMI SIATKÓWKI (ICD-10: H35.3, H36.0)</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97C9BB" w14:textId="07F74A2C"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color w:val="000000"/>
                <w:sz w:val="18"/>
                <w:szCs w:val="18"/>
              </w:rPr>
              <w:t>Leczenie cukrzycowego obrzęku plamki (DME), po fazie początkowej pięciu dawek bewacyzumabu.</w:t>
            </w:r>
          </w:p>
        </w:tc>
      </w:tr>
      <w:tr w:rsidR="00AB2C7E" w:rsidRPr="001A28EB" w14:paraId="5ED86F3E"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19B444" w14:textId="32362A59" w:rsidR="00AB2C7E" w:rsidRPr="001A28EB" w:rsidRDefault="00AB2C7E" w:rsidP="00AB2C7E">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lastRenderedPageBreak/>
              <w:t>3.</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6255631" w14:textId="34E53C26" w:rsidR="00AB2C7E" w:rsidRPr="001A28EB" w:rsidRDefault="00AB2C7E" w:rsidP="00AB2C7E">
            <w:pPr>
              <w:spacing w:before="60" w:after="60" w:line="240" w:lineRule="auto"/>
              <w:jc w:val="center"/>
              <w:rPr>
                <w:rFonts w:ascii="Lato" w:hAnsi="Lato" w:cstheme="majorHAnsi"/>
                <w:b/>
                <w:bCs/>
                <w:color w:val="FF0000"/>
                <w:sz w:val="18"/>
                <w:szCs w:val="18"/>
              </w:rPr>
            </w:pPr>
            <w:r w:rsidRPr="001A28EB">
              <w:rPr>
                <w:rFonts w:ascii="Lato" w:hAnsi="Lato" w:cstheme="majorHAnsi"/>
                <w:b/>
                <w:bCs/>
                <w:color w:val="000000"/>
                <w:sz w:val="18"/>
                <w:szCs w:val="18"/>
              </w:rPr>
              <w:t>Vabysmo</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686633" w14:textId="59414031" w:rsidR="00AB2C7E" w:rsidRPr="001A28EB" w:rsidRDefault="00AB2C7E" w:rsidP="00AB2C7E">
            <w:pPr>
              <w:spacing w:before="60" w:after="60" w:line="240" w:lineRule="auto"/>
              <w:jc w:val="center"/>
              <w:rPr>
                <w:rFonts w:ascii="Lato" w:hAnsi="Lato" w:cstheme="majorHAnsi"/>
                <w:i/>
                <w:iCs/>
                <w:color w:val="FF0000"/>
                <w:sz w:val="18"/>
                <w:szCs w:val="18"/>
              </w:rPr>
            </w:pPr>
            <w:r w:rsidRPr="001A28EB">
              <w:rPr>
                <w:rFonts w:ascii="Lato" w:hAnsi="Lato" w:cstheme="majorHAnsi"/>
                <w:i/>
                <w:iCs/>
                <w:color w:val="000000"/>
                <w:sz w:val="18"/>
                <w:szCs w:val="18"/>
              </w:rPr>
              <w:t>farycymab</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25888C" w14:textId="37486F18"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color w:val="000000"/>
                <w:sz w:val="18"/>
                <w:szCs w:val="18"/>
              </w:rPr>
              <w:t>B.70</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F42A6A" w14:textId="70DAB6A5"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sz w:val="18"/>
                <w:szCs w:val="18"/>
              </w:rPr>
              <w:t>LECZENIE PACJENTÓW Z CHOROBAMI SIATKÓWKI (ICD-10: H35.3, H36.0)</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0C1040" w14:textId="119DCA5C" w:rsidR="00AB2C7E" w:rsidRPr="001A28EB" w:rsidRDefault="00AB2C7E" w:rsidP="00AB2C7E">
            <w:pPr>
              <w:spacing w:before="60" w:after="60" w:line="240" w:lineRule="auto"/>
              <w:jc w:val="center"/>
              <w:rPr>
                <w:rFonts w:ascii="Lato" w:hAnsi="Lato" w:cstheme="majorHAnsi"/>
                <w:color w:val="FF0000"/>
                <w:sz w:val="18"/>
                <w:szCs w:val="18"/>
              </w:rPr>
            </w:pPr>
            <w:r w:rsidRPr="001A28EB">
              <w:rPr>
                <w:rFonts w:ascii="Lato" w:hAnsi="Lato" w:cstheme="majorHAnsi"/>
                <w:color w:val="000000"/>
                <w:sz w:val="18"/>
                <w:szCs w:val="18"/>
              </w:rPr>
              <w:t>Leczenie wysiękowej postaci zwyrodnienia plamki związanego z wiekiem (AMD) oraz leczenie cukrzycowego obrzęku plamki (DME), po fazie początkowej pięciu dawek bewacyzumabu.</w:t>
            </w:r>
          </w:p>
        </w:tc>
      </w:tr>
      <w:tr w:rsidR="006804BE" w:rsidRPr="001A28EB" w14:paraId="5043EC11"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EC41C5" w14:textId="5244D1FD" w:rsidR="007B72B2" w:rsidRPr="001A28EB" w:rsidRDefault="007B72B2" w:rsidP="007B72B2">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4.</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A41A02" w14:textId="5FFC7330" w:rsidR="006804BE" w:rsidRPr="001A28EB" w:rsidRDefault="007B72B2"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Bylvay</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866085" w14:textId="1280A16C" w:rsidR="006804BE" w:rsidRPr="001A28EB" w:rsidRDefault="007B72B2"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odewiksybat</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31A516" w14:textId="7121FC49" w:rsidR="006804BE" w:rsidRPr="001A28EB" w:rsidRDefault="007B72B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B.152.FM</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96FD81" w14:textId="235CAF9D" w:rsidR="006804BE" w:rsidRPr="001A28EB" w:rsidRDefault="007B72B2" w:rsidP="006804BE">
            <w:pPr>
              <w:spacing w:before="60" w:after="60" w:line="240" w:lineRule="auto"/>
              <w:jc w:val="center"/>
              <w:rPr>
                <w:rFonts w:ascii="Lato" w:hAnsi="Lato" w:cstheme="majorHAnsi"/>
                <w:color w:val="000000"/>
                <w:sz w:val="18"/>
                <w:szCs w:val="18"/>
              </w:rPr>
            </w:pPr>
            <w:bookmarkStart w:id="1" w:name="_Hlk104807004"/>
            <w:r w:rsidRPr="001A28EB">
              <w:rPr>
                <w:rFonts w:ascii="Lato" w:hAnsi="Lato" w:cstheme="majorHAnsi"/>
                <w:sz w:val="18"/>
                <w:szCs w:val="18"/>
              </w:rPr>
              <w:t>LECZENIE PACJENTÓW Z POSTĘPUJĄCĄ RODZINNĄ CHOLESTAZĄ WEWNĄTRZWĄTROBOWĄ (PFIC) (ICD-10: K76.8</w:t>
            </w:r>
            <w:bookmarkEnd w:id="1"/>
            <w:r w:rsidRPr="001A28EB">
              <w:rPr>
                <w:rFonts w:ascii="Lato" w:hAnsi="Lato" w:cstheme="majorHAnsi"/>
                <w:sz w:val="18"/>
                <w:szCs w:val="18"/>
              </w:rPr>
              <w:t>)</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3F70FD" w14:textId="5E85FFF0" w:rsidR="006804BE" w:rsidRPr="001A28EB" w:rsidRDefault="00F97A92"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Leczenie pacjentów z postępującą rodzinną cholestazą wewnątrzwątrobową (PFIC) typu 1 lub </w:t>
            </w:r>
            <w:r w:rsidR="0020378B" w:rsidRPr="001A28EB">
              <w:rPr>
                <w:rFonts w:ascii="Lato" w:hAnsi="Lato" w:cstheme="majorHAnsi"/>
                <w:color w:val="000000"/>
                <w:sz w:val="18"/>
                <w:szCs w:val="18"/>
              </w:rPr>
              <w:t>2,</w:t>
            </w:r>
            <w:r w:rsidRPr="001A28EB">
              <w:rPr>
                <w:rFonts w:ascii="Lato" w:hAnsi="Lato" w:cstheme="majorHAnsi"/>
                <w:color w:val="000000"/>
                <w:sz w:val="18"/>
                <w:szCs w:val="18"/>
              </w:rPr>
              <w:t xml:space="preserve"> u których nieskuteczne jest leczenie kwasem ursodeoksycholowym oraz stwierdzono brak odpowiedzi na jeden z leków stosowanych w leczeniu świądu.</w:t>
            </w:r>
          </w:p>
          <w:p w14:paraId="67F80A63" w14:textId="77777777" w:rsidR="00F97A92" w:rsidRPr="001A28EB" w:rsidRDefault="00F97A92"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(TLI - Technologia lekowa o wysokim stopniu innowacyjności)</w:t>
            </w:r>
          </w:p>
          <w:p w14:paraId="268826C4" w14:textId="31B3563A" w:rsidR="00F97A92" w:rsidRPr="001A28EB" w:rsidRDefault="00F97A92"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6804BE" w:rsidRPr="001A28EB" w14:paraId="5E535D2A"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64199E" w14:textId="5A2C6F91" w:rsidR="006804BE" w:rsidRPr="001A28EB" w:rsidRDefault="007B72B2" w:rsidP="006804BE">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5.</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37907A" w14:textId="4F3D7DD2" w:rsidR="006804BE" w:rsidRPr="001A28EB" w:rsidRDefault="006804BE" w:rsidP="006804BE">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Epidyolex</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DAE5622" w14:textId="171E43E5" w:rsidR="006804BE" w:rsidRPr="001A28EB" w:rsidRDefault="006804BE" w:rsidP="006804BE">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kan</w:t>
            </w:r>
            <w:r w:rsidR="00614693">
              <w:rPr>
                <w:rFonts w:ascii="Lato" w:hAnsi="Lato" w:cstheme="majorHAnsi"/>
                <w:i/>
                <w:iCs/>
                <w:color w:val="000000"/>
                <w:sz w:val="18"/>
                <w:szCs w:val="18"/>
              </w:rPr>
              <w:t>n</w:t>
            </w:r>
            <w:r w:rsidRPr="001A28EB">
              <w:rPr>
                <w:rFonts w:ascii="Lato" w:hAnsi="Lato" w:cstheme="majorHAnsi"/>
                <w:i/>
                <w:iCs/>
                <w:color w:val="000000"/>
                <w:sz w:val="18"/>
                <w:szCs w:val="18"/>
              </w:rPr>
              <w:t>abidiol</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2B50EF" w14:textId="6CCFAADB"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B.153</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CCC0F6" w14:textId="4872E64F"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PACJENTÓW Z NAPADAMI PADACZKOWYMI W PRZEBIEGU ZESPOŁU STWARDNIENIA GUZOWATEGO (ICD-10: G40.4)</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FA2E5A" w14:textId="77777777" w:rsidR="006804BE" w:rsidRPr="001A28EB" w:rsidRDefault="006804BE" w:rsidP="006804BE">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chorych w wieku 2 lat i powyżej, u których napady padaczkowe w przebiegu stwardnienia guzowatego nie są w pełni kontrolowane pomimo zastosowania co najmniej trzech leków przeciwpadaczkowych.</w:t>
            </w:r>
          </w:p>
          <w:p w14:paraId="76135290" w14:textId="51759CA6" w:rsidR="006804BE" w:rsidRPr="001A28EB" w:rsidRDefault="00F97A92" w:rsidP="006804BE">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r w:rsidR="007B72B2" w:rsidRPr="001A28EB" w14:paraId="0657CB89" w14:textId="77777777" w:rsidTr="004D093B">
        <w:trPr>
          <w:cantSplit/>
          <w:trHeight w:val="20"/>
        </w:trPr>
        <w:tc>
          <w:tcPr>
            <w:tcW w:w="21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94056A" w14:textId="2EEC8B49" w:rsidR="007B72B2" w:rsidRPr="001A28EB" w:rsidRDefault="007B72B2" w:rsidP="007B72B2">
            <w:pPr>
              <w:spacing w:before="60" w:after="60" w:line="240" w:lineRule="auto"/>
              <w:jc w:val="center"/>
              <w:rPr>
                <w:rFonts w:ascii="Lato" w:hAnsi="Lato" w:cstheme="majorHAnsi"/>
                <w:color w:val="000000" w:themeColor="text1"/>
                <w:sz w:val="18"/>
                <w:szCs w:val="18"/>
              </w:rPr>
            </w:pPr>
            <w:r w:rsidRPr="001A28EB">
              <w:rPr>
                <w:rFonts w:ascii="Lato" w:hAnsi="Lato" w:cstheme="majorHAnsi"/>
                <w:color w:val="000000" w:themeColor="text1"/>
                <w:sz w:val="18"/>
                <w:szCs w:val="18"/>
              </w:rPr>
              <w:t>6.</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A0A71F" w14:textId="4D0FD136" w:rsidR="007B72B2" w:rsidRPr="001A28EB" w:rsidRDefault="007B72B2" w:rsidP="007B72B2">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Epidyolex</w:t>
            </w:r>
          </w:p>
        </w:tc>
        <w:tc>
          <w:tcPr>
            <w:tcW w:w="64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383498" w14:textId="7F1F6BC6" w:rsidR="007B72B2" w:rsidRPr="001A28EB" w:rsidRDefault="007B72B2" w:rsidP="007B72B2">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kan</w:t>
            </w:r>
            <w:r w:rsidR="00614693">
              <w:rPr>
                <w:rFonts w:ascii="Lato" w:hAnsi="Lato" w:cstheme="majorHAnsi"/>
                <w:i/>
                <w:iCs/>
                <w:color w:val="000000"/>
                <w:sz w:val="18"/>
                <w:szCs w:val="18"/>
              </w:rPr>
              <w:t>n</w:t>
            </w:r>
            <w:r w:rsidRPr="001A28EB">
              <w:rPr>
                <w:rFonts w:ascii="Lato" w:hAnsi="Lato" w:cstheme="majorHAnsi"/>
                <w:i/>
                <w:iCs/>
                <w:color w:val="000000"/>
                <w:sz w:val="18"/>
                <w:szCs w:val="18"/>
              </w:rPr>
              <w:t>abidiol</w:t>
            </w:r>
          </w:p>
        </w:tc>
        <w:tc>
          <w:tcPr>
            <w:tcW w:w="66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466702" w14:textId="29101902"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B.154.FM</w:t>
            </w:r>
          </w:p>
        </w:tc>
        <w:tc>
          <w:tcPr>
            <w:tcW w:w="119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EAB5FA" w14:textId="699C2CE1"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PACJENTÓW Z ZESPOŁEM LENNOXA-GASTAUTA LUB Z ZESPOŁEM DRAVET (ICD-10: G40.4)</w:t>
            </w:r>
          </w:p>
        </w:tc>
        <w:tc>
          <w:tcPr>
            <w:tcW w:w="17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7294B3" w14:textId="77777777"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Leczenie pacjentów z zespołem Lennoxa-Gastauta lub z zespołem Dravet w wieku 2 lat i powyżej, u których napady padaczkowe nie są w pełni kontrolowane pomimo zastosowania co najmniej trzech leków przeciwpadaczkowych.</w:t>
            </w:r>
          </w:p>
          <w:p w14:paraId="71BF4C26" w14:textId="77777777"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Terapia wspomagająca w skojarzeniu z klobazamem.</w:t>
            </w:r>
          </w:p>
          <w:p w14:paraId="6B41B675" w14:textId="2FB0F247" w:rsidR="00F97A92" w:rsidRPr="001A28EB" w:rsidRDefault="00F97A92" w:rsidP="00F97A92">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(TL</w:t>
            </w:r>
            <w:r w:rsidR="00271983">
              <w:rPr>
                <w:rFonts w:ascii="Lato" w:hAnsi="Lato" w:cstheme="majorHAnsi"/>
                <w:b/>
                <w:bCs/>
                <w:color w:val="000000"/>
                <w:sz w:val="18"/>
                <w:szCs w:val="18"/>
              </w:rPr>
              <w:t>K</w:t>
            </w:r>
            <w:r w:rsidRPr="001A28EB">
              <w:rPr>
                <w:rFonts w:ascii="Lato" w:hAnsi="Lato" w:cstheme="majorHAnsi"/>
                <w:b/>
                <w:bCs/>
                <w:color w:val="000000"/>
                <w:sz w:val="18"/>
                <w:szCs w:val="18"/>
              </w:rPr>
              <w:t xml:space="preserve"> - Technologia lekowa o wysoki</w:t>
            </w:r>
            <w:r w:rsidR="00271983">
              <w:rPr>
                <w:rFonts w:ascii="Lato" w:hAnsi="Lato" w:cstheme="majorHAnsi"/>
                <w:b/>
                <w:bCs/>
                <w:color w:val="000000"/>
                <w:sz w:val="18"/>
                <w:szCs w:val="18"/>
              </w:rPr>
              <w:t>ej wartości klinicznej</w:t>
            </w:r>
            <w:r w:rsidRPr="001A28EB">
              <w:rPr>
                <w:rFonts w:ascii="Lato" w:hAnsi="Lato" w:cstheme="majorHAnsi"/>
                <w:b/>
                <w:bCs/>
                <w:color w:val="000000"/>
                <w:sz w:val="18"/>
                <w:szCs w:val="18"/>
              </w:rPr>
              <w:t>)</w:t>
            </w:r>
          </w:p>
          <w:p w14:paraId="3C543A92" w14:textId="5301A582" w:rsidR="007B72B2" w:rsidRPr="001A28EB" w:rsidRDefault="00F97A92" w:rsidP="00F97A92">
            <w:pPr>
              <w:spacing w:before="60" w:after="60" w:line="240" w:lineRule="auto"/>
              <w:jc w:val="center"/>
              <w:rPr>
                <w:rFonts w:ascii="Lato" w:hAnsi="Lato" w:cstheme="majorHAnsi"/>
                <w:color w:val="000000"/>
                <w:sz w:val="18"/>
                <w:szCs w:val="18"/>
              </w:rPr>
            </w:pPr>
            <w:r w:rsidRPr="001A28EB">
              <w:rPr>
                <w:rFonts w:ascii="Lato" w:hAnsi="Lato" w:cstheme="majorHAnsi"/>
                <w:b/>
                <w:bCs/>
                <w:color w:val="000000"/>
                <w:sz w:val="18"/>
                <w:szCs w:val="18"/>
              </w:rPr>
              <w:t>(Choroba rzadka)</w:t>
            </w:r>
          </w:p>
        </w:tc>
      </w:tr>
    </w:tbl>
    <w:p w14:paraId="169C5300" w14:textId="64238082" w:rsidR="004D093B" w:rsidRPr="001A28EB" w:rsidRDefault="004D093B">
      <w:pPr>
        <w:suppressAutoHyphens w:val="0"/>
        <w:rPr>
          <w:rFonts w:ascii="Lato" w:hAnsi="Lato"/>
        </w:rPr>
      </w:pPr>
    </w:p>
    <w:p w14:paraId="10214C14" w14:textId="77777777" w:rsidR="00694E14" w:rsidRPr="001A28EB" w:rsidRDefault="00694E14">
      <w:pPr>
        <w:suppressAutoHyphens w:val="0"/>
        <w:rPr>
          <w:rFonts w:ascii="Lato" w:hAnsi="Lato"/>
        </w:rPr>
      </w:pPr>
    </w:p>
    <w:p w14:paraId="363C2FB3" w14:textId="2F0075F1" w:rsidR="001A28EB" w:rsidRDefault="001A28EB">
      <w:pPr>
        <w:suppressAutoHyphens w:val="0"/>
        <w:rPr>
          <w:rFonts w:ascii="Lato" w:hAnsi="Lato"/>
        </w:rPr>
      </w:pPr>
      <w:r>
        <w:rPr>
          <w:rFonts w:ascii="Lato" w:hAnsi="Lato"/>
        </w:rPr>
        <w:br w:type="page"/>
      </w:r>
    </w:p>
    <w:p w14:paraId="3FB95D7E" w14:textId="77777777" w:rsidR="00694E14" w:rsidRPr="001A28EB" w:rsidRDefault="00694E14">
      <w:pPr>
        <w:suppressAutoHyphens w:val="0"/>
        <w:rPr>
          <w:rFonts w:ascii="Lato" w:hAnsi="Lato"/>
        </w:rPr>
      </w:pPr>
    </w:p>
    <w:tbl>
      <w:tblPr>
        <w:tblW w:w="6304" w:type="pct"/>
        <w:tblCellMar>
          <w:top w:w="113" w:type="dxa"/>
          <w:left w:w="10" w:type="dxa"/>
          <w:bottom w:w="113" w:type="dxa"/>
          <w:right w:w="10" w:type="dxa"/>
        </w:tblCellMar>
        <w:tblLook w:val="0000" w:firstRow="0" w:lastRow="0" w:firstColumn="0" w:lastColumn="0" w:noHBand="0" w:noVBand="0"/>
      </w:tblPr>
      <w:tblGrid>
        <w:gridCol w:w="639"/>
        <w:gridCol w:w="1644"/>
        <w:gridCol w:w="2504"/>
        <w:gridCol w:w="9202"/>
        <w:gridCol w:w="3647"/>
      </w:tblGrid>
      <w:tr w:rsidR="00A434EB" w:rsidRPr="001A28EB" w14:paraId="0B833808" w14:textId="77777777" w:rsidTr="009104F7">
        <w:trPr>
          <w:gridAfter w:val="1"/>
          <w:wAfter w:w="1034" w:type="pct"/>
          <w:cantSplit/>
          <w:trHeight w:val="20"/>
        </w:trPr>
        <w:tc>
          <w:tcPr>
            <w:tcW w:w="3966" w:type="pct"/>
            <w:gridSpan w:val="4"/>
            <w:tcBorders>
              <w:top w:val="single" w:sz="6" w:space="0" w:color="000000"/>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094B9EA6" w14:textId="428F8CF7" w:rsidR="00A434EB" w:rsidRPr="001A28EB" w:rsidRDefault="00A434EB" w:rsidP="00A434EB">
            <w:pPr>
              <w:spacing w:before="60" w:after="60" w:line="240" w:lineRule="auto"/>
              <w:jc w:val="center"/>
              <w:rPr>
                <w:rFonts w:ascii="Lato" w:hAnsi="Lato" w:cstheme="majorHAnsi"/>
              </w:rPr>
            </w:pPr>
            <w:r w:rsidRPr="001A28EB">
              <w:rPr>
                <w:rFonts w:ascii="Lato" w:hAnsi="Lato" w:cstheme="majorHAnsi"/>
                <w:b/>
                <w:bCs/>
                <w:color w:val="FFFFFF"/>
              </w:rPr>
              <w:t>Zmiany w programach lekowych i chemioterapii</w:t>
            </w:r>
          </w:p>
        </w:tc>
      </w:tr>
      <w:tr w:rsidR="00A434EB" w:rsidRPr="001A28EB" w14:paraId="2BCC5E80" w14:textId="77777777" w:rsidTr="009104F7">
        <w:trPr>
          <w:gridAfter w:val="1"/>
          <w:wAfter w:w="1034" w:type="pct"/>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49385C7" w14:textId="77777777"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Lp.</w:t>
            </w:r>
          </w:p>
        </w:tc>
        <w:tc>
          <w:tcPr>
            <w:tcW w:w="466"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1A800381" w14:textId="7E0E9907"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Numer programu lekowego lub numeru załącznika</w:t>
            </w:r>
          </w:p>
        </w:tc>
        <w:tc>
          <w:tcPr>
            <w:tcW w:w="710"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3C132808" w14:textId="70920D05"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Nazwa programu lekowego lub załącznika chemioterapii</w:t>
            </w:r>
          </w:p>
        </w:tc>
        <w:tc>
          <w:tcPr>
            <w:tcW w:w="260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45F38F47" w14:textId="14B18ED3" w:rsidR="00A434EB" w:rsidRPr="001A28EB" w:rsidRDefault="00A434EB" w:rsidP="00A434EB">
            <w:pPr>
              <w:spacing w:before="60" w:after="60" w:line="240" w:lineRule="auto"/>
              <w:jc w:val="center"/>
              <w:rPr>
                <w:rFonts w:ascii="Lato" w:hAnsi="Lato" w:cstheme="majorHAnsi"/>
                <w:sz w:val="18"/>
                <w:szCs w:val="18"/>
              </w:rPr>
            </w:pPr>
            <w:r w:rsidRPr="001A28EB">
              <w:rPr>
                <w:rFonts w:ascii="Lato" w:hAnsi="Lato" w:cstheme="majorHAnsi"/>
                <w:b/>
                <w:bCs/>
                <w:color w:val="000000"/>
                <w:sz w:val="18"/>
                <w:szCs w:val="18"/>
              </w:rPr>
              <w:t>Krótki opis zmian dokonanych w obrębie programu lekowego / załącznika chemioterapii</w:t>
            </w:r>
          </w:p>
        </w:tc>
      </w:tr>
      <w:tr w:rsidR="00895AF1" w:rsidRPr="001A28EB" w14:paraId="47C906BC" w14:textId="77777777" w:rsidTr="009104F7">
        <w:trPr>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12E3BC5" w14:textId="532BF157" w:rsidR="00895AF1" w:rsidRPr="001A28EB" w:rsidRDefault="00895AF1" w:rsidP="00895AF1">
            <w:pPr>
              <w:spacing w:before="60" w:after="60" w:line="240" w:lineRule="auto"/>
              <w:jc w:val="center"/>
              <w:rPr>
                <w:rFonts w:ascii="Lato" w:hAnsi="Lato" w:cstheme="majorHAnsi"/>
                <w:sz w:val="18"/>
                <w:szCs w:val="18"/>
              </w:rPr>
            </w:pPr>
            <w:r w:rsidRPr="001A28EB">
              <w:rPr>
                <w:rFonts w:ascii="Lato" w:hAnsi="Lato" w:cstheme="majorHAnsi"/>
                <w:sz w:val="18"/>
                <w:szCs w:val="18"/>
              </w:rPr>
              <w:t>1.</w:t>
            </w:r>
          </w:p>
        </w:tc>
        <w:tc>
          <w:tcPr>
            <w:tcW w:w="46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B7C543" w14:textId="2D3D7BAC" w:rsidR="00895AF1" w:rsidRPr="001A28EB" w:rsidRDefault="00895AF1" w:rsidP="00895AF1">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B.15</w:t>
            </w:r>
          </w:p>
        </w:tc>
        <w:tc>
          <w:tcPr>
            <w:tcW w:w="71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178D3C" w14:textId="2ABE3D91" w:rsidR="00895AF1" w:rsidRPr="001A28EB" w:rsidRDefault="00895AF1" w:rsidP="00895AF1">
            <w:pPr>
              <w:spacing w:before="60" w:after="60" w:line="240" w:lineRule="auto"/>
              <w:jc w:val="center"/>
              <w:rPr>
                <w:rFonts w:ascii="Lato" w:hAnsi="Lato"/>
                <w:bCs/>
                <w:sz w:val="18"/>
                <w:szCs w:val="18"/>
              </w:rPr>
            </w:pPr>
            <w:r w:rsidRPr="001A28EB">
              <w:rPr>
                <w:rFonts w:ascii="Lato" w:hAnsi="Lato"/>
                <w:bCs/>
                <w:sz w:val="18"/>
                <w:szCs w:val="18"/>
              </w:rPr>
              <w:t>ZAPOBIEGANIE KRWAWIENIOM U DZIECI Z HEMOFILIĄ A I B (ICD-10: D66, D67)</w:t>
            </w:r>
          </w:p>
        </w:tc>
        <w:tc>
          <w:tcPr>
            <w:tcW w:w="26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91EDDE" w14:textId="5F4CB379"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Zniesienie limitu wiekowego do stosowania rurioctocogu alfa pegol.</w:t>
            </w:r>
          </w:p>
        </w:tc>
        <w:tc>
          <w:tcPr>
            <w:tcW w:w="1034" w:type="pct"/>
            <w:vAlign w:val="center"/>
          </w:tcPr>
          <w:p w14:paraId="295F4AE5" w14:textId="77777777" w:rsidR="00895AF1" w:rsidRPr="001A28EB" w:rsidRDefault="00895AF1" w:rsidP="00895AF1">
            <w:pPr>
              <w:suppressAutoHyphens w:val="0"/>
              <w:rPr>
                <w:rFonts w:ascii="Lato" w:hAnsi="Lato"/>
              </w:rPr>
            </w:pPr>
          </w:p>
        </w:tc>
      </w:tr>
      <w:tr w:rsidR="00895AF1" w:rsidRPr="001A28EB" w14:paraId="4C7F1C85" w14:textId="77777777" w:rsidTr="009104F7">
        <w:trPr>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1472CE" w14:textId="5B130D1C" w:rsidR="00895AF1" w:rsidRPr="001A28EB" w:rsidRDefault="00895AF1" w:rsidP="00895AF1">
            <w:pPr>
              <w:spacing w:before="60" w:after="60" w:line="240" w:lineRule="auto"/>
              <w:jc w:val="center"/>
              <w:rPr>
                <w:rFonts w:ascii="Lato" w:hAnsi="Lato" w:cstheme="majorHAnsi"/>
                <w:sz w:val="18"/>
                <w:szCs w:val="18"/>
              </w:rPr>
            </w:pPr>
            <w:r w:rsidRPr="001A28EB">
              <w:rPr>
                <w:rFonts w:ascii="Lato" w:hAnsi="Lato" w:cstheme="majorHAnsi"/>
                <w:sz w:val="18"/>
                <w:szCs w:val="18"/>
              </w:rPr>
              <w:t>2.</w:t>
            </w:r>
          </w:p>
        </w:tc>
        <w:tc>
          <w:tcPr>
            <w:tcW w:w="46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852333" w14:textId="42A02EA7" w:rsidR="00895AF1" w:rsidRPr="001A28EB" w:rsidRDefault="00895AF1" w:rsidP="00895AF1">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B.70</w:t>
            </w:r>
          </w:p>
        </w:tc>
        <w:tc>
          <w:tcPr>
            <w:tcW w:w="71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A4379C" w14:textId="162A97B5" w:rsidR="00895AF1" w:rsidRPr="001A28EB" w:rsidRDefault="00895AF1" w:rsidP="00895AF1">
            <w:pPr>
              <w:spacing w:before="60" w:after="60" w:line="240" w:lineRule="auto"/>
              <w:jc w:val="center"/>
              <w:rPr>
                <w:rFonts w:ascii="Lato" w:hAnsi="Lato"/>
                <w:bCs/>
                <w:sz w:val="18"/>
                <w:szCs w:val="18"/>
              </w:rPr>
            </w:pPr>
            <w:r w:rsidRPr="001A28EB">
              <w:rPr>
                <w:rFonts w:ascii="Lato" w:hAnsi="Lato"/>
                <w:bCs/>
                <w:sz w:val="18"/>
                <w:szCs w:val="18"/>
              </w:rPr>
              <w:t>LECZENIE PACJENTÓW Z CHOROBAMI SIATKÓWKI (ICD-10: H35.5, H36.0)</w:t>
            </w:r>
          </w:p>
        </w:tc>
        <w:tc>
          <w:tcPr>
            <w:tcW w:w="26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0AC8D3" w14:textId="77777777"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Kompleksowe zmiany porządkujące dla obu części programu zainicjowane wprowadzeniem dwóch nowych leków, tj. brolucizumabu i farycymabu.</w:t>
            </w:r>
          </w:p>
          <w:p w14:paraId="67C75131" w14:textId="77777777" w:rsidR="00895AF1" w:rsidRPr="001A28EB" w:rsidRDefault="00895AF1" w:rsidP="00895AF1">
            <w:pPr>
              <w:suppressAutoHyphens w:val="0"/>
              <w:spacing w:before="60" w:after="60" w:line="240" w:lineRule="auto"/>
              <w:jc w:val="center"/>
              <w:textAlignment w:val="auto"/>
              <w:rPr>
                <w:rFonts w:ascii="Lato" w:hAnsi="Lato" w:cstheme="majorHAnsi"/>
                <w:i/>
                <w:iCs/>
                <w:sz w:val="18"/>
                <w:szCs w:val="18"/>
              </w:rPr>
            </w:pPr>
            <w:r w:rsidRPr="001A28EB">
              <w:rPr>
                <w:rFonts w:ascii="Lato" w:hAnsi="Lato" w:cstheme="majorHAnsi"/>
                <w:sz w:val="18"/>
                <w:szCs w:val="18"/>
              </w:rPr>
              <w:t xml:space="preserve">Zmiana dawkowania dla deksametazonu w postaci implantu doszklistkowego na wniosek konsultanta krajowego ds. okulistyki – dodanie zapisu </w:t>
            </w:r>
            <w:r w:rsidRPr="001A28EB">
              <w:rPr>
                <w:rFonts w:ascii="Lato" w:hAnsi="Lato" w:cstheme="majorHAnsi"/>
                <w:i/>
                <w:iCs/>
                <w:sz w:val="18"/>
                <w:szCs w:val="18"/>
              </w:rPr>
              <w:t>„w przypadku nawrotu aktywności choroby schemat dawkowania ustala lekarz prowadzący stosując lek nie częściej niż w odstępach co 4 miesiące (tj. nie częściej niż co 124 dni) z możliwością wydłużenia odstępów między wstrzyknięciami do 9 miesięcy (tj. do 279 dni)”.</w:t>
            </w:r>
          </w:p>
          <w:p w14:paraId="08F664F2" w14:textId="6482BF75"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Dodanie zapisu o rozpoczęciu leczenia cukrzycowego obrzęku plamki deksametazonem w postaci implantu u pacjentów, u których w ostatnich 6 miesiącach wystąpił incydent sercowo-naczyniowy i istnieje ryzyko zaostrzenia przebiegu stanu ogólnego w przypadku rozpoczęcia leczenia lekami z grupy anty-VEGF.</w:t>
            </w:r>
          </w:p>
        </w:tc>
        <w:tc>
          <w:tcPr>
            <w:tcW w:w="1034" w:type="pct"/>
            <w:vAlign w:val="center"/>
          </w:tcPr>
          <w:p w14:paraId="6F8B4265" w14:textId="77777777" w:rsidR="00895AF1" w:rsidRPr="001A28EB" w:rsidRDefault="00895AF1" w:rsidP="00895AF1">
            <w:pPr>
              <w:suppressAutoHyphens w:val="0"/>
              <w:rPr>
                <w:rFonts w:ascii="Lato" w:hAnsi="Lato"/>
              </w:rPr>
            </w:pPr>
          </w:p>
        </w:tc>
      </w:tr>
      <w:tr w:rsidR="00895AF1" w:rsidRPr="001A28EB" w14:paraId="484C0D65" w14:textId="77777777" w:rsidTr="009104F7">
        <w:trPr>
          <w:cantSplit/>
          <w:trHeight w:val="20"/>
        </w:trPr>
        <w:tc>
          <w:tcPr>
            <w:tcW w:w="18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414AFA7" w14:textId="41F5E353" w:rsidR="00895AF1" w:rsidRPr="001A28EB" w:rsidRDefault="00895AF1" w:rsidP="00895AF1">
            <w:pPr>
              <w:spacing w:before="60" w:after="60" w:line="240" w:lineRule="auto"/>
              <w:jc w:val="center"/>
              <w:rPr>
                <w:rFonts w:ascii="Lato" w:hAnsi="Lato" w:cstheme="majorHAnsi"/>
                <w:sz w:val="18"/>
                <w:szCs w:val="18"/>
              </w:rPr>
            </w:pPr>
            <w:r w:rsidRPr="001A28EB">
              <w:rPr>
                <w:rFonts w:ascii="Lato" w:hAnsi="Lato" w:cstheme="majorHAnsi"/>
                <w:sz w:val="18"/>
                <w:szCs w:val="18"/>
              </w:rPr>
              <w:t>3.</w:t>
            </w:r>
          </w:p>
        </w:tc>
        <w:tc>
          <w:tcPr>
            <w:tcW w:w="466"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A35708" w14:textId="34DFEFD2" w:rsidR="00895AF1" w:rsidRPr="001A28EB" w:rsidRDefault="00895AF1" w:rsidP="00895AF1">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B.113</w:t>
            </w:r>
          </w:p>
        </w:tc>
        <w:tc>
          <w:tcPr>
            <w:tcW w:w="71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4EC50B" w14:textId="1A85E8DE" w:rsidR="00895AF1" w:rsidRPr="001A28EB" w:rsidRDefault="00895AF1" w:rsidP="00895AF1">
            <w:pPr>
              <w:spacing w:before="60" w:after="60" w:line="240" w:lineRule="auto"/>
              <w:jc w:val="center"/>
              <w:rPr>
                <w:rFonts w:ascii="Lato" w:hAnsi="Lato"/>
                <w:bCs/>
                <w:sz w:val="18"/>
                <w:szCs w:val="18"/>
              </w:rPr>
            </w:pPr>
            <w:r w:rsidRPr="001A28EB">
              <w:rPr>
                <w:rFonts w:ascii="Lato" w:hAnsi="Lato"/>
                <w:sz w:val="18"/>
                <w:szCs w:val="18"/>
              </w:rPr>
              <w:t>LECZENIE PACJENTÓW Z CHOROBAMI NEREK (ICD-10 N18)</w:t>
            </w:r>
          </w:p>
        </w:tc>
        <w:tc>
          <w:tcPr>
            <w:tcW w:w="26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EA09A4" w14:textId="0B380896" w:rsidR="00895AF1" w:rsidRPr="001A28EB" w:rsidRDefault="00895AF1" w:rsidP="00895AF1">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Najistotniejsze zmiany dotyczą możliwości zastosowania ketoanalogów aminokwasów u pacjentów również z BMI poza normą (BMI do 30 kg/m</w:t>
            </w:r>
            <w:r w:rsidRPr="001A28EB">
              <w:rPr>
                <w:rFonts w:ascii="Lato" w:hAnsi="Lato" w:cstheme="majorHAnsi"/>
                <w:sz w:val="18"/>
                <w:szCs w:val="18"/>
                <w:vertAlign w:val="superscript"/>
              </w:rPr>
              <w:t>2</w:t>
            </w:r>
            <w:r w:rsidRPr="001A28EB">
              <w:rPr>
                <w:rFonts w:ascii="Lato" w:hAnsi="Lato" w:cstheme="majorHAnsi"/>
                <w:sz w:val="18"/>
                <w:szCs w:val="18"/>
              </w:rPr>
              <w:t>) oraz z wyższym niż dotychczas poziomem białkomoczu (&lt;2,0 g/g kreatyniny/dobę) oraz umożliwienie udziału w PL pacjentom z kontrolowaną cukrzycą.</w:t>
            </w:r>
          </w:p>
        </w:tc>
        <w:tc>
          <w:tcPr>
            <w:tcW w:w="1034" w:type="pct"/>
            <w:vAlign w:val="center"/>
          </w:tcPr>
          <w:p w14:paraId="4A80BFD4" w14:textId="77777777" w:rsidR="00895AF1" w:rsidRPr="001A28EB" w:rsidRDefault="00895AF1" w:rsidP="00895AF1">
            <w:pPr>
              <w:suppressAutoHyphens w:val="0"/>
              <w:rPr>
                <w:rFonts w:ascii="Lato" w:hAnsi="Lato"/>
              </w:rPr>
            </w:pPr>
          </w:p>
        </w:tc>
      </w:tr>
    </w:tbl>
    <w:p w14:paraId="08AE375A" w14:textId="43C53898" w:rsidR="0056748F" w:rsidRPr="001A28EB" w:rsidRDefault="0056748F">
      <w:pPr>
        <w:suppressAutoHyphens w:val="0"/>
        <w:rPr>
          <w:rFonts w:ascii="Lato" w:hAnsi="Lato"/>
          <w:b/>
          <w:bCs/>
          <w:color w:val="00B0F0"/>
          <w:sz w:val="28"/>
          <w:szCs w:val="28"/>
        </w:rPr>
      </w:pPr>
    </w:p>
    <w:p w14:paraId="13C8E853" w14:textId="77777777" w:rsidR="0009112E" w:rsidRPr="001A28EB" w:rsidRDefault="0009112E" w:rsidP="0056748F">
      <w:pPr>
        <w:jc w:val="center"/>
        <w:rPr>
          <w:rFonts w:ascii="Lato" w:hAnsi="Lato"/>
          <w:b/>
          <w:bCs/>
          <w:color w:val="00B0F0"/>
          <w:sz w:val="28"/>
          <w:szCs w:val="28"/>
        </w:rPr>
      </w:pPr>
      <w:bookmarkStart w:id="2" w:name="_Hlk90283710"/>
    </w:p>
    <w:p w14:paraId="242DFDC3" w14:textId="77777777" w:rsidR="0009112E" w:rsidRPr="001A28EB" w:rsidRDefault="0009112E" w:rsidP="0056748F">
      <w:pPr>
        <w:jc w:val="center"/>
        <w:rPr>
          <w:rFonts w:ascii="Lato" w:hAnsi="Lato"/>
          <w:b/>
          <w:bCs/>
          <w:color w:val="00B0F0"/>
          <w:sz w:val="28"/>
          <w:szCs w:val="28"/>
        </w:rPr>
      </w:pPr>
    </w:p>
    <w:p w14:paraId="052EAE3A" w14:textId="77777777" w:rsidR="004D093B" w:rsidRPr="001A28EB" w:rsidRDefault="004D093B">
      <w:pPr>
        <w:suppressAutoHyphens w:val="0"/>
        <w:rPr>
          <w:rFonts w:ascii="Lato" w:hAnsi="Lato"/>
          <w:b/>
          <w:bCs/>
          <w:color w:val="00B0F0"/>
          <w:sz w:val="28"/>
          <w:szCs w:val="28"/>
        </w:rPr>
      </w:pPr>
      <w:r w:rsidRPr="001A28EB">
        <w:rPr>
          <w:rFonts w:ascii="Lato" w:hAnsi="Lato"/>
          <w:b/>
          <w:bCs/>
          <w:color w:val="00B0F0"/>
          <w:sz w:val="28"/>
          <w:szCs w:val="28"/>
        </w:rPr>
        <w:br w:type="page"/>
      </w:r>
    </w:p>
    <w:p w14:paraId="703841AA" w14:textId="36DADBCA" w:rsidR="0056748F" w:rsidRPr="001A28EB" w:rsidRDefault="0056748F" w:rsidP="0056748F">
      <w:pPr>
        <w:jc w:val="center"/>
        <w:rPr>
          <w:rFonts w:ascii="Lato" w:hAnsi="Lato"/>
          <w:b/>
          <w:bCs/>
          <w:color w:val="00B0F0"/>
          <w:sz w:val="28"/>
          <w:szCs w:val="28"/>
        </w:rPr>
      </w:pPr>
      <w:r w:rsidRPr="001A28EB">
        <w:rPr>
          <w:rFonts w:ascii="Lato" w:hAnsi="Lato"/>
          <w:b/>
          <w:bCs/>
          <w:color w:val="00B0F0"/>
          <w:sz w:val="28"/>
          <w:szCs w:val="28"/>
        </w:rPr>
        <w:lastRenderedPageBreak/>
        <w:t>NOWE WSKAZANIA ORAZ ZMIANY W REFUNDACJI APTECZNEJ</w:t>
      </w:r>
    </w:p>
    <w:tbl>
      <w:tblPr>
        <w:tblW w:w="5000" w:type="pct"/>
        <w:tblCellMar>
          <w:top w:w="57" w:type="dxa"/>
          <w:left w:w="10" w:type="dxa"/>
          <w:bottom w:w="57" w:type="dxa"/>
          <w:right w:w="10" w:type="dxa"/>
        </w:tblCellMar>
        <w:tblLook w:val="0000" w:firstRow="0" w:lastRow="0" w:firstColumn="0" w:lastColumn="0" w:noHBand="0" w:noVBand="0"/>
      </w:tblPr>
      <w:tblGrid>
        <w:gridCol w:w="460"/>
        <w:gridCol w:w="1787"/>
        <w:gridCol w:w="1585"/>
        <w:gridCol w:w="4815"/>
        <w:gridCol w:w="5341"/>
      </w:tblGrid>
      <w:tr w:rsidR="00AD08C5" w:rsidRPr="001A28EB" w14:paraId="2CD1B9F9" w14:textId="77777777" w:rsidTr="004D093B">
        <w:trPr>
          <w:cantSplit/>
          <w:trHeight w:val="549"/>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0094C8"/>
            <w:tcMar>
              <w:top w:w="0" w:type="dxa"/>
              <w:left w:w="108" w:type="dxa"/>
              <w:bottom w:w="0" w:type="dxa"/>
              <w:right w:w="108" w:type="dxa"/>
            </w:tcMar>
            <w:vAlign w:val="center"/>
          </w:tcPr>
          <w:bookmarkEnd w:id="2"/>
          <w:p w14:paraId="05E7E891" w14:textId="77777777" w:rsidR="00AD08C5" w:rsidRPr="001A28EB" w:rsidRDefault="006A7DCE"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Apteka</w:t>
            </w:r>
          </w:p>
        </w:tc>
      </w:tr>
      <w:tr w:rsidR="00AD08C5" w:rsidRPr="001A28EB" w14:paraId="7C1774EA" w14:textId="77777777" w:rsidTr="004D093B">
        <w:trPr>
          <w:cantSplit/>
          <w:trHeight w:val="328"/>
        </w:trPr>
        <w:tc>
          <w:tcPr>
            <w:tcW w:w="5000" w:type="pct"/>
            <w:gridSpan w:val="5"/>
            <w:tcBorders>
              <w:left w:val="single" w:sz="6" w:space="0" w:color="000000"/>
              <w:bottom w:val="single" w:sz="6" w:space="0" w:color="000000"/>
              <w:right w:val="single" w:sz="6" w:space="0" w:color="000000"/>
            </w:tcBorders>
            <w:shd w:val="clear" w:color="auto" w:fill="00B0F0"/>
            <w:tcMar>
              <w:top w:w="0" w:type="dxa"/>
              <w:left w:w="108" w:type="dxa"/>
              <w:bottom w:w="0" w:type="dxa"/>
              <w:right w:w="108" w:type="dxa"/>
            </w:tcMar>
            <w:vAlign w:val="center"/>
          </w:tcPr>
          <w:p w14:paraId="04D86140" w14:textId="77777777" w:rsidR="00AD08C5" w:rsidRPr="001A28EB" w:rsidRDefault="006A7DCE" w:rsidP="007B043E">
            <w:pPr>
              <w:spacing w:before="60" w:after="60" w:line="240" w:lineRule="auto"/>
              <w:jc w:val="center"/>
              <w:rPr>
                <w:rFonts w:ascii="Lato" w:hAnsi="Lato" w:cstheme="majorHAnsi"/>
                <w:b/>
                <w:bCs/>
                <w:color w:val="FFFFFF"/>
              </w:rPr>
            </w:pPr>
            <w:r w:rsidRPr="001A28EB">
              <w:rPr>
                <w:rFonts w:ascii="Lato" w:hAnsi="Lato" w:cstheme="majorHAnsi"/>
                <w:b/>
                <w:bCs/>
                <w:color w:val="FFFFFF"/>
              </w:rPr>
              <w:t>Nowe wskazania refundacyjne</w:t>
            </w:r>
          </w:p>
        </w:tc>
      </w:tr>
      <w:tr w:rsidR="0056748F" w:rsidRPr="001A28EB" w14:paraId="7D53B9E1"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2AED3CB4"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Lp.</w:t>
            </w:r>
          </w:p>
        </w:tc>
        <w:tc>
          <w:tcPr>
            <w:tcW w:w="63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6A3E9D6E" w14:textId="70C49D87" w:rsidR="00AD08C5" w:rsidRPr="001A28EB" w:rsidRDefault="00A118F0"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 xml:space="preserve">Nazwa leku, środka spożywczego specjalnego przeznaczenia lub wyrobu </w:t>
            </w:r>
            <w:r w:rsidRPr="001A28EB">
              <w:rPr>
                <w:rFonts w:ascii="Lato" w:hAnsi="Lato" w:cstheme="majorHAnsi"/>
                <w:b/>
                <w:bCs/>
                <w:sz w:val="19"/>
                <w:szCs w:val="19"/>
              </w:rPr>
              <w:t>medycznego</w:t>
            </w:r>
          </w:p>
        </w:tc>
        <w:tc>
          <w:tcPr>
            <w:tcW w:w="567"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7F2A6F35"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Substancja czynna</w:t>
            </w:r>
          </w:p>
        </w:tc>
        <w:tc>
          <w:tcPr>
            <w:tcW w:w="1721"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19F933D3"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Wskazanie refundacyjne</w:t>
            </w:r>
          </w:p>
        </w:tc>
        <w:tc>
          <w:tcPr>
            <w:tcW w:w="1909" w:type="pct"/>
            <w:tcBorders>
              <w:top w:val="single" w:sz="6" w:space="0" w:color="000000"/>
              <w:left w:val="single" w:sz="6" w:space="0" w:color="000000"/>
              <w:bottom w:val="single" w:sz="6" w:space="0" w:color="000000"/>
              <w:right w:val="single" w:sz="6" w:space="0" w:color="000000"/>
            </w:tcBorders>
            <w:shd w:val="clear" w:color="auto" w:fill="A7E8FF"/>
            <w:tcMar>
              <w:top w:w="0" w:type="dxa"/>
              <w:left w:w="108" w:type="dxa"/>
              <w:bottom w:w="0" w:type="dxa"/>
              <w:right w:w="108" w:type="dxa"/>
            </w:tcMar>
            <w:vAlign w:val="center"/>
          </w:tcPr>
          <w:p w14:paraId="0845EAF7" w14:textId="77777777" w:rsidR="00AD08C5" w:rsidRPr="001A28EB" w:rsidRDefault="006A7DCE" w:rsidP="007B043E">
            <w:pPr>
              <w:spacing w:before="60" w:after="60" w:line="240" w:lineRule="auto"/>
              <w:jc w:val="center"/>
              <w:rPr>
                <w:rFonts w:ascii="Lato" w:hAnsi="Lato" w:cstheme="majorHAnsi"/>
                <w:b/>
                <w:bCs/>
                <w:color w:val="000000"/>
                <w:sz w:val="19"/>
                <w:szCs w:val="19"/>
              </w:rPr>
            </w:pPr>
            <w:r w:rsidRPr="001A28EB">
              <w:rPr>
                <w:rFonts w:ascii="Lato" w:hAnsi="Lato" w:cstheme="majorHAnsi"/>
                <w:b/>
                <w:bCs/>
                <w:color w:val="000000"/>
                <w:sz w:val="19"/>
                <w:szCs w:val="19"/>
              </w:rPr>
              <w:t>Doprecyzowanie wskazania</w:t>
            </w:r>
          </w:p>
        </w:tc>
      </w:tr>
      <w:tr w:rsidR="007B72B2" w:rsidRPr="001A28EB" w14:paraId="0C276518"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BAF0A7" w14:textId="63575624"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1.</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AF24A9" w14:textId="2A25ED19" w:rsidR="007B72B2" w:rsidRPr="001A28EB" w:rsidRDefault="007B72B2" w:rsidP="007B72B2">
            <w:pPr>
              <w:spacing w:before="60" w:after="60" w:line="240" w:lineRule="auto"/>
              <w:jc w:val="center"/>
              <w:rPr>
                <w:rFonts w:ascii="Lato" w:hAnsi="Lato" w:cstheme="majorHAnsi"/>
                <w:b/>
                <w:bCs/>
                <w:color w:val="000000"/>
                <w:sz w:val="18"/>
                <w:szCs w:val="18"/>
                <w:highlight w:val="yellow"/>
              </w:rPr>
            </w:pPr>
            <w:r w:rsidRPr="001A28EB">
              <w:rPr>
                <w:rFonts w:ascii="Lato" w:hAnsi="Lato" w:cstheme="majorHAnsi"/>
                <w:b/>
                <w:bCs/>
                <w:color w:val="000000"/>
                <w:sz w:val="18"/>
                <w:szCs w:val="18"/>
              </w:rPr>
              <w:t>Forxiga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1E5A1D" w14:textId="0C05A556" w:rsidR="007B72B2" w:rsidRPr="001A28EB" w:rsidRDefault="007B72B2" w:rsidP="007B72B2">
            <w:pPr>
              <w:spacing w:before="60" w:after="60" w:line="240" w:lineRule="auto"/>
              <w:jc w:val="center"/>
              <w:rPr>
                <w:rFonts w:ascii="Lato" w:hAnsi="Lato" w:cstheme="majorHAnsi"/>
                <w:i/>
                <w:iCs/>
                <w:color w:val="000000"/>
                <w:sz w:val="18"/>
                <w:szCs w:val="18"/>
                <w:highlight w:val="yellow"/>
              </w:rPr>
            </w:pPr>
            <w:r w:rsidRPr="001A28EB">
              <w:rPr>
                <w:rFonts w:ascii="Lato" w:hAnsi="Lato" w:cstheme="majorHAnsi"/>
                <w:i/>
                <w:iCs/>
                <w:color w:val="000000"/>
                <w:sz w:val="18"/>
                <w:szCs w:val="18"/>
              </w:rPr>
              <w:t>dapagliflozyna</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673C189" w14:textId="4FA49222"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Cukrzyca typu 2 u pacjentów leczonych </w:t>
            </w:r>
            <w:r w:rsidRPr="001A28EB">
              <w:rPr>
                <w:rFonts w:ascii="Lato" w:hAnsi="Lato" w:cstheme="majorHAnsi"/>
                <w:b/>
                <w:bCs/>
                <w:color w:val="000000"/>
                <w:sz w:val="18"/>
                <w:szCs w:val="18"/>
              </w:rPr>
              <w:t>co najmniej dwoma lekami hipoglikemizującymi, z HbA1c ≥ 7,5%</w:t>
            </w:r>
            <w:r w:rsidRPr="001A28EB">
              <w:rPr>
                <w:rFonts w:ascii="Lato" w:hAnsi="Lato" w:cstheme="majorHAnsi"/>
                <w:color w:val="000000"/>
                <w:sz w:val="18"/>
                <w:szCs w:val="18"/>
              </w:rPr>
              <w:t xml:space="preserve"> oraz bardzo wysokim ryzykiem sercowo-naczyniowym rozumianym jako: 1)potwierdzona choroba sercowo-naczyniowa, lub 2)uszkodzenie innych narządów objawiające się poprzez: białkomocz lub przerost lewej komory lub retinopatię, lub 3)obecność 3 lub więcej głównych czynników ryzyka spośród wymienionych poniżej: -wiek ≥ 55 lat dla mężczyzn, ≥60 lat dla kobiet, -dyslipidemia, -nadciśnienie tętnicze, -palenie tytoniu, -otyłość.</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1D464AF" w14:textId="7786FD89" w:rsidR="007B72B2" w:rsidRPr="001A28EB" w:rsidRDefault="007B72B2" w:rsidP="007B72B2">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Powrót na wykaz leków refundowanych po dwumiesięcznej nieobecności. Wskazanie diabetologiczne pozostaje bez zmian w stosunku do wskazania obowiązującego do 31 października br.</w:t>
            </w:r>
          </w:p>
        </w:tc>
      </w:tr>
      <w:tr w:rsidR="007B72B2" w:rsidRPr="001A28EB" w14:paraId="46BBA744"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545F2C" w14:textId="25963FD2"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4D40861" w14:textId="10B97326" w:rsidR="007B72B2" w:rsidRPr="001A28EB" w:rsidRDefault="007B72B2" w:rsidP="007B72B2">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Forxiga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5525292" w14:textId="173D9CA6" w:rsidR="007B72B2" w:rsidRPr="001A28EB" w:rsidRDefault="007B72B2" w:rsidP="007B72B2">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dapagliflozyna</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DE0E6F"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Przewlekła niewydolność serca u dorosłych pacjentów z </w:t>
            </w:r>
            <w:r w:rsidRPr="00596E33">
              <w:rPr>
                <w:rFonts w:ascii="Lato" w:hAnsi="Lato" w:cstheme="majorHAnsi"/>
                <w:b/>
                <w:bCs/>
                <w:i/>
                <w:iCs/>
                <w:color w:val="000000"/>
                <w:sz w:val="18"/>
                <w:szCs w:val="18"/>
              </w:rPr>
              <w:t>LVEF≤50%</w:t>
            </w:r>
            <w:r w:rsidRPr="00596E33">
              <w:rPr>
                <w:rFonts w:ascii="Lato" w:hAnsi="Lato" w:cstheme="majorHAnsi"/>
                <w:i/>
                <w:iCs/>
                <w:color w:val="000000"/>
                <w:sz w:val="18"/>
                <w:szCs w:val="18"/>
              </w:rPr>
              <w:t xml:space="preserve"> oraz utrzymującymi się objawami choroby w klasie II-IV NYHA:</w:t>
            </w:r>
          </w:p>
          <w:p w14:paraId="04DCA726"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            pomimo zastosowania terapii opartej na ACEi (lub ARB/ARNi) i lekach z grupy betaadrenolityków oraz jeśli wskazane antagonistach receptora mineralokortykoidów (z frakcją wyrzutową z LVEF ≤40%) </w:t>
            </w:r>
          </w:p>
          <w:p w14:paraId="200502CC"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lub </w:t>
            </w:r>
          </w:p>
          <w:p w14:paraId="32368302" w14:textId="7B49031A" w:rsidR="007B72B2" w:rsidRPr="001A28EB"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pomimo zastosowania terapii opartej na ACEi (lub ARB/ARNi) i lekach z grupy betaadrenolityków oraz jeśli wskazane diuretykach (z frakcją wyrzutową z LVEF 41-50%).</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4CA0A4" w14:textId="32EF0E58" w:rsidR="007B72B2" w:rsidRPr="001A28EB" w:rsidRDefault="007B72B2" w:rsidP="007B72B2">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 xml:space="preserve">Powrót do refundacji po dwumiesięcznej nieobecności z jednoczesnym rozszerzeniem wskazania do stosowania dapagliflozyny u chorych z niewydolnością serca, poprzez zmianę wymaganej do rozpoczęcia leczenia frakcji wyrzutowej lewej komory serca z poziomu ≤40% na ≤50%. </w:t>
            </w:r>
          </w:p>
        </w:tc>
      </w:tr>
      <w:tr w:rsidR="007B72B2" w:rsidRPr="001A28EB" w14:paraId="3A9F8BCC"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808B75" w14:textId="101B15BD"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lastRenderedPageBreak/>
              <w:t>3.</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72E7EF" w14:textId="18061EB0" w:rsidR="007B72B2" w:rsidRPr="001A28EB" w:rsidRDefault="007B72B2" w:rsidP="007B72B2">
            <w:pPr>
              <w:spacing w:before="60" w:after="60" w:line="240" w:lineRule="auto"/>
              <w:jc w:val="center"/>
              <w:rPr>
                <w:rFonts w:ascii="Lato" w:hAnsi="Lato" w:cstheme="majorHAnsi"/>
                <w:b/>
                <w:bCs/>
                <w:color w:val="000000"/>
                <w:sz w:val="18"/>
                <w:szCs w:val="18"/>
                <w:highlight w:val="yellow"/>
              </w:rPr>
            </w:pPr>
            <w:r w:rsidRPr="001A28EB">
              <w:rPr>
                <w:rFonts w:ascii="Lato" w:hAnsi="Lato" w:cstheme="majorHAnsi"/>
                <w:b/>
                <w:bCs/>
                <w:color w:val="000000"/>
                <w:sz w:val="18"/>
                <w:szCs w:val="18"/>
              </w:rPr>
              <w:t>Forxiga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38B342" w14:textId="3DD3FBD0" w:rsidR="007B72B2" w:rsidRPr="001A28EB" w:rsidRDefault="007B72B2" w:rsidP="007B72B2">
            <w:pPr>
              <w:spacing w:before="60" w:after="60" w:line="240" w:lineRule="auto"/>
              <w:jc w:val="center"/>
              <w:rPr>
                <w:rFonts w:ascii="Lato" w:hAnsi="Lato" w:cstheme="majorHAnsi"/>
                <w:i/>
                <w:iCs/>
                <w:color w:val="000000"/>
                <w:sz w:val="18"/>
                <w:szCs w:val="18"/>
                <w:highlight w:val="yellow"/>
              </w:rPr>
            </w:pPr>
            <w:r w:rsidRPr="001A28EB">
              <w:rPr>
                <w:rFonts w:ascii="Lato" w:hAnsi="Lato" w:cstheme="majorHAnsi"/>
                <w:i/>
                <w:iCs/>
                <w:color w:val="000000"/>
                <w:sz w:val="18"/>
                <w:szCs w:val="18"/>
              </w:rPr>
              <w:t>dapagliflozyna</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241D97F" w14:textId="2254C60D" w:rsidR="007B72B2" w:rsidRPr="001A28EB" w:rsidRDefault="007B72B2" w:rsidP="007B72B2">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Przewlekła choroba nerek u dorosłych pacjentów z eGFR &lt;60 ml/min/1.73m2, </w:t>
            </w:r>
            <w:r w:rsidRPr="001A28EB">
              <w:rPr>
                <w:rFonts w:ascii="Lato" w:hAnsi="Lato" w:cstheme="majorHAnsi"/>
                <w:b/>
                <w:bCs/>
                <w:color w:val="000000"/>
                <w:sz w:val="18"/>
                <w:szCs w:val="18"/>
              </w:rPr>
              <w:t xml:space="preserve">albuminurią </w:t>
            </w:r>
            <w:r w:rsidR="00F87D05">
              <w:rPr>
                <w:rFonts w:ascii="Lato" w:hAnsi="Lato" w:cstheme="majorHAnsi"/>
                <w:b/>
                <w:bCs/>
                <w:color w:val="000000"/>
                <w:sz w:val="18"/>
                <w:szCs w:val="18"/>
              </w:rPr>
              <w:t>lub</w:t>
            </w:r>
            <w:r w:rsidRPr="001A28EB">
              <w:rPr>
                <w:rFonts w:ascii="Lato" w:hAnsi="Lato" w:cstheme="majorHAnsi"/>
                <w:b/>
                <w:bCs/>
                <w:color w:val="000000"/>
                <w:sz w:val="18"/>
                <w:szCs w:val="18"/>
              </w:rPr>
              <w:t xml:space="preserve"> białkomoczem</w:t>
            </w:r>
            <w:r w:rsidRPr="001A28EB">
              <w:rPr>
                <w:rFonts w:ascii="Lato" w:hAnsi="Lato" w:cstheme="majorHAnsi"/>
                <w:color w:val="000000"/>
                <w:sz w:val="18"/>
                <w:szCs w:val="18"/>
              </w:rPr>
              <w:t xml:space="preserve"> oraz leczonych terapią opartą na ACE-i/ARB nie krócej niż 4 tygodnie lub z przeciwskazaniami do tych terapii.</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41B3E7" w14:textId="3FC32387" w:rsidR="007B72B2" w:rsidRPr="001A28EB" w:rsidRDefault="007B72B2" w:rsidP="007B72B2">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 xml:space="preserve">Powrót na wykaz leków refundowanych po dwumiesięcznej nieobecności z jednoczesny rozszerzeniem wskazania do stosowania dapagliflozyny u chorych z przewlekłą chorobą nerek, poprzez zmianę z uprzednio obowiązującego kryterium „albuminuria ≥200 mg/g” na „albuminuria </w:t>
            </w:r>
            <w:r w:rsidR="00F87D05">
              <w:rPr>
                <w:rFonts w:ascii="Lato" w:hAnsi="Lato" w:cstheme="majorHAnsi"/>
                <w:sz w:val="18"/>
                <w:szCs w:val="18"/>
              </w:rPr>
              <w:t>lub</w:t>
            </w:r>
            <w:r w:rsidRPr="001A28EB">
              <w:rPr>
                <w:rFonts w:ascii="Lato" w:hAnsi="Lato" w:cstheme="majorHAnsi"/>
                <w:sz w:val="18"/>
                <w:szCs w:val="18"/>
              </w:rPr>
              <w:t xml:space="preserve"> białkomocz”. </w:t>
            </w:r>
          </w:p>
        </w:tc>
      </w:tr>
      <w:tr w:rsidR="00544696" w:rsidRPr="001A28EB" w14:paraId="7038156D"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D586760" w14:textId="702CE985" w:rsidR="00544696" w:rsidRPr="001A28EB" w:rsidRDefault="00544696" w:rsidP="00544696">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4.</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82B01C" w14:textId="3EF3F661" w:rsidR="00544696" w:rsidRPr="001A28EB" w:rsidRDefault="00544696" w:rsidP="00544696">
            <w:pPr>
              <w:spacing w:before="60" w:after="60" w:line="240" w:lineRule="auto"/>
              <w:jc w:val="center"/>
              <w:rPr>
                <w:rFonts w:ascii="Lato" w:hAnsi="Lato" w:cstheme="majorHAnsi"/>
                <w:b/>
                <w:bCs/>
                <w:color w:val="000000"/>
                <w:sz w:val="18"/>
                <w:szCs w:val="18"/>
              </w:rPr>
            </w:pPr>
            <w:r>
              <w:rPr>
                <w:rFonts w:ascii="Lato" w:hAnsi="Lato" w:cstheme="majorHAnsi"/>
                <w:b/>
                <w:bCs/>
                <w:color w:val="000000"/>
                <w:sz w:val="18"/>
                <w:szCs w:val="18"/>
              </w:rPr>
              <w:t>Kerendia</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AADAAB" w14:textId="10E435B9" w:rsidR="00544696" w:rsidRPr="001A28EB" w:rsidRDefault="00544696" w:rsidP="00544696">
            <w:pPr>
              <w:spacing w:before="60" w:after="60" w:line="240" w:lineRule="auto"/>
              <w:jc w:val="center"/>
              <w:rPr>
                <w:rFonts w:ascii="Lato" w:hAnsi="Lato" w:cstheme="majorHAnsi"/>
                <w:i/>
                <w:iCs/>
                <w:color w:val="000000"/>
                <w:sz w:val="18"/>
                <w:szCs w:val="18"/>
              </w:rPr>
            </w:pPr>
            <w:r>
              <w:rPr>
                <w:rFonts w:ascii="Lato" w:hAnsi="Lato" w:cstheme="majorHAnsi"/>
                <w:i/>
                <w:iCs/>
                <w:color w:val="000000"/>
                <w:sz w:val="18"/>
                <w:szCs w:val="18"/>
              </w:rPr>
              <w:t>finerenon</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93AA51" w14:textId="23A8E6CA" w:rsidR="00544696" w:rsidRPr="001A28EB" w:rsidRDefault="00544696" w:rsidP="00544696">
            <w:pPr>
              <w:spacing w:before="60" w:after="60" w:line="240" w:lineRule="auto"/>
              <w:jc w:val="center"/>
              <w:rPr>
                <w:rFonts w:ascii="Lato" w:hAnsi="Lato" w:cstheme="majorHAnsi"/>
                <w:color w:val="000000"/>
                <w:sz w:val="18"/>
                <w:szCs w:val="18"/>
              </w:rPr>
            </w:pPr>
            <w:r w:rsidRPr="00544696">
              <w:rPr>
                <w:rFonts w:ascii="Lato" w:hAnsi="Lato" w:cstheme="majorHAnsi"/>
                <w:color w:val="000000"/>
                <w:sz w:val="18"/>
                <w:szCs w:val="18"/>
              </w:rPr>
              <w:t>Przewlekła choroba nerek (stadium 3 i 4, z albuminurią) w przebiegu cukrzycy typu 2, u dorosłych pacjentów leczonych insuliną</w:t>
            </w:r>
            <w:r>
              <w:rPr>
                <w:rFonts w:ascii="Lato" w:hAnsi="Lato" w:cstheme="majorHAnsi"/>
                <w:color w:val="000000"/>
                <w:sz w:val="18"/>
                <w:szCs w:val="18"/>
              </w:rPr>
              <w:t>.</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F990E3" w14:textId="3594D93B" w:rsidR="00544696" w:rsidRPr="001A28EB" w:rsidRDefault="00544696" w:rsidP="00544696">
            <w:pPr>
              <w:suppressAutoHyphens w:val="0"/>
              <w:spacing w:before="60" w:after="60" w:line="240" w:lineRule="auto"/>
              <w:jc w:val="center"/>
              <w:textAlignment w:val="auto"/>
              <w:rPr>
                <w:rFonts w:ascii="Lato" w:hAnsi="Lato" w:cstheme="majorHAnsi"/>
                <w:sz w:val="18"/>
                <w:szCs w:val="18"/>
              </w:rPr>
            </w:pPr>
            <w:r>
              <w:rPr>
                <w:rFonts w:ascii="Lato" w:hAnsi="Lato" w:cstheme="majorHAnsi"/>
                <w:sz w:val="18"/>
                <w:szCs w:val="18"/>
              </w:rPr>
              <w:t xml:space="preserve">Pierwszy lek z finerenonem </w:t>
            </w:r>
            <w:r w:rsidRPr="001A28EB">
              <w:rPr>
                <w:rFonts w:ascii="Lato" w:hAnsi="Lato" w:cstheme="majorHAnsi"/>
                <w:sz w:val="18"/>
                <w:szCs w:val="18"/>
              </w:rPr>
              <w:t>w ramach aptecznej kategorii dostępności.</w:t>
            </w:r>
            <w:r>
              <w:rPr>
                <w:rFonts w:ascii="Lato" w:hAnsi="Lato" w:cstheme="majorHAnsi"/>
                <w:sz w:val="18"/>
                <w:szCs w:val="18"/>
              </w:rPr>
              <w:t xml:space="preserve"> </w:t>
            </w:r>
            <w:r w:rsidRPr="00544696">
              <w:rPr>
                <w:rFonts w:ascii="Lato" w:hAnsi="Lato" w:cstheme="majorHAnsi"/>
                <w:sz w:val="18"/>
                <w:szCs w:val="18"/>
              </w:rPr>
              <w:t>Finerenon jest niesteroidowym, selektywnym antagonistą receptora mineralokortykoidowego</w:t>
            </w:r>
            <w:r>
              <w:rPr>
                <w:rFonts w:ascii="Lato" w:hAnsi="Lato" w:cstheme="majorHAnsi"/>
                <w:sz w:val="18"/>
                <w:szCs w:val="18"/>
              </w:rPr>
              <w:t xml:space="preserve"> stosowanym w leczeniu przewlekłej choroby nerek.</w:t>
            </w:r>
          </w:p>
        </w:tc>
      </w:tr>
      <w:tr w:rsidR="00544696" w:rsidRPr="001A28EB" w14:paraId="56C43699"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F550DD" w14:textId="06079552" w:rsidR="00544696" w:rsidRPr="001A28EB" w:rsidRDefault="00544696" w:rsidP="00544696">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5.</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2C0A4C" w14:textId="1A13F129" w:rsidR="00544696" w:rsidRPr="001A28EB" w:rsidRDefault="00544696" w:rsidP="00544696">
            <w:pPr>
              <w:spacing w:before="60" w:after="60" w:line="240" w:lineRule="auto"/>
              <w:jc w:val="center"/>
              <w:rPr>
                <w:rFonts w:ascii="Lato" w:hAnsi="Lato" w:cstheme="majorHAnsi"/>
                <w:b/>
                <w:bCs/>
                <w:color w:val="000000"/>
                <w:sz w:val="18"/>
                <w:szCs w:val="18"/>
                <w:highlight w:val="yellow"/>
              </w:rPr>
            </w:pPr>
            <w:r w:rsidRPr="001A28EB">
              <w:rPr>
                <w:rFonts w:ascii="Lato" w:hAnsi="Lato" w:cstheme="majorHAnsi"/>
                <w:b/>
                <w:bCs/>
                <w:color w:val="000000"/>
                <w:sz w:val="18"/>
                <w:szCs w:val="18"/>
              </w:rPr>
              <w:t>Orgovyx</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93E18C" w14:textId="0A17800C" w:rsidR="00544696" w:rsidRPr="001A28EB" w:rsidRDefault="00544696" w:rsidP="00544696">
            <w:pPr>
              <w:spacing w:before="60" w:after="60" w:line="240" w:lineRule="auto"/>
              <w:jc w:val="center"/>
              <w:rPr>
                <w:rFonts w:ascii="Lato" w:hAnsi="Lato" w:cstheme="majorHAnsi"/>
                <w:i/>
                <w:iCs/>
                <w:color w:val="000000"/>
                <w:sz w:val="18"/>
                <w:szCs w:val="18"/>
                <w:highlight w:val="yellow"/>
              </w:rPr>
            </w:pPr>
            <w:r w:rsidRPr="001A28EB">
              <w:rPr>
                <w:rFonts w:ascii="Lato" w:hAnsi="Lato" w:cstheme="majorHAnsi"/>
                <w:i/>
                <w:iCs/>
                <w:color w:val="000000"/>
                <w:sz w:val="18"/>
                <w:szCs w:val="18"/>
              </w:rPr>
              <w:t>relugoliks</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7408CD3" w14:textId="42981125" w:rsidR="00544696" w:rsidRPr="001A28EB" w:rsidRDefault="00544696" w:rsidP="00544696">
            <w:pPr>
              <w:spacing w:before="60" w:after="60" w:line="240" w:lineRule="auto"/>
              <w:jc w:val="center"/>
              <w:rPr>
                <w:rFonts w:ascii="Lato" w:hAnsi="Lato" w:cstheme="majorHAnsi"/>
                <w:color w:val="000000"/>
                <w:sz w:val="18"/>
                <w:szCs w:val="18"/>
              </w:rPr>
            </w:pPr>
            <w:r w:rsidRPr="001A28EB">
              <w:rPr>
                <w:rFonts w:ascii="Lato" w:hAnsi="Lato" w:cstheme="majorHAnsi"/>
                <w:sz w:val="18"/>
                <w:szCs w:val="18"/>
              </w:rPr>
              <w:t>Nowotwory złośliwe - zaawansowana postać hormonozależnego raka gruczołu krokowego u pacjentów dorosłych.</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677A1C" w14:textId="5F434AA6" w:rsidR="00544696" w:rsidRPr="001A28EB" w:rsidRDefault="00544696" w:rsidP="00544696">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sz w:val="18"/>
                <w:szCs w:val="18"/>
              </w:rPr>
              <w:t xml:space="preserve">Nowa substancja czynna refundowana w leczeniu raka gruczołu krokowego w ramach aptecznej kategorii dostępności. Relugoliks jest niepeptydowym antagonistą receptora GnRH. </w:t>
            </w:r>
          </w:p>
        </w:tc>
      </w:tr>
      <w:tr w:rsidR="00544696" w:rsidRPr="001A28EB" w14:paraId="40292090" w14:textId="77777777" w:rsidTr="00544696">
        <w:trPr>
          <w:cantSplit/>
        </w:trPr>
        <w:tc>
          <w:tcPr>
            <w:tcW w:w="164"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6CE864" w14:textId="29885E8C" w:rsidR="00544696" w:rsidRPr="001A28EB" w:rsidRDefault="00544696" w:rsidP="00544696">
            <w:pPr>
              <w:spacing w:before="60" w:after="60" w:line="240" w:lineRule="auto"/>
              <w:jc w:val="center"/>
              <w:rPr>
                <w:rFonts w:ascii="Lato" w:hAnsi="Lato" w:cstheme="majorHAnsi"/>
                <w:color w:val="000000"/>
                <w:sz w:val="18"/>
                <w:szCs w:val="18"/>
              </w:rPr>
            </w:pPr>
            <w:r>
              <w:rPr>
                <w:rFonts w:ascii="Lato" w:hAnsi="Lato" w:cstheme="majorHAnsi"/>
                <w:color w:val="000000"/>
                <w:sz w:val="18"/>
                <w:szCs w:val="18"/>
              </w:rPr>
              <w:t>6.</w:t>
            </w:r>
          </w:p>
        </w:tc>
        <w:tc>
          <w:tcPr>
            <w:tcW w:w="63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1C3672" w14:textId="2A674781" w:rsidR="00544696" w:rsidRPr="001A28EB" w:rsidRDefault="00544696" w:rsidP="00544696">
            <w:pPr>
              <w:spacing w:before="60" w:after="60" w:line="240" w:lineRule="auto"/>
              <w:jc w:val="center"/>
              <w:rPr>
                <w:rFonts w:ascii="Lato" w:hAnsi="Lato" w:cstheme="majorHAnsi"/>
                <w:b/>
                <w:bCs/>
                <w:color w:val="000000"/>
                <w:sz w:val="18"/>
                <w:szCs w:val="18"/>
              </w:rPr>
            </w:pPr>
            <w:r w:rsidRPr="001A28EB">
              <w:rPr>
                <w:rFonts w:ascii="Lato" w:hAnsi="Lato" w:cstheme="majorHAnsi"/>
                <w:b/>
                <w:bCs/>
                <w:color w:val="000000"/>
                <w:sz w:val="18"/>
                <w:szCs w:val="18"/>
              </w:rPr>
              <w:t>Shingrix</w:t>
            </w:r>
          </w:p>
        </w:tc>
        <w:tc>
          <w:tcPr>
            <w:tcW w:w="56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617F78" w14:textId="572EEDF0" w:rsidR="00544696" w:rsidRPr="001A28EB" w:rsidRDefault="00544696" w:rsidP="00544696">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szczepionka przeciw półpaścowi (rekombinowana, z adiuwantem)</w:t>
            </w:r>
          </w:p>
        </w:tc>
        <w:tc>
          <w:tcPr>
            <w:tcW w:w="172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F63E016" w14:textId="282D8E5F" w:rsidR="00544696" w:rsidRPr="001A28EB" w:rsidRDefault="00544696" w:rsidP="00544696">
            <w:pPr>
              <w:spacing w:before="60" w:after="60" w:line="240" w:lineRule="auto"/>
              <w:jc w:val="center"/>
              <w:rPr>
                <w:rFonts w:ascii="Lato" w:hAnsi="Lato" w:cstheme="majorHAnsi"/>
                <w:sz w:val="18"/>
                <w:szCs w:val="18"/>
              </w:rPr>
            </w:pPr>
            <w:r w:rsidRPr="001A28EB">
              <w:rPr>
                <w:rFonts w:ascii="Lato" w:hAnsi="Lato" w:cstheme="majorHAnsi"/>
                <w:color w:val="000000"/>
                <w:sz w:val="18"/>
                <w:szCs w:val="18"/>
              </w:rPr>
              <w:t>Profilaktyka półpaśca i neuralgii półpaścowej u pacjentów w wieku 65 lat i starszych o zwiększonym ryzyku zachorowania na półpasiec tj. z: przewlekłą chorobą serca, przewlekłą chorobą płuc, cukrzycą, przewlekłą niewydolnością nerek, wrodzonym lub nabytym niedoborem odporności, uogólnioną chorobą nowotworową, zakażeniem wirusem HIV, chorobą Hodgkina, jatrogenną immunosupresją, białaczką, szpiczakiem mnogim, przeszczepem narządu litego, reumatoidalnym zapaleniem stawów, łuszczycą, łuszczycowym zapaleniem stawów, nieswoistym zapaleniem jelit, zesztywniającym zapaleniem stawów kręgosłupa, stwardnieniem rozsianym, toczniem układowym.</w:t>
            </w:r>
          </w:p>
        </w:tc>
        <w:tc>
          <w:tcPr>
            <w:tcW w:w="1909"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985608" w14:textId="140181B9" w:rsidR="00544696" w:rsidRPr="001A28EB" w:rsidRDefault="00544696" w:rsidP="00544696">
            <w:pPr>
              <w:suppressAutoHyphens w:val="0"/>
              <w:spacing w:before="60" w:after="60" w:line="240" w:lineRule="auto"/>
              <w:jc w:val="center"/>
              <w:textAlignment w:val="auto"/>
              <w:rPr>
                <w:rFonts w:ascii="Lato" w:hAnsi="Lato" w:cstheme="majorHAnsi"/>
                <w:sz w:val="18"/>
                <w:szCs w:val="18"/>
              </w:rPr>
            </w:pPr>
            <w:r w:rsidRPr="001A28EB">
              <w:rPr>
                <w:rFonts w:ascii="Lato" w:hAnsi="Lato" w:cstheme="majorHAnsi"/>
                <w:color w:val="000000"/>
                <w:sz w:val="18"/>
                <w:szCs w:val="18"/>
              </w:rPr>
              <w:t xml:space="preserve">Pierwsza szczepionka przeciw półpaścowi w refundacji do stosowania u pacjentów powyżej 65 roku życia, u których występuje wyższe ryzyko zachorowania oraz powikłań. </w:t>
            </w:r>
          </w:p>
        </w:tc>
      </w:tr>
    </w:tbl>
    <w:p w14:paraId="6B996492" w14:textId="0986F7C0" w:rsidR="009D10B8" w:rsidRPr="001A28EB" w:rsidRDefault="009D10B8" w:rsidP="0068046C">
      <w:pPr>
        <w:suppressAutoHyphens w:val="0"/>
        <w:rPr>
          <w:rFonts w:ascii="Lato" w:hAnsi="Lato"/>
          <w:b/>
          <w:bCs/>
          <w:color w:val="00B0F0"/>
        </w:rPr>
      </w:pPr>
    </w:p>
    <w:p w14:paraId="6DCB6C8F" w14:textId="77777777" w:rsidR="005B41EF" w:rsidRPr="001A28EB" w:rsidRDefault="005B41EF" w:rsidP="0068046C">
      <w:pPr>
        <w:suppressAutoHyphens w:val="0"/>
        <w:rPr>
          <w:rFonts w:ascii="Lato" w:hAnsi="Lato"/>
          <w:b/>
          <w:bCs/>
          <w:color w:val="00B0F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 w:type="dxa"/>
          <w:bottom w:w="57" w:type="dxa"/>
          <w:right w:w="10" w:type="dxa"/>
        </w:tblCellMar>
        <w:tblLook w:val="04A0" w:firstRow="1" w:lastRow="0" w:firstColumn="1" w:lastColumn="0" w:noHBand="0" w:noVBand="1"/>
      </w:tblPr>
      <w:tblGrid>
        <w:gridCol w:w="691"/>
        <w:gridCol w:w="2421"/>
        <w:gridCol w:w="5673"/>
        <w:gridCol w:w="5209"/>
      </w:tblGrid>
      <w:tr w:rsidR="005B41EF" w:rsidRPr="001A28EB" w14:paraId="789CC5EF" w14:textId="77777777" w:rsidTr="00F2760C">
        <w:trPr>
          <w:trHeight w:val="328"/>
        </w:trPr>
        <w:tc>
          <w:tcPr>
            <w:tcW w:w="5000" w:type="pct"/>
            <w:gridSpan w:val="4"/>
            <w:shd w:val="clear" w:color="auto" w:fill="00B0F0"/>
            <w:tcMar>
              <w:top w:w="0" w:type="dxa"/>
              <w:left w:w="108" w:type="dxa"/>
              <w:bottom w:w="0" w:type="dxa"/>
              <w:right w:w="108" w:type="dxa"/>
            </w:tcMar>
            <w:vAlign w:val="center"/>
            <w:hideMark/>
          </w:tcPr>
          <w:p w14:paraId="1A52E15F" w14:textId="77777777" w:rsidR="005B41EF" w:rsidRPr="001A28EB" w:rsidRDefault="005B41EF" w:rsidP="00F2760C">
            <w:pPr>
              <w:spacing w:before="60" w:after="60" w:line="240" w:lineRule="auto"/>
              <w:jc w:val="center"/>
              <w:rPr>
                <w:rFonts w:ascii="Lato" w:hAnsi="Lato" w:cstheme="majorHAnsi"/>
                <w:b/>
                <w:bCs/>
                <w:color w:val="FFFFFF"/>
              </w:rPr>
            </w:pPr>
            <w:bookmarkStart w:id="3" w:name="_Hlk148004033"/>
            <w:r w:rsidRPr="001A28EB">
              <w:rPr>
                <w:rFonts w:ascii="Lato" w:hAnsi="Lato" w:cstheme="majorHAnsi"/>
                <w:b/>
                <w:bCs/>
                <w:color w:val="FFFFFF"/>
              </w:rPr>
              <w:t>Zmiany na liście 65+</w:t>
            </w:r>
          </w:p>
        </w:tc>
      </w:tr>
      <w:tr w:rsidR="005B41EF" w:rsidRPr="001A28EB" w14:paraId="16B93F47" w14:textId="77777777" w:rsidTr="00F2760C">
        <w:tc>
          <w:tcPr>
            <w:tcW w:w="247" w:type="pct"/>
            <w:shd w:val="clear" w:color="auto" w:fill="A7E8FF"/>
            <w:tcMar>
              <w:top w:w="0" w:type="dxa"/>
              <w:left w:w="108" w:type="dxa"/>
              <w:bottom w:w="0" w:type="dxa"/>
              <w:right w:w="108" w:type="dxa"/>
            </w:tcMar>
            <w:vAlign w:val="center"/>
            <w:hideMark/>
          </w:tcPr>
          <w:p w14:paraId="31626C85"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Lp.</w:t>
            </w:r>
          </w:p>
        </w:tc>
        <w:tc>
          <w:tcPr>
            <w:tcW w:w="865" w:type="pct"/>
            <w:shd w:val="clear" w:color="auto" w:fill="A7E8FF"/>
            <w:tcMar>
              <w:top w:w="0" w:type="dxa"/>
              <w:left w:w="108" w:type="dxa"/>
              <w:bottom w:w="0" w:type="dxa"/>
              <w:right w:w="108" w:type="dxa"/>
            </w:tcMar>
            <w:vAlign w:val="center"/>
            <w:hideMark/>
          </w:tcPr>
          <w:p w14:paraId="27E9E630"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Substancja czynna</w:t>
            </w:r>
          </w:p>
        </w:tc>
        <w:tc>
          <w:tcPr>
            <w:tcW w:w="2027" w:type="pct"/>
            <w:shd w:val="clear" w:color="auto" w:fill="A7E8FF"/>
            <w:tcMar>
              <w:top w:w="0" w:type="dxa"/>
              <w:left w:w="108" w:type="dxa"/>
              <w:bottom w:w="0" w:type="dxa"/>
              <w:right w:w="108" w:type="dxa"/>
            </w:tcMar>
            <w:vAlign w:val="center"/>
            <w:hideMark/>
          </w:tcPr>
          <w:p w14:paraId="533077EF"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Wskazanie refundacyjne</w:t>
            </w:r>
          </w:p>
        </w:tc>
        <w:tc>
          <w:tcPr>
            <w:tcW w:w="1861" w:type="pct"/>
            <w:shd w:val="clear" w:color="auto" w:fill="A7E8FF"/>
            <w:tcMar>
              <w:top w:w="0" w:type="dxa"/>
              <w:left w:w="108" w:type="dxa"/>
              <w:bottom w:w="0" w:type="dxa"/>
              <w:right w:w="108" w:type="dxa"/>
            </w:tcMar>
            <w:vAlign w:val="center"/>
            <w:hideMark/>
          </w:tcPr>
          <w:p w14:paraId="0575E405" w14:textId="77777777" w:rsidR="005B41EF" w:rsidRPr="001A28EB" w:rsidRDefault="005B41EF" w:rsidP="00F2760C">
            <w:pPr>
              <w:spacing w:before="60" w:after="60" w:line="240" w:lineRule="auto"/>
              <w:jc w:val="center"/>
              <w:rPr>
                <w:rFonts w:ascii="Lato" w:hAnsi="Lato" w:cstheme="majorHAnsi"/>
                <w:b/>
                <w:bCs/>
                <w:color w:val="000000"/>
                <w:sz w:val="20"/>
                <w:szCs w:val="20"/>
              </w:rPr>
            </w:pPr>
            <w:r w:rsidRPr="001A28EB">
              <w:rPr>
                <w:rFonts w:ascii="Lato" w:hAnsi="Lato" w:cstheme="majorHAnsi"/>
                <w:b/>
                <w:bCs/>
                <w:color w:val="000000"/>
                <w:sz w:val="20"/>
                <w:szCs w:val="20"/>
              </w:rPr>
              <w:t>Dodatkowe informacje</w:t>
            </w:r>
          </w:p>
        </w:tc>
      </w:tr>
      <w:tr w:rsidR="00AE1F43" w:rsidRPr="001A28EB" w14:paraId="347A1273" w14:textId="77777777" w:rsidTr="00AB2C7E">
        <w:tc>
          <w:tcPr>
            <w:tcW w:w="247" w:type="pct"/>
            <w:tcMar>
              <w:top w:w="0" w:type="dxa"/>
              <w:left w:w="108" w:type="dxa"/>
              <w:bottom w:w="0" w:type="dxa"/>
              <w:right w:w="108" w:type="dxa"/>
            </w:tcMar>
            <w:vAlign w:val="center"/>
            <w:hideMark/>
          </w:tcPr>
          <w:p w14:paraId="5BBD47C1" w14:textId="77777777"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1.</w:t>
            </w:r>
          </w:p>
        </w:tc>
        <w:tc>
          <w:tcPr>
            <w:tcW w:w="865" w:type="pct"/>
            <w:tcMar>
              <w:top w:w="0" w:type="dxa"/>
              <w:left w:w="108" w:type="dxa"/>
              <w:bottom w:w="0" w:type="dxa"/>
              <w:right w:w="108" w:type="dxa"/>
            </w:tcMar>
            <w:vAlign w:val="center"/>
          </w:tcPr>
          <w:p w14:paraId="0776A377" w14:textId="255D4EE9"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i/>
                <w:iCs/>
                <w:color w:val="000000"/>
                <w:sz w:val="18"/>
                <w:szCs w:val="18"/>
              </w:rPr>
              <w:t>dapagliflozyna</w:t>
            </w:r>
          </w:p>
        </w:tc>
        <w:tc>
          <w:tcPr>
            <w:tcW w:w="2027" w:type="pct"/>
            <w:tcMar>
              <w:top w:w="0" w:type="dxa"/>
              <w:left w:w="108" w:type="dxa"/>
              <w:bottom w:w="0" w:type="dxa"/>
              <w:right w:w="108" w:type="dxa"/>
            </w:tcMar>
            <w:vAlign w:val="center"/>
          </w:tcPr>
          <w:p w14:paraId="6D69B25E" w14:textId="2D720B32"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color w:val="000000"/>
                <w:sz w:val="18"/>
                <w:szCs w:val="18"/>
              </w:rPr>
              <w:t xml:space="preserve">Cukrzyca typu 2 u pacjentów leczonych </w:t>
            </w:r>
            <w:r w:rsidRPr="001A28EB">
              <w:rPr>
                <w:rFonts w:ascii="Lato" w:hAnsi="Lato" w:cstheme="majorHAnsi"/>
                <w:b/>
                <w:bCs/>
                <w:color w:val="000000"/>
                <w:sz w:val="18"/>
                <w:szCs w:val="18"/>
              </w:rPr>
              <w:t>co najmniej dwoma lekami hipoglikemizującymi, z HbA1c ≥ 7,5%</w:t>
            </w:r>
            <w:r w:rsidRPr="001A28EB">
              <w:rPr>
                <w:rFonts w:ascii="Lato" w:hAnsi="Lato" w:cstheme="majorHAnsi"/>
                <w:color w:val="000000"/>
                <w:sz w:val="18"/>
                <w:szCs w:val="18"/>
              </w:rPr>
              <w:t xml:space="preserve"> oraz bardzo wysokim ryzykiem sercowo-naczyniowym rozumianym jako: 1)potwierdzona choroba sercowo-naczyniowa, lub 2)uszkodzenie innych narządów objawiające się poprzez: białkomocz lub przerost lewej komory lub </w:t>
            </w:r>
            <w:r w:rsidRPr="001A28EB">
              <w:rPr>
                <w:rFonts w:ascii="Lato" w:hAnsi="Lato" w:cstheme="majorHAnsi"/>
                <w:color w:val="000000"/>
                <w:sz w:val="18"/>
                <w:szCs w:val="18"/>
              </w:rPr>
              <w:lastRenderedPageBreak/>
              <w:t>retinopatię, lub 3)obecność 3 lub więcej głównych czynników ryzyka spośród wymienionych poniżej: -wiek ≥ 55 lat dla mężczyzn, ≥60 lat dla kobiet, -dyslipidemia, -nadciśnienie tętnicze, -palenie tytoniu, -otyłość.</w:t>
            </w:r>
          </w:p>
        </w:tc>
        <w:tc>
          <w:tcPr>
            <w:tcW w:w="1861" w:type="pct"/>
            <w:tcMar>
              <w:top w:w="0" w:type="dxa"/>
              <w:left w:w="108" w:type="dxa"/>
              <w:bottom w:w="0" w:type="dxa"/>
              <w:right w:w="108" w:type="dxa"/>
            </w:tcMar>
            <w:vAlign w:val="center"/>
          </w:tcPr>
          <w:p w14:paraId="0AECAB73" w14:textId="0CEEE317" w:rsidR="00AE1F43" w:rsidRPr="001A28EB" w:rsidRDefault="00AE1F43" w:rsidP="00AE1F43">
            <w:pPr>
              <w:suppressAutoHyphens w:val="0"/>
              <w:spacing w:before="60" w:after="60" w:line="240" w:lineRule="auto"/>
              <w:jc w:val="center"/>
              <w:textAlignment w:val="auto"/>
              <w:rPr>
                <w:rFonts w:ascii="Lato" w:hAnsi="Lato" w:cstheme="majorHAnsi"/>
                <w:color w:val="000000"/>
                <w:sz w:val="18"/>
                <w:szCs w:val="18"/>
              </w:rPr>
            </w:pPr>
            <w:r w:rsidRPr="001A28EB">
              <w:rPr>
                <w:rFonts w:ascii="Lato" w:hAnsi="Lato" w:cstheme="majorHAnsi"/>
                <w:color w:val="000000"/>
                <w:sz w:val="18"/>
                <w:szCs w:val="18"/>
              </w:rPr>
              <w:lastRenderedPageBreak/>
              <w:t>Druga flozyna na liście leków 65+. Powrót na listę</w:t>
            </w:r>
            <w:r w:rsidR="001A28EB">
              <w:rPr>
                <w:rFonts w:ascii="Lato" w:hAnsi="Lato" w:cstheme="majorHAnsi"/>
                <w:color w:val="000000"/>
                <w:sz w:val="18"/>
                <w:szCs w:val="18"/>
              </w:rPr>
              <w:t xml:space="preserve"> bezpłatnych leków dla seniorów</w:t>
            </w:r>
            <w:r w:rsidRPr="001A28EB">
              <w:rPr>
                <w:rFonts w:ascii="Lato" w:hAnsi="Lato" w:cstheme="majorHAnsi"/>
                <w:color w:val="000000"/>
                <w:sz w:val="18"/>
                <w:szCs w:val="18"/>
              </w:rPr>
              <w:t xml:space="preserve"> po dwumiesięcznej nieobecności.</w:t>
            </w:r>
          </w:p>
        </w:tc>
      </w:tr>
      <w:tr w:rsidR="00AE1F43" w:rsidRPr="001A28EB" w14:paraId="1C5F85F2" w14:textId="77777777" w:rsidTr="00F2760C">
        <w:tc>
          <w:tcPr>
            <w:tcW w:w="247" w:type="pct"/>
            <w:tcMar>
              <w:top w:w="0" w:type="dxa"/>
              <w:left w:w="108" w:type="dxa"/>
              <w:bottom w:w="0" w:type="dxa"/>
              <w:right w:w="108" w:type="dxa"/>
            </w:tcMar>
            <w:vAlign w:val="center"/>
          </w:tcPr>
          <w:p w14:paraId="4A229E0B" w14:textId="77777777"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2.</w:t>
            </w:r>
          </w:p>
        </w:tc>
        <w:tc>
          <w:tcPr>
            <w:tcW w:w="865" w:type="pct"/>
            <w:tcMar>
              <w:top w:w="0" w:type="dxa"/>
              <w:left w:w="108" w:type="dxa"/>
              <w:bottom w:w="0" w:type="dxa"/>
              <w:right w:w="108" w:type="dxa"/>
            </w:tcMar>
            <w:vAlign w:val="center"/>
          </w:tcPr>
          <w:p w14:paraId="2D15E4CA" w14:textId="6F544C69"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i/>
                <w:iCs/>
                <w:color w:val="000000"/>
                <w:sz w:val="18"/>
                <w:szCs w:val="18"/>
              </w:rPr>
              <w:t>dapagliflozyna</w:t>
            </w:r>
          </w:p>
        </w:tc>
        <w:tc>
          <w:tcPr>
            <w:tcW w:w="2027" w:type="pct"/>
            <w:tcMar>
              <w:top w:w="0" w:type="dxa"/>
              <w:left w:w="108" w:type="dxa"/>
              <w:bottom w:w="0" w:type="dxa"/>
              <w:right w:w="108" w:type="dxa"/>
            </w:tcMar>
            <w:vAlign w:val="center"/>
          </w:tcPr>
          <w:p w14:paraId="56FED9EF"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Przewlekła niewydolność serca u dorosłych pacjentów z </w:t>
            </w:r>
            <w:r w:rsidRPr="00596E33">
              <w:rPr>
                <w:rFonts w:ascii="Lato" w:hAnsi="Lato" w:cstheme="majorHAnsi"/>
                <w:b/>
                <w:bCs/>
                <w:i/>
                <w:iCs/>
                <w:color w:val="000000"/>
                <w:sz w:val="18"/>
                <w:szCs w:val="18"/>
              </w:rPr>
              <w:t>LVEF≤50%</w:t>
            </w:r>
            <w:r w:rsidRPr="00596E33">
              <w:rPr>
                <w:rFonts w:ascii="Lato" w:hAnsi="Lato" w:cstheme="majorHAnsi"/>
                <w:i/>
                <w:iCs/>
                <w:color w:val="000000"/>
                <w:sz w:val="18"/>
                <w:szCs w:val="18"/>
              </w:rPr>
              <w:t xml:space="preserve"> oraz utrzymującymi się objawami choroby w klasie II-IV NYHA:</w:t>
            </w:r>
          </w:p>
          <w:p w14:paraId="09FB898F"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            pomimo zastosowania terapii opartej na ACEi (lub ARB/ARNi) i lekach z grupy betaadrenolityków oraz jeśli wskazane antagonistach receptora mineralokortykoidów (z frakcją wyrzutową z LVEF ≤40%) </w:t>
            </w:r>
          </w:p>
          <w:p w14:paraId="11D8DD5D" w14:textId="77777777" w:rsidR="00596E33" w:rsidRPr="00596E33" w:rsidRDefault="00596E33" w:rsidP="00596E33">
            <w:pPr>
              <w:spacing w:before="60" w:after="60" w:line="240" w:lineRule="auto"/>
              <w:jc w:val="center"/>
              <w:rPr>
                <w:rFonts w:ascii="Lato" w:hAnsi="Lato" w:cstheme="majorHAnsi"/>
                <w:color w:val="000000"/>
                <w:sz w:val="18"/>
                <w:szCs w:val="18"/>
              </w:rPr>
            </w:pPr>
            <w:r w:rsidRPr="00596E33">
              <w:rPr>
                <w:rFonts w:ascii="Lato" w:hAnsi="Lato" w:cstheme="majorHAnsi"/>
                <w:i/>
                <w:iCs/>
                <w:color w:val="000000"/>
                <w:sz w:val="18"/>
                <w:szCs w:val="18"/>
              </w:rPr>
              <w:t xml:space="preserve">lub </w:t>
            </w:r>
          </w:p>
          <w:p w14:paraId="3BF6D63A" w14:textId="4607C673" w:rsidR="00AE1F43" w:rsidRPr="00596E33" w:rsidRDefault="00596E33" w:rsidP="00596E33">
            <w:pPr>
              <w:spacing w:before="60" w:after="60" w:line="240" w:lineRule="auto"/>
              <w:jc w:val="center"/>
              <w:rPr>
                <w:rFonts w:cstheme="majorHAnsi"/>
                <w:i/>
                <w:iCs/>
                <w:color w:val="000000"/>
                <w:sz w:val="18"/>
                <w:szCs w:val="18"/>
              </w:rPr>
            </w:pPr>
            <w:r w:rsidRPr="00596E33">
              <w:rPr>
                <w:rFonts w:ascii="Lato" w:hAnsi="Lato" w:cstheme="majorHAnsi"/>
                <w:i/>
                <w:iCs/>
                <w:color w:val="000000"/>
                <w:sz w:val="18"/>
                <w:szCs w:val="18"/>
              </w:rPr>
              <w:t>•          pomimo zastosowania terapii opartej na ACEi (lub ARB/ARNi) i lekach z grupy betaadrenolityków oraz jeśli wskazane diuretykach (z frakcją wyrzutową z LVEF 41-50%).</w:t>
            </w:r>
          </w:p>
        </w:tc>
        <w:tc>
          <w:tcPr>
            <w:tcW w:w="1861" w:type="pct"/>
            <w:tcMar>
              <w:top w:w="0" w:type="dxa"/>
              <w:left w:w="108" w:type="dxa"/>
              <w:bottom w:w="0" w:type="dxa"/>
              <w:right w:w="108" w:type="dxa"/>
            </w:tcMar>
            <w:vAlign w:val="center"/>
          </w:tcPr>
          <w:p w14:paraId="0785356F" w14:textId="338FCE50" w:rsidR="00AE1F43" w:rsidRPr="001A28EB" w:rsidRDefault="00AE1F43" w:rsidP="00AE1F43">
            <w:pPr>
              <w:spacing w:before="60" w:after="60" w:line="240" w:lineRule="auto"/>
              <w:jc w:val="center"/>
              <w:rPr>
                <w:rFonts w:ascii="Lato" w:hAnsi="Lato" w:cstheme="majorHAnsi"/>
                <w:color w:val="000000"/>
              </w:rPr>
            </w:pPr>
            <w:r w:rsidRPr="001A28EB">
              <w:rPr>
                <w:rFonts w:ascii="Lato" w:hAnsi="Lato" w:cstheme="majorHAnsi"/>
                <w:color w:val="000000"/>
                <w:sz w:val="18"/>
                <w:szCs w:val="18"/>
              </w:rPr>
              <w:t>Druga flozyna na liście leków 65+. Powrót na listę</w:t>
            </w:r>
            <w:r w:rsidR="001A28EB">
              <w:rPr>
                <w:rFonts w:ascii="Lato" w:hAnsi="Lato" w:cstheme="majorHAnsi"/>
                <w:color w:val="000000"/>
                <w:sz w:val="18"/>
                <w:szCs w:val="18"/>
              </w:rPr>
              <w:t xml:space="preserve"> bezpłatnych leków dla seniorów</w:t>
            </w:r>
            <w:r w:rsidRPr="001A28EB">
              <w:rPr>
                <w:rFonts w:ascii="Lato" w:hAnsi="Lato" w:cstheme="majorHAnsi"/>
                <w:color w:val="000000"/>
                <w:sz w:val="18"/>
                <w:szCs w:val="18"/>
              </w:rPr>
              <w:t xml:space="preserve"> po dwumiesięcznej nieobecności </w:t>
            </w:r>
            <w:r w:rsidRPr="001A28EB">
              <w:rPr>
                <w:rFonts w:ascii="Lato" w:hAnsi="Lato" w:cstheme="majorHAnsi"/>
                <w:sz w:val="18"/>
                <w:szCs w:val="18"/>
              </w:rPr>
              <w:t>z jednoczesnym rozszerzeniem wskazania refundacyjnego dla pacjentów z niewydolnością serca.</w:t>
            </w:r>
          </w:p>
        </w:tc>
      </w:tr>
      <w:tr w:rsidR="00AE1F43" w:rsidRPr="001A28EB" w14:paraId="3F0E4ED7" w14:textId="77777777" w:rsidTr="00F2760C">
        <w:tc>
          <w:tcPr>
            <w:tcW w:w="247" w:type="pct"/>
            <w:tcMar>
              <w:top w:w="0" w:type="dxa"/>
              <w:left w:w="108" w:type="dxa"/>
              <w:bottom w:w="0" w:type="dxa"/>
              <w:right w:w="108" w:type="dxa"/>
            </w:tcMar>
            <w:vAlign w:val="center"/>
          </w:tcPr>
          <w:p w14:paraId="17A2453F" w14:textId="77777777"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3.</w:t>
            </w:r>
          </w:p>
        </w:tc>
        <w:tc>
          <w:tcPr>
            <w:tcW w:w="865" w:type="pct"/>
            <w:tcMar>
              <w:top w:w="0" w:type="dxa"/>
              <w:left w:w="108" w:type="dxa"/>
              <w:bottom w:w="0" w:type="dxa"/>
              <w:right w:w="108" w:type="dxa"/>
            </w:tcMar>
            <w:vAlign w:val="center"/>
          </w:tcPr>
          <w:p w14:paraId="47473B6E" w14:textId="100439DB" w:rsidR="00AE1F43" w:rsidRPr="001A28EB" w:rsidRDefault="00AE1F43" w:rsidP="00AE1F43">
            <w:pPr>
              <w:spacing w:before="60" w:after="60" w:line="240" w:lineRule="auto"/>
              <w:jc w:val="center"/>
              <w:rPr>
                <w:rFonts w:ascii="Lato" w:hAnsi="Lato" w:cstheme="majorHAnsi"/>
                <w:i/>
                <w:iCs/>
                <w:color w:val="000000"/>
                <w:sz w:val="18"/>
                <w:szCs w:val="18"/>
              </w:rPr>
            </w:pPr>
            <w:r w:rsidRPr="001A28EB">
              <w:rPr>
                <w:rFonts w:ascii="Lato" w:hAnsi="Lato" w:cstheme="majorHAnsi"/>
                <w:i/>
                <w:iCs/>
                <w:color w:val="000000"/>
                <w:sz w:val="18"/>
                <w:szCs w:val="18"/>
              </w:rPr>
              <w:t>dapagliflozyna</w:t>
            </w:r>
          </w:p>
        </w:tc>
        <w:tc>
          <w:tcPr>
            <w:tcW w:w="2027" w:type="pct"/>
            <w:tcMar>
              <w:top w:w="0" w:type="dxa"/>
              <w:left w:w="108" w:type="dxa"/>
              <w:bottom w:w="0" w:type="dxa"/>
              <w:right w:w="108" w:type="dxa"/>
            </w:tcMar>
            <w:vAlign w:val="center"/>
          </w:tcPr>
          <w:p w14:paraId="12BFD7FC" w14:textId="782FD7B4"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Przewlekła choroba nerek u dorosłych pacjentów z eGFR &lt;60 ml/min/1.73m2, </w:t>
            </w:r>
            <w:r w:rsidRPr="001A28EB">
              <w:rPr>
                <w:rFonts w:ascii="Lato" w:hAnsi="Lato" w:cstheme="majorHAnsi"/>
                <w:b/>
                <w:bCs/>
                <w:color w:val="000000"/>
                <w:sz w:val="18"/>
                <w:szCs w:val="18"/>
              </w:rPr>
              <w:t xml:space="preserve">albuminurią </w:t>
            </w:r>
            <w:r w:rsidR="00F87D05">
              <w:rPr>
                <w:rFonts w:ascii="Lato" w:hAnsi="Lato" w:cstheme="majorHAnsi"/>
                <w:b/>
                <w:bCs/>
                <w:color w:val="000000"/>
                <w:sz w:val="18"/>
                <w:szCs w:val="18"/>
              </w:rPr>
              <w:t>lub</w:t>
            </w:r>
            <w:r w:rsidRPr="001A28EB">
              <w:rPr>
                <w:rFonts w:ascii="Lato" w:hAnsi="Lato" w:cstheme="majorHAnsi"/>
                <w:b/>
                <w:bCs/>
                <w:color w:val="000000"/>
                <w:sz w:val="18"/>
                <w:szCs w:val="18"/>
              </w:rPr>
              <w:t xml:space="preserve"> białkomoczem</w:t>
            </w:r>
            <w:r w:rsidRPr="001A28EB">
              <w:rPr>
                <w:rFonts w:ascii="Lato" w:hAnsi="Lato" w:cstheme="majorHAnsi"/>
                <w:color w:val="000000"/>
                <w:sz w:val="18"/>
                <w:szCs w:val="18"/>
              </w:rPr>
              <w:t xml:space="preserve"> oraz leczonych terapią opartą na ACE-i/ARB nie krócej niż 4 tygodnie lub z przeciwskazaniami do tych terapii.</w:t>
            </w:r>
          </w:p>
        </w:tc>
        <w:tc>
          <w:tcPr>
            <w:tcW w:w="1861" w:type="pct"/>
            <w:tcMar>
              <w:top w:w="0" w:type="dxa"/>
              <w:left w:w="108" w:type="dxa"/>
              <w:bottom w:w="0" w:type="dxa"/>
              <w:right w:w="108" w:type="dxa"/>
            </w:tcMar>
            <w:vAlign w:val="center"/>
          </w:tcPr>
          <w:p w14:paraId="64CD9D09" w14:textId="1F10DBB5" w:rsidR="00AE1F43" w:rsidRPr="001A28EB" w:rsidRDefault="00AE1F43" w:rsidP="00AE1F43">
            <w:pPr>
              <w:spacing w:before="60" w:after="60" w:line="240" w:lineRule="auto"/>
              <w:jc w:val="center"/>
              <w:rPr>
                <w:rFonts w:ascii="Lato" w:hAnsi="Lato" w:cstheme="majorHAnsi"/>
                <w:color w:val="000000"/>
                <w:sz w:val="18"/>
                <w:szCs w:val="18"/>
              </w:rPr>
            </w:pPr>
            <w:r w:rsidRPr="001A28EB">
              <w:rPr>
                <w:rFonts w:ascii="Lato" w:hAnsi="Lato" w:cstheme="majorHAnsi"/>
                <w:color w:val="000000"/>
                <w:sz w:val="18"/>
                <w:szCs w:val="18"/>
              </w:rPr>
              <w:t xml:space="preserve">Druga flozyna na liście leków 65+. Powrót na listę </w:t>
            </w:r>
            <w:r w:rsidR="001A28EB">
              <w:rPr>
                <w:rFonts w:ascii="Lato" w:hAnsi="Lato" w:cstheme="majorHAnsi"/>
                <w:color w:val="000000"/>
                <w:sz w:val="18"/>
                <w:szCs w:val="18"/>
              </w:rPr>
              <w:t xml:space="preserve">bezpłatnych leków dla seniorów </w:t>
            </w:r>
            <w:r w:rsidRPr="001A28EB">
              <w:rPr>
                <w:rFonts w:ascii="Lato" w:hAnsi="Lato" w:cstheme="majorHAnsi"/>
                <w:color w:val="000000"/>
                <w:sz w:val="18"/>
                <w:szCs w:val="18"/>
              </w:rPr>
              <w:t xml:space="preserve">po dwumiesięcznej nieobecności </w:t>
            </w:r>
            <w:r w:rsidRPr="001A28EB">
              <w:rPr>
                <w:rFonts w:ascii="Lato" w:hAnsi="Lato" w:cstheme="majorHAnsi"/>
                <w:sz w:val="18"/>
                <w:szCs w:val="18"/>
              </w:rPr>
              <w:t>z jednoczesnym rozszerzeniem wskazania refundacyjnego dla pacjentów z przewlekłą niewydolnością nerek.</w:t>
            </w:r>
          </w:p>
        </w:tc>
      </w:tr>
      <w:bookmarkEnd w:id="3"/>
    </w:tbl>
    <w:p w14:paraId="3B4E4833" w14:textId="77777777" w:rsidR="008B5033" w:rsidRPr="001A28EB" w:rsidRDefault="008B5033" w:rsidP="008B5033">
      <w:pPr>
        <w:jc w:val="center"/>
        <w:rPr>
          <w:rFonts w:ascii="Lato" w:hAnsi="Lato"/>
          <w:b/>
          <w:bCs/>
          <w:color w:val="00B0F0"/>
          <w:sz w:val="28"/>
          <w:szCs w:val="28"/>
        </w:rPr>
      </w:pPr>
    </w:p>
    <w:p w14:paraId="479334FD" w14:textId="77777777" w:rsidR="00C404D9" w:rsidRPr="00C404D9" w:rsidRDefault="00C404D9" w:rsidP="00C404D9">
      <w:pPr>
        <w:jc w:val="center"/>
        <w:rPr>
          <w:rFonts w:ascii="Lato" w:hAnsi="Lato"/>
          <w:b/>
          <w:bCs/>
          <w:color w:val="00B0F0"/>
          <w:sz w:val="28"/>
          <w:szCs w:val="28"/>
        </w:rPr>
      </w:pPr>
      <w:r w:rsidRPr="00C404D9">
        <w:rPr>
          <w:rFonts w:ascii="Lato" w:hAnsi="Lato"/>
          <w:b/>
          <w:bCs/>
          <w:color w:val="00B0F0"/>
          <w:sz w:val="28"/>
          <w:szCs w:val="28"/>
        </w:rPr>
        <w:t>Informacja dotycząca wyznaczania limitów na listach A1, A2 i A3</w:t>
      </w:r>
    </w:p>
    <w:p w14:paraId="7564A3B3" w14:textId="77777777" w:rsidR="00C404D9" w:rsidRPr="00C404D9" w:rsidRDefault="00C404D9" w:rsidP="00C404D9">
      <w:pPr>
        <w:spacing w:after="0" w:line="360" w:lineRule="auto"/>
        <w:jc w:val="both"/>
        <w:rPr>
          <w:rFonts w:ascii="Lato" w:hAnsi="Lato"/>
        </w:rPr>
      </w:pPr>
      <w:r w:rsidRPr="00C404D9">
        <w:rPr>
          <w:rFonts w:ascii="Lato" w:hAnsi="Lato"/>
        </w:rPr>
        <w:t>W związku z wejściem w życie ustawy o zmianie ustawy o refundacji  (tzw. DNUR) znacząco został uproszczony algorytm apteczny, tj. poszczególne etapy wyznaczania cen hurtowych i detalicznych oraz limitów finansowania:</w:t>
      </w:r>
    </w:p>
    <w:p w14:paraId="30E90968" w14:textId="77777777"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sortowanie listy wg CZN/DDD (art. 15 ust. 4 ),</w:t>
      </w:r>
    </w:p>
    <w:p w14:paraId="771AAC86" w14:textId="77777777"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wprowadzenie ceny hurtowej (CH, art. 2 ust. 5 ) wyznaczanej jako CZN + marża (art. 7 ust. 1 ),</w:t>
      </w:r>
    </w:p>
    <w:p w14:paraId="55599766" w14:textId="77777777"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wprowadzenie ceny hurtowej brutto (CHB, art. 2 ust. 5a), wyznaczanej jako CH+VAT,</w:t>
      </w:r>
    </w:p>
    <w:p w14:paraId="691214AB" w14:textId="40C0BEED" w:rsidR="00C404D9" w:rsidRPr="00C404D9" w:rsidRDefault="00C404D9" w:rsidP="00C404D9">
      <w:pPr>
        <w:pStyle w:val="Akapitzlist"/>
        <w:numPr>
          <w:ilvl w:val="0"/>
          <w:numId w:val="42"/>
        </w:numPr>
        <w:spacing w:after="0" w:line="360" w:lineRule="auto"/>
        <w:ind w:left="567"/>
        <w:jc w:val="both"/>
        <w:rPr>
          <w:rFonts w:ascii="Lato" w:hAnsi="Lato"/>
        </w:rPr>
      </w:pPr>
      <w:r w:rsidRPr="00C404D9">
        <w:rPr>
          <w:rFonts w:ascii="Lato" w:hAnsi="Lato"/>
        </w:rPr>
        <w:t>wprowadzenie nowych marż aptecznych (art. 7 ust. 4 )</w:t>
      </w:r>
      <w:r w:rsidR="002C02B6">
        <w:rPr>
          <w:rFonts w:ascii="Lato" w:hAnsi="Lato"/>
        </w:rPr>
        <w:t>.</w:t>
      </w:r>
    </w:p>
    <w:p w14:paraId="75AFE48C" w14:textId="0EFDC1EF" w:rsidR="00C404D9" w:rsidRPr="00C404D9" w:rsidRDefault="00C404D9" w:rsidP="00C404D9">
      <w:pPr>
        <w:spacing w:after="0" w:line="360" w:lineRule="auto"/>
        <w:jc w:val="both"/>
        <w:rPr>
          <w:rFonts w:ascii="Lato" w:hAnsi="Lato"/>
        </w:rPr>
      </w:pPr>
      <w:r w:rsidRPr="00C404D9">
        <w:rPr>
          <w:rFonts w:ascii="Lato" w:hAnsi="Lato"/>
        </w:rPr>
        <w:lastRenderedPageBreak/>
        <w:t>Wszystkie powyższe zmiany zostały zaimplementowane już na obwieszczenie obowiązujące od 1 listopada 2023 r. Wraz z napływającymi uwagami została podjęta decyzja o dalszych uproszczeniach algorytmu, tj. zmianie sposobu wyznaczania tzw. podstawy limitu służącej do wyznaczania marży detalicznej. Od 1 stycznia 202</w:t>
      </w:r>
      <w:r w:rsidR="002C02B6">
        <w:rPr>
          <w:rFonts w:ascii="Lato" w:hAnsi="Lato"/>
        </w:rPr>
        <w:t>4</w:t>
      </w:r>
      <w:r w:rsidRPr="00C404D9">
        <w:rPr>
          <w:rFonts w:ascii="Lato" w:hAnsi="Lato"/>
        </w:rPr>
        <w:t xml:space="preserve"> r. wartość </w:t>
      </w:r>
      <w:r w:rsidRPr="00C404D9">
        <w:rPr>
          <w:rFonts w:ascii="Lato" w:hAnsi="Lato"/>
          <w:i/>
          <w:iCs/>
        </w:rPr>
        <w:t>x</w:t>
      </w:r>
      <w:r w:rsidRPr="00C404D9">
        <w:rPr>
          <w:rStyle w:val="Odwoanieprzypisudolnego"/>
          <w:rFonts w:ascii="Lato" w:hAnsi="Lato"/>
        </w:rPr>
        <w:footnoteReference w:id="1"/>
      </w:r>
      <w:r w:rsidRPr="00C404D9">
        <w:rPr>
          <w:rFonts w:ascii="Lato" w:hAnsi="Lato"/>
        </w:rPr>
        <w:t xml:space="preserve"> będzie wyliczana jako: </w:t>
      </w:r>
      <m:oMath>
        <m:r>
          <w:rPr>
            <w:rStyle w:val="pismamzZnak"/>
            <w:rFonts w:ascii="Cambria Math" w:hAnsi="Cambria Math"/>
          </w:rPr>
          <m:t>x=</m:t>
        </m:r>
        <m:sSub>
          <m:sSubPr>
            <m:ctrlPr>
              <w:rPr>
                <w:rStyle w:val="pismamzZnak"/>
                <w:rFonts w:ascii="Cambria Math" w:hAnsi="Cambria Math"/>
                <w:i/>
              </w:rPr>
            </m:ctrlPr>
          </m:sSubPr>
          <m:e>
            <m:r>
              <w:rPr>
                <w:rStyle w:val="pismamzZnak"/>
                <w:rFonts w:ascii="Cambria Math" w:hAnsi="Cambria Math"/>
              </w:rPr>
              <m:t>CHB</m:t>
            </m:r>
          </m:e>
          <m:sub>
            <m:r>
              <w:rPr>
                <w:rStyle w:val="pismamzZnak"/>
                <w:rFonts w:ascii="Cambria Math" w:hAnsi="Cambria Math"/>
              </w:rPr>
              <m:t>podstawy</m:t>
            </m:r>
          </m:sub>
        </m:sSub>
        <m:r>
          <w:rPr>
            <w:rStyle w:val="pismamzZnak"/>
            <w:rFonts w:ascii="Cambria Math" w:hAnsi="Cambria Math"/>
          </w:rPr>
          <m:t>×</m:t>
        </m:r>
        <m:f>
          <m:fPr>
            <m:ctrlPr>
              <w:rPr>
                <w:rStyle w:val="pismamzZnak"/>
                <w:rFonts w:ascii="Cambria Math" w:hAnsi="Cambria Math"/>
                <w:i/>
              </w:rPr>
            </m:ctrlPr>
          </m:fPr>
          <m:num>
            <m:sSub>
              <m:sSubPr>
                <m:ctrlPr>
                  <w:rPr>
                    <w:rStyle w:val="pismamzZnak"/>
                    <w:rFonts w:ascii="Cambria Math" w:hAnsi="Cambria Math"/>
                    <w:i/>
                  </w:rPr>
                </m:ctrlPr>
              </m:sSubPr>
              <m:e>
                <m:r>
                  <w:rPr>
                    <w:rStyle w:val="pismamzZnak"/>
                    <w:rFonts w:ascii="Cambria Math" w:hAnsi="Cambria Math"/>
                  </w:rPr>
                  <m:t>DDD</m:t>
                </m:r>
              </m:e>
              <m:sub>
                <m:r>
                  <w:rPr>
                    <w:rStyle w:val="pismamzZnak"/>
                    <w:rFonts w:ascii="Cambria Math" w:hAnsi="Cambria Math"/>
                  </w:rPr>
                  <m:t>leku</m:t>
                </m:r>
              </m:sub>
            </m:sSub>
          </m:num>
          <m:den>
            <m:sSub>
              <m:sSubPr>
                <m:ctrlPr>
                  <w:rPr>
                    <w:rStyle w:val="pismamzZnak"/>
                    <w:rFonts w:ascii="Cambria Math" w:hAnsi="Cambria Math"/>
                    <w:i/>
                  </w:rPr>
                </m:ctrlPr>
              </m:sSubPr>
              <m:e>
                <m:r>
                  <w:rPr>
                    <w:rStyle w:val="pismamzZnak"/>
                    <w:rFonts w:ascii="Cambria Math" w:hAnsi="Cambria Math"/>
                  </w:rPr>
                  <m:t>DDD</m:t>
                </m:r>
              </m:e>
              <m:sub>
                <m:r>
                  <w:rPr>
                    <w:rStyle w:val="pismamzZnak"/>
                    <w:rFonts w:ascii="Cambria Math" w:hAnsi="Cambria Math"/>
                  </w:rPr>
                  <m:t>podstawy</m:t>
                </m:r>
              </m:sub>
            </m:sSub>
          </m:den>
        </m:f>
      </m:oMath>
      <w:r w:rsidRPr="00C404D9">
        <w:rPr>
          <w:rStyle w:val="pismamzZnak"/>
          <w:rFonts w:ascii="Lato" w:hAnsi="Lato"/>
        </w:rPr>
        <w:t xml:space="preserve"> </w:t>
      </w:r>
      <w:r w:rsidRPr="00C404D9">
        <w:rPr>
          <w:rFonts w:ascii="Lato" w:hAnsi="Lato"/>
        </w:rPr>
        <w:t>i zaokrąglana do 6 miejsc po przecinku.</w:t>
      </w:r>
    </w:p>
    <w:p w14:paraId="543E9E27" w14:textId="256A48F2" w:rsidR="00D76F69" w:rsidRPr="00AE3E90" w:rsidRDefault="00C404D9" w:rsidP="00AE3E90">
      <w:pPr>
        <w:spacing w:before="240" w:after="120" w:line="360" w:lineRule="auto"/>
        <w:jc w:val="both"/>
        <w:rPr>
          <w:rFonts w:ascii="Lato" w:hAnsi="Lato"/>
        </w:rPr>
      </w:pPr>
      <w:r w:rsidRPr="00C404D9">
        <w:rPr>
          <w:rFonts w:ascii="Lato" w:hAnsi="Lato"/>
        </w:rPr>
        <w:t>Wprowadzenie omawianej modyfikacji spowoduje groszowe zmiany w cenach detalicznych i opłatach pacjentów.</w:t>
      </w:r>
    </w:p>
    <w:sectPr w:rsidR="00D76F69" w:rsidRPr="00AE3E90" w:rsidSect="005058F2">
      <w:headerReference w:type="first" r:id="rId11"/>
      <w:pgSz w:w="16838" w:h="11906" w:orient="landscape"/>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E926" w14:textId="77777777" w:rsidR="001132ED" w:rsidRDefault="001132ED">
      <w:pPr>
        <w:spacing w:after="0" w:line="240" w:lineRule="auto"/>
      </w:pPr>
      <w:r>
        <w:separator/>
      </w:r>
    </w:p>
  </w:endnote>
  <w:endnote w:type="continuationSeparator" w:id="0">
    <w:p w14:paraId="3B2D1040" w14:textId="77777777" w:rsidR="001132ED" w:rsidRDefault="0011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A0F0" w14:textId="77777777" w:rsidR="001132ED" w:rsidRDefault="001132ED">
      <w:pPr>
        <w:spacing w:after="0" w:line="240" w:lineRule="auto"/>
      </w:pPr>
      <w:r>
        <w:rPr>
          <w:color w:val="000000"/>
        </w:rPr>
        <w:separator/>
      </w:r>
    </w:p>
  </w:footnote>
  <w:footnote w:type="continuationSeparator" w:id="0">
    <w:p w14:paraId="4C73E4B2" w14:textId="77777777" w:rsidR="001132ED" w:rsidRDefault="001132ED">
      <w:pPr>
        <w:spacing w:after="0" w:line="240" w:lineRule="auto"/>
      </w:pPr>
      <w:r>
        <w:continuationSeparator/>
      </w:r>
    </w:p>
  </w:footnote>
  <w:footnote w:id="1">
    <w:p w14:paraId="5C4056CA" w14:textId="77777777" w:rsidR="00C404D9" w:rsidRPr="00415F5C" w:rsidRDefault="00C404D9" w:rsidP="00C404D9">
      <w:pPr>
        <w:pStyle w:val="Tekstprzypisudolnego"/>
        <w:rPr>
          <w:rFonts w:ascii="Lato" w:hAnsi="Lato"/>
          <w:sz w:val="16"/>
          <w:szCs w:val="16"/>
        </w:rPr>
      </w:pPr>
      <w:r w:rsidRPr="00415F5C">
        <w:rPr>
          <w:rStyle w:val="Odwoanieprzypisudolnego"/>
          <w:rFonts w:ascii="Lato" w:hAnsi="Lato"/>
          <w:sz w:val="16"/>
          <w:szCs w:val="16"/>
        </w:rPr>
        <w:footnoteRef/>
      </w:r>
      <w:r w:rsidRPr="00415F5C">
        <w:rPr>
          <w:rFonts w:ascii="Lato" w:hAnsi="Lato"/>
          <w:sz w:val="16"/>
          <w:szCs w:val="16"/>
        </w:rPr>
        <w:t xml:space="preserve"> Art. 7 ust. 4. Ustala się urzędową marżę detaliczną naliczaną od ceny hurtowej brutto leku (…) stanowiącego podstawę limitu w danej grupie limitowej, w wysokości: &lt;tabela&gt;, gdzie </w:t>
      </w:r>
      <w:r w:rsidRPr="00415F5C">
        <w:rPr>
          <w:rFonts w:ascii="Lato" w:hAnsi="Lato"/>
          <w:i/>
          <w:iCs/>
          <w:sz w:val="16"/>
          <w:szCs w:val="16"/>
        </w:rPr>
        <w:t>x</w:t>
      </w:r>
      <w:r w:rsidRPr="00415F5C">
        <w:rPr>
          <w:rFonts w:ascii="Lato" w:hAnsi="Lato"/>
          <w:sz w:val="16"/>
          <w:szCs w:val="16"/>
        </w:rPr>
        <w:t xml:space="preserve"> oznacza cenę hurtową brutto leku (…) stanowiącego podstawę limitu, uwzględniającą liczbę DDD leku (…) w opakowaniu albo liczbę jednostkowych wyrobów medycznych, albo liczbę jednostek wyrobu medycznego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36CF" w14:textId="4633511D" w:rsidR="005058F2" w:rsidRDefault="00143D0B">
    <w:pPr>
      <w:pStyle w:val="Nagwek"/>
    </w:pPr>
    <w:bookmarkStart w:id="4" w:name="_Hlk74147372"/>
    <w:bookmarkEnd w:id="4"/>
    <w:r>
      <w:rPr>
        <w:noProof/>
        <w:lang w:eastAsia="pl-PL"/>
      </w:rPr>
      <w:drawing>
        <wp:inline distT="0" distB="0" distL="0" distR="0" wp14:anchorId="39BB8D04" wp14:editId="6B1DB73B">
          <wp:extent cx="2381885" cy="106172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81885" cy="1061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405"/>
    <w:multiLevelType w:val="hybridMultilevel"/>
    <w:tmpl w:val="B308D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17CF6"/>
    <w:multiLevelType w:val="hybridMultilevel"/>
    <w:tmpl w:val="11287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F621D5"/>
    <w:multiLevelType w:val="hybridMultilevel"/>
    <w:tmpl w:val="CED09C14"/>
    <w:lvl w:ilvl="0" w:tplc="41943DD6">
      <w:start w:val="1"/>
      <w:numFmt w:val="lowerLetter"/>
      <w:lvlText w:val="%1)"/>
      <w:lvlJc w:val="left"/>
      <w:pPr>
        <w:ind w:left="567" w:hanging="207"/>
      </w:pPr>
      <w:rPr>
        <w:rFonts w:ascii="Lato" w:eastAsiaTheme="minorHAnsi" w:hAnsi="Lato" w:cs="Arial" w:hint="default"/>
      </w:rPr>
    </w:lvl>
    <w:lvl w:ilvl="1" w:tplc="252C51DC">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3163CA"/>
    <w:multiLevelType w:val="hybridMultilevel"/>
    <w:tmpl w:val="0DE0BC64"/>
    <w:lvl w:ilvl="0" w:tplc="CEC4EFEE">
      <w:start w:val="1"/>
      <w:numFmt w:val="bullet"/>
      <w:lvlText w:val="•"/>
      <w:lvlJc w:val="left"/>
      <w:pPr>
        <w:ind w:left="1049" w:firstLine="227"/>
      </w:pPr>
      <w:rPr>
        <w:rFonts w:hint="default"/>
      </w:rPr>
    </w:lvl>
    <w:lvl w:ilvl="1" w:tplc="04150003" w:tentative="1">
      <w:start w:val="1"/>
      <w:numFmt w:val="bullet"/>
      <w:lvlText w:val="o"/>
      <w:lvlJc w:val="left"/>
      <w:pPr>
        <w:ind w:left="1979" w:hanging="360"/>
      </w:pPr>
      <w:rPr>
        <w:rFonts w:ascii="Courier New" w:hAnsi="Courier New" w:cs="Courier New" w:hint="default"/>
      </w:rPr>
    </w:lvl>
    <w:lvl w:ilvl="2" w:tplc="04150005" w:tentative="1">
      <w:start w:val="1"/>
      <w:numFmt w:val="bullet"/>
      <w:lvlText w:val=""/>
      <w:lvlJc w:val="left"/>
      <w:pPr>
        <w:ind w:left="2699" w:hanging="360"/>
      </w:pPr>
      <w:rPr>
        <w:rFonts w:ascii="Wingdings" w:hAnsi="Wingdings" w:hint="default"/>
      </w:rPr>
    </w:lvl>
    <w:lvl w:ilvl="3" w:tplc="04150001" w:tentative="1">
      <w:start w:val="1"/>
      <w:numFmt w:val="bullet"/>
      <w:lvlText w:val=""/>
      <w:lvlJc w:val="left"/>
      <w:pPr>
        <w:ind w:left="3419" w:hanging="360"/>
      </w:pPr>
      <w:rPr>
        <w:rFonts w:ascii="Symbol" w:hAnsi="Symbol" w:hint="default"/>
      </w:rPr>
    </w:lvl>
    <w:lvl w:ilvl="4" w:tplc="04150003" w:tentative="1">
      <w:start w:val="1"/>
      <w:numFmt w:val="bullet"/>
      <w:lvlText w:val="o"/>
      <w:lvlJc w:val="left"/>
      <w:pPr>
        <w:ind w:left="4139" w:hanging="360"/>
      </w:pPr>
      <w:rPr>
        <w:rFonts w:ascii="Courier New" w:hAnsi="Courier New" w:cs="Courier New" w:hint="default"/>
      </w:rPr>
    </w:lvl>
    <w:lvl w:ilvl="5" w:tplc="04150005" w:tentative="1">
      <w:start w:val="1"/>
      <w:numFmt w:val="bullet"/>
      <w:lvlText w:val=""/>
      <w:lvlJc w:val="left"/>
      <w:pPr>
        <w:ind w:left="4859" w:hanging="360"/>
      </w:pPr>
      <w:rPr>
        <w:rFonts w:ascii="Wingdings" w:hAnsi="Wingdings" w:hint="default"/>
      </w:rPr>
    </w:lvl>
    <w:lvl w:ilvl="6" w:tplc="04150001" w:tentative="1">
      <w:start w:val="1"/>
      <w:numFmt w:val="bullet"/>
      <w:lvlText w:val=""/>
      <w:lvlJc w:val="left"/>
      <w:pPr>
        <w:ind w:left="5579" w:hanging="360"/>
      </w:pPr>
      <w:rPr>
        <w:rFonts w:ascii="Symbol" w:hAnsi="Symbol" w:hint="default"/>
      </w:rPr>
    </w:lvl>
    <w:lvl w:ilvl="7" w:tplc="04150003" w:tentative="1">
      <w:start w:val="1"/>
      <w:numFmt w:val="bullet"/>
      <w:lvlText w:val="o"/>
      <w:lvlJc w:val="left"/>
      <w:pPr>
        <w:ind w:left="6299" w:hanging="360"/>
      </w:pPr>
      <w:rPr>
        <w:rFonts w:ascii="Courier New" w:hAnsi="Courier New" w:cs="Courier New" w:hint="default"/>
      </w:rPr>
    </w:lvl>
    <w:lvl w:ilvl="8" w:tplc="04150005" w:tentative="1">
      <w:start w:val="1"/>
      <w:numFmt w:val="bullet"/>
      <w:lvlText w:val=""/>
      <w:lvlJc w:val="left"/>
      <w:pPr>
        <w:ind w:left="7019" w:hanging="360"/>
      </w:pPr>
      <w:rPr>
        <w:rFonts w:ascii="Wingdings" w:hAnsi="Wingdings" w:hint="default"/>
      </w:rPr>
    </w:lvl>
  </w:abstractNum>
  <w:abstractNum w:abstractNumId="4" w15:restartNumberingAfterBreak="0">
    <w:nsid w:val="0D2743CD"/>
    <w:multiLevelType w:val="hybridMultilevel"/>
    <w:tmpl w:val="C2FA7544"/>
    <w:lvl w:ilvl="0" w:tplc="04150001">
      <w:start w:val="1"/>
      <w:numFmt w:val="bullet"/>
      <w:lvlText w:val=""/>
      <w:lvlJc w:val="left"/>
      <w:pPr>
        <w:ind w:left="-13" w:hanging="360"/>
      </w:pPr>
      <w:rPr>
        <w:rFonts w:ascii="Symbol" w:hAnsi="Symbol" w:hint="default"/>
      </w:rPr>
    </w:lvl>
    <w:lvl w:ilvl="1" w:tplc="04150003" w:tentative="1">
      <w:start w:val="1"/>
      <w:numFmt w:val="bullet"/>
      <w:lvlText w:val="o"/>
      <w:lvlJc w:val="left"/>
      <w:pPr>
        <w:ind w:left="707" w:hanging="360"/>
      </w:pPr>
      <w:rPr>
        <w:rFonts w:ascii="Courier New" w:hAnsi="Courier New" w:cs="Courier New" w:hint="default"/>
      </w:rPr>
    </w:lvl>
    <w:lvl w:ilvl="2" w:tplc="04150005" w:tentative="1">
      <w:start w:val="1"/>
      <w:numFmt w:val="bullet"/>
      <w:lvlText w:val=""/>
      <w:lvlJc w:val="left"/>
      <w:pPr>
        <w:ind w:left="1427" w:hanging="360"/>
      </w:pPr>
      <w:rPr>
        <w:rFonts w:ascii="Wingdings" w:hAnsi="Wingdings" w:hint="default"/>
      </w:rPr>
    </w:lvl>
    <w:lvl w:ilvl="3" w:tplc="04150001" w:tentative="1">
      <w:start w:val="1"/>
      <w:numFmt w:val="bullet"/>
      <w:lvlText w:val=""/>
      <w:lvlJc w:val="left"/>
      <w:pPr>
        <w:ind w:left="2147" w:hanging="360"/>
      </w:pPr>
      <w:rPr>
        <w:rFonts w:ascii="Symbol" w:hAnsi="Symbol" w:hint="default"/>
      </w:rPr>
    </w:lvl>
    <w:lvl w:ilvl="4" w:tplc="04150003" w:tentative="1">
      <w:start w:val="1"/>
      <w:numFmt w:val="bullet"/>
      <w:lvlText w:val="o"/>
      <w:lvlJc w:val="left"/>
      <w:pPr>
        <w:ind w:left="2867" w:hanging="360"/>
      </w:pPr>
      <w:rPr>
        <w:rFonts w:ascii="Courier New" w:hAnsi="Courier New" w:cs="Courier New" w:hint="default"/>
      </w:rPr>
    </w:lvl>
    <w:lvl w:ilvl="5" w:tplc="04150005" w:tentative="1">
      <w:start w:val="1"/>
      <w:numFmt w:val="bullet"/>
      <w:lvlText w:val=""/>
      <w:lvlJc w:val="left"/>
      <w:pPr>
        <w:ind w:left="3587" w:hanging="360"/>
      </w:pPr>
      <w:rPr>
        <w:rFonts w:ascii="Wingdings" w:hAnsi="Wingdings" w:hint="default"/>
      </w:rPr>
    </w:lvl>
    <w:lvl w:ilvl="6" w:tplc="04150001" w:tentative="1">
      <w:start w:val="1"/>
      <w:numFmt w:val="bullet"/>
      <w:lvlText w:val=""/>
      <w:lvlJc w:val="left"/>
      <w:pPr>
        <w:ind w:left="4307" w:hanging="360"/>
      </w:pPr>
      <w:rPr>
        <w:rFonts w:ascii="Symbol" w:hAnsi="Symbol" w:hint="default"/>
      </w:rPr>
    </w:lvl>
    <w:lvl w:ilvl="7" w:tplc="04150003" w:tentative="1">
      <w:start w:val="1"/>
      <w:numFmt w:val="bullet"/>
      <w:lvlText w:val="o"/>
      <w:lvlJc w:val="left"/>
      <w:pPr>
        <w:ind w:left="5027" w:hanging="360"/>
      </w:pPr>
      <w:rPr>
        <w:rFonts w:ascii="Courier New" w:hAnsi="Courier New" w:cs="Courier New" w:hint="default"/>
      </w:rPr>
    </w:lvl>
    <w:lvl w:ilvl="8" w:tplc="04150005" w:tentative="1">
      <w:start w:val="1"/>
      <w:numFmt w:val="bullet"/>
      <w:lvlText w:val=""/>
      <w:lvlJc w:val="left"/>
      <w:pPr>
        <w:ind w:left="5747" w:hanging="360"/>
      </w:pPr>
      <w:rPr>
        <w:rFonts w:ascii="Wingdings" w:hAnsi="Wingdings" w:hint="default"/>
      </w:rPr>
    </w:lvl>
  </w:abstractNum>
  <w:abstractNum w:abstractNumId="5" w15:restartNumberingAfterBreak="0">
    <w:nsid w:val="12197AB9"/>
    <w:multiLevelType w:val="hybridMultilevel"/>
    <w:tmpl w:val="A650B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E0EDD"/>
    <w:multiLevelType w:val="hybridMultilevel"/>
    <w:tmpl w:val="AD006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0F2875"/>
    <w:multiLevelType w:val="hybridMultilevel"/>
    <w:tmpl w:val="1EC49BCA"/>
    <w:lvl w:ilvl="0" w:tplc="5A3E6A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83431"/>
    <w:multiLevelType w:val="hybridMultilevel"/>
    <w:tmpl w:val="ABB6E3FC"/>
    <w:lvl w:ilvl="0" w:tplc="FC02698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A42910"/>
    <w:multiLevelType w:val="hybridMultilevel"/>
    <w:tmpl w:val="10004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757CAC"/>
    <w:multiLevelType w:val="multilevel"/>
    <w:tmpl w:val="0A84EA68"/>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b w:val="0"/>
        <w:bCs/>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1" w15:restartNumberingAfterBreak="0">
    <w:nsid w:val="1E346ADB"/>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2" w15:restartNumberingAfterBreak="0">
    <w:nsid w:val="2754095A"/>
    <w:multiLevelType w:val="hybridMultilevel"/>
    <w:tmpl w:val="E8244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C47F2B"/>
    <w:multiLevelType w:val="hybridMultilevel"/>
    <w:tmpl w:val="5E207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F91E53"/>
    <w:multiLevelType w:val="hybridMultilevel"/>
    <w:tmpl w:val="E0781596"/>
    <w:lvl w:ilvl="0" w:tplc="FC02698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D3FDC"/>
    <w:multiLevelType w:val="multilevel"/>
    <w:tmpl w:val="887C7392"/>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b/>
        <w:bCs/>
      </w:rPr>
    </w:lvl>
    <w:lvl w:ilvl="2">
      <w:start w:val="1"/>
      <w:numFmt w:val="decimal"/>
      <w:suff w:val="space"/>
      <w:lvlText w:val="%1.%2.%3."/>
      <w:lvlJc w:val="left"/>
      <w:pPr>
        <w:ind w:left="227" w:hanging="227"/>
      </w:pPr>
      <w:rPr>
        <w:rFonts w:hint="default"/>
        <w:b/>
        <w:bCs/>
        <w:i w:val="0"/>
      </w:rPr>
    </w:lvl>
    <w:lvl w:ilvl="3">
      <w:start w:val="1"/>
      <w:numFmt w:val="decimal"/>
      <w:suff w:val="space"/>
      <w:lvlText w:val="%4)"/>
      <w:lvlJc w:val="left"/>
      <w:pPr>
        <w:ind w:left="454" w:hanging="227"/>
      </w:pPr>
      <w:rPr>
        <w:rFonts w:hint="default"/>
        <w:b w:val="0"/>
        <w:bCs w:val="0"/>
      </w:rPr>
    </w:lvl>
    <w:lvl w:ilvl="4">
      <w:start w:val="1"/>
      <w:numFmt w:val="lowerLetter"/>
      <w:suff w:val="space"/>
      <w:lvlText w:val="%5)"/>
      <w:lvlJc w:val="left"/>
      <w:pPr>
        <w:ind w:left="680" w:hanging="226"/>
      </w:pPr>
      <w:rPr>
        <w:rFonts w:hint="default"/>
      </w:r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6" w15:restartNumberingAfterBreak="0">
    <w:nsid w:val="364F3043"/>
    <w:multiLevelType w:val="hybridMultilevel"/>
    <w:tmpl w:val="7F041AF0"/>
    <w:lvl w:ilvl="0" w:tplc="07E64A30">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7" w15:restartNumberingAfterBreak="0">
    <w:nsid w:val="37CD012E"/>
    <w:multiLevelType w:val="hybridMultilevel"/>
    <w:tmpl w:val="8FFC63CA"/>
    <w:lvl w:ilvl="0" w:tplc="C1569FCA">
      <w:start w:val="1"/>
      <w:numFmt w:val="bullet"/>
      <w:lvlText w:val="o"/>
      <w:lvlJc w:val="left"/>
      <w:pPr>
        <w:ind w:left="1068" w:hanging="217"/>
      </w:pPr>
      <w:rPr>
        <w:rFonts w:ascii="Courier New" w:hAnsi="Courier New"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3F60CD"/>
    <w:multiLevelType w:val="hybridMultilevel"/>
    <w:tmpl w:val="75800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CE0B82"/>
    <w:multiLevelType w:val="hybridMultilevel"/>
    <w:tmpl w:val="386CF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AC42D8"/>
    <w:multiLevelType w:val="hybridMultilevel"/>
    <w:tmpl w:val="154C5C5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150003">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3C6885"/>
    <w:multiLevelType w:val="hybridMultilevel"/>
    <w:tmpl w:val="0B8EC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025CDC"/>
    <w:multiLevelType w:val="hybridMultilevel"/>
    <w:tmpl w:val="23BA0A4E"/>
    <w:lvl w:ilvl="0" w:tplc="041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49340582"/>
    <w:multiLevelType w:val="hybridMultilevel"/>
    <w:tmpl w:val="19703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1076C3"/>
    <w:multiLevelType w:val="hybridMultilevel"/>
    <w:tmpl w:val="ED322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D5F6E8B"/>
    <w:multiLevelType w:val="multilevel"/>
    <w:tmpl w:val="C32AD0A0"/>
    <w:lvl w:ilvl="0">
      <w:start w:val="1"/>
      <w:numFmt w:val="decimal"/>
      <w:suff w:val="space"/>
      <w:lvlText w:val="%1."/>
      <w:lvlJc w:val="left"/>
      <w:pPr>
        <w:ind w:left="227" w:hanging="227"/>
      </w:pPr>
      <w:rPr>
        <w:b/>
      </w:rPr>
    </w:lvl>
    <w:lvl w:ilvl="1">
      <w:start w:val="1"/>
      <w:numFmt w:val="decimal"/>
      <w:suff w:val="space"/>
      <w:lvlText w:val="%1.%2."/>
      <w:lvlJc w:val="left"/>
      <w:pPr>
        <w:ind w:left="227" w:hanging="227"/>
      </w:pPr>
      <w:rPr>
        <w:b/>
        <w:bCs/>
      </w:rPr>
    </w:lvl>
    <w:lvl w:ilvl="2">
      <w:start w:val="1"/>
      <w:numFmt w:val="decimal"/>
      <w:suff w:val="space"/>
      <w:lvlText w:val="%1.%2.%3."/>
      <w:lvlJc w:val="left"/>
      <w:pPr>
        <w:ind w:left="227" w:hanging="227"/>
      </w:pPr>
      <w:rPr>
        <w:b/>
        <w:bCs/>
        <w:i w:val="0"/>
      </w:rPr>
    </w:lvl>
    <w:lvl w:ilvl="3">
      <w:start w:val="1"/>
      <w:numFmt w:val="decimal"/>
      <w:suff w:val="space"/>
      <w:lvlText w:val="%4)"/>
      <w:lvlJc w:val="left"/>
      <w:pPr>
        <w:ind w:left="454" w:hanging="227"/>
      </w:pPr>
      <w:rPr>
        <w:b w:val="0"/>
        <w:bCs/>
        <w:strike w:val="0"/>
      </w:rPr>
    </w:lvl>
    <w:lvl w:ilvl="4">
      <w:start w:val="1"/>
      <w:numFmt w:val="lowerLetter"/>
      <w:suff w:val="space"/>
      <w:lvlText w:val="%5)"/>
      <w:lvlJc w:val="left"/>
      <w:pPr>
        <w:ind w:left="680" w:hanging="226"/>
      </w:pPr>
    </w:lvl>
    <w:lvl w:ilvl="5">
      <w:start w:val="1"/>
      <w:numFmt w:val="bullet"/>
      <w:lvlText w:val=""/>
      <w:lvlJc w:val="left"/>
      <w:pPr>
        <w:ind w:left="907" w:hanging="227"/>
      </w:pPr>
      <w:rPr>
        <w:rFonts w:ascii="Symbol" w:hAnsi="Symbol" w:hint="default"/>
      </w:rPr>
    </w:lvl>
    <w:lvl w:ilvl="6">
      <w:start w:val="1"/>
      <w:numFmt w:val="lowerRoman"/>
      <w:lvlText w:val="%7."/>
      <w:lvlJc w:val="left"/>
      <w:pPr>
        <w:ind w:left="1134" w:hanging="227"/>
      </w:pPr>
    </w:lvl>
    <w:lvl w:ilvl="7">
      <w:start w:val="1"/>
      <w:numFmt w:val="decimal"/>
      <w:lvlText w:val="%1.%2.%3.%4.%5.%6.%7.%8."/>
      <w:lvlJc w:val="left"/>
      <w:pPr>
        <w:ind w:left="3950" w:hanging="1224"/>
      </w:pPr>
    </w:lvl>
    <w:lvl w:ilvl="8">
      <w:start w:val="1"/>
      <w:numFmt w:val="decimal"/>
      <w:lvlText w:val="%1.%2.%3.%4.%5.%6.%7.%8.%9."/>
      <w:lvlJc w:val="left"/>
      <w:pPr>
        <w:ind w:left="4526" w:hanging="1440"/>
      </w:pPr>
    </w:lvl>
  </w:abstractNum>
  <w:abstractNum w:abstractNumId="26" w15:restartNumberingAfterBreak="0">
    <w:nsid w:val="4EBA728E"/>
    <w:multiLevelType w:val="hybridMultilevel"/>
    <w:tmpl w:val="1748AC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072792B"/>
    <w:multiLevelType w:val="hybridMultilevel"/>
    <w:tmpl w:val="75AA86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5EB6498"/>
    <w:multiLevelType w:val="hybridMultilevel"/>
    <w:tmpl w:val="F1366E56"/>
    <w:lvl w:ilvl="0" w:tplc="0CEC034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5BB03E5C"/>
    <w:multiLevelType w:val="hybridMultilevel"/>
    <w:tmpl w:val="FF32B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FF5C7F"/>
    <w:multiLevelType w:val="hybridMultilevel"/>
    <w:tmpl w:val="5AF2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F4348AE"/>
    <w:multiLevelType w:val="hybridMultilevel"/>
    <w:tmpl w:val="FDF40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6230E35"/>
    <w:multiLevelType w:val="hybridMultilevel"/>
    <w:tmpl w:val="4F46BCC6"/>
    <w:lvl w:ilvl="0" w:tplc="EE4685BA">
      <w:start w:val="1"/>
      <w:numFmt w:val="bullet"/>
      <w:lvlText w:val="o"/>
      <w:lvlJc w:val="left"/>
      <w:pPr>
        <w:ind w:left="1418" w:hanging="284"/>
      </w:pPr>
      <w:rPr>
        <w:rFonts w:ascii="Courier New" w:hAnsi="Courier New"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o"/>
      <w:lvlJc w:val="left"/>
      <w:pPr>
        <w:ind w:left="1068"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3F0D0B"/>
    <w:multiLevelType w:val="hybridMultilevel"/>
    <w:tmpl w:val="3A2E6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594C8D"/>
    <w:multiLevelType w:val="hybridMultilevel"/>
    <w:tmpl w:val="10004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547E04"/>
    <w:multiLevelType w:val="hybridMultilevel"/>
    <w:tmpl w:val="5CC0C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D4478E"/>
    <w:multiLevelType w:val="hybridMultilevel"/>
    <w:tmpl w:val="AF20E10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1108AF"/>
    <w:multiLevelType w:val="hybridMultilevel"/>
    <w:tmpl w:val="C63A44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FE6242"/>
    <w:multiLevelType w:val="hybridMultilevel"/>
    <w:tmpl w:val="A3463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324C5B"/>
    <w:multiLevelType w:val="hybridMultilevel"/>
    <w:tmpl w:val="01F6A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2068946">
    <w:abstractNumId w:val="9"/>
  </w:num>
  <w:num w:numId="2" w16cid:durableId="983047750">
    <w:abstractNumId w:val="7"/>
  </w:num>
  <w:num w:numId="3" w16cid:durableId="912206815">
    <w:abstractNumId w:val="10"/>
  </w:num>
  <w:num w:numId="4" w16cid:durableId="1919241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262071">
    <w:abstractNumId w:val="34"/>
  </w:num>
  <w:num w:numId="6" w16cid:durableId="1164782895">
    <w:abstractNumId w:val="8"/>
  </w:num>
  <w:num w:numId="7" w16cid:durableId="1764568987">
    <w:abstractNumId w:val="14"/>
  </w:num>
  <w:num w:numId="8" w16cid:durableId="1605840971">
    <w:abstractNumId w:val="16"/>
  </w:num>
  <w:num w:numId="9" w16cid:durableId="969629549">
    <w:abstractNumId w:val="30"/>
  </w:num>
  <w:num w:numId="10" w16cid:durableId="1576276737">
    <w:abstractNumId w:val="4"/>
  </w:num>
  <w:num w:numId="11" w16cid:durableId="409036424">
    <w:abstractNumId w:val="39"/>
  </w:num>
  <w:num w:numId="12" w16cid:durableId="1526747669">
    <w:abstractNumId w:val="6"/>
  </w:num>
  <w:num w:numId="13" w16cid:durableId="1746950255">
    <w:abstractNumId w:val="18"/>
  </w:num>
  <w:num w:numId="14" w16cid:durableId="329715522">
    <w:abstractNumId w:val="21"/>
  </w:num>
  <w:num w:numId="15" w16cid:durableId="1837842867">
    <w:abstractNumId w:val="19"/>
  </w:num>
  <w:num w:numId="16" w16cid:durableId="1970238000">
    <w:abstractNumId w:val="33"/>
  </w:num>
  <w:num w:numId="17" w16cid:durableId="485172914">
    <w:abstractNumId w:val="25"/>
  </w:num>
  <w:num w:numId="18" w16cid:durableId="338780148">
    <w:abstractNumId w:val="11"/>
  </w:num>
  <w:num w:numId="19" w16cid:durableId="1977641737">
    <w:abstractNumId w:val="4"/>
  </w:num>
  <w:num w:numId="20" w16cid:durableId="1099830501">
    <w:abstractNumId w:val="3"/>
  </w:num>
  <w:num w:numId="21" w16cid:durableId="1796680411">
    <w:abstractNumId w:val="27"/>
  </w:num>
  <w:num w:numId="22" w16cid:durableId="1157845039">
    <w:abstractNumId w:val="26"/>
  </w:num>
  <w:num w:numId="23" w16cid:durableId="1318220489">
    <w:abstractNumId w:val="23"/>
  </w:num>
  <w:num w:numId="24" w16cid:durableId="791442922">
    <w:abstractNumId w:val="29"/>
  </w:num>
  <w:num w:numId="25" w16cid:durableId="1530946489">
    <w:abstractNumId w:val="0"/>
  </w:num>
  <w:num w:numId="26" w16cid:durableId="1890258346">
    <w:abstractNumId w:val="2"/>
  </w:num>
  <w:num w:numId="27" w16cid:durableId="1649245800">
    <w:abstractNumId w:val="31"/>
  </w:num>
  <w:num w:numId="28" w16cid:durableId="611791289">
    <w:abstractNumId w:val="1"/>
  </w:num>
  <w:num w:numId="29" w16cid:durableId="1781562961">
    <w:abstractNumId w:val="38"/>
  </w:num>
  <w:num w:numId="30" w16cid:durableId="270279854">
    <w:abstractNumId w:val="28"/>
  </w:num>
  <w:num w:numId="31" w16cid:durableId="1770471421">
    <w:abstractNumId w:val="13"/>
  </w:num>
  <w:num w:numId="32" w16cid:durableId="1010982881">
    <w:abstractNumId w:val="37"/>
  </w:num>
  <w:num w:numId="33" w16cid:durableId="1406343733">
    <w:abstractNumId w:val="36"/>
  </w:num>
  <w:num w:numId="34" w16cid:durableId="1826360189">
    <w:abstractNumId w:val="15"/>
  </w:num>
  <w:num w:numId="35" w16cid:durableId="594823733">
    <w:abstractNumId w:val="22"/>
  </w:num>
  <w:num w:numId="36" w16cid:durableId="179323471">
    <w:abstractNumId w:val="20"/>
  </w:num>
  <w:num w:numId="37" w16cid:durableId="1776514804">
    <w:abstractNumId w:val="17"/>
  </w:num>
  <w:num w:numId="38" w16cid:durableId="653799481">
    <w:abstractNumId w:val="32"/>
  </w:num>
  <w:num w:numId="39" w16cid:durableId="757291277">
    <w:abstractNumId w:val="35"/>
  </w:num>
  <w:num w:numId="40" w16cid:durableId="481896344">
    <w:abstractNumId w:val="12"/>
  </w:num>
  <w:num w:numId="41" w16cid:durableId="65421285">
    <w:abstractNumId w:val="24"/>
  </w:num>
  <w:num w:numId="42" w16cid:durableId="1615136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C5"/>
    <w:rsid w:val="00000ECC"/>
    <w:rsid w:val="00003F3A"/>
    <w:rsid w:val="00006AE8"/>
    <w:rsid w:val="00006BD6"/>
    <w:rsid w:val="00026DCC"/>
    <w:rsid w:val="00031E9F"/>
    <w:rsid w:val="00033ED5"/>
    <w:rsid w:val="0004009C"/>
    <w:rsid w:val="0004482C"/>
    <w:rsid w:val="0005011B"/>
    <w:rsid w:val="00052E44"/>
    <w:rsid w:val="0006066F"/>
    <w:rsid w:val="000702E4"/>
    <w:rsid w:val="00070A13"/>
    <w:rsid w:val="00070A89"/>
    <w:rsid w:val="00077F0C"/>
    <w:rsid w:val="0008118E"/>
    <w:rsid w:val="00084C5D"/>
    <w:rsid w:val="00084DF3"/>
    <w:rsid w:val="00086074"/>
    <w:rsid w:val="0009112E"/>
    <w:rsid w:val="00097B17"/>
    <w:rsid w:val="000A4576"/>
    <w:rsid w:val="000A688D"/>
    <w:rsid w:val="000A6B96"/>
    <w:rsid w:val="000B21F0"/>
    <w:rsid w:val="000B32C4"/>
    <w:rsid w:val="000B65F8"/>
    <w:rsid w:val="000B7075"/>
    <w:rsid w:val="000D02C0"/>
    <w:rsid w:val="000D2FED"/>
    <w:rsid w:val="000E3BBE"/>
    <w:rsid w:val="000E649C"/>
    <w:rsid w:val="000F077F"/>
    <w:rsid w:val="000F3ED2"/>
    <w:rsid w:val="000F5E24"/>
    <w:rsid w:val="000F76DC"/>
    <w:rsid w:val="001030B2"/>
    <w:rsid w:val="001132ED"/>
    <w:rsid w:val="00116B73"/>
    <w:rsid w:val="001204EA"/>
    <w:rsid w:val="00125F02"/>
    <w:rsid w:val="001275D1"/>
    <w:rsid w:val="00134135"/>
    <w:rsid w:val="001377DD"/>
    <w:rsid w:val="00137D33"/>
    <w:rsid w:val="0014120D"/>
    <w:rsid w:val="001426A8"/>
    <w:rsid w:val="00143D0B"/>
    <w:rsid w:val="00144B55"/>
    <w:rsid w:val="00155C8E"/>
    <w:rsid w:val="00157EBF"/>
    <w:rsid w:val="00161605"/>
    <w:rsid w:val="00170D7F"/>
    <w:rsid w:val="00172790"/>
    <w:rsid w:val="00173D8E"/>
    <w:rsid w:val="00175C1F"/>
    <w:rsid w:val="001778F7"/>
    <w:rsid w:val="00180F5C"/>
    <w:rsid w:val="00181288"/>
    <w:rsid w:val="00186CB7"/>
    <w:rsid w:val="00190358"/>
    <w:rsid w:val="001933DE"/>
    <w:rsid w:val="00194CB4"/>
    <w:rsid w:val="00197FA2"/>
    <w:rsid w:val="001A1A5B"/>
    <w:rsid w:val="001A28EB"/>
    <w:rsid w:val="001A7E82"/>
    <w:rsid w:val="001B010E"/>
    <w:rsid w:val="001B0859"/>
    <w:rsid w:val="001B354B"/>
    <w:rsid w:val="001B440C"/>
    <w:rsid w:val="001B7475"/>
    <w:rsid w:val="001D026F"/>
    <w:rsid w:val="001D6485"/>
    <w:rsid w:val="001E2320"/>
    <w:rsid w:val="001E610A"/>
    <w:rsid w:val="001E721F"/>
    <w:rsid w:val="0020378B"/>
    <w:rsid w:val="00205C55"/>
    <w:rsid w:val="00206C0B"/>
    <w:rsid w:val="00221A2A"/>
    <w:rsid w:val="002241C0"/>
    <w:rsid w:val="002270E2"/>
    <w:rsid w:val="00230BB7"/>
    <w:rsid w:val="00237DE2"/>
    <w:rsid w:val="0024697E"/>
    <w:rsid w:val="00255E53"/>
    <w:rsid w:val="00267DD2"/>
    <w:rsid w:val="00271983"/>
    <w:rsid w:val="00275115"/>
    <w:rsid w:val="00280311"/>
    <w:rsid w:val="00281BE7"/>
    <w:rsid w:val="0028225A"/>
    <w:rsid w:val="00284294"/>
    <w:rsid w:val="00286651"/>
    <w:rsid w:val="00287196"/>
    <w:rsid w:val="0029287B"/>
    <w:rsid w:val="0029403F"/>
    <w:rsid w:val="002977E1"/>
    <w:rsid w:val="002B5040"/>
    <w:rsid w:val="002C02B6"/>
    <w:rsid w:val="002C0340"/>
    <w:rsid w:val="002C19DE"/>
    <w:rsid w:val="002D55B8"/>
    <w:rsid w:val="002D6ED9"/>
    <w:rsid w:val="002E3000"/>
    <w:rsid w:val="002E46AC"/>
    <w:rsid w:val="002F0FB2"/>
    <w:rsid w:val="002F43BB"/>
    <w:rsid w:val="002F61E3"/>
    <w:rsid w:val="003051DF"/>
    <w:rsid w:val="0031104C"/>
    <w:rsid w:val="003130CA"/>
    <w:rsid w:val="00326537"/>
    <w:rsid w:val="003357D9"/>
    <w:rsid w:val="00337B00"/>
    <w:rsid w:val="00355899"/>
    <w:rsid w:val="00356E75"/>
    <w:rsid w:val="0035733E"/>
    <w:rsid w:val="00372855"/>
    <w:rsid w:val="00374DBE"/>
    <w:rsid w:val="00376E69"/>
    <w:rsid w:val="0037704D"/>
    <w:rsid w:val="0037714E"/>
    <w:rsid w:val="003841AB"/>
    <w:rsid w:val="003935E8"/>
    <w:rsid w:val="00395A36"/>
    <w:rsid w:val="003975D4"/>
    <w:rsid w:val="003A0F16"/>
    <w:rsid w:val="003A5B7D"/>
    <w:rsid w:val="003A6433"/>
    <w:rsid w:val="003B46BF"/>
    <w:rsid w:val="003C4FDD"/>
    <w:rsid w:val="003C6D56"/>
    <w:rsid w:val="003D2AE2"/>
    <w:rsid w:val="003D71C6"/>
    <w:rsid w:val="003E315D"/>
    <w:rsid w:val="003F072E"/>
    <w:rsid w:val="00401DF0"/>
    <w:rsid w:val="00404F9B"/>
    <w:rsid w:val="00411C64"/>
    <w:rsid w:val="004156E6"/>
    <w:rsid w:val="00415707"/>
    <w:rsid w:val="00416F70"/>
    <w:rsid w:val="0041703B"/>
    <w:rsid w:val="00425E4A"/>
    <w:rsid w:val="004403B4"/>
    <w:rsid w:val="00446466"/>
    <w:rsid w:val="00447CE9"/>
    <w:rsid w:val="00453B55"/>
    <w:rsid w:val="0045419D"/>
    <w:rsid w:val="00457779"/>
    <w:rsid w:val="00466FE8"/>
    <w:rsid w:val="0047073D"/>
    <w:rsid w:val="004744CD"/>
    <w:rsid w:val="0048011A"/>
    <w:rsid w:val="004850DC"/>
    <w:rsid w:val="00490715"/>
    <w:rsid w:val="00491267"/>
    <w:rsid w:val="00491300"/>
    <w:rsid w:val="00492285"/>
    <w:rsid w:val="004A1EAC"/>
    <w:rsid w:val="004A2F20"/>
    <w:rsid w:val="004A2F45"/>
    <w:rsid w:val="004A5135"/>
    <w:rsid w:val="004A6973"/>
    <w:rsid w:val="004B2F38"/>
    <w:rsid w:val="004C35E7"/>
    <w:rsid w:val="004D093B"/>
    <w:rsid w:val="004D2191"/>
    <w:rsid w:val="004D3DF8"/>
    <w:rsid w:val="004D7DDC"/>
    <w:rsid w:val="004E219F"/>
    <w:rsid w:val="004E4723"/>
    <w:rsid w:val="004F3FEF"/>
    <w:rsid w:val="004F78B7"/>
    <w:rsid w:val="005058F2"/>
    <w:rsid w:val="00505CD2"/>
    <w:rsid w:val="00512C38"/>
    <w:rsid w:val="00512C7C"/>
    <w:rsid w:val="005130EF"/>
    <w:rsid w:val="005143E4"/>
    <w:rsid w:val="00533C14"/>
    <w:rsid w:val="00544696"/>
    <w:rsid w:val="0055182D"/>
    <w:rsid w:val="0056033C"/>
    <w:rsid w:val="0056748F"/>
    <w:rsid w:val="00574D83"/>
    <w:rsid w:val="00585FA9"/>
    <w:rsid w:val="005871C9"/>
    <w:rsid w:val="00596E33"/>
    <w:rsid w:val="005B06B3"/>
    <w:rsid w:val="005B41EF"/>
    <w:rsid w:val="005B598A"/>
    <w:rsid w:val="005C1959"/>
    <w:rsid w:val="005C27EF"/>
    <w:rsid w:val="005C499F"/>
    <w:rsid w:val="005C5349"/>
    <w:rsid w:val="005C608D"/>
    <w:rsid w:val="005C6551"/>
    <w:rsid w:val="005D269A"/>
    <w:rsid w:val="005D3140"/>
    <w:rsid w:val="005D5D31"/>
    <w:rsid w:val="005E0E08"/>
    <w:rsid w:val="005E4CF5"/>
    <w:rsid w:val="005E6B7D"/>
    <w:rsid w:val="005E7898"/>
    <w:rsid w:val="005F70FE"/>
    <w:rsid w:val="006008CD"/>
    <w:rsid w:val="00611BBA"/>
    <w:rsid w:val="00614693"/>
    <w:rsid w:val="00626EE9"/>
    <w:rsid w:val="00633806"/>
    <w:rsid w:val="00633883"/>
    <w:rsid w:val="00634434"/>
    <w:rsid w:val="0064109C"/>
    <w:rsid w:val="0064487F"/>
    <w:rsid w:val="006648F3"/>
    <w:rsid w:val="00670C14"/>
    <w:rsid w:val="0068046C"/>
    <w:rsid w:val="006804BE"/>
    <w:rsid w:val="00680B0E"/>
    <w:rsid w:val="00685293"/>
    <w:rsid w:val="00687B5F"/>
    <w:rsid w:val="00687E5A"/>
    <w:rsid w:val="006905E7"/>
    <w:rsid w:val="00694E14"/>
    <w:rsid w:val="006967BC"/>
    <w:rsid w:val="006A03EB"/>
    <w:rsid w:val="006A0DB9"/>
    <w:rsid w:val="006A533F"/>
    <w:rsid w:val="006A7DCE"/>
    <w:rsid w:val="006B1374"/>
    <w:rsid w:val="006C1B62"/>
    <w:rsid w:val="006C452F"/>
    <w:rsid w:val="006C4ED5"/>
    <w:rsid w:val="006D079B"/>
    <w:rsid w:val="006D183E"/>
    <w:rsid w:val="006D336E"/>
    <w:rsid w:val="006D7964"/>
    <w:rsid w:val="006F33D9"/>
    <w:rsid w:val="006F498A"/>
    <w:rsid w:val="006F5BEB"/>
    <w:rsid w:val="007135A8"/>
    <w:rsid w:val="007156F6"/>
    <w:rsid w:val="00715B91"/>
    <w:rsid w:val="0071620E"/>
    <w:rsid w:val="00716C8C"/>
    <w:rsid w:val="007321D8"/>
    <w:rsid w:val="00733AF9"/>
    <w:rsid w:val="00734732"/>
    <w:rsid w:val="007374BE"/>
    <w:rsid w:val="00740ABA"/>
    <w:rsid w:val="0074295D"/>
    <w:rsid w:val="0075176D"/>
    <w:rsid w:val="00755E27"/>
    <w:rsid w:val="00760E62"/>
    <w:rsid w:val="0078723A"/>
    <w:rsid w:val="00793222"/>
    <w:rsid w:val="00795A57"/>
    <w:rsid w:val="007A4FB5"/>
    <w:rsid w:val="007B043E"/>
    <w:rsid w:val="007B1557"/>
    <w:rsid w:val="007B25FE"/>
    <w:rsid w:val="007B72B2"/>
    <w:rsid w:val="007C4332"/>
    <w:rsid w:val="007C4C95"/>
    <w:rsid w:val="007D0493"/>
    <w:rsid w:val="007D0F0C"/>
    <w:rsid w:val="007D1551"/>
    <w:rsid w:val="007D273D"/>
    <w:rsid w:val="007D6A3A"/>
    <w:rsid w:val="007D6B6F"/>
    <w:rsid w:val="007D74C7"/>
    <w:rsid w:val="007D74E2"/>
    <w:rsid w:val="007F016E"/>
    <w:rsid w:val="008008F6"/>
    <w:rsid w:val="008017A7"/>
    <w:rsid w:val="00823875"/>
    <w:rsid w:val="00827817"/>
    <w:rsid w:val="00827986"/>
    <w:rsid w:val="008279BD"/>
    <w:rsid w:val="0084154E"/>
    <w:rsid w:val="00843352"/>
    <w:rsid w:val="00844624"/>
    <w:rsid w:val="008462C0"/>
    <w:rsid w:val="00861524"/>
    <w:rsid w:val="0087118E"/>
    <w:rsid w:val="00872947"/>
    <w:rsid w:val="00874D78"/>
    <w:rsid w:val="008771C8"/>
    <w:rsid w:val="00882DCA"/>
    <w:rsid w:val="0088727A"/>
    <w:rsid w:val="00895AF1"/>
    <w:rsid w:val="00896D35"/>
    <w:rsid w:val="008B00C4"/>
    <w:rsid w:val="008B43B0"/>
    <w:rsid w:val="008B5033"/>
    <w:rsid w:val="008C0493"/>
    <w:rsid w:val="008C0E92"/>
    <w:rsid w:val="008D3759"/>
    <w:rsid w:val="008D45C3"/>
    <w:rsid w:val="008E18D7"/>
    <w:rsid w:val="008E33C7"/>
    <w:rsid w:val="008F1D35"/>
    <w:rsid w:val="009002AC"/>
    <w:rsid w:val="009066C7"/>
    <w:rsid w:val="009104F7"/>
    <w:rsid w:val="00912B91"/>
    <w:rsid w:val="0092099E"/>
    <w:rsid w:val="0092216D"/>
    <w:rsid w:val="00933339"/>
    <w:rsid w:val="00937B3C"/>
    <w:rsid w:val="00953B84"/>
    <w:rsid w:val="00954927"/>
    <w:rsid w:val="00973F6D"/>
    <w:rsid w:val="00982754"/>
    <w:rsid w:val="009943F4"/>
    <w:rsid w:val="00995FDD"/>
    <w:rsid w:val="00996389"/>
    <w:rsid w:val="00997231"/>
    <w:rsid w:val="009A2234"/>
    <w:rsid w:val="009A6D46"/>
    <w:rsid w:val="009B2F99"/>
    <w:rsid w:val="009B4D11"/>
    <w:rsid w:val="009B7A4D"/>
    <w:rsid w:val="009C1F01"/>
    <w:rsid w:val="009C573D"/>
    <w:rsid w:val="009D10B8"/>
    <w:rsid w:val="009D185F"/>
    <w:rsid w:val="009D43CC"/>
    <w:rsid w:val="009E2331"/>
    <w:rsid w:val="009F413F"/>
    <w:rsid w:val="009F550A"/>
    <w:rsid w:val="009F7497"/>
    <w:rsid w:val="00A01F60"/>
    <w:rsid w:val="00A118F0"/>
    <w:rsid w:val="00A159DA"/>
    <w:rsid w:val="00A22494"/>
    <w:rsid w:val="00A22A7B"/>
    <w:rsid w:val="00A242D8"/>
    <w:rsid w:val="00A248A1"/>
    <w:rsid w:val="00A434EB"/>
    <w:rsid w:val="00A5351C"/>
    <w:rsid w:val="00A54C06"/>
    <w:rsid w:val="00A633F0"/>
    <w:rsid w:val="00A6481E"/>
    <w:rsid w:val="00A66140"/>
    <w:rsid w:val="00A66626"/>
    <w:rsid w:val="00A7064A"/>
    <w:rsid w:val="00A7345A"/>
    <w:rsid w:val="00A75027"/>
    <w:rsid w:val="00A76AA7"/>
    <w:rsid w:val="00A84589"/>
    <w:rsid w:val="00A90397"/>
    <w:rsid w:val="00A90CB0"/>
    <w:rsid w:val="00A9374D"/>
    <w:rsid w:val="00A94461"/>
    <w:rsid w:val="00A960EA"/>
    <w:rsid w:val="00AA4608"/>
    <w:rsid w:val="00AA6179"/>
    <w:rsid w:val="00AB1235"/>
    <w:rsid w:val="00AB2C7E"/>
    <w:rsid w:val="00AB2D5E"/>
    <w:rsid w:val="00AC0511"/>
    <w:rsid w:val="00AD08C5"/>
    <w:rsid w:val="00AE069A"/>
    <w:rsid w:val="00AE1F43"/>
    <w:rsid w:val="00AE3E90"/>
    <w:rsid w:val="00AF1EBC"/>
    <w:rsid w:val="00AF7CEB"/>
    <w:rsid w:val="00B0050A"/>
    <w:rsid w:val="00B1467F"/>
    <w:rsid w:val="00B31928"/>
    <w:rsid w:val="00B326A9"/>
    <w:rsid w:val="00B41D27"/>
    <w:rsid w:val="00B447A5"/>
    <w:rsid w:val="00B45ED3"/>
    <w:rsid w:val="00B5393C"/>
    <w:rsid w:val="00B543E9"/>
    <w:rsid w:val="00B57127"/>
    <w:rsid w:val="00B65EA0"/>
    <w:rsid w:val="00B71266"/>
    <w:rsid w:val="00B76B2B"/>
    <w:rsid w:val="00B8251D"/>
    <w:rsid w:val="00B94288"/>
    <w:rsid w:val="00B9538B"/>
    <w:rsid w:val="00BA15A9"/>
    <w:rsid w:val="00BA7602"/>
    <w:rsid w:val="00BB30C0"/>
    <w:rsid w:val="00BB4FF5"/>
    <w:rsid w:val="00BB76F6"/>
    <w:rsid w:val="00BC376D"/>
    <w:rsid w:val="00BD18E8"/>
    <w:rsid w:val="00BD1D9A"/>
    <w:rsid w:val="00BD20BC"/>
    <w:rsid w:val="00C15673"/>
    <w:rsid w:val="00C15E6F"/>
    <w:rsid w:val="00C210A9"/>
    <w:rsid w:val="00C22821"/>
    <w:rsid w:val="00C243BF"/>
    <w:rsid w:val="00C25F63"/>
    <w:rsid w:val="00C276AE"/>
    <w:rsid w:val="00C404D9"/>
    <w:rsid w:val="00C4237C"/>
    <w:rsid w:val="00C552AA"/>
    <w:rsid w:val="00C55C85"/>
    <w:rsid w:val="00C60868"/>
    <w:rsid w:val="00C6097A"/>
    <w:rsid w:val="00C64DAA"/>
    <w:rsid w:val="00C65204"/>
    <w:rsid w:val="00C70530"/>
    <w:rsid w:val="00C77217"/>
    <w:rsid w:val="00C816A5"/>
    <w:rsid w:val="00C83BE1"/>
    <w:rsid w:val="00C964C8"/>
    <w:rsid w:val="00C97315"/>
    <w:rsid w:val="00CA1AD2"/>
    <w:rsid w:val="00CA2878"/>
    <w:rsid w:val="00CA3038"/>
    <w:rsid w:val="00CA7D06"/>
    <w:rsid w:val="00CB2BB1"/>
    <w:rsid w:val="00CB2E2B"/>
    <w:rsid w:val="00CB3D33"/>
    <w:rsid w:val="00CC0463"/>
    <w:rsid w:val="00CC13E2"/>
    <w:rsid w:val="00CC7F58"/>
    <w:rsid w:val="00CD47C3"/>
    <w:rsid w:val="00CD64B0"/>
    <w:rsid w:val="00CE099F"/>
    <w:rsid w:val="00CE73E2"/>
    <w:rsid w:val="00CF402D"/>
    <w:rsid w:val="00CF5E4F"/>
    <w:rsid w:val="00CF7674"/>
    <w:rsid w:val="00D079C9"/>
    <w:rsid w:val="00D17D3E"/>
    <w:rsid w:val="00D25F43"/>
    <w:rsid w:val="00D25FC6"/>
    <w:rsid w:val="00D44A5D"/>
    <w:rsid w:val="00D510E8"/>
    <w:rsid w:val="00D554A2"/>
    <w:rsid w:val="00D5628B"/>
    <w:rsid w:val="00D63F4F"/>
    <w:rsid w:val="00D6426A"/>
    <w:rsid w:val="00D66456"/>
    <w:rsid w:val="00D76F69"/>
    <w:rsid w:val="00D77CD0"/>
    <w:rsid w:val="00D9306F"/>
    <w:rsid w:val="00DB0B88"/>
    <w:rsid w:val="00DC3784"/>
    <w:rsid w:val="00DD18C6"/>
    <w:rsid w:val="00DD6D00"/>
    <w:rsid w:val="00DE00F0"/>
    <w:rsid w:val="00DE1894"/>
    <w:rsid w:val="00DE5079"/>
    <w:rsid w:val="00DF6B3A"/>
    <w:rsid w:val="00E10271"/>
    <w:rsid w:val="00E34DF7"/>
    <w:rsid w:val="00E35DF6"/>
    <w:rsid w:val="00E50D44"/>
    <w:rsid w:val="00E52765"/>
    <w:rsid w:val="00E55290"/>
    <w:rsid w:val="00E64133"/>
    <w:rsid w:val="00E66456"/>
    <w:rsid w:val="00E67C4E"/>
    <w:rsid w:val="00E738D5"/>
    <w:rsid w:val="00E8288D"/>
    <w:rsid w:val="00E8348C"/>
    <w:rsid w:val="00E900DE"/>
    <w:rsid w:val="00E90D87"/>
    <w:rsid w:val="00E91E64"/>
    <w:rsid w:val="00EA326D"/>
    <w:rsid w:val="00EA39DF"/>
    <w:rsid w:val="00EB1B3E"/>
    <w:rsid w:val="00EB5A68"/>
    <w:rsid w:val="00EB77EA"/>
    <w:rsid w:val="00EC0C4F"/>
    <w:rsid w:val="00EC2B8F"/>
    <w:rsid w:val="00EC74BA"/>
    <w:rsid w:val="00ED15F0"/>
    <w:rsid w:val="00ED4931"/>
    <w:rsid w:val="00ED51E7"/>
    <w:rsid w:val="00EE4384"/>
    <w:rsid w:val="00EE4BD7"/>
    <w:rsid w:val="00EF3551"/>
    <w:rsid w:val="00F017D6"/>
    <w:rsid w:val="00F0779F"/>
    <w:rsid w:val="00F12CF6"/>
    <w:rsid w:val="00F147FC"/>
    <w:rsid w:val="00F15BD4"/>
    <w:rsid w:val="00F25A2F"/>
    <w:rsid w:val="00F31A79"/>
    <w:rsid w:val="00F42214"/>
    <w:rsid w:val="00F5061B"/>
    <w:rsid w:val="00F61A7D"/>
    <w:rsid w:val="00F63AA8"/>
    <w:rsid w:val="00F67CA2"/>
    <w:rsid w:val="00F727B3"/>
    <w:rsid w:val="00F763E5"/>
    <w:rsid w:val="00F859A8"/>
    <w:rsid w:val="00F87D05"/>
    <w:rsid w:val="00F9203E"/>
    <w:rsid w:val="00F957B7"/>
    <w:rsid w:val="00F97A92"/>
    <w:rsid w:val="00FA2B57"/>
    <w:rsid w:val="00FA53DF"/>
    <w:rsid w:val="00FB2364"/>
    <w:rsid w:val="00FB30AC"/>
    <w:rsid w:val="00FB3B6F"/>
    <w:rsid w:val="00FC712D"/>
    <w:rsid w:val="00FD39E3"/>
    <w:rsid w:val="00FD48BC"/>
    <w:rsid w:val="00FE1242"/>
    <w:rsid w:val="00FE6E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808D"/>
  <w15:docId w15:val="{9907FBD6-CEC2-42E2-A88E-10EDFCF3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6466"/>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1,Styl moj,aotm_załączniki,Akapit z listą11,Table Legend,Dot pt,F5 List Paragraph,List Paragraph1,No Spacing1,List Paragraph Char Char Char,Indicator Text,Colorful List - Accent 11,Numbered Para 1,Bullet 1,Bullet Points,MAIN CONTENT"/>
    <w:basedOn w:val="Normalny"/>
    <w:link w:val="AkapitzlistZnak"/>
    <w:uiPriority w:val="34"/>
    <w:qFormat/>
    <w:rsid w:val="008C0E92"/>
    <w:pPr>
      <w:ind w:left="720"/>
      <w:contextualSpacing/>
    </w:pPr>
  </w:style>
  <w:style w:type="paragraph" w:styleId="Nagwek">
    <w:name w:val="header"/>
    <w:basedOn w:val="Normalny"/>
    <w:link w:val="NagwekZnak"/>
    <w:uiPriority w:val="99"/>
    <w:unhideWhenUsed/>
    <w:rsid w:val="008C0E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0E92"/>
  </w:style>
  <w:style w:type="paragraph" w:styleId="Stopka">
    <w:name w:val="footer"/>
    <w:basedOn w:val="Normalny"/>
    <w:link w:val="StopkaZnak"/>
    <w:uiPriority w:val="99"/>
    <w:unhideWhenUsed/>
    <w:rsid w:val="008C0E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0E92"/>
  </w:style>
  <w:style w:type="paragraph" w:customStyle="1" w:styleId="Style2">
    <w:name w:val="Style2"/>
    <w:basedOn w:val="Normalny"/>
    <w:uiPriority w:val="99"/>
    <w:rsid w:val="00230BB7"/>
    <w:pPr>
      <w:widowControl w:val="0"/>
      <w:suppressAutoHyphens w:val="0"/>
      <w:autoSpaceDE w:val="0"/>
      <w:adjustRightInd w:val="0"/>
      <w:spacing w:after="0" w:line="331" w:lineRule="exact"/>
      <w:jc w:val="both"/>
      <w:textAlignment w:val="auto"/>
    </w:pPr>
    <w:rPr>
      <w:rFonts w:ascii="Times New Roman" w:eastAsia="Times New Roman" w:hAnsi="Times New Roman"/>
      <w:sz w:val="24"/>
      <w:szCs w:val="24"/>
      <w:lang w:eastAsia="pl-PL"/>
    </w:rPr>
  </w:style>
  <w:style w:type="character" w:customStyle="1" w:styleId="FontStyle19">
    <w:name w:val="Font Style19"/>
    <w:basedOn w:val="Domylnaczcionkaakapitu"/>
    <w:uiPriority w:val="99"/>
    <w:rsid w:val="00230BB7"/>
    <w:rPr>
      <w:rFonts w:ascii="Times New Roman" w:hAnsi="Times New Roman" w:cs="Times New Roman"/>
      <w:b/>
      <w:bCs/>
      <w:color w:val="000000"/>
      <w:sz w:val="26"/>
      <w:szCs w:val="26"/>
    </w:rPr>
  </w:style>
  <w:style w:type="character" w:customStyle="1" w:styleId="FontStyle20">
    <w:name w:val="Font Style20"/>
    <w:basedOn w:val="Domylnaczcionkaakapitu"/>
    <w:uiPriority w:val="99"/>
    <w:rsid w:val="00230BB7"/>
    <w:rPr>
      <w:rFonts w:ascii="Times New Roman" w:hAnsi="Times New Roman" w:cs="Times New Roman"/>
      <w:b/>
      <w:bCs/>
      <w:color w:val="000000"/>
      <w:sz w:val="26"/>
      <w:szCs w:val="26"/>
    </w:rPr>
  </w:style>
  <w:style w:type="paragraph" w:styleId="NormalnyWeb">
    <w:name w:val="Normal (Web)"/>
    <w:basedOn w:val="Normalny"/>
    <w:uiPriority w:val="99"/>
    <w:unhideWhenUsed/>
    <w:rsid w:val="006C1B62"/>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val="en-US"/>
    </w:rPr>
  </w:style>
  <w:style w:type="character" w:styleId="Odwoaniedokomentarza">
    <w:name w:val="annotation reference"/>
    <w:basedOn w:val="Domylnaczcionkaakapitu"/>
    <w:uiPriority w:val="99"/>
    <w:semiHidden/>
    <w:unhideWhenUsed/>
    <w:rsid w:val="00031E9F"/>
    <w:rPr>
      <w:sz w:val="16"/>
      <w:szCs w:val="16"/>
    </w:rPr>
  </w:style>
  <w:style w:type="paragraph" w:styleId="Tekstkomentarza">
    <w:name w:val="annotation text"/>
    <w:basedOn w:val="Normalny"/>
    <w:link w:val="TekstkomentarzaZnak"/>
    <w:uiPriority w:val="99"/>
    <w:unhideWhenUsed/>
    <w:rsid w:val="00031E9F"/>
    <w:pPr>
      <w:spacing w:line="240" w:lineRule="auto"/>
    </w:pPr>
    <w:rPr>
      <w:sz w:val="20"/>
      <w:szCs w:val="20"/>
    </w:rPr>
  </w:style>
  <w:style w:type="character" w:customStyle="1" w:styleId="TekstkomentarzaZnak">
    <w:name w:val="Tekst komentarza Znak"/>
    <w:basedOn w:val="Domylnaczcionkaakapitu"/>
    <w:link w:val="Tekstkomentarza"/>
    <w:uiPriority w:val="99"/>
    <w:rsid w:val="00031E9F"/>
    <w:rPr>
      <w:sz w:val="20"/>
      <w:szCs w:val="20"/>
    </w:rPr>
  </w:style>
  <w:style w:type="paragraph" w:styleId="Tematkomentarza">
    <w:name w:val="annotation subject"/>
    <w:basedOn w:val="Tekstkomentarza"/>
    <w:next w:val="Tekstkomentarza"/>
    <w:link w:val="TematkomentarzaZnak"/>
    <w:uiPriority w:val="99"/>
    <w:semiHidden/>
    <w:unhideWhenUsed/>
    <w:rsid w:val="00031E9F"/>
    <w:rPr>
      <w:b/>
      <w:bCs/>
    </w:rPr>
  </w:style>
  <w:style w:type="character" w:customStyle="1" w:styleId="TematkomentarzaZnak">
    <w:name w:val="Temat komentarza Znak"/>
    <w:basedOn w:val="TekstkomentarzaZnak"/>
    <w:link w:val="Tematkomentarza"/>
    <w:uiPriority w:val="99"/>
    <w:semiHidden/>
    <w:rsid w:val="00031E9F"/>
    <w:rPr>
      <w:b/>
      <w:bCs/>
      <w:sz w:val="20"/>
      <w:szCs w:val="20"/>
    </w:rPr>
  </w:style>
  <w:style w:type="character" w:customStyle="1" w:styleId="AkapitzlistZnak">
    <w:name w:val="Akapit z listą Znak"/>
    <w:aliases w:val="Bullet1 Znak,Styl moj Znak,aotm_załączniki Znak,Akapit z listą11 Znak,Table Legend Znak,Dot pt Znak,F5 List Paragraph Znak,List Paragraph1 Znak,No Spacing1 Znak,List Paragraph Char Char Char Znak,Indicator Text Znak,Bullet 1 Znak"/>
    <w:basedOn w:val="Domylnaczcionkaakapitu"/>
    <w:link w:val="Akapitzlist"/>
    <w:uiPriority w:val="34"/>
    <w:qFormat/>
    <w:rsid w:val="001933DE"/>
  </w:style>
  <w:style w:type="paragraph" w:styleId="Poprawka">
    <w:name w:val="Revision"/>
    <w:hidden/>
    <w:uiPriority w:val="99"/>
    <w:semiHidden/>
    <w:rsid w:val="002F43BB"/>
    <w:pPr>
      <w:autoSpaceDN/>
      <w:spacing w:after="0" w:line="240" w:lineRule="auto"/>
      <w:textAlignment w:val="auto"/>
    </w:pPr>
  </w:style>
  <w:style w:type="character" w:styleId="Pogrubienie">
    <w:name w:val="Strong"/>
    <w:basedOn w:val="Domylnaczcionkaakapitu"/>
    <w:uiPriority w:val="22"/>
    <w:qFormat/>
    <w:rsid w:val="00FA2B57"/>
    <w:rPr>
      <w:b/>
      <w:bCs/>
    </w:rPr>
  </w:style>
  <w:style w:type="character" w:customStyle="1" w:styleId="ui-provider">
    <w:name w:val="ui-provider"/>
    <w:basedOn w:val="Domylnaczcionkaakapitu"/>
    <w:rsid w:val="006F33D9"/>
  </w:style>
  <w:style w:type="paragraph" w:customStyle="1" w:styleId="v1msonormal">
    <w:name w:val="v1msonormal"/>
    <w:basedOn w:val="Normalny"/>
    <w:rsid w:val="00596E33"/>
    <w:pPr>
      <w:suppressAutoHyphens w:val="0"/>
      <w:autoSpaceDN/>
      <w:spacing w:before="100" w:beforeAutospacing="1" w:after="100" w:afterAutospacing="1" w:line="240" w:lineRule="auto"/>
      <w:textAlignment w:val="auto"/>
    </w:pPr>
    <w:rPr>
      <w:rFonts w:eastAsiaTheme="minorHAnsi" w:cs="Calibri"/>
      <w:lang w:eastAsia="pl-PL"/>
    </w:rPr>
  </w:style>
  <w:style w:type="character" w:styleId="Uwydatnienie">
    <w:name w:val="Emphasis"/>
    <w:basedOn w:val="Domylnaczcionkaakapitu"/>
    <w:uiPriority w:val="20"/>
    <w:qFormat/>
    <w:rsid w:val="00596E33"/>
    <w:rPr>
      <w:i/>
      <w:iCs/>
    </w:rPr>
  </w:style>
  <w:style w:type="paragraph" w:styleId="Tekstprzypisudolnego">
    <w:name w:val="footnote text"/>
    <w:basedOn w:val="Normalny"/>
    <w:link w:val="TekstprzypisudolnegoZnak"/>
    <w:uiPriority w:val="99"/>
    <w:unhideWhenUsed/>
    <w:rsid w:val="00C404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404D9"/>
    <w:rPr>
      <w:sz w:val="20"/>
      <w:szCs w:val="20"/>
    </w:rPr>
  </w:style>
  <w:style w:type="character" w:styleId="Odwoanieprzypisudolnego">
    <w:name w:val="footnote reference"/>
    <w:basedOn w:val="Domylnaczcionkaakapitu"/>
    <w:uiPriority w:val="99"/>
    <w:semiHidden/>
    <w:unhideWhenUsed/>
    <w:rsid w:val="00C404D9"/>
    <w:rPr>
      <w:vertAlign w:val="superscript"/>
    </w:rPr>
  </w:style>
  <w:style w:type="paragraph" w:customStyle="1" w:styleId="pismamz">
    <w:name w:val="pisma_mz"/>
    <w:basedOn w:val="Normalny"/>
    <w:link w:val="pismamzZnak"/>
    <w:qFormat/>
    <w:rsid w:val="00C404D9"/>
    <w:pPr>
      <w:suppressAutoHyphens w:val="0"/>
      <w:autoSpaceDN/>
      <w:spacing w:after="0" w:line="360" w:lineRule="auto"/>
      <w:contextualSpacing/>
      <w:jc w:val="both"/>
      <w:textAlignment w:val="auto"/>
    </w:pPr>
    <w:rPr>
      <w:rFonts w:ascii="Arial" w:hAnsi="Arial"/>
    </w:rPr>
  </w:style>
  <w:style w:type="character" w:customStyle="1" w:styleId="pismamzZnak">
    <w:name w:val="pisma_mz Znak"/>
    <w:link w:val="pismamz"/>
    <w:rsid w:val="00C404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04">
      <w:bodyDiv w:val="1"/>
      <w:marLeft w:val="0"/>
      <w:marRight w:val="0"/>
      <w:marTop w:val="0"/>
      <w:marBottom w:val="0"/>
      <w:divBdr>
        <w:top w:val="none" w:sz="0" w:space="0" w:color="auto"/>
        <w:left w:val="none" w:sz="0" w:space="0" w:color="auto"/>
        <w:bottom w:val="none" w:sz="0" w:space="0" w:color="auto"/>
        <w:right w:val="none" w:sz="0" w:space="0" w:color="auto"/>
      </w:divBdr>
    </w:div>
    <w:div w:id="248001087">
      <w:bodyDiv w:val="1"/>
      <w:marLeft w:val="0"/>
      <w:marRight w:val="0"/>
      <w:marTop w:val="0"/>
      <w:marBottom w:val="0"/>
      <w:divBdr>
        <w:top w:val="none" w:sz="0" w:space="0" w:color="auto"/>
        <w:left w:val="none" w:sz="0" w:space="0" w:color="auto"/>
        <w:bottom w:val="none" w:sz="0" w:space="0" w:color="auto"/>
        <w:right w:val="none" w:sz="0" w:space="0" w:color="auto"/>
      </w:divBdr>
    </w:div>
    <w:div w:id="1757481077">
      <w:bodyDiv w:val="1"/>
      <w:marLeft w:val="0"/>
      <w:marRight w:val="0"/>
      <w:marTop w:val="0"/>
      <w:marBottom w:val="0"/>
      <w:divBdr>
        <w:top w:val="none" w:sz="0" w:space="0" w:color="auto"/>
        <w:left w:val="none" w:sz="0" w:space="0" w:color="auto"/>
        <w:bottom w:val="none" w:sz="0" w:space="0" w:color="auto"/>
        <w:right w:val="none" w:sz="0" w:space="0" w:color="auto"/>
      </w:divBdr>
    </w:div>
    <w:div w:id="1761750943">
      <w:bodyDiv w:val="1"/>
      <w:marLeft w:val="0"/>
      <w:marRight w:val="0"/>
      <w:marTop w:val="0"/>
      <w:marBottom w:val="0"/>
      <w:divBdr>
        <w:top w:val="none" w:sz="0" w:space="0" w:color="auto"/>
        <w:left w:val="none" w:sz="0" w:space="0" w:color="auto"/>
        <w:bottom w:val="none" w:sz="0" w:space="0" w:color="auto"/>
        <w:right w:val="none" w:sz="0" w:space="0" w:color="auto"/>
      </w:divBdr>
    </w:div>
    <w:div w:id="1793287762">
      <w:bodyDiv w:val="1"/>
      <w:marLeft w:val="0"/>
      <w:marRight w:val="0"/>
      <w:marTop w:val="0"/>
      <w:marBottom w:val="0"/>
      <w:divBdr>
        <w:top w:val="none" w:sz="0" w:space="0" w:color="auto"/>
        <w:left w:val="none" w:sz="0" w:space="0" w:color="auto"/>
        <w:bottom w:val="none" w:sz="0" w:space="0" w:color="auto"/>
        <w:right w:val="none" w:sz="0" w:space="0" w:color="auto"/>
      </w:divBdr>
    </w:div>
    <w:div w:id="1796678890">
      <w:bodyDiv w:val="1"/>
      <w:marLeft w:val="0"/>
      <w:marRight w:val="0"/>
      <w:marTop w:val="0"/>
      <w:marBottom w:val="0"/>
      <w:divBdr>
        <w:top w:val="none" w:sz="0" w:space="0" w:color="auto"/>
        <w:left w:val="none" w:sz="0" w:space="0" w:color="auto"/>
        <w:bottom w:val="none" w:sz="0" w:space="0" w:color="auto"/>
        <w:right w:val="none" w:sz="0" w:space="0" w:color="auto"/>
      </w:divBdr>
    </w:div>
    <w:div w:id="212287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od%2020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od%2020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wskazania%20od%2020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niverse\wric$\09_Pracownicy\1_39_Wilk_J\Nowe%20obj&#281;cia\stycze&#324;%202024%20Wykresy%20wskazania%20od%20201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r>
              <a:rPr lang="pl-PL" sz="800" b="1" i="0" baseline="0">
                <a:solidFill>
                  <a:sysClr val="windowText" lastClr="000000"/>
                </a:solidFill>
                <a:effectLst/>
                <a:latin typeface="Lato" panose="020F0502020204030203" pitchFamily="34" charset="-18"/>
              </a:rPr>
              <a:t>Liczba nowych cząsteczko-wskazań w 2024 r.</a:t>
            </a:r>
            <a:endParaRPr lang="pl-PL" sz="800">
              <a:solidFill>
                <a:sysClr val="windowText" lastClr="000000"/>
              </a:solidFill>
              <a:effectLst/>
              <a:latin typeface="Lato" panose="020F0502020204030203" pitchFamily="34" charset="-18"/>
            </a:endParaRP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7.7692038495188118E-2"/>
          <c:y val="0.13625000000000001"/>
          <c:w val="0.90286351706036749"/>
          <c:h val="0.67805957655647753"/>
        </c:manualLayout>
      </c:layout>
      <c:barChart>
        <c:barDir val="col"/>
        <c:grouping val="clustered"/>
        <c:varyColors val="0"/>
        <c:ser>
          <c:idx val="0"/>
          <c:order val="0"/>
          <c:tx>
            <c:strRef>
              <c:f>'miesiące 2024'!$A$3</c:f>
              <c:strCache>
                <c:ptCount val="1"/>
                <c:pt idx="0">
                  <c:v>Wskazania onkologiczne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2024'!$B$1:$E$2</c:f>
              <c:strCache>
                <c:ptCount val="4"/>
                <c:pt idx="0">
                  <c:v>styczeń</c:v>
                </c:pt>
                <c:pt idx="1">
                  <c:v>kwiecień</c:v>
                </c:pt>
                <c:pt idx="2">
                  <c:v>lipiec</c:v>
                </c:pt>
                <c:pt idx="3">
                  <c:v>październik</c:v>
                </c:pt>
              </c:strCache>
            </c:strRef>
          </c:cat>
          <c:val>
            <c:numRef>
              <c:f>'miesiące 2024'!$B$3:$E$3</c:f>
              <c:numCache>
                <c:formatCode>General</c:formatCode>
                <c:ptCount val="4"/>
                <c:pt idx="0">
                  <c:v>8</c:v>
                </c:pt>
              </c:numCache>
            </c:numRef>
          </c:val>
          <c:extLst>
            <c:ext xmlns:c16="http://schemas.microsoft.com/office/drawing/2014/chart" uri="{C3380CC4-5D6E-409C-BE32-E72D297353CC}">
              <c16:uniqueId val="{00000000-BB4F-4BFA-9BA6-88F2400CC991}"/>
            </c:ext>
          </c:extLst>
        </c:ser>
        <c:ser>
          <c:idx val="1"/>
          <c:order val="1"/>
          <c:tx>
            <c:strRef>
              <c:f>'miesiące 2024'!$A$4</c:f>
              <c:strCache>
                <c:ptCount val="1"/>
                <c:pt idx="0">
                  <c:v>Wskazania nieonkologiczne</c:v>
                </c:pt>
              </c:strCache>
            </c:strRef>
          </c:tx>
          <c:spPr>
            <a:solidFill>
              <a:srgbClr val="4F93D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2024'!$B$1:$E$2</c:f>
              <c:strCache>
                <c:ptCount val="4"/>
                <c:pt idx="0">
                  <c:v>styczeń</c:v>
                </c:pt>
                <c:pt idx="1">
                  <c:v>kwiecień</c:v>
                </c:pt>
                <c:pt idx="2">
                  <c:v>lipiec</c:v>
                </c:pt>
                <c:pt idx="3">
                  <c:v>październik</c:v>
                </c:pt>
              </c:strCache>
            </c:strRef>
          </c:cat>
          <c:val>
            <c:numRef>
              <c:f>'miesiące 2024'!$B$4:$E$4</c:f>
              <c:numCache>
                <c:formatCode>General</c:formatCode>
                <c:ptCount val="4"/>
                <c:pt idx="0">
                  <c:v>11</c:v>
                </c:pt>
              </c:numCache>
            </c:numRef>
          </c:val>
          <c:extLst>
            <c:ext xmlns:c16="http://schemas.microsoft.com/office/drawing/2014/chart" uri="{C3380CC4-5D6E-409C-BE32-E72D297353CC}">
              <c16:uniqueId val="{00000001-BB4F-4BFA-9BA6-88F2400CC991}"/>
            </c:ext>
          </c:extLst>
        </c:ser>
        <c:dLbls>
          <c:showLegendKey val="0"/>
          <c:showVal val="1"/>
          <c:showCatName val="0"/>
          <c:showSerName val="0"/>
          <c:showPercent val="0"/>
          <c:showBubbleSize val="0"/>
        </c:dLbls>
        <c:gapWidth val="150"/>
        <c:axId val="703835919"/>
        <c:axId val="703834671"/>
      </c:barChart>
      <c:catAx>
        <c:axId val="70383591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4671"/>
        <c:crosses val="autoZero"/>
        <c:auto val="1"/>
        <c:lblAlgn val="ctr"/>
        <c:lblOffset val="100"/>
        <c:noMultiLvlLbl val="0"/>
      </c:catAx>
      <c:valAx>
        <c:axId val="70383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5919"/>
        <c:crosses val="autoZero"/>
        <c:crossBetween val="between"/>
      </c:valAx>
      <c:spPr>
        <a:noFill/>
        <a:ln>
          <a:noFill/>
        </a:ln>
        <a:effectLst/>
      </c:spPr>
    </c:plotArea>
    <c:legend>
      <c:legendPos val="b"/>
      <c:layout>
        <c:manualLayout>
          <c:xMode val="edge"/>
          <c:yMode val="edge"/>
          <c:x val="0.1527996690383307"/>
          <c:y val="0.921184637020659"/>
          <c:w val="0.69440043398830464"/>
          <c:h val="7.403981379118440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r>
              <a:rPr lang="pl-PL" sz="800" b="1" i="0" baseline="0">
                <a:solidFill>
                  <a:sysClr val="windowText" lastClr="000000"/>
                </a:solidFill>
                <a:effectLst/>
                <a:latin typeface="Lato" panose="020F0502020204030203" pitchFamily="34" charset="-18"/>
              </a:rPr>
              <a:t>Liczba nowych cząsteczko-wskazań w 2024 r. - choroby rzadkie</a:t>
            </a:r>
            <a:endParaRPr lang="pl-PL" sz="800">
              <a:solidFill>
                <a:sysClr val="windowText" lastClr="000000"/>
              </a:solidFill>
              <a:effectLst/>
              <a:latin typeface="Lato" panose="020F0502020204030203" pitchFamily="34" charset="-18"/>
            </a:endParaRP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7.7692038495188118E-2"/>
          <c:y val="0.13625000000000001"/>
          <c:w val="0.90286351706036749"/>
          <c:h val="0.67829429975099265"/>
        </c:manualLayout>
      </c:layout>
      <c:barChart>
        <c:barDir val="col"/>
        <c:grouping val="clustered"/>
        <c:varyColors val="0"/>
        <c:ser>
          <c:idx val="0"/>
          <c:order val="0"/>
          <c:tx>
            <c:strRef>
              <c:f>'miesiące 2024'!$A$18</c:f>
              <c:strCache>
                <c:ptCount val="1"/>
                <c:pt idx="0">
                  <c:v>Wskazania rzadkie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2024'!$B$16:$E$17</c:f>
              <c:strCache>
                <c:ptCount val="4"/>
                <c:pt idx="0">
                  <c:v>styczeń</c:v>
                </c:pt>
                <c:pt idx="1">
                  <c:v>kwiecień</c:v>
                </c:pt>
                <c:pt idx="2">
                  <c:v>lipiec</c:v>
                </c:pt>
                <c:pt idx="3">
                  <c:v>październik</c:v>
                </c:pt>
              </c:strCache>
            </c:strRef>
          </c:cat>
          <c:val>
            <c:numRef>
              <c:f>'miesiące 2024'!$B$18:$E$18</c:f>
              <c:numCache>
                <c:formatCode>General</c:formatCode>
                <c:ptCount val="4"/>
                <c:pt idx="0">
                  <c:v>10</c:v>
                </c:pt>
              </c:numCache>
            </c:numRef>
          </c:val>
          <c:extLst>
            <c:ext xmlns:c16="http://schemas.microsoft.com/office/drawing/2014/chart" uri="{C3380CC4-5D6E-409C-BE32-E72D297353CC}">
              <c16:uniqueId val="{00000000-7A84-4332-AA3D-BC40CBC43C5B}"/>
            </c:ext>
          </c:extLst>
        </c:ser>
        <c:ser>
          <c:idx val="1"/>
          <c:order val="1"/>
          <c:tx>
            <c:strRef>
              <c:f>'miesiące 2024'!$A$19</c:f>
              <c:strCache>
                <c:ptCount val="1"/>
                <c:pt idx="0">
                  <c:v>Pozostałe</c:v>
                </c:pt>
              </c:strCache>
            </c:strRef>
          </c:tx>
          <c:spPr>
            <a:solidFill>
              <a:srgbClr val="4F93D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Lato" panose="020F0502020204030203" pitchFamily="34" charset="-18"/>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'miesiące 2024'!$B$16:$E$17</c:f>
              <c:strCache>
                <c:ptCount val="4"/>
                <c:pt idx="0">
                  <c:v>styczeń</c:v>
                </c:pt>
                <c:pt idx="1">
                  <c:v>kwiecień</c:v>
                </c:pt>
                <c:pt idx="2">
                  <c:v>lipiec</c:v>
                </c:pt>
                <c:pt idx="3">
                  <c:v>październik</c:v>
                </c:pt>
              </c:strCache>
            </c:strRef>
          </c:cat>
          <c:val>
            <c:numRef>
              <c:f>'miesiące 2024'!$B$19:$E$19</c:f>
              <c:numCache>
                <c:formatCode>General</c:formatCode>
                <c:ptCount val="4"/>
                <c:pt idx="0">
                  <c:v>9</c:v>
                </c:pt>
              </c:numCache>
            </c:numRef>
          </c:val>
          <c:extLst>
            <c:ext xmlns:c16="http://schemas.microsoft.com/office/drawing/2014/chart" uri="{C3380CC4-5D6E-409C-BE32-E72D297353CC}">
              <c16:uniqueId val="{00000001-7A84-4332-AA3D-BC40CBC43C5B}"/>
            </c:ext>
          </c:extLst>
        </c:ser>
        <c:dLbls>
          <c:showLegendKey val="0"/>
          <c:showVal val="1"/>
          <c:showCatName val="0"/>
          <c:showSerName val="0"/>
          <c:showPercent val="0"/>
          <c:showBubbleSize val="0"/>
        </c:dLbls>
        <c:gapWidth val="150"/>
        <c:axId val="703835919"/>
        <c:axId val="703834671"/>
      </c:barChart>
      <c:catAx>
        <c:axId val="70383591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4671"/>
        <c:crosses val="autoZero"/>
        <c:auto val="1"/>
        <c:lblAlgn val="ctr"/>
        <c:lblOffset val="100"/>
        <c:noMultiLvlLbl val="0"/>
      </c:catAx>
      <c:valAx>
        <c:axId val="703834671"/>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crossAx val="703835919"/>
        <c:crosses val="autoZero"/>
        <c:crossBetween val="between"/>
        <c:majorUnit val="2"/>
      </c:valAx>
      <c:spPr>
        <a:noFill/>
        <a:ln>
          <a:noFill/>
        </a:ln>
        <a:effectLst/>
      </c:spPr>
    </c:plotArea>
    <c:legend>
      <c:legendPos val="b"/>
      <c:layout>
        <c:manualLayout>
          <c:xMode val="edge"/>
          <c:yMode val="edge"/>
          <c:x val="0.29631955096522028"/>
          <c:y val="0.91634916603166539"/>
          <c:w val="0.40736067082523775"/>
          <c:h val="7.409288892651859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Lato" panose="020F0502020204030203" pitchFamily="34" charset="-18"/>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800" b="1" i="0" u="none" strike="noStrike" kern="1200" spc="0" baseline="0">
                <a:solidFill>
                  <a:sysClr val="windowText" lastClr="000000"/>
                </a:solidFill>
                <a:latin typeface="Lato" panose="020F0502020204030203" pitchFamily="34" charset="-18"/>
                <a:ea typeface="+mn-ea"/>
                <a:cs typeface="+mn-cs"/>
              </a:defRPr>
            </a:pPr>
            <a:r>
              <a:rPr lang="pl-PL" sz="800" b="1">
                <a:solidFill>
                  <a:sysClr val="windowText" lastClr="000000"/>
                </a:solidFill>
                <a:latin typeface="Lato" panose="020F0502020204030203" pitchFamily="34" charset="-18"/>
              </a:rPr>
              <a:t>Cząsteczko-wskazania onkologiczne w 2024 r. (stan na styczeń) </a:t>
            </a:r>
          </a:p>
        </c:rich>
      </c:tx>
      <c:layout>
        <c:manualLayout>
          <c:xMode val="edge"/>
          <c:yMode val="edge"/>
          <c:x val="0.20432428779020648"/>
          <c:y val="1.7697644482337797E-2"/>
        </c:manualLayout>
      </c:layout>
      <c:overlay val="0"/>
      <c:spPr>
        <a:noFill/>
        <a:ln>
          <a:noFill/>
        </a:ln>
        <a:effectLst/>
      </c:spPr>
      <c:txPr>
        <a:bodyPr rot="0" spcFirstLastPara="1" vertOverflow="ellipsis" vert="horz" wrap="square" anchor="ctr" anchorCtr="1"/>
        <a:lstStyle/>
        <a:p>
          <a:pPr algn="ctr">
            <a:defRPr sz="800" b="1" i="0" u="none" strike="noStrike" kern="1200" spc="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0.19019341466436868"/>
          <c:y val="0.10928921047031283"/>
          <c:w val="0.78573327475696442"/>
          <c:h val="0.8086234659856707"/>
        </c:manualLayout>
      </c:layout>
      <c:barChart>
        <c:barDir val="bar"/>
        <c:grouping val="clustered"/>
        <c:varyColors val="0"/>
        <c:ser>
          <c:idx val="10"/>
          <c:order val="0"/>
          <c:tx>
            <c:strRef>
              <c:f>'miesiące 2024'!$B$2</c:f>
              <c:strCache>
                <c:ptCount val="1"/>
                <c:pt idx="0">
                  <c:v>2024
(stan na styczeń)</c:v>
                </c:pt>
              </c:strCache>
            </c:strRef>
          </c:tx>
          <c:spPr>
            <a:solidFill>
              <a:srgbClr val="4F93D1"/>
            </a:solidFill>
            <a:ln>
              <a:noFill/>
            </a:ln>
            <a:effectLst/>
          </c:spPr>
          <c:invertIfNegative val="0"/>
          <c:cat>
            <c:strRef>
              <c:f>('miesiące 2024'!$A$3:$A$4,'miesiące 2024'!$A$11:$A$12)</c:f>
              <c:strCache>
                <c:ptCount val="4"/>
                <c:pt idx="0">
                  <c:v>Inne</c:v>
                </c:pt>
                <c:pt idx="1">
                  <c:v>Nowotwory układu 
urologicznego</c:v>
                </c:pt>
                <c:pt idx="2">
                  <c:v>Nowotwory układu 
endokrynnego</c:v>
                </c:pt>
                <c:pt idx="3">
                  <c:v>Hematoonkologia</c:v>
                </c:pt>
              </c:strCache>
              <c:extLst/>
            </c:strRef>
          </c:cat>
          <c:val>
            <c:numRef>
              <c:f>('miesiące 2024'!$B$3:$B$4,'miesiące 2024'!$B$11:$B$12)</c:f>
              <c:numCache>
                <c:formatCode>General</c:formatCode>
                <c:ptCount val="4"/>
                <c:pt idx="0">
                  <c:v>1</c:v>
                </c:pt>
                <c:pt idx="1">
                  <c:v>1</c:v>
                </c:pt>
                <c:pt idx="2">
                  <c:v>1</c:v>
                </c:pt>
                <c:pt idx="3">
                  <c:v>5</c:v>
                </c:pt>
              </c:numCache>
              <c:extLst/>
            </c:numRef>
          </c:val>
          <c:extLst>
            <c:ext xmlns:c16="http://schemas.microsoft.com/office/drawing/2014/chart" uri="{C3380CC4-5D6E-409C-BE32-E72D297353CC}">
              <c16:uniqueId val="{00000000-5449-42B1-A0E7-D4C788E75688}"/>
            </c:ext>
          </c:extLst>
        </c:ser>
        <c:dLbls>
          <c:showLegendKey val="0"/>
          <c:showVal val="0"/>
          <c:showCatName val="0"/>
          <c:showSerName val="0"/>
          <c:showPercent val="0"/>
          <c:showBubbleSize val="0"/>
        </c:dLbls>
        <c:gapWidth val="150"/>
        <c:axId val="751046271"/>
        <c:axId val="751054175"/>
      </c:barChart>
      <c:valAx>
        <c:axId val="7510541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751046271"/>
        <c:crosses val="autoZero"/>
        <c:crossBetween val="between"/>
        <c:majorUnit val="1"/>
      </c:valAx>
      <c:catAx>
        <c:axId val="751046271"/>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751054175"/>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Lato" panose="020F0502020204030203" pitchFamily="34" charset="-18"/>
                <a:ea typeface="+mn-ea"/>
                <a:cs typeface="+mn-cs"/>
              </a:defRPr>
            </a:pPr>
            <a:r>
              <a:rPr lang="pl-PL" sz="800" b="1">
                <a:latin typeface="Lato" panose="020F0502020204030203" pitchFamily="34" charset="-18"/>
              </a:rPr>
              <a:t>Cząsteczko-wskazania nieonkologiczne w 2024 r. (stan na styczeń) </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Lato" panose="020F0502020204030203" pitchFamily="34" charset="-18"/>
              <a:ea typeface="+mn-ea"/>
              <a:cs typeface="+mn-cs"/>
            </a:defRPr>
          </a:pPr>
          <a:endParaRPr lang="pl-PL"/>
        </a:p>
      </c:txPr>
    </c:title>
    <c:autoTitleDeleted val="0"/>
    <c:plotArea>
      <c:layout>
        <c:manualLayout>
          <c:layoutTarget val="inner"/>
          <c:xMode val="edge"/>
          <c:yMode val="edge"/>
          <c:x val="0.23286654900896006"/>
          <c:y val="0.1117124097506981"/>
          <c:w val="0.74306679337496617"/>
          <c:h val="0.82649157673182228"/>
        </c:manualLayout>
      </c:layout>
      <c:barChart>
        <c:barDir val="bar"/>
        <c:grouping val="clustered"/>
        <c:varyColors val="0"/>
        <c:ser>
          <c:idx val="0"/>
          <c:order val="0"/>
          <c:tx>
            <c:strRef>
              <c:f>'miesiące 2024'!$B$19</c:f>
              <c:strCache>
                <c:ptCount val="1"/>
                <c:pt idx="0">
                  <c:v>2024
(stan na styczeń)</c:v>
                </c:pt>
              </c:strCache>
            </c:strRef>
          </c:tx>
          <c:spPr>
            <a:solidFill>
              <a:srgbClr val="4F93D1"/>
            </a:solidFill>
            <a:ln>
              <a:noFill/>
            </a:ln>
            <a:effectLst/>
          </c:spPr>
          <c:invertIfNegative val="0"/>
          <c:cat>
            <c:strRef>
              <c:f>('miesiące 2024'!$A$24:$A$29,'miesiące 2024'!$A$34,'miesiące 2024'!$A$36)</c:f>
              <c:strCache>
                <c:ptCount val="8"/>
                <c:pt idx="0">
                  <c:v>Okulistyka</c:v>
                </c:pt>
                <c:pt idx="1">
                  <c:v>Neurologia</c:v>
                </c:pt>
                <c:pt idx="2">
                  <c:v>Nefrologia </c:v>
                </c:pt>
                <c:pt idx="3">
                  <c:v>Kardiologia</c:v>
                </c:pt>
                <c:pt idx="4">
                  <c:v>Immunologia</c:v>
                </c:pt>
                <c:pt idx="5">
                  <c:v>Hepatologia</c:v>
                </c:pt>
                <c:pt idx="6">
                  <c:v>Diabetologia</c:v>
                </c:pt>
                <c:pt idx="7">
                  <c:v>Choroby metaboliczne</c:v>
                </c:pt>
              </c:strCache>
              <c:extLst/>
            </c:strRef>
          </c:cat>
          <c:val>
            <c:numRef>
              <c:f>('miesiące 2024'!$B$24:$B$29,'miesiące 2024'!$B$34,'miesiące 2024'!$B$36)</c:f>
              <c:numCache>
                <c:formatCode>General</c:formatCode>
                <c:ptCount val="8"/>
                <c:pt idx="0">
                  <c:v>2</c:v>
                </c:pt>
                <c:pt idx="1">
                  <c:v>2</c:v>
                </c:pt>
                <c:pt idx="2">
                  <c:v>2</c:v>
                </c:pt>
                <c:pt idx="3">
                  <c:v>1</c:v>
                </c:pt>
                <c:pt idx="4">
                  <c:v>1</c:v>
                </c:pt>
                <c:pt idx="5">
                  <c:v>1</c:v>
                </c:pt>
                <c:pt idx="6">
                  <c:v>1</c:v>
                </c:pt>
                <c:pt idx="7">
                  <c:v>1</c:v>
                </c:pt>
              </c:numCache>
              <c:extLst/>
            </c:numRef>
          </c:val>
          <c:extLst>
            <c:ext xmlns:c16="http://schemas.microsoft.com/office/drawing/2014/chart" uri="{C3380CC4-5D6E-409C-BE32-E72D297353CC}">
              <c16:uniqueId val="{00000000-B4C9-480D-B561-4D7CFA7AE389}"/>
            </c:ext>
          </c:extLst>
        </c:ser>
        <c:dLbls>
          <c:showLegendKey val="0"/>
          <c:showVal val="0"/>
          <c:showCatName val="0"/>
          <c:showSerName val="0"/>
          <c:showPercent val="0"/>
          <c:showBubbleSize val="0"/>
        </c:dLbls>
        <c:gapWidth val="150"/>
        <c:axId val="241296495"/>
        <c:axId val="241294831"/>
      </c:barChart>
      <c:valAx>
        <c:axId val="241294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241296495"/>
        <c:crosses val="autoZero"/>
        <c:crossBetween val="between"/>
        <c:majorUnit val="1"/>
      </c:valAx>
      <c:catAx>
        <c:axId val="2412964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Lato" panose="020F0502020204030203" pitchFamily="34" charset="-18"/>
                <a:ea typeface="+mn-ea"/>
                <a:cs typeface="+mn-cs"/>
              </a:defRPr>
            </a:pPr>
            <a:endParaRPr lang="pl-PL"/>
          </a:p>
        </c:txPr>
        <c:crossAx val="241294831"/>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10</Pages>
  <Words>2081</Words>
  <Characters>12489</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Oczkowski Mateusz</dc:creator>
  <dc:description/>
  <cp:lastModifiedBy>Wilk Justyna</cp:lastModifiedBy>
  <cp:revision>34</cp:revision>
  <dcterms:created xsi:type="dcterms:W3CDTF">2023-10-12T08:41:00Z</dcterms:created>
  <dcterms:modified xsi:type="dcterms:W3CDTF">2023-12-11T10:04:00Z</dcterms:modified>
</cp:coreProperties>
</file>