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6639" w14:textId="77777777" w:rsidR="00B84833" w:rsidRDefault="001676CC">
      <w:pPr>
        <w:pStyle w:val="Standard"/>
        <w:ind w:hanging="720"/>
        <w:jc w:val="center"/>
      </w:pPr>
      <w:r>
        <w:rPr>
          <w:rFonts w:cs="Arial"/>
          <w:b/>
          <w:bCs/>
        </w:rPr>
        <w:t>Wykaz n</w:t>
      </w:r>
      <w:r>
        <w:rPr>
          <w:rFonts w:cs="Arial"/>
          <w:b/>
          <w:bCs/>
          <w:sz w:val="22"/>
          <w:szCs w:val="22"/>
        </w:rPr>
        <w:t>orm i/lub udokumentowanych procedur badawczych</w:t>
      </w:r>
    </w:p>
    <w:p w14:paraId="781C7A69" w14:textId="77777777" w:rsidR="00B84833" w:rsidRDefault="001676CC">
      <w:pPr>
        <w:pStyle w:val="Standard"/>
        <w:ind w:hanging="720"/>
        <w:jc w:val="center"/>
      </w:pPr>
      <w:r>
        <w:rPr>
          <w:rFonts w:cs="Arial"/>
          <w:b/>
          <w:bCs/>
        </w:rPr>
        <w:tab/>
      </w:r>
      <w:r>
        <w:rPr>
          <w:rFonts w:cs="Arial"/>
        </w:rPr>
        <w:t>obowiązujących w Oddziale Laboratoryjnym Powiatowej Stacji Sanitarno-Epidemiologicznej</w:t>
      </w:r>
    </w:p>
    <w:p w14:paraId="779108F3" w14:textId="68370D4A" w:rsidR="00B84833" w:rsidRDefault="001676CC">
      <w:pPr>
        <w:pStyle w:val="Standard"/>
        <w:ind w:hanging="720"/>
        <w:jc w:val="center"/>
      </w:pPr>
      <w:r>
        <w:rPr>
          <w:rFonts w:cs="Arial"/>
        </w:rPr>
        <w:t xml:space="preserve">w Krośnie od:  </w:t>
      </w:r>
      <w:r w:rsidR="000445DA">
        <w:rPr>
          <w:rFonts w:cs="Arial"/>
          <w:b/>
          <w:bCs/>
        </w:rPr>
        <w:t>2023-02-28</w:t>
      </w:r>
    </w:p>
    <w:p w14:paraId="12114765" w14:textId="77777777" w:rsidR="00B84833" w:rsidRDefault="001676CC">
      <w:pPr>
        <w:pStyle w:val="Standard"/>
        <w:ind w:hanging="720"/>
      </w:pPr>
      <w:r>
        <w:rPr>
          <w:rFonts w:cs="Arial"/>
          <w:b/>
          <w:bCs/>
          <w:iCs/>
          <w:sz w:val="20"/>
          <w:szCs w:val="20"/>
        </w:rPr>
        <w:tab/>
        <w:t>A</w:t>
      </w:r>
      <w:r>
        <w:rPr>
          <w:rFonts w:cs="Arial"/>
          <w:sz w:val="20"/>
          <w:szCs w:val="20"/>
        </w:rPr>
        <w:t xml:space="preserve"> – oznaczenie metody akredytowanej</w:t>
      </w:r>
    </w:p>
    <w:p w14:paraId="3BEC9D92" w14:textId="4A892E0F" w:rsidR="00B84833" w:rsidRDefault="001676CC">
      <w:pPr>
        <w:pStyle w:val="Standard"/>
        <w:rPr>
          <w:rFonts w:cs="Arial"/>
          <w:sz w:val="20"/>
          <w:szCs w:val="20"/>
        </w:rPr>
      </w:pPr>
      <w:r w:rsidRPr="004960E0">
        <w:rPr>
          <w:rFonts w:cs="Arial"/>
          <w:b/>
          <w:bCs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 - obszar regulowany prawnie</w:t>
      </w:r>
    </w:p>
    <w:p w14:paraId="0BB8CE3E" w14:textId="626A5BDB" w:rsidR="004960E0" w:rsidRPr="004960E0" w:rsidRDefault="004960E0">
      <w:pPr>
        <w:pStyle w:val="Standard"/>
        <w:rPr>
          <w:b/>
          <w:bCs/>
        </w:rPr>
      </w:pPr>
      <w:r w:rsidRPr="004960E0">
        <w:rPr>
          <w:rFonts w:cs="Arial"/>
          <w:b/>
          <w:bCs/>
          <w:sz w:val="20"/>
          <w:szCs w:val="20"/>
        </w:rPr>
        <w:t>SZ</w:t>
      </w:r>
      <w:r>
        <w:rPr>
          <w:rFonts w:cs="Arial"/>
          <w:b/>
          <w:bCs/>
          <w:sz w:val="20"/>
          <w:szCs w:val="20"/>
        </w:rPr>
        <w:t xml:space="preserve">- </w:t>
      </w:r>
      <w:r w:rsidRPr="004960E0">
        <w:rPr>
          <w:rFonts w:cs="Arial"/>
          <w:sz w:val="20"/>
          <w:szCs w:val="20"/>
        </w:rPr>
        <w:t>system zarzadzania</w:t>
      </w:r>
    </w:p>
    <w:p w14:paraId="7F65C67F" w14:textId="77777777" w:rsidR="00B84833" w:rsidRDefault="00B84833">
      <w:pPr>
        <w:pStyle w:val="Standard"/>
        <w:ind w:hanging="720"/>
        <w:rPr>
          <w:rFonts w:cs="Arial"/>
          <w:sz w:val="20"/>
          <w:szCs w:val="20"/>
        </w:rPr>
      </w:pPr>
    </w:p>
    <w:p w14:paraId="7E7CFBE1" w14:textId="77777777" w:rsidR="00B84833" w:rsidRDefault="001676CC">
      <w:pPr>
        <w:pStyle w:val="Standard"/>
        <w:ind w:hanging="720"/>
      </w:pPr>
      <w:r>
        <w:rPr>
          <w:rFonts w:cs="Arial"/>
        </w:rPr>
        <w:tab/>
      </w:r>
      <w:r>
        <w:rPr>
          <w:rFonts w:cs="Arial"/>
          <w:b/>
          <w:bCs/>
        </w:rPr>
        <w:t xml:space="preserve">– </w:t>
      </w:r>
      <w:r>
        <w:rPr>
          <w:b/>
          <w:bCs/>
        </w:rPr>
        <w:t>Pracownia Higieny Komunalnej</w:t>
      </w:r>
    </w:p>
    <w:p w14:paraId="1BD7EFC9" w14:textId="77777777" w:rsidR="00B84833" w:rsidRDefault="00B84833">
      <w:pPr>
        <w:pStyle w:val="Standard"/>
      </w:pPr>
    </w:p>
    <w:tbl>
      <w:tblPr>
        <w:tblW w:w="94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4948"/>
        <w:gridCol w:w="3896"/>
      </w:tblGrid>
      <w:tr w:rsidR="00B84833" w14:paraId="406A4C51" w14:textId="77777777">
        <w:trPr>
          <w:trHeight w:val="603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6AE09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  <w:b/>
                <w:bCs/>
              </w:rPr>
              <w:t>Lp</w:t>
            </w:r>
            <w:proofErr w:type="spellEnd"/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F7C10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</w:rPr>
              <w:t>Rodzaj oznaczenia - wskaźniki fizykochemiczne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76820" w14:textId="77777777" w:rsidR="00B84833" w:rsidRDefault="001676CC">
            <w:pPr>
              <w:pStyle w:val="Standard"/>
            </w:pPr>
            <w:r>
              <w:rPr>
                <w:b/>
              </w:rPr>
              <w:t>Normy i/lub udokumentowane</w:t>
            </w:r>
          </w:p>
          <w:p w14:paraId="39926646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</w:rPr>
              <w:t>procedury badawcze</w:t>
            </w:r>
          </w:p>
        </w:tc>
      </w:tr>
      <w:tr w:rsidR="00B84833" w14:paraId="4F1E39E9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EA4CE" w14:textId="77777777" w:rsidR="00B84833" w:rsidRDefault="001676C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54375" w14:textId="77777777" w:rsidR="00B84833" w:rsidRDefault="001676CC">
            <w:pPr>
              <w:pStyle w:val="Standard"/>
            </w:pPr>
            <w:r>
              <w:rPr>
                <w:rFonts w:cs="Arial"/>
              </w:rPr>
              <w:t>Jon amonowy</w:t>
            </w:r>
          </w:p>
          <w:p w14:paraId="20F9CA6E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(0,13 - 2,50) mg/l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7993B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 PN-C-04576-4:1994</w:t>
            </w:r>
          </w:p>
        </w:tc>
      </w:tr>
      <w:tr w:rsidR="00B84833" w14:paraId="37A94C3F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07270" w14:textId="77777777" w:rsidR="00B84833" w:rsidRDefault="001676CC">
            <w:pPr>
              <w:pStyle w:val="Standard"/>
              <w:jc w:val="center"/>
            </w:pPr>
            <w:r>
              <w:t>2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327E1" w14:textId="77777777" w:rsidR="00B84833" w:rsidRDefault="001676CC">
            <w:pPr>
              <w:pStyle w:val="Standard"/>
            </w:pPr>
            <w:r>
              <w:rPr>
                <w:rFonts w:cs="Arial"/>
              </w:rPr>
              <w:t>Azotany</w:t>
            </w:r>
          </w:p>
          <w:p w14:paraId="1C2D9983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(0,50 - 66,4) mg/l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707F7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 PN-C-04576-08:1982/wycofana bez zastąpienia/</w:t>
            </w:r>
          </w:p>
        </w:tc>
      </w:tr>
      <w:tr w:rsidR="00B84833" w14:paraId="7A809B92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EEB98" w14:textId="77777777" w:rsidR="00B84833" w:rsidRDefault="001676CC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116D6" w14:textId="77777777" w:rsidR="00B84833" w:rsidRDefault="001676CC">
            <w:pPr>
              <w:pStyle w:val="Standard"/>
            </w:pPr>
            <w:r>
              <w:rPr>
                <w:rFonts w:cs="Arial"/>
              </w:rPr>
              <w:t>Azotyny</w:t>
            </w:r>
          </w:p>
          <w:p w14:paraId="6FD5E9E1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(0,040 - 0,82) mg/l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A4A48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PN-EN 26777:1999</w:t>
            </w:r>
          </w:p>
        </w:tc>
      </w:tr>
      <w:tr w:rsidR="00B84833" w14:paraId="67105165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D3424" w14:textId="77777777" w:rsidR="00B84833" w:rsidRDefault="001676CC">
            <w:pPr>
              <w:pStyle w:val="Standard"/>
              <w:jc w:val="center"/>
            </w:pPr>
            <w:r>
              <w:t>4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6058B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Barwa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F95BD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PN-EN ISO 7887:2002 rozdz.4 </w:t>
            </w:r>
            <w:r>
              <w:rPr>
                <w:rFonts w:ascii="Times New Roman" w:hAnsi="Times New Roman" w:cs="Arial"/>
                <w:iCs/>
                <w:sz w:val="24"/>
                <w:szCs w:val="24"/>
              </w:rPr>
              <w:t>/wycofana/</w:t>
            </w:r>
          </w:p>
        </w:tc>
      </w:tr>
      <w:tr w:rsidR="00B84833" w14:paraId="1C80B342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F7272" w14:textId="77777777" w:rsidR="00B84833" w:rsidRDefault="001676CC">
            <w:pPr>
              <w:pStyle w:val="Standard"/>
              <w:jc w:val="center"/>
            </w:pPr>
            <w:r>
              <w:t>5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668B1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Chlorki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B09B9" w14:textId="659EAFB4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 w:rsidR="004960E0" w:rsidRPr="004960E0">
              <w:rPr>
                <w:rFonts w:ascii="Times New Roman" w:hAnsi="Times New Roman" w:cs="Arial"/>
                <w:b/>
                <w:bCs/>
                <w:sz w:val="24"/>
                <w:szCs w:val="24"/>
                <w:lang w:val="en-US"/>
              </w:rPr>
              <w:t>SZ</w:t>
            </w:r>
            <w:r w:rsidR="004960E0">
              <w:rPr>
                <w:rFonts w:ascii="Times New Roman" w:hAnsi="Times New Roman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PN-ISO 9297:1994</w:t>
            </w:r>
          </w:p>
        </w:tc>
      </w:tr>
      <w:tr w:rsidR="00B84833" w14:paraId="6752750D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B589" w14:textId="77777777" w:rsidR="00B84833" w:rsidRDefault="001676CC">
            <w:pPr>
              <w:pStyle w:val="Standard"/>
              <w:jc w:val="center"/>
            </w:pPr>
            <w:r>
              <w:t>6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5F1FB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  <w:lang w:val="de-DE"/>
              </w:rPr>
              <w:t>Glin</w:t>
            </w:r>
            <w:proofErr w:type="spellEnd"/>
          </w:p>
          <w:p w14:paraId="5C010046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  <w:lang w:val="de-DE"/>
              </w:rPr>
              <w:t>Zakres</w:t>
            </w:r>
            <w:proofErr w:type="spellEnd"/>
            <w:r>
              <w:rPr>
                <w:rFonts w:cs="Arial"/>
                <w:lang w:val="de-DE"/>
              </w:rPr>
              <w:t>: (0,040 - 0,400) mg/l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47252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PN-92/C 04605.02/wycofana bez zastąpienia/</w:t>
            </w:r>
          </w:p>
        </w:tc>
      </w:tr>
      <w:tr w:rsidR="00B84833" w14:paraId="5041C51C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15594" w14:textId="77777777" w:rsidR="00B84833" w:rsidRDefault="001676CC">
            <w:pPr>
              <w:pStyle w:val="Standard"/>
              <w:jc w:val="center"/>
            </w:pPr>
            <w:r>
              <w:t>7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CF125" w14:textId="77777777" w:rsidR="00B84833" w:rsidRDefault="001676CC">
            <w:pPr>
              <w:pStyle w:val="Standard"/>
            </w:pPr>
            <w:r>
              <w:rPr>
                <w:rFonts w:cs="Arial"/>
                <w:lang w:val="de-DE"/>
              </w:rPr>
              <w:t>Mangan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C053C" w14:textId="53704B3B" w:rsidR="00B84833" w:rsidRDefault="001676CC">
            <w:pPr>
              <w:pStyle w:val="Standard"/>
            </w:pPr>
            <w:r>
              <w:rPr>
                <w:rFonts w:cs="Arial"/>
              </w:rPr>
              <w:t xml:space="preserve"> </w:t>
            </w:r>
            <w:r w:rsidR="004960E0" w:rsidRPr="004960E0">
              <w:rPr>
                <w:rFonts w:cs="Arial"/>
                <w:b/>
                <w:bCs/>
              </w:rPr>
              <w:t>SZ</w:t>
            </w:r>
            <w:r w:rsidR="004960E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PN-92/C 04590.03 /wycofana bez zastąpienia/</w:t>
            </w:r>
          </w:p>
        </w:tc>
      </w:tr>
      <w:tr w:rsidR="00B84833" w14:paraId="5B92185A" w14:textId="77777777">
        <w:trPr>
          <w:trHeight w:val="520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395BF" w14:textId="77777777" w:rsidR="00B84833" w:rsidRDefault="001676CC">
            <w:pPr>
              <w:pStyle w:val="Standard"/>
              <w:jc w:val="center"/>
            </w:pPr>
            <w:r>
              <w:t>8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47A4F" w14:textId="77777777" w:rsidR="00B84833" w:rsidRDefault="001676CC">
            <w:pPr>
              <w:pStyle w:val="Standard"/>
            </w:pPr>
            <w:r>
              <w:rPr>
                <w:rFonts w:cs="Arial"/>
              </w:rPr>
              <w:t>Mętność</w:t>
            </w:r>
          </w:p>
          <w:p w14:paraId="3AD4EBD6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(0,10 - 40) NTU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840FE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  <w:lang w:val="fr-FR"/>
              </w:rPr>
              <w:t>A</w:t>
            </w:r>
            <w:r>
              <w:rPr>
                <w:rFonts w:cs="Arial"/>
                <w:lang w:val="fr-FR"/>
              </w:rPr>
              <w:t xml:space="preserve"> PN-EN ISO 7027-1:2016-09</w:t>
            </w:r>
          </w:p>
        </w:tc>
      </w:tr>
      <w:tr w:rsidR="00B84833" w14:paraId="70A44D06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D2ADC" w14:textId="77777777" w:rsidR="00B84833" w:rsidRDefault="001676CC">
            <w:pPr>
              <w:pStyle w:val="Standard"/>
              <w:jc w:val="center"/>
            </w:pPr>
            <w:r>
              <w:t>9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1FE8F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</w:rPr>
              <w:t>pH</w:t>
            </w:r>
            <w:proofErr w:type="spellEnd"/>
          </w:p>
          <w:p w14:paraId="552F761C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(4,0 - 10,0)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2F8ED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PN-EN ISO 10523:2012</w:t>
            </w:r>
          </w:p>
        </w:tc>
      </w:tr>
      <w:tr w:rsidR="00B84833" w14:paraId="1B3EB15A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BD078" w14:textId="77777777" w:rsidR="00B84833" w:rsidRDefault="001676CC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97E03" w14:textId="77777777" w:rsidR="00B84833" w:rsidRDefault="001676CC">
            <w:pPr>
              <w:pStyle w:val="Standard"/>
            </w:pPr>
            <w:r>
              <w:rPr>
                <w:rFonts w:cs="Arial"/>
              </w:rPr>
              <w:t>Przewodność elektryczna właściwa</w:t>
            </w:r>
          </w:p>
          <w:p w14:paraId="7193FA93" w14:textId="77777777" w:rsidR="00B84833" w:rsidRDefault="001676CC">
            <w:pPr>
              <w:pStyle w:val="Standard"/>
            </w:pPr>
            <w:r>
              <w:rPr>
                <w:rFonts w:cs="Arial"/>
              </w:rPr>
              <w:t xml:space="preserve">Zakres: (100 - 2500) </w:t>
            </w:r>
            <w:proofErr w:type="spellStart"/>
            <w:r>
              <w:t>μ</w:t>
            </w:r>
            <w:r>
              <w:rPr>
                <w:rFonts w:cs="Arial"/>
              </w:rPr>
              <w:t>S</w:t>
            </w:r>
            <w:proofErr w:type="spellEnd"/>
            <w:r>
              <w:rPr>
                <w:rFonts w:cs="Arial"/>
              </w:rPr>
              <w:t>/cm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D02A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PN-EN 27888:1999</w:t>
            </w:r>
          </w:p>
        </w:tc>
      </w:tr>
      <w:tr w:rsidR="00B84833" w14:paraId="559926A8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69838" w14:textId="77777777" w:rsidR="00B84833" w:rsidRDefault="001676CC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A83F9" w14:textId="77777777" w:rsidR="00B84833" w:rsidRDefault="001676CC">
            <w:pPr>
              <w:pStyle w:val="Standard"/>
            </w:pPr>
            <w:r>
              <w:rPr>
                <w:rFonts w:cs="Arial"/>
              </w:rPr>
              <w:t>Siarczany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5A2F4" w14:textId="77777777" w:rsidR="00B84833" w:rsidRDefault="001676CC">
            <w:pPr>
              <w:pStyle w:val="Standard"/>
            </w:pPr>
            <w:r>
              <w:rPr>
                <w:rFonts w:cs="Arial"/>
              </w:rPr>
              <w:t xml:space="preserve"> PN-79/C 04566.10/</w:t>
            </w:r>
            <w:r>
              <w:rPr>
                <w:rFonts w:cs="Arial"/>
                <w:iCs/>
              </w:rPr>
              <w:t>wycofana bez zastąpienia</w:t>
            </w:r>
            <w:r>
              <w:rPr>
                <w:rFonts w:cs="Arial"/>
              </w:rPr>
              <w:t>/</w:t>
            </w:r>
          </w:p>
        </w:tc>
      </w:tr>
      <w:tr w:rsidR="00B84833" w14:paraId="506F1401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CE7D3" w14:textId="77777777" w:rsidR="00B84833" w:rsidRDefault="001676CC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67FF7" w14:textId="77777777" w:rsidR="00B84833" w:rsidRDefault="001676CC">
            <w:pPr>
              <w:pStyle w:val="Standard"/>
            </w:pPr>
            <w:r>
              <w:rPr>
                <w:rFonts w:cs="Arial"/>
              </w:rPr>
              <w:t>Smak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F960" w14:textId="77777777" w:rsidR="00B84833" w:rsidRDefault="001676CC">
            <w:pPr>
              <w:pStyle w:val="Standard"/>
            </w:pPr>
            <w:r>
              <w:rPr>
                <w:rFonts w:cs="Arial"/>
              </w:rPr>
              <w:t>PN-EN 1622:2003 pkt 10.2.2.2 i 10.2.3.2</w:t>
            </w:r>
          </w:p>
          <w:p w14:paraId="33D6BF21" w14:textId="77777777" w:rsidR="00B84833" w:rsidRDefault="001676CC">
            <w:pPr>
              <w:pStyle w:val="Standard"/>
            </w:pPr>
            <w:r>
              <w:rPr>
                <w:rFonts w:cs="Arial"/>
              </w:rPr>
              <w:t>/wycofana/</w:t>
            </w:r>
          </w:p>
        </w:tc>
      </w:tr>
      <w:tr w:rsidR="00B84833" w14:paraId="6683A7D3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F3AFC" w14:textId="77777777" w:rsidR="00B84833" w:rsidRDefault="001676CC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6C078" w14:textId="77777777" w:rsidR="00B84833" w:rsidRDefault="001676CC">
            <w:pPr>
              <w:pStyle w:val="Standard"/>
            </w:pPr>
            <w:r>
              <w:rPr>
                <w:rFonts w:cs="Arial"/>
              </w:rPr>
              <w:t>Twardość ogólna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29D27" w14:textId="77777777" w:rsidR="00B84833" w:rsidRDefault="001676CC">
            <w:pPr>
              <w:pStyle w:val="Standard"/>
            </w:pPr>
            <w:r>
              <w:rPr>
                <w:rFonts w:cs="Arial"/>
                <w:lang w:val="de-DE"/>
              </w:rPr>
              <w:t xml:space="preserve"> PN-ISO 6059:1999</w:t>
            </w:r>
          </w:p>
        </w:tc>
      </w:tr>
      <w:tr w:rsidR="00B84833" w14:paraId="42866ADE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A2E81" w14:textId="77777777" w:rsidR="00B84833" w:rsidRDefault="001676CC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6F76F" w14:textId="77777777" w:rsidR="00B84833" w:rsidRDefault="001676CC">
            <w:pPr>
              <w:pStyle w:val="Standard"/>
            </w:pPr>
            <w:r>
              <w:rPr>
                <w:rFonts w:cs="Arial"/>
              </w:rPr>
              <w:t>Utlenialność (</w:t>
            </w:r>
            <w:proofErr w:type="spellStart"/>
            <w:r>
              <w:rPr>
                <w:rFonts w:cs="Arial"/>
              </w:rPr>
              <w:t>ChZT</w:t>
            </w:r>
            <w:r>
              <w:rPr>
                <w:rFonts w:cs="Arial"/>
                <w:vertAlign w:val="subscript"/>
              </w:rPr>
              <w:t>Mn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F3EBB" w14:textId="43E45BF4" w:rsidR="00B84833" w:rsidRDefault="004960E0">
            <w:pPr>
              <w:pStyle w:val="Standard"/>
            </w:pPr>
            <w:r w:rsidRPr="004960E0">
              <w:rPr>
                <w:rFonts w:cs="Arial"/>
                <w:b/>
                <w:bCs/>
                <w:lang w:val="de-DE"/>
              </w:rPr>
              <w:t>SZ</w:t>
            </w:r>
            <w:r>
              <w:rPr>
                <w:rFonts w:cs="Arial"/>
                <w:lang w:val="de-DE"/>
              </w:rPr>
              <w:t xml:space="preserve"> </w:t>
            </w:r>
            <w:r w:rsidR="001676CC">
              <w:rPr>
                <w:rFonts w:cs="Arial"/>
                <w:lang w:val="de-DE"/>
              </w:rPr>
              <w:t xml:space="preserve"> PN-EN ISO 8467:2001</w:t>
            </w:r>
          </w:p>
        </w:tc>
      </w:tr>
      <w:tr w:rsidR="00B84833" w14:paraId="54435AF2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EA5CF" w14:textId="77777777" w:rsidR="00B84833" w:rsidRDefault="001676CC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BC3E6" w14:textId="77777777" w:rsidR="00B84833" w:rsidRDefault="001676CC">
            <w:pPr>
              <w:pStyle w:val="Standard"/>
            </w:pPr>
            <w:r>
              <w:rPr>
                <w:rFonts w:cs="Arial"/>
              </w:rPr>
              <w:t>Zapach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73642" w14:textId="77777777" w:rsidR="00B84833" w:rsidRDefault="001676CC">
            <w:pPr>
              <w:pStyle w:val="Standard"/>
            </w:pPr>
            <w:r>
              <w:rPr>
                <w:rFonts w:cs="Arial"/>
              </w:rPr>
              <w:t xml:space="preserve"> PN-EN 1622:2003 pkt 10.2.2.2 i 10.2.3.2</w:t>
            </w:r>
          </w:p>
          <w:p w14:paraId="7179446F" w14:textId="77777777" w:rsidR="00B84833" w:rsidRDefault="001676CC">
            <w:pPr>
              <w:pStyle w:val="Standard"/>
            </w:pPr>
            <w:r>
              <w:rPr>
                <w:rFonts w:cs="Arial"/>
                <w:iCs/>
              </w:rPr>
              <w:t>/wycofana/</w:t>
            </w:r>
          </w:p>
        </w:tc>
      </w:tr>
      <w:tr w:rsidR="00B84833" w14:paraId="26D34E34" w14:textId="77777777">
        <w:trPr>
          <w:trHeight w:val="519"/>
        </w:trPr>
        <w:tc>
          <w:tcPr>
            <w:tcW w:w="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33C" w14:textId="77777777" w:rsidR="00B84833" w:rsidRDefault="001676CC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4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E4F29" w14:textId="77777777" w:rsidR="00B84833" w:rsidRDefault="001676CC">
            <w:pPr>
              <w:pStyle w:val="Standard"/>
            </w:pPr>
            <w:r>
              <w:rPr>
                <w:rFonts w:cs="Arial"/>
              </w:rPr>
              <w:t>Żelazo</w:t>
            </w:r>
          </w:p>
          <w:p w14:paraId="5B7FB3FB" w14:textId="77777777" w:rsidR="00B84833" w:rsidRDefault="001676CC">
            <w:pPr>
              <w:pStyle w:val="Standard"/>
            </w:pPr>
            <w:r>
              <w:rPr>
                <w:rFonts w:cs="Arial"/>
              </w:rPr>
              <w:t>Zakres: (0,030 – 2,00) mg/l</w:t>
            </w:r>
          </w:p>
        </w:tc>
        <w:tc>
          <w:tcPr>
            <w:tcW w:w="3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88717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</w:rPr>
              <w:t>A</w:t>
            </w:r>
            <w:r>
              <w:rPr>
                <w:rFonts w:cs="Arial"/>
              </w:rPr>
              <w:t xml:space="preserve"> PN-ISO 6332:2001+Ap1:2016-06</w:t>
            </w:r>
          </w:p>
        </w:tc>
      </w:tr>
    </w:tbl>
    <w:p w14:paraId="136BFA5C" w14:textId="77777777" w:rsidR="00B84833" w:rsidRDefault="00B84833">
      <w:pPr>
        <w:pStyle w:val="Standard"/>
      </w:pPr>
    </w:p>
    <w:p w14:paraId="30704A41" w14:textId="77777777" w:rsidR="00B84833" w:rsidRDefault="00B84833">
      <w:pPr>
        <w:pStyle w:val="Standard"/>
      </w:pPr>
    </w:p>
    <w:p w14:paraId="5EDD673E" w14:textId="77777777" w:rsidR="00B84833" w:rsidRDefault="00B84833">
      <w:pPr>
        <w:pStyle w:val="Standard"/>
      </w:pPr>
    </w:p>
    <w:p w14:paraId="6ECEA83C" w14:textId="77777777" w:rsidR="00B84833" w:rsidRDefault="00B84833">
      <w:pPr>
        <w:pStyle w:val="Standard"/>
        <w:pageBreakBefore/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4989"/>
        <w:gridCol w:w="3924"/>
      </w:tblGrid>
      <w:tr w:rsidR="00B84833" w14:paraId="1D4C5F73" w14:textId="77777777">
        <w:trPr>
          <w:trHeight w:val="558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90986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  <w:b/>
                <w:bCs/>
              </w:rPr>
              <w:t>Lp</w:t>
            </w:r>
            <w:proofErr w:type="spellEnd"/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F19BF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</w:rPr>
              <w:t>Rodzaj oznaczenia - wskaźniki mikrobiologiczne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B737A" w14:textId="77777777" w:rsidR="00B84833" w:rsidRDefault="001676CC">
            <w:pPr>
              <w:pStyle w:val="Standard"/>
            </w:pPr>
            <w:r>
              <w:rPr>
                <w:b/>
              </w:rPr>
              <w:t>Normy i/lub udokumentowane</w:t>
            </w:r>
          </w:p>
          <w:p w14:paraId="79E9E6E9" w14:textId="77777777" w:rsidR="00B84833" w:rsidRDefault="001676CC">
            <w:pPr>
              <w:pStyle w:val="Standard"/>
            </w:pPr>
            <w:r>
              <w:rPr>
                <w:b/>
              </w:rPr>
              <w:t>procedury badawcze</w:t>
            </w:r>
          </w:p>
        </w:tc>
      </w:tr>
      <w:tr w:rsidR="00B84833" w14:paraId="690514C4" w14:textId="77777777">
        <w:trPr>
          <w:trHeight w:val="402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67A59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49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06B52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</w:rPr>
              <w:t>Bakterie grupy coli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1EB1B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  <w:b/>
                <w:bCs/>
              </w:rPr>
              <w:t>A</w:t>
            </w:r>
            <w:r>
              <w:rPr>
                <w:rFonts w:cs="Arial"/>
              </w:rPr>
              <w:t xml:space="preserve">  PB/HK-06 wyd.4 z dn.26.07.2010</w:t>
            </w:r>
          </w:p>
        </w:tc>
      </w:tr>
      <w:tr w:rsidR="00B84833" w14:paraId="10ABE1C5" w14:textId="77777777">
        <w:trPr>
          <w:trHeight w:val="402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A989F" w14:textId="77777777" w:rsidR="008114C0" w:rsidRDefault="008114C0"/>
        </w:tc>
        <w:tc>
          <w:tcPr>
            <w:tcW w:w="49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DB113" w14:textId="77777777" w:rsidR="008114C0" w:rsidRDefault="008114C0"/>
        </w:tc>
        <w:tc>
          <w:tcPr>
            <w:tcW w:w="3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6A66F" w14:textId="7AEDB02A" w:rsidR="00B84833" w:rsidRDefault="001676CC" w:rsidP="004E6B4C">
            <w:pPr>
              <w:pStyle w:val="Standard"/>
            </w:pPr>
            <w:r w:rsidRPr="00B76B6A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  <w:lang w:val="en-US"/>
              </w:rPr>
              <w:t>A,</w:t>
            </w:r>
            <w:r>
              <w:rPr>
                <w:lang w:val="en-US"/>
              </w:rPr>
              <w:t xml:space="preserve"> </w:t>
            </w:r>
            <w:r w:rsidRPr="004960E0">
              <w:rPr>
                <w:b/>
                <w:bCs/>
                <w:lang w:val="en-US"/>
              </w:rPr>
              <w:t>P</w:t>
            </w:r>
            <w:r>
              <w:rPr>
                <w:lang w:val="en-US"/>
              </w:rPr>
              <w:t xml:space="preserve">  </w:t>
            </w:r>
            <w:r>
              <w:rPr>
                <w:lang w:val="fr-FR"/>
              </w:rPr>
              <w:t>PN-EN ISO 9308-1:2014-12/A1: 2017-04</w:t>
            </w:r>
          </w:p>
        </w:tc>
      </w:tr>
      <w:tr w:rsidR="00B84833" w14:paraId="4D144238" w14:textId="77777777">
        <w:trPr>
          <w:trHeight w:val="402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0F632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2</w:t>
            </w:r>
          </w:p>
        </w:tc>
        <w:tc>
          <w:tcPr>
            <w:tcW w:w="49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19569" w14:textId="77777777" w:rsidR="00B84833" w:rsidRDefault="001676CC">
            <w:pPr>
              <w:pStyle w:val="Nagwek3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Escherichia coli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DAE4C" w14:textId="77777777" w:rsidR="00B84833" w:rsidRDefault="001676CC">
            <w:pPr>
              <w:pStyle w:val="Nagwek4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PB/HK-06 wyd.4 z dn.26.07.2010</w:t>
            </w:r>
          </w:p>
        </w:tc>
      </w:tr>
      <w:tr w:rsidR="00B84833" w14:paraId="1ACB94F1" w14:textId="77777777">
        <w:trPr>
          <w:trHeight w:val="402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D496B" w14:textId="77777777" w:rsidR="008114C0" w:rsidRDefault="008114C0"/>
        </w:tc>
        <w:tc>
          <w:tcPr>
            <w:tcW w:w="49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65700" w14:textId="77777777" w:rsidR="008114C0" w:rsidRDefault="008114C0"/>
        </w:tc>
        <w:tc>
          <w:tcPr>
            <w:tcW w:w="3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11B28" w14:textId="37995BAB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lang w:val="fr-FR"/>
              </w:rPr>
              <w:t>A,</w:t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t xml:space="preserve">P </w:t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lang w:val="fr-FR"/>
              </w:rPr>
              <w:t>PN-EN ISO 9308-1:2014-12/</w:t>
            </w:r>
            <w:r w:rsidR="004E6B4C">
              <w:rPr>
                <w:lang w:val="fr-FR"/>
              </w:rPr>
              <w:br/>
            </w:r>
            <w:r>
              <w:rPr>
                <w:lang w:val="fr-FR"/>
              </w:rPr>
              <w:t>A1:2017-04</w:t>
            </w:r>
          </w:p>
        </w:tc>
      </w:tr>
      <w:tr w:rsidR="00B84833" w14:paraId="15C037A3" w14:textId="77777777">
        <w:trPr>
          <w:trHeight w:val="402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D990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3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3585B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</w:rPr>
              <w:t>Ogólna liczba mikroorganizmów w 36</w:t>
            </w:r>
            <w:r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 i 22</w:t>
            </w:r>
            <w:r>
              <w:rPr>
                <w:rFonts w:cs="Arial"/>
                <w:vertAlign w:val="superscript"/>
              </w:rPr>
              <w:t>0</w:t>
            </w:r>
            <w:r>
              <w:rPr>
                <w:rFonts w:cs="Arial"/>
              </w:rPr>
              <w:t>C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1A694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  <w:b/>
                <w:bCs/>
              </w:rPr>
              <w:t xml:space="preserve">A, P  </w:t>
            </w:r>
            <w:r>
              <w:rPr>
                <w:rFonts w:cs="Arial"/>
              </w:rPr>
              <w:t xml:space="preserve"> PN-EN ISO 6222:2004</w:t>
            </w:r>
          </w:p>
        </w:tc>
      </w:tr>
      <w:tr w:rsidR="00B84833" w14:paraId="29DA8A6D" w14:textId="77777777">
        <w:trPr>
          <w:trHeight w:val="402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320B7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4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ABE50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</w:rPr>
              <w:t>Przetrwalniki beztlenowców redukujących</w:t>
            </w:r>
          </w:p>
          <w:p w14:paraId="3153AE86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</w:rPr>
              <w:t>siarczyny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B0BA4" w14:textId="0B8C2C7A" w:rsidR="00B84833" w:rsidRDefault="001676CC">
            <w:pPr>
              <w:pStyle w:val="Standard"/>
              <w:ind w:right="-284"/>
            </w:pPr>
            <w:r>
              <w:rPr>
                <w:rFonts w:cs="Arial"/>
                <w:b/>
                <w:bCs/>
              </w:rPr>
              <w:t>A</w:t>
            </w:r>
            <w:r w:rsidR="000445DA">
              <w:rPr>
                <w:rFonts w:cs="Arial"/>
                <w:b/>
                <w:bCs/>
              </w:rPr>
              <w:t>,</w:t>
            </w:r>
            <w:r w:rsidR="004E6B4C">
              <w:rPr>
                <w:rFonts w:cs="Arial"/>
                <w:b/>
                <w:bCs/>
              </w:rPr>
              <w:t xml:space="preserve"> </w:t>
            </w:r>
            <w:r w:rsidR="000445DA">
              <w:rPr>
                <w:rFonts w:cs="Arial"/>
                <w:b/>
                <w:bCs/>
              </w:rPr>
              <w:t>P</w:t>
            </w:r>
            <w:r>
              <w:rPr>
                <w:rFonts w:cs="Arial"/>
              </w:rPr>
              <w:t xml:space="preserve">   PN-EN 26461-2:2001</w:t>
            </w:r>
          </w:p>
        </w:tc>
      </w:tr>
      <w:tr w:rsidR="00B84833" w14:paraId="7245B7E5" w14:textId="77777777">
        <w:trPr>
          <w:trHeight w:val="1420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D52C9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DC507" w14:textId="77777777" w:rsidR="00B84833" w:rsidRDefault="001676CC">
            <w:pPr>
              <w:pStyle w:val="Standard"/>
              <w:ind w:right="-284"/>
            </w:pPr>
            <w:r>
              <w:rPr>
                <w:rFonts w:cs="Arial"/>
              </w:rPr>
              <w:t xml:space="preserve">Clostridium </w:t>
            </w:r>
            <w:proofErr w:type="spellStart"/>
            <w:r>
              <w:rPr>
                <w:rFonts w:cs="Arial"/>
              </w:rPr>
              <w:t>perfringens</w:t>
            </w:r>
            <w:proofErr w:type="spellEnd"/>
            <w:r>
              <w:rPr>
                <w:rFonts w:cs="Arial"/>
              </w:rPr>
              <w:t xml:space="preserve"> (łącznie ze sporami)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C9FD8" w14:textId="20EC44A1" w:rsidR="00B84833" w:rsidRDefault="001676CC">
            <w:pPr>
              <w:pStyle w:val="Standard"/>
            </w:pPr>
            <w:r>
              <w:rPr>
                <w:rFonts w:cs="Arial"/>
                <w:b/>
                <w:bCs/>
              </w:rPr>
              <w:t xml:space="preserve"> </w:t>
            </w:r>
            <w:r>
              <w:t xml:space="preserve">Załącznik nr 10 </w:t>
            </w:r>
            <w:proofErr w:type="spellStart"/>
            <w:r>
              <w:t>Rozporz</w:t>
            </w:r>
            <w:proofErr w:type="spellEnd"/>
            <w:r>
              <w:t>. Ministra Zdrowia z dn.13 listopada 2015 r.</w:t>
            </w:r>
          </w:p>
          <w:p w14:paraId="186CF684" w14:textId="77777777" w:rsidR="00B84833" w:rsidRDefault="001676CC">
            <w:pPr>
              <w:pStyle w:val="Standard"/>
            </w:pPr>
            <w:r>
              <w:t>(Dz.U. z 2015r., poz.1989) /uchylony/</w:t>
            </w:r>
            <w:r>
              <w:br/>
            </w:r>
          </w:p>
          <w:p w14:paraId="2739DFA6" w14:textId="77777777" w:rsidR="00B84833" w:rsidRDefault="001676CC">
            <w:pPr>
              <w:pStyle w:val="Standard"/>
            </w:pPr>
            <w:r>
              <w:rPr>
                <w:b/>
                <w:bCs/>
              </w:rPr>
              <w:t xml:space="preserve">A, </w:t>
            </w:r>
            <w:r>
              <w:rPr>
                <w:b/>
              </w:rPr>
              <w:t>P</w:t>
            </w:r>
            <w:r>
              <w:t xml:space="preserve">  PN-EN ISO 14189:2016-10</w:t>
            </w:r>
          </w:p>
        </w:tc>
      </w:tr>
      <w:tr w:rsidR="00B84833" w14:paraId="598598F2" w14:textId="77777777">
        <w:trPr>
          <w:trHeight w:val="402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CCF2A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6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46B94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Gronkowce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koagulazo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>-dodatnie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FE734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 PB/HK-03 wyd. 5 z dn. 26.07.2010</w:t>
            </w:r>
          </w:p>
        </w:tc>
      </w:tr>
      <w:tr w:rsidR="00B84833" w14:paraId="7F5A5DC0" w14:textId="77777777">
        <w:trPr>
          <w:trHeight w:val="402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95AB2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7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95641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Enterokoki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kałowe</w:t>
            </w:r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EAB31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A, P 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PN-EN ISO 7899-2:2004</w:t>
            </w:r>
          </w:p>
        </w:tc>
      </w:tr>
      <w:tr w:rsidR="00B84833" w14:paraId="2C3BC40E" w14:textId="77777777">
        <w:trPr>
          <w:trHeight w:val="402"/>
        </w:trPr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B7E9E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</w:rPr>
              <w:t>8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55495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Pseudomonas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3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AA228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 xml:space="preserve">A, P 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PN-EN ISO 16266:2009</w:t>
            </w:r>
          </w:p>
        </w:tc>
      </w:tr>
    </w:tbl>
    <w:p w14:paraId="0BDD19AB" w14:textId="77777777" w:rsidR="00B84833" w:rsidRDefault="00B84833">
      <w:pPr>
        <w:pStyle w:val="Standard"/>
      </w:pPr>
    </w:p>
    <w:p w14:paraId="3C2E5AA9" w14:textId="77777777" w:rsidR="00B84833" w:rsidRDefault="00B84833">
      <w:pPr>
        <w:pStyle w:val="Standard"/>
        <w:pageBreakBefore/>
      </w:pPr>
    </w:p>
    <w:p w14:paraId="5958DF4F" w14:textId="77777777" w:rsidR="00B84833" w:rsidRDefault="001676CC">
      <w:pPr>
        <w:pStyle w:val="Standard"/>
        <w:numPr>
          <w:ilvl w:val="0"/>
          <w:numId w:val="3"/>
        </w:numPr>
      </w:pPr>
      <w:r>
        <w:rPr>
          <w:b/>
          <w:bCs/>
        </w:rPr>
        <w:t>Pracownia Higieny Żywności i Żywienia</w:t>
      </w:r>
    </w:p>
    <w:p w14:paraId="417BB257" w14:textId="77777777" w:rsidR="00B84833" w:rsidRDefault="00B84833">
      <w:pPr>
        <w:pStyle w:val="Standard"/>
        <w:ind w:left="360"/>
      </w:pPr>
    </w:p>
    <w:p w14:paraId="417588E0" w14:textId="77777777" w:rsidR="00B84833" w:rsidRDefault="00B84833">
      <w:pPr>
        <w:pStyle w:val="Standard"/>
      </w:pPr>
    </w:p>
    <w:tbl>
      <w:tblPr>
        <w:tblW w:w="9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088"/>
        <w:gridCol w:w="4070"/>
      </w:tblGrid>
      <w:tr w:rsidR="00B84833" w14:paraId="20308E20" w14:textId="77777777">
        <w:trPr>
          <w:trHeight w:val="558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0C7F9" w14:textId="77777777" w:rsidR="00B84833" w:rsidRDefault="001676CC">
            <w:pPr>
              <w:pStyle w:val="Standard"/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48A0C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sz w:val="22"/>
                <w:szCs w:val="22"/>
              </w:rPr>
              <w:t>Rodzaj oznaczenia - wskaźniki mikrobiologiczne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0F276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Normy i/lub udokumentowane</w:t>
            </w:r>
          </w:p>
          <w:p w14:paraId="60225555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procedury badawcze</w:t>
            </w:r>
          </w:p>
        </w:tc>
      </w:tr>
      <w:tr w:rsidR="00B84833" w14:paraId="38ECB640" w14:textId="77777777">
        <w:trPr>
          <w:trHeight w:val="639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918DA" w14:textId="77777777" w:rsidR="00B84833" w:rsidRDefault="001676CC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B11A7" w14:textId="77777777" w:rsidR="00B84833" w:rsidRDefault="001676CC">
            <w:pPr>
              <w:pStyle w:val="Standard"/>
              <w:tabs>
                <w:tab w:val="center" w:pos="4571"/>
                <w:tab w:val="left" w:pos="6935"/>
                <w:tab w:val="right" w:pos="9107"/>
              </w:tabs>
              <w:spacing w:line="100" w:lineRule="atLeast"/>
              <w:ind w:left="35" w:right="5"/>
            </w:pPr>
            <w:r>
              <w:rPr>
                <w:sz w:val="22"/>
                <w:szCs w:val="22"/>
              </w:rPr>
              <w:t xml:space="preserve">Bakterie z grupy coli </w:t>
            </w:r>
            <w:r>
              <w:rPr>
                <w:sz w:val="22"/>
                <w:szCs w:val="22"/>
              </w:rPr>
              <w:br/>
              <w:t>(wykrywanie obecności i oznaczanie liczby metodą NPL)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0FED2" w14:textId="1E5D3778" w:rsidR="00B84833" w:rsidRDefault="004960E0">
            <w:pPr>
              <w:pStyle w:val="Standard"/>
              <w:tabs>
                <w:tab w:val="center" w:pos="4544"/>
                <w:tab w:val="left" w:pos="6908"/>
                <w:tab w:val="right" w:pos="9080"/>
              </w:tabs>
              <w:spacing w:line="100" w:lineRule="atLeast"/>
              <w:ind w:left="8" w:right="-5"/>
              <w:jc w:val="both"/>
            </w:pPr>
            <w:r>
              <w:rPr>
                <w:b/>
                <w:sz w:val="22"/>
                <w:szCs w:val="22"/>
              </w:rPr>
              <w:t>SZ</w:t>
            </w:r>
            <w:r w:rsidR="001676CC">
              <w:rPr>
                <w:b/>
                <w:sz w:val="22"/>
                <w:szCs w:val="22"/>
              </w:rPr>
              <w:t xml:space="preserve"> </w:t>
            </w:r>
            <w:r w:rsidR="001676CC">
              <w:rPr>
                <w:sz w:val="22"/>
                <w:szCs w:val="22"/>
              </w:rPr>
              <w:t>PN-ISO 4831: 2007</w:t>
            </w:r>
          </w:p>
        </w:tc>
      </w:tr>
      <w:tr w:rsidR="00B84833" w14:paraId="63304B2D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887BE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C83B5" w14:textId="77777777" w:rsidR="00B84833" w:rsidRDefault="001676CC">
            <w:pPr>
              <w:pStyle w:val="TableContents"/>
            </w:pPr>
            <w:r>
              <w:rPr>
                <w:sz w:val="22"/>
                <w:szCs w:val="22"/>
              </w:rPr>
              <w:t xml:space="preserve">Oznaczanie liczby bakterii z grupy coli ( metoda  płytkowa)  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557A5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  PN-ISO 4832: 2007</w:t>
            </w:r>
          </w:p>
        </w:tc>
      </w:tr>
      <w:tr w:rsidR="00B84833" w14:paraId="56A731B3" w14:textId="77777777">
        <w:trPr>
          <w:trHeight w:val="71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0EF5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9B477" w14:textId="77777777" w:rsidR="00B84833" w:rsidRDefault="001676CC">
            <w:pPr>
              <w:pStyle w:val="Standard"/>
              <w:spacing w:line="100" w:lineRule="atLeast"/>
              <w:ind w:left="33" w:right="-5"/>
              <w:jc w:val="both"/>
            </w:pPr>
            <w:r>
              <w:rPr>
                <w:sz w:val="22"/>
                <w:szCs w:val="22"/>
              </w:rPr>
              <w:t xml:space="preserve">Oznaczanie liczby </w:t>
            </w: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  <w:p w14:paraId="3B7D225B" w14:textId="77777777" w:rsidR="00B84833" w:rsidRDefault="001676CC">
            <w:pPr>
              <w:pStyle w:val="Standard"/>
              <w:spacing w:line="100" w:lineRule="atLeast"/>
              <w:ind w:left="33" w:right="-5"/>
              <w:jc w:val="both"/>
            </w:pPr>
            <w:r>
              <w:rPr>
                <w:sz w:val="22"/>
                <w:szCs w:val="22"/>
              </w:rPr>
              <w:t xml:space="preserve">( </w:t>
            </w:r>
            <w:r>
              <w:rPr>
                <w:iCs/>
                <w:sz w:val="22"/>
                <w:szCs w:val="22"/>
              </w:rPr>
              <w:t>metoda płytkowa)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BD0D4" w14:textId="4DD17BE4" w:rsidR="00B84833" w:rsidRDefault="001676CC">
            <w:pPr>
              <w:pStyle w:val="Standard"/>
              <w:tabs>
                <w:tab w:val="left" w:pos="6908"/>
              </w:tabs>
              <w:spacing w:line="100" w:lineRule="atLeast"/>
              <w:ind w:left="8" w:right="-5"/>
            </w:pPr>
            <w:r>
              <w:rPr>
                <w:b/>
                <w:sz w:val="22"/>
                <w:szCs w:val="22"/>
              </w:rPr>
              <w:t xml:space="preserve">P  </w:t>
            </w:r>
            <w:r>
              <w:rPr>
                <w:sz w:val="22"/>
                <w:szCs w:val="22"/>
              </w:rPr>
              <w:t>PN-EN ISO 6888-1:</w:t>
            </w:r>
            <w:r w:rsidR="000445DA">
              <w:rPr>
                <w:sz w:val="22"/>
                <w:szCs w:val="22"/>
              </w:rPr>
              <w:t>2022-03</w:t>
            </w:r>
          </w:p>
        </w:tc>
      </w:tr>
      <w:tr w:rsidR="00B84833" w:rsidRPr="00B76B6A" w14:paraId="0F931833" w14:textId="77777777">
        <w:trPr>
          <w:trHeight w:val="28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A945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8BDAB" w14:textId="77777777" w:rsidR="00B84833" w:rsidRDefault="001676CC">
            <w:pPr>
              <w:pStyle w:val="Standard"/>
              <w:ind w:left="705" w:hanging="705"/>
              <w:jc w:val="both"/>
            </w:pP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  <w:r>
              <w:rPr>
                <w:sz w:val="22"/>
                <w:szCs w:val="22"/>
              </w:rPr>
              <w:t xml:space="preserve">  (wykrywanie obecności)</w:t>
            </w:r>
          </w:p>
          <w:p w14:paraId="03E12596" w14:textId="77777777" w:rsidR="00B84833" w:rsidRDefault="00B84833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BA483" w14:textId="77777777" w:rsidR="00B84833" w:rsidRPr="00B76B6A" w:rsidRDefault="001676CC">
            <w:pPr>
              <w:pStyle w:val="Standard"/>
              <w:rPr>
                <w:lang w:val="fr-FR"/>
              </w:rPr>
            </w:pPr>
            <w:r w:rsidRPr="00B76B6A">
              <w:rPr>
                <w:b/>
                <w:sz w:val="22"/>
                <w:szCs w:val="22"/>
                <w:lang w:val="fr-FR"/>
              </w:rPr>
              <w:t>P</w:t>
            </w:r>
            <w:r w:rsidRPr="00B76B6A">
              <w:rPr>
                <w:sz w:val="22"/>
                <w:szCs w:val="22"/>
                <w:lang w:val="fr-FR"/>
              </w:rPr>
              <w:t xml:space="preserve">   PN-EN ISO 6888-3:2004+AC:2005</w:t>
            </w:r>
          </w:p>
        </w:tc>
      </w:tr>
      <w:tr w:rsidR="00B84833" w14:paraId="7EDB97AC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41181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04573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Pałeczki z rodzaju Salmonella (wykrywanie obecności)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52078" w14:textId="3AEE3362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  <w:lang w:val="fr-FR"/>
              </w:rPr>
              <w:t>A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fr-FR"/>
              </w:rPr>
              <w:t>, P</w:t>
            </w:r>
            <w:r>
              <w:rPr>
                <w:sz w:val="22"/>
                <w:szCs w:val="22"/>
                <w:lang w:val="fr-FR"/>
              </w:rPr>
              <w:t xml:space="preserve">  PN-EN ISO 6579-1:2017-0</w:t>
            </w:r>
            <w:r w:rsidR="000445DA">
              <w:rPr>
                <w:sz w:val="22"/>
                <w:szCs w:val="22"/>
                <w:lang w:val="fr-FR"/>
              </w:rPr>
              <w:t>4/A1 :2020-09</w:t>
            </w:r>
          </w:p>
        </w:tc>
      </w:tr>
      <w:tr w:rsidR="00B84833" w14:paraId="0E85B8D8" w14:textId="77777777">
        <w:trPr>
          <w:trHeight w:val="413"/>
        </w:trPr>
        <w:tc>
          <w:tcPr>
            <w:tcW w:w="58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699E5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0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ABC23" w14:textId="77777777" w:rsidR="00B84833" w:rsidRDefault="001676CC">
            <w:pPr>
              <w:pStyle w:val="TableContents"/>
            </w:pPr>
            <w:r>
              <w:rPr>
                <w:sz w:val="22"/>
                <w:szCs w:val="22"/>
              </w:rPr>
              <w:t>Oznaczanie liczby drożdży, pleśni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04B4E" w14:textId="77777777" w:rsidR="00B84833" w:rsidRDefault="001676CC">
            <w:pPr>
              <w:pStyle w:val="TableContents"/>
            </w:pPr>
            <w:r>
              <w:rPr>
                <w:sz w:val="22"/>
                <w:szCs w:val="22"/>
              </w:rPr>
              <w:t>PN-ISO 7954:1999/wycofana/</w:t>
            </w:r>
          </w:p>
        </w:tc>
      </w:tr>
      <w:tr w:rsidR="00B84833" w14:paraId="1EA740FF" w14:textId="77777777">
        <w:trPr>
          <w:trHeight w:val="412"/>
        </w:trPr>
        <w:tc>
          <w:tcPr>
            <w:tcW w:w="58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F137" w14:textId="77777777" w:rsidR="008114C0" w:rsidRDefault="008114C0"/>
        </w:tc>
        <w:tc>
          <w:tcPr>
            <w:tcW w:w="50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28E0B" w14:textId="77777777" w:rsidR="008114C0" w:rsidRDefault="008114C0"/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00547" w14:textId="77777777" w:rsidR="00B84833" w:rsidRDefault="001676CC">
            <w:pPr>
              <w:pStyle w:val="TableContents"/>
            </w:pPr>
            <w:r>
              <w:rPr>
                <w:b/>
                <w:bCs/>
                <w:sz w:val="22"/>
                <w:szCs w:val="22"/>
              </w:rPr>
              <w:t xml:space="preserve">P  </w:t>
            </w:r>
            <w:r>
              <w:rPr>
                <w:sz w:val="22"/>
                <w:szCs w:val="22"/>
              </w:rPr>
              <w:t>PN-ISO 21527-1:2009</w:t>
            </w:r>
          </w:p>
        </w:tc>
      </w:tr>
      <w:tr w:rsidR="00B84833" w14:paraId="167591CD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5461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D9BF8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Oznaczanie liczby przypuszczalnych </w:t>
            </w:r>
            <w:proofErr w:type="spellStart"/>
            <w:r>
              <w:rPr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cereus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54FDD" w14:textId="2A58E4F5" w:rsidR="00B84833" w:rsidRDefault="001676CC">
            <w:pPr>
              <w:pStyle w:val="Standard"/>
            </w:pPr>
            <w:r>
              <w:rPr>
                <w:b/>
                <w:iCs/>
                <w:sz w:val="22"/>
                <w:szCs w:val="22"/>
              </w:rPr>
              <w:t>P</w:t>
            </w:r>
            <w:r>
              <w:rPr>
                <w:iCs/>
                <w:sz w:val="22"/>
                <w:szCs w:val="22"/>
              </w:rPr>
              <w:t xml:space="preserve">   PN-EN ISO 7932: 2005</w:t>
            </w:r>
            <w:r w:rsidR="000445DA">
              <w:rPr>
                <w:iCs/>
                <w:sz w:val="22"/>
                <w:szCs w:val="22"/>
              </w:rPr>
              <w:t>+A1:2020-09</w:t>
            </w:r>
          </w:p>
        </w:tc>
      </w:tr>
      <w:tr w:rsidR="00B84833" w14:paraId="01E2891B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72803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6B9F5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liczby drobnoustrojów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8AEB0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A,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P </w:t>
            </w:r>
            <w:r>
              <w:rPr>
                <w:sz w:val="22"/>
                <w:szCs w:val="22"/>
              </w:rPr>
              <w:t xml:space="preserve"> PN-EN ISO 4833-1:2013-12</w:t>
            </w:r>
          </w:p>
        </w:tc>
      </w:tr>
      <w:tr w:rsidR="00B84833" w14:paraId="0D59742F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28B4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50A2A" w14:textId="77777777" w:rsidR="00B84833" w:rsidRDefault="001676CC">
            <w:pPr>
              <w:pStyle w:val="Standard"/>
            </w:pP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 wykrywanie obecności)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3DE07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  <w:lang w:val="fr-FR"/>
              </w:rPr>
              <w:t>A</w:t>
            </w:r>
            <w:r>
              <w:t xml:space="preserve">, </w:t>
            </w:r>
            <w:r>
              <w:rPr>
                <w:b/>
                <w:iCs/>
                <w:sz w:val="22"/>
                <w:szCs w:val="22"/>
                <w:lang w:val="fr-FR"/>
              </w:rPr>
              <w:t>P</w:t>
            </w:r>
            <w:r>
              <w:rPr>
                <w:iCs/>
                <w:sz w:val="22"/>
                <w:szCs w:val="22"/>
                <w:lang w:val="fr-FR"/>
              </w:rPr>
              <w:t xml:space="preserve">  PN-EN ISO 11290-1:2017-07</w:t>
            </w:r>
          </w:p>
        </w:tc>
      </w:tr>
      <w:tr w:rsidR="00B84833" w14:paraId="1E3B9C99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AE70C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E8522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Oznaczanie liczby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  <w:r>
              <w:rPr>
                <w:sz w:val="22"/>
                <w:szCs w:val="22"/>
              </w:rPr>
              <w:t xml:space="preserve"> (metoda płytkowa)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65806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  <w:lang w:val="fr-FR"/>
              </w:rPr>
              <w:t>A</w:t>
            </w:r>
            <w:r>
              <w:rPr>
                <w:sz w:val="22"/>
                <w:szCs w:val="22"/>
                <w:lang w:val="fr-FR"/>
              </w:rPr>
              <w:t xml:space="preserve">, </w:t>
            </w:r>
            <w:r>
              <w:rPr>
                <w:b/>
                <w:iCs/>
                <w:sz w:val="22"/>
                <w:szCs w:val="22"/>
                <w:lang w:val="fr-FR"/>
              </w:rPr>
              <w:t>P</w:t>
            </w:r>
            <w:r>
              <w:rPr>
                <w:iCs/>
                <w:sz w:val="22"/>
                <w:szCs w:val="22"/>
                <w:lang w:val="fr-FR"/>
              </w:rPr>
              <w:t xml:space="preserve">   PN-EN ISO 11290-2:2017-07</w:t>
            </w:r>
          </w:p>
        </w:tc>
      </w:tr>
      <w:tr w:rsidR="00B84833" w14:paraId="574E8499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358D2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355D1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liczby Escherichia coli (metoda płytkowa)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0118F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A, P </w:t>
            </w:r>
            <w:r>
              <w:rPr>
                <w:sz w:val="22"/>
                <w:szCs w:val="22"/>
              </w:rPr>
              <w:t xml:space="preserve"> PN-ISO 16649-2:2004</w:t>
            </w:r>
          </w:p>
        </w:tc>
      </w:tr>
      <w:tr w:rsidR="00B84833" w14:paraId="5D307078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1BFC3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6A868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Escherichia coli </w:t>
            </w:r>
            <w:r>
              <w:rPr>
                <w:sz w:val="22"/>
                <w:szCs w:val="22"/>
              </w:rPr>
              <w:br/>
              <w:t>(wykrywanie obecności i oznaczanie liczby metodą NPL)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76E54" w14:textId="55AD8862" w:rsidR="00B84833" w:rsidRDefault="004960E0">
            <w:pPr>
              <w:pStyle w:val="Standard"/>
            </w:pPr>
            <w:r w:rsidRPr="004960E0">
              <w:rPr>
                <w:b/>
                <w:bCs/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 xml:space="preserve"> </w:t>
            </w:r>
            <w:r w:rsidR="001676CC">
              <w:rPr>
                <w:sz w:val="22"/>
                <w:szCs w:val="22"/>
              </w:rPr>
              <w:t>PN-ISO</w:t>
            </w:r>
            <w:r>
              <w:rPr>
                <w:sz w:val="22"/>
                <w:szCs w:val="22"/>
              </w:rPr>
              <w:t xml:space="preserve"> </w:t>
            </w:r>
            <w:r w:rsidR="001676CC">
              <w:rPr>
                <w:sz w:val="22"/>
                <w:szCs w:val="22"/>
              </w:rPr>
              <w:t xml:space="preserve"> 7251:2006</w:t>
            </w:r>
          </w:p>
        </w:tc>
      </w:tr>
      <w:tr w:rsidR="00B84833" w14:paraId="2DB80ECF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79146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CF091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Oznaczanie liczby </w:t>
            </w:r>
            <w:proofErr w:type="spellStart"/>
            <w:r>
              <w:rPr>
                <w:sz w:val="22"/>
                <w:szCs w:val="22"/>
              </w:rPr>
              <w:t>Enterobacteriaceae</w:t>
            </w:r>
            <w:proofErr w:type="spellEnd"/>
            <w:r>
              <w:rPr>
                <w:sz w:val="22"/>
                <w:szCs w:val="22"/>
              </w:rPr>
              <w:t xml:space="preserve"> ( metoda płytkowa)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59EC0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  <w:lang w:val="fr-FR"/>
              </w:rPr>
              <w:t>A, P</w:t>
            </w:r>
            <w:r>
              <w:rPr>
                <w:sz w:val="22"/>
                <w:szCs w:val="22"/>
                <w:lang w:val="fr-FR"/>
              </w:rPr>
              <w:t xml:space="preserve">  PN-EN ISO 21528-2:2017-08</w:t>
            </w:r>
          </w:p>
        </w:tc>
      </w:tr>
      <w:tr w:rsidR="00B84833" w14:paraId="53781A5C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CD3A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4BFC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czystości mikrobiologicznej wymazów sanitarnych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2D87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PB/HŻ-01, wydanie 4, 2010-07-26</w:t>
            </w:r>
          </w:p>
        </w:tc>
      </w:tr>
    </w:tbl>
    <w:p w14:paraId="41982B4A" w14:textId="77777777" w:rsidR="00B84833" w:rsidRDefault="00B84833">
      <w:pPr>
        <w:pStyle w:val="Standard"/>
      </w:pPr>
    </w:p>
    <w:p w14:paraId="05C196FE" w14:textId="77777777" w:rsidR="00B84833" w:rsidRDefault="00B84833">
      <w:pPr>
        <w:pStyle w:val="Standard"/>
      </w:pPr>
    </w:p>
    <w:p w14:paraId="6ECA5155" w14:textId="77777777" w:rsidR="00B84833" w:rsidRDefault="00B84833">
      <w:pPr>
        <w:pStyle w:val="Standard"/>
      </w:pPr>
    </w:p>
    <w:p w14:paraId="629F1985" w14:textId="77777777" w:rsidR="00B84833" w:rsidRDefault="00B84833">
      <w:pPr>
        <w:pStyle w:val="Standard"/>
      </w:pPr>
    </w:p>
    <w:p w14:paraId="0CA2F609" w14:textId="77777777" w:rsidR="00B84833" w:rsidRDefault="00B84833">
      <w:pPr>
        <w:pStyle w:val="Standard"/>
      </w:pPr>
    </w:p>
    <w:p w14:paraId="62C56E44" w14:textId="77777777" w:rsidR="00B84833" w:rsidRDefault="00B84833">
      <w:pPr>
        <w:pStyle w:val="Standard"/>
      </w:pPr>
    </w:p>
    <w:p w14:paraId="4B240CFB" w14:textId="77777777" w:rsidR="00B84833" w:rsidRDefault="00B84833">
      <w:pPr>
        <w:pStyle w:val="Standard"/>
      </w:pPr>
    </w:p>
    <w:p w14:paraId="4112D0B3" w14:textId="77777777" w:rsidR="00B84833" w:rsidRDefault="00B84833">
      <w:pPr>
        <w:pStyle w:val="Standard"/>
      </w:pPr>
    </w:p>
    <w:p w14:paraId="09DD42DD" w14:textId="77777777" w:rsidR="00B84833" w:rsidRDefault="00B84833">
      <w:pPr>
        <w:pStyle w:val="Standard"/>
      </w:pPr>
    </w:p>
    <w:p w14:paraId="085AD7FA" w14:textId="77777777" w:rsidR="00B84833" w:rsidRDefault="00B84833">
      <w:pPr>
        <w:pStyle w:val="Standard"/>
      </w:pPr>
    </w:p>
    <w:p w14:paraId="201C546F" w14:textId="77777777" w:rsidR="00B84833" w:rsidRDefault="00B84833">
      <w:pPr>
        <w:pStyle w:val="Standard"/>
      </w:pPr>
    </w:p>
    <w:p w14:paraId="79DFEC27" w14:textId="77777777" w:rsidR="00B84833" w:rsidRDefault="00B84833">
      <w:pPr>
        <w:pStyle w:val="Standard"/>
      </w:pPr>
    </w:p>
    <w:p w14:paraId="1E739F76" w14:textId="77777777" w:rsidR="00B84833" w:rsidRDefault="00B84833">
      <w:pPr>
        <w:pStyle w:val="Standard"/>
      </w:pPr>
    </w:p>
    <w:p w14:paraId="54B93F1E" w14:textId="77777777" w:rsidR="00B84833" w:rsidRDefault="00B84833">
      <w:pPr>
        <w:pStyle w:val="Standard"/>
      </w:pPr>
    </w:p>
    <w:p w14:paraId="61B74627" w14:textId="77777777" w:rsidR="00B84833" w:rsidRDefault="00B84833">
      <w:pPr>
        <w:pStyle w:val="Standard"/>
      </w:pPr>
    </w:p>
    <w:p w14:paraId="4F0B215B" w14:textId="77777777" w:rsidR="00B84833" w:rsidRDefault="00B84833">
      <w:pPr>
        <w:pStyle w:val="Standard"/>
      </w:pPr>
    </w:p>
    <w:p w14:paraId="790B7C11" w14:textId="77777777" w:rsidR="00B84833" w:rsidRDefault="00B84833">
      <w:pPr>
        <w:pStyle w:val="Standard"/>
      </w:pPr>
    </w:p>
    <w:p w14:paraId="48A39A7A" w14:textId="77777777" w:rsidR="00B84833" w:rsidRDefault="00B84833">
      <w:pPr>
        <w:pStyle w:val="Standard"/>
      </w:pPr>
    </w:p>
    <w:p w14:paraId="476A0F5D" w14:textId="77777777" w:rsidR="00B84833" w:rsidRDefault="00B84833">
      <w:pPr>
        <w:pStyle w:val="Standard"/>
      </w:pPr>
    </w:p>
    <w:p w14:paraId="4ADC42D8" w14:textId="77777777" w:rsidR="00B84833" w:rsidRDefault="00B84833">
      <w:pPr>
        <w:pStyle w:val="Standard"/>
      </w:pPr>
    </w:p>
    <w:p w14:paraId="7EFD2D0F" w14:textId="77777777" w:rsidR="00B84833" w:rsidRDefault="00B84833">
      <w:pPr>
        <w:pStyle w:val="Standard"/>
      </w:pPr>
    </w:p>
    <w:tbl>
      <w:tblPr>
        <w:tblW w:w="9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088"/>
        <w:gridCol w:w="4070"/>
      </w:tblGrid>
      <w:tr w:rsidR="00B84833" w14:paraId="537140B1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69B6C" w14:textId="77777777" w:rsidR="00B84833" w:rsidRDefault="001676CC">
            <w:pPr>
              <w:pStyle w:val="Standard"/>
              <w:jc w:val="center"/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6B8E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Rodzaj oznaczenia - w</w:t>
            </w:r>
            <w:r>
              <w:rPr>
                <w:b/>
                <w:sz w:val="22"/>
                <w:szCs w:val="22"/>
              </w:rPr>
              <w:t>skaźniki fizykochemiczne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C00F3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Normy i/lub udokumentowane</w:t>
            </w:r>
          </w:p>
          <w:p w14:paraId="35AD465D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procedury badawcze</w:t>
            </w:r>
          </w:p>
        </w:tc>
      </w:tr>
      <w:tr w:rsidR="00B84833" w14:paraId="0CCCD93B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B9726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26645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azotanów i azotynów (owoce, warzywa i przetwory)</w:t>
            </w:r>
          </w:p>
          <w:p w14:paraId="52CA3A42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Zakres:  </w:t>
            </w:r>
          </w:p>
          <w:p w14:paraId="3329E3F9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azotyny: (50-1000) mg/kg (NaNO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  <w:p w14:paraId="691B93CF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azotany: (400-4000) mg/kg (KNO</w:t>
            </w:r>
            <w:r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)                          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2498F" w14:textId="4AD17AE3" w:rsidR="00B84833" w:rsidRDefault="004960E0">
            <w:pPr>
              <w:pStyle w:val="Standard"/>
              <w:tabs>
                <w:tab w:val="left" w:pos="1770"/>
              </w:tabs>
              <w:ind w:left="705" w:hanging="705"/>
            </w:pPr>
            <w:r w:rsidRPr="004960E0">
              <w:rPr>
                <w:b/>
                <w:bCs/>
                <w:sz w:val="22"/>
                <w:szCs w:val="22"/>
              </w:rPr>
              <w:t xml:space="preserve">SZ, </w:t>
            </w:r>
            <w:r w:rsidR="00CC2598" w:rsidRPr="004960E0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1676CC">
              <w:rPr>
                <w:sz w:val="22"/>
                <w:szCs w:val="22"/>
              </w:rPr>
              <w:t>PN-92/A-75112/wycofana/</w:t>
            </w:r>
          </w:p>
        </w:tc>
      </w:tr>
      <w:tr w:rsidR="00B84833" w14:paraId="3F65522E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65D97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12353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azotanów i azotynów ( produkty mięsne)</w:t>
            </w:r>
          </w:p>
          <w:p w14:paraId="7C250D34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Zakres: azotyny:</w:t>
            </w:r>
          </w:p>
          <w:p w14:paraId="34786CDE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(0,50-150)mg/kg (NaNO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)</w:t>
            </w:r>
          </w:p>
          <w:p w14:paraId="0AF5468F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azotany:</w:t>
            </w:r>
          </w:p>
          <w:p w14:paraId="7EA0A17B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(3,70-200) mg/kg (KNO</w:t>
            </w:r>
            <w:r>
              <w:rPr>
                <w:sz w:val="22"/>
                <w:szCs w:val="22"/>
                <w:vertAlign w:val="subscript"/>
              </w:rPr>
              <w:t xml:space="preserve">3 </w:t>
            </w:r>
            <w:r>
              <w:rPr>
                <w:sz w:val="22"/>
                <w:szCs w:val="22"/>
              </w:rPr>
              <w:t xml:space="preserve"> )    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FDB19" w14:textId="521B3432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A</w:t>
            </w:r>
            <w:r w:rsidR="00CC2598">
              <w:rPr>
                <w:b/>
                <w:sz w:val="22"/>
                <w:szCs w:val="22"/>
              </w:rPr>
              <w:t>,P</w:t>
            </w:r>
            <w:r>
              <w:rPr>
                <w:sz w:val="22"/>
                <w:szCs w:val="22"/>
              </w:rPr>
              <w:t xml:space="preserve"> PN-74/A-82114/wycofana/</w:t>
            </w:r>
          </w:p>
        </w:tc>
      </w:tr>
      <w:tr w:rsidR="00B84833" w14:paraId="6DA77917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E918B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24B61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kwasowości (napoje bezalkoholowe)</w:t>
            </w:r>
          </w:p>
          <w:p w14:paraId="44427F76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Zakres: (0,05-0,60) g/100g w przeliczeniu na kwas cytrynowy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0A6B0" w14:textId="3727410B" w:rsidR="00B84833" w:rsidRDefault="001676CC">
            <w:pPr>
              <w:pStyle w:val="Standard"/>
            </w:pPr>
            <w:r w:rsidRPr="004960E0">
              <w:rPr>
                <w:b/>
                <w:bCs/>
                <w:sz w:val="22"/>
                <w:szCs w:val="22"/>
              </w:rPr>
              <w:t xml:space="preserve"> </w:t>
            </w:r>
            <w:r w:rsidR="004960E0" w:rsidRPr="004960E0">
              <w:rPr>
                <w:b/>
                <w:bCs/>
                <w:sz w:val="22"/>
                <w:szCs w:val="22"/>
              </w:rPr>
              <w:t>SZ</w:t>
            </w:r>
            <w:r w:rsidR="00496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PN-85/A-79033/wycofana/</w:t>
            </w:r>
            <w:r>
              <w:rPr>
                <w:sz w:val="22"/>
                <w:szCs w:val="22"/>
              </w:rPr>
              <w:tab/>
            </w:r>
          </w:p>
        </w:tc>
      </w:tr>
      <w:tr w:rsidR="00B84833" w14:paraId="51BA32FA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D4850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C00B3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kwasowości (przetwory zbożowe)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3B27D" w14:textId="1F285592" w:rsidR="00B84833" w:rsidRDefault="004960E0">
            <w:pPr>
              <w:pStyle w:val="Standard"/>
            </w:pPr>
            <w:r>
              <w:rPr>
                <w:sz w:val="22"/>
                <w:szCs w:val="22"/>
              </w:rPr>
              <w:t xml:space="preserve"> </w:t>
            </w:r>
            <w:r w:rsidR="001676CC">
              <w:rPr>
                <w:sz w:val="22"/>
                <w:szCs w:val="22"/>
              </w:rPr>
              <w:t>PN-A- 74108:1996</w:t>
            </w:r>
          </w:p>
          <w:p w14:paraId="5B83289F" w14:textId="77777777" w:rsidR="00B84833" w:rsidRDefault="00B84833">
            <w:pPr>
              <w:pStyle w:val="Standard"/>
              <w:rPr>
                <w:sz w:val="22"/>
                <w:szCs w:val="22"/>
              </w:rPr>
            </w:pPr>
          </w:p>
        </w:tc>
      </w:tr>
      <w:tr w:rsidR="00B84833" w14:paraId="455A5AA1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28B24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0DA9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Oznaczanie kwasu benzoesowego </w:t>
            </w:r>
            <w:r>
              <w:rPr>
                <w:sz w:val="22"/>
                <w:szCs w:val="22"/>
              </w:rPr>
              <w:br/>
              <w:t>(przetwory owocowo-warzywne)</w:t>
            </w:r>
          </w:p>
          <w:p w14:paraId="5B2FA0A9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Zakres: (50-200) mg/kg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35540" w14:textId="09B1111B" w:rsidR="00B84833" w:rsidRDefault="004960E0">
            <w:pPr>
              <w:pStyle w:val="Standard"/>
            </w:pPr>
            <w:r w:rsidRPr="004960E0">
              <w:rPr>
                <w:b/>
                <w:bCs/>
                <w:sz w:val="22"/>
                <w:szCs w:val="22"/>
              </w:rPr>
              <w:t xml:space="preserve">SZ </w:t>
            </w:r>
            <w:r w:rsidR="001676CC">
              <w:rPr>
                <w:sz w:val="22"/>
                <w:szCs w:val="22"/>
              </w:rPr>
              <w:t>PN-A-75101.24:1990+Az1:2006 /wycofana/</w:t>
            </w:r>
          </w:p>
        </w:tc>
      </w:tr>
      <w:tr w:rsidR="00B84833" w14:paraId="466EA3B5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3BF49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E2378" w14:textId="77777777" w:rsidR="00B84833" w:rsidRDefault="001676CC">
            <w:pPr>
              <w:pStyle w:val="Standard"/>
            </w:pPr>
            <w:r>
              <w:rPr>
                <w:iCs/>
                <w:sz w:val="22"/>
                <w:szCs w:val="22"/>
              </w:rPr>
              <w:t xml:space="preserve">Oznaczanie kwasu </w:t>
            </w:r>
            <w:proofErr w:type="spellStart"/>
            <w:r>
              <w:rPr>
                <w:iCs/>
                <w:sz w:val="22"/>
                <w:szCs w:val="22"/>
              </w:rPr>
              <w:t>sorbowego</w:t>
            </w:r>
            <w:proofErr w:type="spellEnd"/>
            <w:r>
              <w:rPr>
                <w:iCs/>
                <w:sz w:val="22"/>
                <w:szCs w:val="22"/>
              </w:rPr>
              <w:br/>
              <w:t xml:space="preserve"> (przetwory owocowo-warzywne)</w:t>
            </w:r>
          </w:p>
          <w:p w14:paraId="76038529" w14:textId="77777777" w:rsidR="00B84833" w:rsidRDefault="001676CC">
            <w:pPr>
              <w:pStyle w:val="Standard"/>
            </w:pPr>
            <w:r>
              <w:rPr>
                <w:iCs/>
                <w:sz w:val="22"/>
                <w:szCs w:val="22"/>
              </w:rPr>
              <w:t>Zakres: (50-2500) mg/kg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7C8B" w14:textId="1305AFA9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A</w:t>
            </w:r>
            <w:r w:rsidR="00CC2598">
              <w:rPr>
                <w:b/>
                <w:sz w:val="22"/>
                <w:szCs w:val="22"/>
              </w:rPr>
              <w:t>,P</w:t>
            </w:r>
            <w:r>
              <w:rPr>
                <w:sz w:val="22"/>
                <w:szCs w:val="22"/>
              </w:rPr>
              <w:t xml:space="preserve"> PN-90/A -75101.25/wycofana/</w:t>
            </w:r>
          </w:p>
        </w:tc>
      </w:tr>
      <w:tr w:rsidR="00B84833" w14:paraId="4EC7B5DB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B2DF9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F7B0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wilgotności ( przetwory zbożowe)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09A81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PN-A 74108:1996</w:t>
            </w:r>
          </w:p>
          <w:p w14:paraId="47C43F93" w14:textId="77777777" w:rsidR="00B84833" w:rsidRDefault="00B84833">
            <w:pPr>
              <w:pStyle w:val="Standard"/>
              <w:rPr>
                <w:sz w:val="22"/>
                <w:szCs w:val="22"/>
              </w:rPr>
            </w:pPr>
          </w:p>
        </w:tc>
      </w:tr>
      <w:tr w:rsidR="00B84833" w14:paraId="396D74A5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6906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FC8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chlorku sodu ( przetwory mięsne)</w:t>
            </w:r>
          </w:p>
          <w:p w14:paraId="1F4259E2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Zakres: (0,50-7,0) %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EF078" w14:textId="27BCF799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A</w:t>
            </w:r>
            <w:r w:rsidR="004960E0">
              <w:rPr>
                <w:b/>
                <w:sz w:val="22"/>
                <w:szCs w:val="22"/>
              </w:rPr>
              <w:t>, P</w:t>
            </w:r>
            <w:r>
              <w:rPr>
                <w:sz w:val="22"/>
                <w:szCs w:val="22"/>
              </w:rPr>
              <w:t xml:space="preserve"> PN-73/A-82112+Az1:2002 /wycofana/</w:t>
            </w:r>
          </w:p>
          <w:p w14:paraId="53DBFC5E" w14:textId="77777777" w:rsidR="00B84833" w:rsidRDefault="00B84833">
            <w:pPr>
              <w:pStyle w:val="Standard"/>
              <w:rPr>
                <w:sz w:val="22"/>
                <w:szCs w:val="22"/>
              </w:rPr>
            </w:pPr>
          </w:p>
        </w:tc>
      </w:tr>
      <w:tr w:rsidR="00B84833" w14:paraId="3A9BAD23" w14:textId="77777777">
        <w:trPr>
          <w:trHeight w:val="402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0B742" w14:textId="77777777" w:rsidR="00B84833" w:rsidRDefault="001676CC">
            <w:pPr>
              <w:pStyle w:val="Standard"/>
              <w:jc w:val="center"/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3263B" w14:textId="77777777" w:rsidR="00B84833" w:rsidRDefault="001676CC">
            <w:pPr>
              <w:pStyle w:val="Standard"/>
            </w:pPr>
            <w:r>
              <w:rPr>
                <w:iCs/>
                <w:sz w:val="22"/>
                <w:szCs w:val="22"/>
              </w:rPr>
              <w:t>Oznaczanie fosforu</w:t>
            </w:r>
          </w:p>
        </w:tc>
        <w:tc>
          <w:tcPr>
            <w:tcW w:w="4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E9BAC" w14:textId="4A0C4407" w:rsidR="00B84833" w:rsidRDefault="004960E0">
            <w:pPr>
              <w:pStyle w:val="Standard"/>
            </w:pPr>
            <w:r w:rsidRPr="004960E0">
              <w:rPr>
                <w:b/>
                <w:bCs/>
                <w:iCs/>
                <w:sz w:val="22"/>
                <w:szCs w:val="22"/>
              </w:rPr>
              <w:t>SZ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1676CC">
              <w:rPr>
                <w:iCs/>
                <w:sz w:val="22"/>
                <w:szCs w:val="22"/>
              </w:rPr>
              <w:t>PN-A-82060:1999/wycofana/</w:t>
            </w:r>
          </w:p>
          <w:p w14:paraId="3C26E13D" w14:textId="77777777" w:rsidR="00B84833" w:rsidRDefault="00B84833">
            <w:pPr>
              <w:pStyle w:val="Standard"/>
              <w:rPr>
                <w:iCs/>
                <w:sz w:val="22"/>
                <w:szCs w:val="22"/>
              </w:rPr>
            </w:pPr>
          </w:p>
        </w:tc>
      </w:tr>
    </w:tbl>
    <w:p w14:paraId="014DF89A" w14:textId="77777777" w:rsidR="00B84833" w:rsidRDefault="00B84833">
      <w:pPr>
        <w:pStyle w:val="Standard"/>
      </w:pPr>
    </w:p>
    <w:p w14:paraId="2746DA1A" w14:textId="77777777" w:rsidR="00B84833" w:rsidRDefault="00B84833">
      <w:pPr>
        <w:pStyle w:val="Standard"/>
        <w:pageBreakBefore/>
        <w:rPr>
          <w:sz w:val="22"/>
          <w:szCs w:val="22"/>
        </w:rPr>
      </w:pPr>
    </w:p>
    <w:p w14:paraId="6429ED16" w14:textId="77777777" w:rsidR="00B84833" w:rsidRDefault="001676CC">
      <w:pPr>
        <w:pStyle w:val="Standard"/>
        <w:numPr>
          <w:ilvl w:val="0"/>
          <w:numId w:val="2"/>
        </w:numPr>
      </w:pPr>
      <w:r>
        <w:rPr>
          <w:b/>
          <w:bCs/>
          <w:sz w:val="22"/>
          <w:szCs w:val="22"/>
        </w:rPr>
        <w:t>Pracownia Epidemiologii</w:t>
      </w:r>
    </w:p>
    <w:p w14:paraId="377961F0" w14:textId="77777777" w:rsidR="00B84833" w:rsidRDefault="00B84833">
      <w:pPr>
        <w:pStyle w:val="Standard"/>
        <w:rPr>
          <w:b/>
          <w:bCs/>
          <w:sz w:val="22"/>
          <w:szCs w:val="22"/>
        </w:rPr>
      </w:pPr>
    </w:p>
    <w:tbl>
      <w:tblPr>
        <w:tblW w:w="9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975"/>
        <w:gridCol w:w="3825"/>
      </w:tblGrid>
      <w:tr w:rsidR="00B84833" w14:paraId="085A9242" w14:textId="77777777">
        <w:tc>
          <w:tcPr>
            <w:tcW w:w="5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EF66D" w14:textId="77777777" w:rsidR="00B84833" w:rsidRDefault="001676CC">
            <w:pPr>
              <w:pStyle w:val="Standard"/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07CF4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Rodzaj oznaczenia</w:t>
            </w:r>
          </w:p>
        </w:tc>
        <w:tc>
          <w:tcPr>
            <w:tcW w:w="3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6FCF" w14:textId="77777777" w:rsidR="00B84833" w:rsidRDefault="001676CC">
            <w:pPr>
              <w:pStyle w:val="Standard"/>
            </w:pPr>
            <w:r>
              <w:rPr>
                <w:b/>
                <w:sz w:val="22"/>
                <w:szCs w:val="22"/>
              </w:rPr>
              <w:t>Normy i/lub udokumentowane</w:t>
            </w:r>
          </w:p>
          <w:p w14:paraId="4F6C49DD" w14:textId="77777777" w:rsidR="00B84833" w:rsidRDefault="001676CC">
            <w:pPr>
              <w:pStyle w:val="Standard"/>
              <w:ind w:left="372" w:hanging="372"/>
            </w:pPr>
            <w:r>
              <w:rPr>
                <w:b/>
                <w:sz w:val="22"/>
                <w:szCs w:val="22"/>
              </w:rPr>
              <w:t>procedury badawcze</w:t>
            </w:r>
          </w:p>
        </w:tc>
      </w:tr>
      <w:tr w:rsidR="00B84833" w14:paraId="796AFF51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A1D4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2102B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Obecność i identyfikacja pałeczek Salmonella </w:t>
            </w:r>
            <w:proofErr w:type="spellStart"/>
            <w:r>
              <w:rPr>
                <w:sz w:val="22"/>
                <w:szCs w:val="22"/>
              </w:rPr>
              <w:t>spp</w:t>
            </w:r>
            <w:proofErr w:type="spellEnd"/>
            <w:r>
              <w:rPr>
                <w:sz w:val="22"/>
                <w:szCs w:val="22"/>
              </w:rPr>
              <w:t>. Metoda hodowlana uzupełniana testami biochemicznymi i serologicznymi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30667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PB/EP-01 wyd. 6 z 2010-07-26</w:t>
            </w:r>
          </w:p>
          <w:p w14:paraId="5BB993E1" w14:textId="77777777" w:rsidR="00B84833" w:rsidRDefault="00B84833">
            <w:pPr>
              <w:pStyle w:val="Standard"/>
              <w:rPr>
                <w:sz w:val="22"/>
                <w:szCs w:val="22"/>
              </w:rPr>
            </w:pPr>
          </w:p>
        </w:tc>
      </w:tr>
      <w:tr w:rsidR="00B84833" w14:paraId="5BB882BC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1CBC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373D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Obecność i identyfikacja pałeczek </w:t>
            </w:r>
            <w:proofErr w:type="spellStart"/>
            <w:r>
              <w:rPr>
                <w:sz w:val="22"/>
                <w:szCs w:val="22"/>
              </w:rPr>
              <w:t>Shigella</w:t>
            </w:r>
            <w:proofErr w:type="spellEnd"/>
            <w:r>
              <w:rPr>
                <w:sz w:val="22"/>
                <w:szCs w:val="22"/>
              </w:rPr>
              <w:t>. Metoda hodowlana uzupełniana testami biochemicznymi i serologicznymi.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7E8BD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PB/EP-02 wyd. 6 z 2010-07-26</w:t>
            </w:r>
          </w:p>
        </w:tc>
      </w:tr>
      <w:tr w:rsidR="00B84833" w14:paraId="742AC34E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C4B99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D1C99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Oznaczanie wrażliwości bakterii na antybiotyki metodą dyfuzji antybiotyku na pożywce Muller-</w:t>
            </w:r>
            <w:proofErr w:type="spellStart"/>
            <w:r>
              <w:rPr>
                <w:sz w:val="22"/>
                <w:szCs w:val="22"/>
              </w:rPr>
              <w:t>Hintona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F08A0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PB/EP-03 wyd. 3 z 2010-10-25</w:t>
            </w:r>
          </w:p>
        </w:tc>
      </w:tr>
      <w:tr w:rsidR="00B84833" w14:paraId="7AFCF980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377BB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0617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Obecność drobnoustrojów wskaźnikowych </w:t>
            </w:r>
            <w:proofErr w:type="spellStart"/>
            <w:r>
              <w:rPr>
                <w:sz w:val="22"/>
                <w:szCs w:val="22"/>
              </w:rPr>
              <w:t>Geobacillus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stearothermophilus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subtilis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7934C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PB/EP-04 wyd. 3 z 2010-07-26</w:t>
            </w:r>
          </w:p>
          <w:p w14:paraId="54CA9683" w14:textId="77777777" w:rsidR="00B84833" w:rsidRDefault="00B84833">
            <w:pPr>
              <w:pStyle w:val="Standard"/>
              <w:rPr>
                <w:sz w:val="22"/>
                <w:szCs w:val="22"/>
              </w:rPr>
            </w:pPr>
          </w:p>
        </w:tc>
      </w:tr>
      <w:tr w:rsidR="00B84833" w14:paraId="7ADE74C2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CA281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30435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Badanie kału na obecność pasożytów i cyst pierwotniaków. Badanie na obecność owsików metodą wycieru celofanowego.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53AD3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PB/EP-05 wyd. 6 z 2010-10-25</w:t>
            </w:r>
          </w:p>
        </w:tc>
      </w:tr>
      <w:tr w:rsidR="00B84833" w14:paraId="564818B5" w14:textId="77777777">
        <w:tc>
          <w:tcPr>
            <w:tcW w:w="59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23AF3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5B82" w14:textId="77777777" w:rsidR="00B84833" w:rsidRDefault="001676CC">
            <w:pPr>
              <w:pStyle w:val="Standard"/>
            </w:pPr>
            <w:r>
              <w:rPr>
                <w:sz w:val="22"/>
                <w:szCs w:val="22"/>
              </w:rPr>
              <w:t xml:space="preserve">Obecność i identyfikacja pałeczek z rodziny </w:t>
            </w:r>
            <w:proofErr w:type="spellStart"/>
            <w:r>
              <w:rPr>
                <w:sz w:val="22"/>
                <w:szCs w:val="22"/>
              </w:rPr>
              <w:t>Enterobacteriaceae</w:t>
            </w:r>
            <w:proofErr w:type="spellEnd"/>
            <w:r>
              <w:rPr>
                <w:sz w:val="22"/>
                <w:szCs w:val="22"/>
              </w:rPr>
              <w:t>. Metoda hodowlana uzupełniana testami biochemicznymi i serologicznymi.</w:t>
            </w:r>
          </w:p>
        </w:tc>
        <w:tc>
          <w:tcPr>
            <w:tcW w:w="38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F8542" w14:textId="77777777" w:rsidR="00B84833" w:rsidRDefault="001676C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PB/EP-06 wyd. 5 z 2010-07-26</w:t>
            </w:r>
          </w:p>
        </w:tc>
      </w:tr>
    </w:tbl>
    <w:p w14:paraId="26E8A887" w14:textId="77777777" w:rsidR="00B84833" w:rsidRDefault="00B84833">
      <w:pPr>
        <w:pStyle w:val="Standard"/>
      </w:pPr>
    </w:p>
    <w:p w14:paraId="4696158A" w14:textId="77777777" w:rsidR="00B84833" w:rsidRDefault="001676CC">
      <w:pPr>
        <w:pStyle w:val="Standard"/>
      </w:pPr>
      <w:r>
        <w:rPr>
          <w:sz w:val="22"/>
          <w:szCs w:val="22"/>
        </w:rPr>
        <w:t>Procedury badawcze opracowano na podstawie wytycznych NIZP-PZH, literatury naukowej i  instrukcji producentów wykorzystywanych materiałów laboratoryjnych.</w:t>
      </w:r>
    </w:p>
    <w:p w14:paraId="06C52873" w14:textId="77777777" w:rsidR="00B84833" w:rsidRDefault="00B84833">
      <w:pPr>
        <w:pStyle w:val="Standard"/>
        <w:rPr>
          <w:sz w:val="22"/>
          <w:szCs w:val="22"/>
        </w:rPr>
      </w:pPr>
    </w:p>
    <w:p w14:paraId="54AD8B09" w14:textId="77777777" w:rsidR="00B84833" w:rsidRDefault="00B84833">
      <w:pPr>
        <w:pStyle w:val="Standard"/>
        <w:rPr>
          <w:sz w:val="22"/>
          <w:szCs w:val="22"/>
        </w:rPr>
      </w:pPr>
    </w:p>
    <w:p w14:paraId="20BBA825" w14:textId="77777777" w:rsidR="00B84833" w:rsidRDefault="00B84833">
      <w:pPr>
        <w:pStyle w:val="Standard"/>
        <w:rPr>
          <w:sz w:val="22"/>
          <w:szCs w:val="22"/>
        </w:rPr>
      </w:pPr>
    </w:p>
    <w:p w14:paraId="5A2E5F0B" w14:textId="77777777" w:rsidR="00B84833" w:rsidRDefault="00B84833">
      <w:pPr>
        <w:pStyle w:val="Standard"/>
        <w:rPr>
          <w:sz w:val="22"/>
          <w:szCs w:val="22"/>
        </w:rPr>
      </w:pPr>
    </w:p>
    <w:p w14:paraId="40010D66" w14:textId="77777777" w:rsidR="00B84833" w:rsidRDefault="00B84833">
      <w:pPr>
        <w:pStyle w:val="Standard"/>
        <w:rPr>
          <w:sz w:val="22"/>
          <w:szCs w:val="22"/>
        </w:rPr>
      </w:pPr>
    </w:p>
    <w:p w14:paraId="036BEB2F" w14:textId="77777777" w:rsidR="00B84833" w:rsidRDefault="00B84833">
      <w:pPr>
        <w:pStyle w:val="Standard"/>
        <w:rPr>
          <w:sz w:val="22"/>
          <w:szCs w:val="22"/>
        </w:rPr>
      </w:pPr>
    </w:p>
    <w:p w14:paraId="5E2A177B" w14:textId="77777777" w:rsidR="00B84833" w:rsidRDefault="00B84833">
      <w:pPr>
        <w:pStyle w:val="Standard"/>
        <w:rPr>
          <w:sz w:val="22"/>
          <w:szCs w:val="22"/>
        </w:rPr>
      </w:pPr>
    </w:p>
    <w:p w14:paraId="0FD3A660" w14:textId="77777777" w:rsidR="00B84833" w:rsidRDefault="00B84833">
      <w:pPr>
        <w:pStyle w:val="Standard"/>
        <w:rPr>
          <w:sz w:val="22"/>
          <w:szCs w:val="22"/>
        </w:rPr>
      </w:pPr>
    </w:p>
    <w:p w14:paraId="45A25870" w14:textId="77777777" w:rsidR="00B84833" w:rsidRDefault="00B84833">
      <w:pPr>
        <w:pStyle w:val="Standard"/>
        <w:rPr>
          <w:sz w:val="22"/>
          <w:szCs w:val="22"/>
        </w:rPr>
      </w:pPr>
    </w:p>
    <w:p w14:paraId="002796EF" w14:textId="77777777" w:rsidR="00B84833" w:rsidRDefault="00B84833">
      <w:pPr>
        <w:pStyle w:val="Standard"/>
        <w:rPr>
          <w:sz w:val="22"/>
          <w:szCs w:val="22"/>
        </w:rPr>
      </w:pPr>
    </w:p>
    <w:p w14:paraId="09D604ED" w14:textId="77777777" w:rsidR="00B84833" w:rsidRDefault="00B84833">
      <w:pPr>
        <w:pStyle w:val="Standard"/>
        <w:rPr>
          <w:sz w:val="22"/>
          <w:szCs w:val="22"/>
        </w:rPr>
      </w:pPr>
    </w:p>
    <w:p w14:paraId="7287B11E" w14:textId="77777777" w:rsidR="00B84833" w:rsidRDefault="00B84833">
      <w:pPr>
        <w:pStyle w:val="Standard"/>
        <w:rPr>
          <w:sz w:val="22"/>
          <w:szCs w:val="22"/>
        </w:rPr>
      </w:pPr>
    </w:p>
    <w:p w14:paraId="5AA2BCE1" w14:textId="77777777" w:rsidR="00B84833" w:rsidRDefault="00B84833">
      <w:pPr>
        <w:pStyle w:val="Standard"/>
        <w:rPr>
          <w:sz w:val="22"/>
          <w:szCs w:val="22"/>
        </w:rPr>
      </w:pPr>
    </w:p>
    <w:p w14:paraId="3034F182" w14:textId="77777777" w:rsidR="00B84833" w:rsidRDefault="00B84833">
      <w:pPr>
        <w:pStyle w:val="Standard"/>
        <w:rPr>
          <w:sz w:val="22"/>
          <w:szCs w:val="22"/>
        </w:rPr>
      </w:pPr>
    </w:p>
    <w:p w14:paraId="7A21E609" w14:textId="77777777" w:rsidR="00B84833" w:rsidRDefault="00B84833">
      <w:pPr>
        <w:pStyle w:val="Standard"/>
        <w:rPr>
          <w:sz w:val="22"/>
          <w:szCs w:val="22"/>
        </w:rPr>
      </w:pPr>
    </w:p>
    <w:p w14:paraId="0182D0FF" w14:textId="77777777" w:rsidR="00B84833" w:rsidRDefault="00B84833">
      <w:pPr>
        <w:pStyle w:val="Standard"/>
        <w:rPr>
          <w:sz w:val="22"/>
          <w:szCs w:val="22"/>
        </w:rPr>
      </w:pPr>
    </w:p>
    <w:p w14:paraId="12988581" w14:textId="77777777" w:rsidR="00B84833" w:rsidRDefault="00B84833">
      <w:pPr>
        <w:pStyle w:val="Standard"/>
        <w:rPr>
          <w:sz w:val="22"/>
          <w:szCs w:val="22"/>
        </w:rPr>
      </w:pPr>
    </w:p>
    <w:p w14:paraId="0046688E" w14:textId="77777777" w:rsidR="00B84833" w:rsidRDefault="00B84833">
      <w:pPr>
        <w:pStyle w:val="Standard"/>
        <w:rPr>
          <w:sz w:val="22"/>
          <w:szCs w:val="22"/>
        </w:rPr>
      </w:pPr>
    </w:p>
    <w:p w14:paraId="2825C187" w14:textId="77777777" w:rsidR="00B84833" w:rsidRDefault="00B84833">
      <w:pPr>
        <w:pStyle w:val="Standard"/>
        <w:rPr>
          <w:sz w:val="22"/>
          <w:szCs w:val="22"/>
        </w:rPr>
      </w:pPr>
    </w:p>
    <w:p w14:paraId="4B7E2123" w14:textId="77777777" w:rsidR="00B84833" w:rsidRDefault="00B84833">
      <w:pPr>
        <w:pStyle w:val="Standard"/>
        <w:rPr>
          <w:sz w:val="22"/>
          <w:szCs w:val="22"/>
        </w:rPr>
      </w:pPr>
    </w:p>
    <w:p w14:paraId="40CA1810" w14:textId="77777777" w:rsidR="00B84833" w:rsidRDefault="00B84833">
      <w:pPr>
        <w:pStyle w:val="Standard"/>
        <w:rPr>
          <w:sz w:val="22"/>
          <w:szCs w:val="22"/>
        </w:rPr>
      </w:pPr>
    </w:p>
    <w:p w14:paraId="240A05F7" w14:textId="77777777" w:rsidR="00B84833" w:rsidRDefault="00B84833">
      <w:pPr>
        <w:pStyle w:val="Standard"/>
        <w:rPr>
          <w:sz w:val="22"/>
          <w:szCs w:val="22"/>
        </w:rPr>
      </w:pPr>
    </w:p>
    <w:p w14:paraId="2F939AA4" w14:textId="77777777" w:rsidR="00B84833" w:rsidRDefault="00B84833">
      <w:pPr>
        <w:pStyle w:val="Standard"/>
        <w:rPr>
          <w:sz w:val="22"/>
          <w:szCs w:val="22"/>
        </w:rPr>
      </w:pPr>
    </w:p>
    <w:p w14:paraId="4CA04B1C" w14:textId="77777777" w:rsidR="00B84833" w:rsidRDefault="00B84833">
      <w:pPr>
        <w:pStyle w:val="Standard"/>
        <w:rPr>
          <w:sz w:val="22"/>
          <w:szCs w:val="22"/>
        </w:rPr>
      </w:pPr>
    </w:p>
    <w:p w14:paraId="3C6E6097" w14:textId="77777777" w:rsidR="00B84833" w:rsidRDefault="00B84833">
      <w:pPr>
        <w:pStyle w:val="Standard"/>
        <w:rPr>
          <w:sz w:val="22"/>
          <w:szCs w:val="22"/>
        </w:rPr>
      </w:pPr>
    </w:p>
    <w:p w14:paraId="717C5E83" w14:textId="77777777" w:rsidR="00B84833" w:rsidRDefault="00B84833">
      <w:pPr>
        <w:pStyle w:val="Standard"/>
        <w:rPr>
          <w:sz w:val="22"/>
          <w:szCs w:val="22"/>
        </w:rPr>
      </w:pPr>
    </w:p>
    <w:p w14:paraId="4B42C9BD" w14:textId="77777777" w:rsidR="00B84833" w:rsidRDefault="00B84833">
      <w:pPr>
        <w:pStyle w:val="Standard"/>
        <w:rPr>
          <w:sz w:val="22"/>
          <w:szCs w:val="22"/>
        </w:rPr>
      </w:pPr>
    </w:p>
    <w:p w14:paraId="5C424521" w14:textId="77777777" w:rsidR="00B84833" w:rsidRDefault="00B84833">
      <w:pPr>
        <w:pStyle w:val="Standard"/>
        <w:rPr>
          <w:sz w:val="22"/>
          <w:szCs w:val="22"/>
        </w:rPr>
      </w:pPr>
    </w:p>
    <w:p w14:paraId="7562EB49" w14:textId="77777777" w:rsidR="00B84833" w:rsidRDefault="00B84833">
      <w:pPr>
        <w:pStyle w:val="Standard"/>
        <w:rPr>
          <w:sz w:val="22"/>
          <w:szCs w:val="22"/>
        </w:rPr>
      </w:pPr>
    </w:p>
    <w:p w14:paraId="6EE949BA" w14:textId="77777777" w:rsidR="00B84833" w:rsidRDefault="00B84833">
      <w:pPr>
        <w:pStyle w:val="Standard"/>
        <w:rPr>
          <w:sz w:val="22"/>
          <w:szCs w:val="22"/>
        </w:rPr>
      </w:pPr>
    </w:p>
    <w:p w14:paraId="06BE484E" w14:textId="77777777" w:rsidR="00B84833" w:rsidRDefault="00B84833">
      <w:pPr>
        <w:pStyle w:val="Standard"/>
        <w:rPr>
          <w:sz w:val="22"/>
          <w:szCs w:val="22"/>
        </w:rPr>
      </w:pPr>
    </w:p>
    <w:p w14:paraId="4CE882D2" w14:textId="77777777" w:rsidR="00B84833" w:rsidRDefault="00B84833">
      <w:pPr>
        <w:pStyle w:val="Standard"/>
        <w:rPr>
          <w:sz w:val="22"/>
          <w:szCs w:val="22"/>
        </w:rPr>
      </w:pPr>
    </w:p>
    <w:p w14:paraId="0EEF8BC2" w14:textId="77777777" w:rsidR="00B84833" w:rsidRDefault="00B84833">
      <w:pPr>
        <w:pStyle w:val="Standard"/>
        <w:rPr>
          <w:sz w:val="22"/>
          <w:szCs w:val="22"/>
        </w:rPr>
      </w:pPr>
    </w:p>
    <w:p w14:paraId="16D1404F" w14:textId="77777777" w:rsidR="00B84833" w:rsidRDefault="001676CC">
      <w:pPr>
        <w:pStyle w:val="Standard"/>
        <w:numPr>
          <w:ilvl w:val="0"/>
          <w:numId w:val="2"/>
        </w:numPr>
      </w:pPr>
      <w:r>
        <w:rPr>
          <w:b/>
          <w:bCs/>
          <w:sz w:val="22"/>
          <w:szCs w:val="22"/>
        </w:rPr>
        <w:t>Pracownia Higieny Pracy (pobieranie próbek i badania środowiska pracy)</w:t>
      </w:r>
    </w:p>
    <w:tbl>
      <w:tblPr>
        <w:tblW w:w="92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4939"/>
        <w:gridCol w:w="3724"/>
      </w:tblGrid>
      <w:tr w:rsidR="00665C7C" w14:paraId="3437178F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DE54" w14:textId="77777777" w:rsidR="00665C7C" w:rsidRDefault="00665C7C">
            <w:pPr>
              <w:pStyle w:val="Standard"/>
              <w:jc w:val="center"/>
            </w:pP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2F3B" w14:textId="77777777" w:rsidR="00665C7C" w:rsidRDefault="00665C7C">
            <w:pPr>
              <w:pStyle w:val="Standard"/>
            </w:pPr>
            <w:r>
              <w:rPr>
                <w:b/>
                <w:sz w:val="22"/>
                <w:szCs w:val="22"/>
              </w:rPr>
              <w:t>Rodzaj oznaczenia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C7DF" w14:textId="77777777" w:rsidR="00665C7C" w:rsidRDefault="00665C7C">
            <w:pPr>
              <w:pStyle w:val="Standard"/>
            </w:pPr>
            <w:r>
              <w:rPr>
                <w:b/>
                <w:sz w:val="22"/>
                <w:szCs w:val="22"/>
              </w:rPr>
              <w:t>Normy i/lub udokumentowane</w:t>
            </w:r>
          </w:p>
          <w:p w14:paraId="517A7CE5" w14:textId="77777777" w:rsidR="00665C7C" w:rsidRDefault="00665C7C">
            <w:pPr>
              <w:pStyle w:val="Standard"/>
            </w:pPr>
            <w:r>
              <w:rPr>
                <w:b/>
                <w:sz w:val="22"/>
                <w:szCs w:val="22"/>
              </w:rPr>
              <w:t>procedury badawcze</w:t>
            </w:r>
          </w:p>
        </w:tc>
      </w:tr>
      <w:tr w:rsidR="00665C7C" w14:paraId="0963A0A5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F9D52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31A7E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Hałas:</w:t>
            </w:r>
          </w:p>
          <w:p w14:paraId="066C4D76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Równoważny poziom dźwięku A</w:t>
            </w:r>
          </w:p>
          <w:p w14:paraId="03E45ABF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Maksymalny poziom dźwięku A</w:t>
            </w:r>
          </w:p>
          <w:p w14:paraId="6A7A11AC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Zakres (</w:t>
            </w:r>
            <w:r>
              <w:rPr>
                <w:rFonts w:cs="Arial"/>
                <w:iCs/>
                <w:sz w:val="22"/>
                <w:szCs w:val="22"/>
              </w:rPr>
              <w:t>44</w:t>
            </w:r>
            <w:r>
              <w:rPr>
                <w:rFonts w:cs="Arial"/>
                <w:sz w:val="22"/>
                <w:szCs w:val="22"/>
              </w:rPr>
              <w:t xml:space="preserve">-136) </w:t>
            </w:r>
            <w:proofErr w:type="spellStart"/>
            <w:r>
              <w:rPr>
                <w:rFonts w:cs="Arial"/>
                <w:sz w:val="22"/>
                <w:szCs w:val="22"/>
              </w:rPr>
              <w:t>dB</w:t>
            </w:r>
            <w:proofErr w:type="spellEnd"/>
          </w:p>
          <w:p w14:paraId="6804EDD7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Szczytowy poziom dźwięku C</w:t>
            </w:r>
          </w:p>
          <w:p w14:paraId="202542B3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Zakres:</w:t>
            </w:r>
            <w:r>
              <w:rPr>
                <w:rFonts w:cs="Arial"/>
                <w:sz w:val="22"/>
                <w:szCs w:val="22"/>
              </w:rPr>
              <w:tab/>
              <w:t>(</w:t>
            </w:r>
            <w:r>
              <w:rPr>
                <w:rFonts w:cs="Arial"/>
                <w:iCs/>
                <w:sz w:val="22"/>
                <w:szCs w:val="22"/>
              </w:rPr>
              <w:t xml:space="preserve">44 </w:t>
            </w:r>
            <w:r>
              <w:rPr>
                <w:rFonts w:cs="Arial"/>
                <w:sz w:val="22"/>
                <w:szCs w:val="22"/>
              </w:rPr>
              <w:t xml:space="preserve">– 136) </w:t>
            </w:r>
            <w:proofErr w:type="spellStart"/>
            <w:r>
              <w:rPr>
                <w:rFonts w:cs="Arial"/>
                <w:sz w:val="22"/>
                <w:szCs w:val="22"/>
              </w:rPr>
              <w:t>dB</w:t>
            </w:r>
            <w:proofErr w:type="spellEnd"/>
          </w:p>
          <w:p w14:paraId="507C8E97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Metoda pomiarowa bezpośrednia</w:t>
            </w:r>
          </w:p>
        </w:tc>
        <w:tc>
          <w:tcPr>
            <w:tcW w:w="372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0E39" w14:textId="77777777" w:rsidR="00665C7C" w:rsidRPr="00B76B6A" w:rsidRDefault="00665C7C">
            <w:pPr>
              <w:pStyle w:val="Standard"/>
              <w:rPr>
                <w:lang w:val="fr-FR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  <w:lang w:val="fr-FR"/>
              </w:rPr>
              <w:t xml:space="preserve">A,P   </w:t>
            </w:r>
            <w:r>
              <w:rPr>
                <w:rFonts w:cs="Arial"/>
                <w:sz w:val="22"/>
                <w:szCs w:val="22"/>
                <w:lang w:val="fr-FR"/>
              </w:rPr>
              <w:t>PN-N-01307:1994</w:t>
            </w:r>
          </w:p>
          <w:p w14:paraId="5369729A" w14:textId="77777777" w:rsidR="00665C7C" w:rsidRPr="00B76B6A" w:rsidRDefault="00665C7C">
            <w:pPr>
              <w:pStyle w:val="Standard"/>
              <w:rPr>
                <w:lang w:val="fr-FR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  <w:lang w:val="fr-FR"/>
              </w:rPr>
              <w:t xml:space="preserve">A,P   </w:t>
            </w:r>
            <w:r>
              <w:rPr>
                <w:rFonts w:cs="Arial"/>
                <w:sz w:val="22"/>
                <w:szCs w:val="22"/>
                <w:lang w:val="fr-FR"/>
              </w:rPr>
              <w:t>PN-EN ISO 9612:2011</w:t>
            </w:r>
          </w:p>
          <w:p w14:paraId="0F5E6C3E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z wyłączeniem metody obejmującej strategię 2 i 3, pkt. 10 i 11</w:t>
            </w:r>
          </w:p>
          <w:p w14:paraId="346B4863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  <w:p w14:paraId="12C4CAD8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  <w:p w14:paraId="22A681E2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  <w:p w14:paraId="68D18487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  <w:p w14:paraId="48D62F8B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</w:tr>
      <w:tr w:rsidR="00665C7C" w14:paraId="221BF118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979B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01F4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Poziom ekspozycji na hałas odniesiony do:</w:t>
            </w:r>
          </w:p>
          <w:p w14:paraId="7B2ED603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- 8-godzinnego dobowego wymiaru czasu pracy</w:t>
            </w:r>
          </w:p>
          <w:p w14:paraId="4ED53244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tygodnia pracy</w:t>
            </w:r>
          </w:p>
          <w:p w14:paraId="63F63A3C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(z obliczeń)</w:t>
            </w:r>
          </w:p>
        </w:tc>
        <w:tc>
          <w:tcPr>
            <w:tcW w:w="372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0056" w14:textId="77777777" w:rsidR="00665C7C" w:rsidRDefault="00665C7C"/>
        </w:tc>
      </w:tr>
      <w:tr w:rsidR="00665C7C" w14:paraId="56D61D05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F478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75C4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Drgania mechaniczne o działaniu ogólnym</w:t>
            </w:r>
          </w:p>
          <w:p w14:paraId="5F218F55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Skuteczne, ważone częstotliwościowo przyspieszenia drgań</w:t>
            </w:r>
          </w:p>
          <w:p w14:paraId="25849363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Zakres:</w:t>
            </w:r>
            <w:r>
              <w:rPr>
                <w:rFonts w:cs="Arial"/>
                <w:sz w:val="22"/>
                <w:szCs w:val="22"/>
              </w:rPr>
              <w:tab/>
              <w:t>(</w:t>
            </w:r>
            <w:r>
              <w:rPr>
                <w:rFonts w:cs="Arial"/>
                <w:iCs/>
                <w:sz w:val="22"/>
                <w:szCs w:val="22"/>
              </w:rPr>
              <w:t>0,06</w:t>
            </w:r>
            <w:r>
              <w:rPr>
                <w:rFonts w:cs="Arial"/>
                <w:sz w:val="22"/>
                <w:szCs w:val="22"/>
              </w:rPr>
              <w:t xml:space="preserve"> – 100) m/s</w:t>
            </w:r>
            <w:r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  <w:p w14:paraId="6A16F8D5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Metoda pomiarowa bezpośrednia</w:t>
            </w:r>
          </w:p>
        </w:tc>
        <w:tc>
          <w:tcPr>
            <w:tcW w:w="372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E23E" w14:textId="77777777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A,P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PN-EN 14253+A1:2011</w:t>
            </w:r>
          </w:p>
          <w:p w14:paraId="69781659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n-US"/>
              </w:rPr>
            </w:pPr>
          </w:p>
          <w:p w14:paraId="3EFE4C84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n-US"/>
              </w:rPr>
            </w:pPr>
          </w:p>
          <w:p w14:paraId="3CCA4B48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n-US"/>
              </w:rPr>
            </w:pPr>
          </w:p>
          <w:p w14:paraId="37B6CF24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n-US"/>
              </w:rPr>
            </w:pPr>
          </w:p>
          <w:p w14:paraId="7B356494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n-US"/>
              </w:rPr>
            </w:pPr>
          </w:p>
          <w:p w14:paraId="4A606D10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</w:tr>
      <w:tr w:rsidR="00665C7C" w14:paraId="530A3341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39F5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507B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Ekspozycja dzienna wyrażona w postaci równoważnego energetycznie dla 8 godzin działania skutecznego, skorygowanego częstotliwościowo przyśpieszenia drgań, dominującego wśród przyspieszeń drgań, wyznaczonych dla 3 składowych kierunkowych z uwzględnieniem właściwych współczynników (1,4a</w:t>
            </w:r>
            <w:r>
              <w:rPr>
                <w:rFonts w:cs="Arial"/>
                <w:sz w:val="22"/>
                <w:szCs w:val="22"/>
                <w:vertAlign w:val="subscript"/>
              </w:rPr>
              <w:t>wx</w:t>
            </w:r>
            <w:r>
              <w:rPr>
                <w:rFonts w:cs="Arial"/>
                <w:sz w:val="22"/>
                <w:szCs w:val="22"/>
              </w:rPr>
              <w:t>, 1,4a</w:t>
            </w:r>
            <w:r>
              <w:rPr>
                <w:rFonts w:cs="Arial"/>
                <w:sz w:val="22"/>
                <w:szCs w:val="22"/>
                <w:vertAlign w:val="subscript"/>
              </w:rPr>
              <w:t>wy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wz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  <w:p w14:paraId="61AC6ED9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Ekspozycja trwająca 30 minut i krócej, wyrażona w postaci skutecznego, ważonego częstotliwościowo przyśpieszenia drgań, dominującego wśród przyspieszeń drgań, wyznaczonych dla 3 składowych kierunkowych z uwzględnieniem właściwych współczynników (1,4a</w:t>
            </w:r>
            <w:r>
              <w:rPr>
                <w:rFonts w:cs="Arial"/>
                <w:sz w:val="22"/>
                <w:szCs w:val="22"/>
                <w:vertAlign w:val="subscript"/>
              </w:rPr>
              <w:t>wx</w:t>
            </w:r>
            <w:r>
              <w:rPr>
                <w:rFonts w:cs="Arial"/>
                <w:sz w:val="22"/>
                <w:szCs w:val="22"/>
              </w:rPr>
              <w:t>, 1,4a</w:t>
            </w:r>
            <w:r>
              <w:rPr>
                <w:rFonts w:cs="Arial"/>
                <w:sz w:val="22"/>
                <w:szCs w:val="22"/>
                <w:vertAlign w:val="subscript"/>
              </w:rPr>
              <w:t>wy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wz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  <w:p w14:paraId="2F2577D0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(z obliczeń)</w:t>
            </w:r>
          </w:p>
        </w:tc>
        <w:tc>
          <w:tcPr>
            <w:tcW w:w="372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3F81" w14:textId="77777777" w:rsidR="00665C7C" w:rsidRDefault="00665C7C"/>
        </w:tc>
      </w:tr>
      <w:tr w:rsidR="00665C7C" w14:paraId="391DA89C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1B3B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7F60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Drgania mechaniczne przenoszone przez kończyny górne:</w:t>
            </w:r>
          </w:p>
          <w:p w14:paraId="262550A8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Skuteczne, ważone częstotliwościowo przyspieszenia drgań</w:t>
            </w:r>
          </w:p>
          <w:p w14:paraId="0093FB27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Zakres:</w:t>
            </w:r>
            <w:r>
              <w:rPr>
                <w:rFonts w:cs="Arial"/>
                <w:sz w:val="22"/>
                <w:szCs w:val="22"/>
              </w:rPr>
              <w:tab/>
              <w:t>(0,06 – 100) m/s</w:t>
            </w:r>
            <w:r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  <w:p w14:paraId="4816AA89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Metoda pomiarowa bezpośrednia</w:t>
            </w:r>
          </w:p>
        </w:tc>
        <w:tc>
          <w:tcPr>
            <w:tcW w:w="372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196C" w14:textId="775A00A8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  <w:lang w:val="es-ES"/>
              </w:rPr>
              <w:t xml:space="preserve">A,P   </w:t>
            </w:r>
            <w:r>
              <w:rPr>
                <w:rFonts w:cs="Arial"/>
                <w:sz w:val="22"/>
                <w:szCs w:val="22"/>
                <w:lang w:val="es-ES"/>
              </w:rPr>
              <w:t>PN-EN ISO 5349-1:2004</w:t>
            </w:r>
          </w:p>
          <w:p w14:paraId="14710666" w14:textId="4901B36F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  <w:lang w:val="es-ES"/>
              </w:rPr>
              <w:t xml:space="preserve">A,P   </w:t>
            </w:r>
            <w:r>
              <w:rPr>
                <w:rFonts w:cs="Arial"/>
                <w:sz w:val="22"/>
                <w:szCs w:val="22"/>
                <w:lang w:val="es-ES"/>
              </w:rPr>
              <w:t>PN-EN ISO 5349-2:2004+AI:</w:t>
            </w:r>
          </w:p>
          <w:p w14:paraId="25E52C70" w14:textId="77777777" w:rsidR="00665C7C" w:rsidRDefault="00665C7C">
            <w:pPr>
              <w:pStyle w:val="Standard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        2015-11</w:t>
            </w:r>
          </w:p>
          <w:p w14:paraId="4F0F3971" w14:textId="7B91D5D1" w:rsidR="00665C7C" w:rsidRPr="00772945" w:rsidRDefault="00665C7C">
            <w:pPr>
              <w:pStyle w:val="Standard"/>
              <w:rPr>
                <w:b/>
                <w:bCs/>
              </w:rPr>
            </w:pPr>
            <w:r w:rsidRPr="00772945">
              <w:rPr>
                <w:rFonts w:cs="Arial"/>
                <w:b/>
                <w:bCs/>
                <w:iCs/>
                <w:sz w:val="20"/>
                <w:szCs w:val="20"/>
                <w:lang w:val="es-ES"/>
              </w:rPr>
              <w:t>A,P</w:t>
            </w:r>
            <w:r w:rsidRPr="00772945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772945">
              <w:rPr>
                <w:rFonts w:cs="Arial"/>
                <w:sz w:val="22"/>
                <w:szCs w:val="22"/>
                <w:lang w:val="es-ES"/>
              </w:rPr>
              <w:t>PN-EN ISO 5349-2:2004</w:t>
            </w:r>
          </w:p>
        </w:tc>
      </w:tr>
      <w:tr w:rsidR="00665C7C" w14:paraId="0CF78726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2A29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374A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Ekspozycja dzienna wyrażona w postaci równoważnej energetycznie dla 8 godzin działania sumy wektorowej skutecznych, skorygowanych częstotliwościowo przyśpieszeń drgań, wyznaczonych dla 3 składowych kierunkowych (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hwz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  <w:p w14:paraId="5CA60E43" w14:textId="77777777" w:rsidR="00665C7C" w:rsidRDefault="00665C7C">
            <w:pPr>
              <w:pStyle w:val="Standard"/>
            </w:pPr>
            <w:r>
              <w:rPr>
                <w:rFonts w:cs="Arial"/>
                <w:sz w:val="22"/>
                <w:szCs w:val="22"/>
              </w:rPr>
              <w:t>- Ekspozycja trwająca 30 minut i krócej, wyrażona w postaci sumy wektorowej skutecznych, ważonych częstotliwościowo przyśpieszeń drgań, wyznaczonych dla 3 składowych kierunkowych (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hwy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  <w:vertAlign w:val="subscript"/>
              </w:rPr>
              <w:t>hwz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  <w:p w14:paraId="697E0E42" w14:textId="77777777" w:rsidR="00665C7C" w:rsidRDefault="00665C7C">
            <w:pPr>
              <w:pStyle w:val="Textbodyindent"/>
              <w:ind w:left="0"/>
            </w:pPr>
            <w:r>
              <w:rPr>
                <w:rFonts w:cs="Arial"/>
                <w:sz w:val="22"/>
                <w:szCs w:val="22"/>
              </w:rPr>
              <w:t>(z obliczeń)</w:t>
            </w:r>
          </w:p>
        </w:tc>
        <w:tc>
          <w:tcPr>
            <w:tcW w:w="372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E5BA" w14:textId="77777777" w:rsidR="00665C7C" w:rsidRDefault="00665C7C"/>
        </w:tc>
      </w:tr>
      <w:tr w:rsidR="00665C7C" w14:paraId="298BAC87" w14:textId="77777777" w:rsidTr="00665C7C">
        <w:trPr>
          <w:trHeight w:val="253"/>
        </w:trPr>
        <w:tc>
          <w:tcPr>
            <w:tcW w:w="6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6485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7.</w:t>
            </w:r>
          </w:p>
          <w:p w14:paraId="50050022" w14:textId="77777777" w:rsid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3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EC92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Pobieranie próbek w celu oceny narażenia zawodowego na:</w:t>
            </w:r>
          </w:p>
          <w:p w14:paraId="1E9A7D2D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-pyły przemysłowe</w:t>
            </w:r>
          </w:p>
          <w:p w14:paraId="27C0DCA0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 xml:space="preserve">- frakcja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wdychalna</w:t>
            </w:r>
            <w:proofErr w:type="spellEnd"/>
          </w:p>
          <w:p w14:paraId="2CDC9F39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 xml:space="preserve">- frakcja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respirabilna</w:t>
            </w:r>
            <w:proofErr w:type="spellEnd"/>
          </w:p>
          <w:p w14:paraId="26D510EB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- substancje organiczne</w:t>
            </w:r>
          </w:p>
          <w:p w14:paraId="56F6DE96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Metoda dozymetrii indywidualnej</w:t>
            </w:r>
          </w:p>
          <w:p w14:paraId="10803C2E" w14:textId="77777777" w:rsid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Wskaźnik narażenia (z obliczeń)</w:t>
            </w:r>
          </w:p>
          <w:p w14:paraId="40F67D81" w14:textId="77777777" w:rsid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</w:p>
          <w:p w14:paraId="57C60AD0" w14:textId="22917306" w:rsidR="00665C7C" w:rsidRDefault="00665C7C">
            <w:pPr>
              <w:pStyle w:val="Standard"/>
            </w:pPr>
          </w:p>
        </w:tc>
        <w:tc>
          <w:tcPr>
            <w:tcW w:w="372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9C419" w14:textId="77777777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A,P   </w:t>
            </w:r>
            <w:r>
              <w:rPr>
                <w:rFonts w:cs="Arial"/>
                <w:bCs/>
                <w:sz w:val="22"/>
                <w:szCs w:val="22"/>
              </w:rPr>
              <w:t>PN-Z-04008-7:2002+Az1:2004</w:t>
            </w:r>
          </w:p>
          <w:p w14:paraId="1D04DA8F" w14:textId="77777777" w:rsidR="00665C7C" w:rsidRDefault="00665C7C">
            <w:pPr>
              <w:pStyle w:val="Standard"/>
              <w:rPr>
                <w:rFonts w:cs="Arial"/>
                <w:bCs/>
                <w:strike/>
                <w:sz w:val="22"/>
                <w:szCs w:val="22"/>
              </w:rPr>
            </w:pPr>
          </w:p>
          <w:p w14:paraId="5E4173DE" w14:textId="77777777" w:rsid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</w:p>
        </w:tc>
      </w:tr>
      <w:tr w:rsidR="00665C7C" w14:paraId="432D99AD" w14:textId="77777777" w:rsidTr="00665C7C">
        <w:trPr>
          <w:trHeight w:val="230"/>
        </w:trPr>
        <w:tc>
          <w:tcPr>
            <w:tcW w:w="61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8C89" w14:textId="77777777" w:rsidR="00665C7C" w:rsidRDefault="00665C7C"/>
        </w:tc>
        <w:tc>
          <w:tcPr>
            <w:tcW w:w="4939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4746" w14:textId="77777777" w:rsidR="00665C7C" w:rsidRDefault="00665C7C"/>
        </w:tc>
        <w:tc>
          <w:tcPr>
            <w:tcW w:w="372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2AA9" w14:textId="77777777" w:rsidR="00665C7C" w:rsidRDefault="00665C7C"/>
        </w:tc>
      </w:tr>
      <w:tr w:rsidR="00665C7C" w14:paraId="7F4E6368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4F8C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958F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 xml:space="preserve">Stężenie pyłu – frakcja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wdychalna</w:t>
            </w:r>
            <w:proofErr w:type="spellEnd"/>
          </w:p>
          <w:p w14:paraId="372377C6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Zakres:</w:t>
            </w:r>
            <w:r>
              <w:rPr>
                <w:rFonts w:cs="Arial"/>
                <w:bCs/>
                <w:sz w:val="22"/>
                <w:szCs w:val="22"/>
              </w:rPr>
              <w:tab/>
              <w:t>(0,10 – 42) mg/m</w:t>
            </w:r>
            <w:r>
              <w:rPr>
                <w:rFonts w:cs="Arial"/>
                <w:bCs/>
                <w:sz w:val="22"/>
                <w:szCs w:val="22"/>
                <w:vertAlign w:val="superscript"/>
              </w:rPr>
              <w:t>3</w:t>
            </w:r>
          </w:p>
          <w:p w14:paraId="66B6C530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Metoda filtracyjno-wagowa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AF9D" w14:textId="28AFED49" w:rsid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A,P   </w:t>
            </w:r>
            <w:r>
              <w:rPr>
                <w:rFonts w:cs="Arial"/>
                <w:bCs/>
                <w:sz w:val="22"/>
                <w:szCs w:val="22"/>
              </w:rPr>
              <w:t>PN-91/Z-04030/05</w:t>
            </w:r>
          </w:p>
          <w:p w14:paraId="002ECEC2" w14:textId="11574B8C" w:rsidR="00665C7C" w:rsidRPr="00665C7C" w:rsidRDefault="00665C7C">
            <w:pPr>
              <w:pStyle w:val="Standard"/>
              <w:rPr>
                <w:rFonts w:cs="Arial"/>
                <w:bCs/>
                <w:sz w:val="22"/>
                <w:szCs w:val="22"/>
              </w:rPr>
            </w:pPr>
            <w:r w:rsidRPr="00665C7C">
              <w:rPr>
                <w:rFonts w:cs="Arial"/>
                <w:bCs/>
                <w:sz w:val="22"/>
                <w:szCs w:val="22"/>
              </w:rPr>
              <w:t>PN-Z-04507:2022-05/Ap1:2022-08P</w:t>
            </w:r>
          </w:p>
          <w:p w14:paraId="7DD8C018" w14:textId="77777777" w:rsidR="00665C7C" w:rsidRDefault="00665C7C">
            <w:pPr>
              <w:pStyle w:val="Standard"/>
              <w:rPr>
                <w:sz w:val="22"/>
                <w:szCs w:val="22"/>
              </w:rPr>
            </w:pPr>
          </w:p>
        </w:tc>
      </w:tr>
      <w:tr w:rsidR="00665C7C" w14:paraId="66050557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955F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9.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62CF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 xml:space="preserve">Stężenie pyłu – frakcja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respirabilna</w:t>
            </w:r>
            <w:proofErr w:type="spellEnd"/>
          </w:p>
          <w:p w14:paraId="1EB67E6F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Zakres:</w:t>
            </w:r>
            <w:r>
              <w:rPr>
                <w:rFonts w:cs="Arial"/>
                <w:bCs/>
                <w:sz w:val="22"/>
                <w:szCs w:val="22"/>
              </w:rPr>
              <w:tab/>
              <w:t>(0,10 – 14) mg/m</w:t>
            </w:r>
            <w:r>
              <w:rPr>
                <w:rFonts w:cs="Arial"/>
                <w:bCs/>
                <w:sz w:val="22"/>
                <w:szCs w:val="22"/>
                <w:vertAlign w:val="superscript"/>
              </w:rPr>
              <w:t>3</w:t>
            </w:r>
          </w:p>
          <w:p w14:paraId="5A1D3CFE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Metoda filtracyjno-wagowa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BFDB" w14:textId="77777777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 xml:space="preserve">A,P   </w:t>
            </w:r>
            <w:r>
              <w:rPr>
                <w:rFonts w:cs="Arial"/>
                <w:bCs/>
                <w:sz w:val="22"/>
                <w:szCs w:val="22"/>
              </w:rPr>
              <w:t>PN-91/Z-04030/06</w:t>
            </w:r>
          </w:p>
          <w:p w14:paraId="2701F765" w14:textId="0936CE6B" w:rsidR="00665C7C" w:rsidRDefault="00665C7C">
            <w:pPr>
              <w:pStyle w:val="Standard"/>
              <w:rPr>
                <w:sz w:val="22"/>
                <w:szCs w:val="22"/>
              </w:rPr>
            </w:pPr>
            <w:r w:rsidRPr="00665C7C">
              <w:rPr>
                <w:sz w:val="22"/>
                <w:szCs w:val="22"/>
              </w:rPr>
              <w:t>PN-Z-04508:2022-05/Ap1:2022-08P</w:t>
            </w:r>
          </w:p>
        </w:tc>
      </w:tr>
      <w:tr w:rsidR="00665C7C" w14:paraId="4A4F8472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D3C3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10.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D507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Oświetlenie elektryczne we wnętrzach</w:t>
            </w:r>
          </w:p>
          <w:p w14:paraId="3E1B4AAE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Zakres:</w:t>
            </w:r>
            <w:r>
              <w:rPr>
                <w:rFonts w:cs="Arial"/>
                <w:bCs/>
                <w:sz w:val="22"/>
                <w:szCs w:val="22"/>
              </w:rPr>
              <w:tab/>
              <w:t xml:space="preserve">(5 – </w:t>
            </w:r>
            <w:r>
              <w:rPr>
                <w:rFonts w:cs="Arial"/>
                <w:bCs/>
                <w:iCs/>
                <w:sz w:val="22"/>
                <w:szCs w:val="22"/>
              </w:rPr>
              <w:t>5000</w:t>
            </w:r>
            <w:r>
              <w:rPr>
                <w:rFonts w:cs="Arial"/>
                <w:bCs/>
                <w:sz w:val="22"/>
                <w:szCs w:val="22"/>
              </w:rPr>
              <w:t>) lx</w:t>
            </w:r>
          </w:p>
          <w:p w14:paraId="380CC695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Metoda pomiarowa bezpośrednia</w:t>
            </w:r>
          </w:p>
          <w:p w14:paraId="5D2B2602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Równomierność oświetlenia</w:t>
            </w:r>
          </w:p>
          <w:p w14:paraId="5B5DF96F" w14:textId="77777777" w:rsidR="00665C7C" w:rsidRDefault="00665C7C">
            <w:pPr>
              <w:pStyle w:val="Standard"/>
            </w:pPr>
            <w:r>
              <w:rPr>
                <w:rFonts w:cs="Arial"/>
                <w:bCs/>
                <w:sz w:val="22"/>
                <w:szCs w:val="22"/>
              </w:rPr>
              <w:t>(z obliczeń)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07F1" w14:textId="77777777" w:rsidR="00665C7C" w:rsidRDefault="00665C7C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A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>PB/HP-01</w:t>
            </w:r>
          </w:p>
          <w:p w14:paraId="3D38829D" w14:textId="77777777" w:rsidR="00665C7C" w:rsidRDefault="00665C7C">
            <w:pPr>
              <w:pStyle w:val="Standard"/>
            </w:pPr>
            <w:r>
              <w:rPr>
                <w:rFonts w:cs="Arial"/>
                <w:iCs/>
                <w:sz w:val="22"/>
                <w:szCs w:val="22"/>
              </w:rPr>
              <w:t>Wydanie 1 z dnia 2013-03-15</w:t>
            </w:r>
          </w:p>
          <w:p w14:paraId="3BF7A79D" w14:textId="77777777" w:rsidR="00665C7C" w:rsidRDefault="00665C7C">
            <w:pPr>
              <w:pStyle w:val="Standard"/>
            </w:pPr>
            <w:r>
              <w:rPr>
                <w:rFonts w:cs="Arial"/>
                <w:iCs/>
                <w:sz w:val="22"/>
                <w:szCs w:val="22"/>
              </w:rPr>
              <w:t>PN-83/E-04040.03</w:t>
            </w:r>
          </w:p>
        </w:tc>
      </w:tr>
      <w:tr w:rsidR="00665C7C" w14:paraId="2EB20F82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E44D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4479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Mikroklimat gorący</w:t>
            </w:r>
          </w:p>
          <w:p w14:paraId="66FEC260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Temperatura powietrza</w:t>
            </w:r>
          </w:p>
          <w:p w14:paraId="5673D6C8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Zakres:(10-40)</w:t>
            </w:r>
            <w:proofErr w:type="spellStart"/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  <w:proofErr w:type="spellEnd"/>
          </w:p>
          <w:p w14:paraId="3503A4CD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Temperatura wilgotna naturalna</w:t>
            </w:r>
          </w:p>
          <w:p w14:paraId="67D626C2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Zakres:(10-40)</w:t>
            </w:r>
            <w:proofErr w:type="spellStart"/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  <w:proofErr w:type="spellEnd"/>
          </w:p>
          <w:p w14:paraId="1D99DBF6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Temperatura poczernionej kuli</w:t>
            </w:r>
          </w:p>
          <w:p w14:paraId="32982D08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Zakres:(10-40)</w:t>
            </w:r>
            <w:proofErr w:type="spellStart"/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  <w:proofErr w:type="spellEnd"/>
          </w:p>
          <w:p w14:paraId="13045C62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Metoda pomiarowa bezpośrednia</w:t>
            </w:r>
          </w:p>
        </w:tc>
        <w:tc>
          <w:tcPr>
            <w:tcW w:w="372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D23A" w14:textId="4B626B68" w:rsidR="00665C7C" w:rsidRDefault="004960E0">
            <w:pPr>
              <w:pStyle w:val="Standard"/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SZ,</w:t>
            </w:r>
            <w:r w:rsidR="00665C7C">
              <w:rPr>
                <w:rFonts w:cs="Arial"/>
                <w:b/>
                <w:bCs/>
                <w:iCs/>
                <w:sz w:val="20"/>
                <w:szCs w:val="20"/>
              </w:rPr>
              <w:t xml:space="preserve">P   </w:t>
            </w:r>
            <w:r w:rsidR="00665C7C">
              <w:rPr>
                <w:sz w:val="22"/>
                <w:szCs w:val="22"/>
              </w:rPr>
              <w:t>PN-EN 27243:2005</w:t>
            </w:r>
          </w:p>
        </w:tc>
      </w:tr>
      <w:tr w:rsidR="00665C7C" w14:paraId="46003149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BF87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5498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Wskaźnik WBGT</w:t>
            </w:r>
          </w:p>
          <w:p w14:paraId="148B07B1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(z obliczeń)</w:t>
            </w:r>
          </w:p>
        </w:tc>
        <w:tc>
          <w:tcPr>
            <w:tcW w:w="3724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C279" w14:textId="77777777" w:rsidR="00665C7C" w:rsidRDefault="00665C7C"/>
        </w:tc>
      </w:tr>
      <w:tr w:rsidR="00665C7C" w14:paraId="6169717C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8D19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A7D0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Mikroklimat zimny i umiarkowany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A516" w14:textId="17736B6C" w:rsidR="00665C7C" w:rsidRDefault="004960E0">
            <w:pPr>
              <w:pStyle w:val="Standard"/>
            </w:pPr>
            <w:r w:rsidRPr="004960E0">
              <w:rPr>
                <w:b/>
                <w:bCs/>
              </w:rPr>
              <w:t>SZ,</w:t>
            </w:r>
            <w:r w:rsidR="00665C7C" w:rsidRPr="004960E0">
              <w:rPr>
                <w:b/>
                <w:bCs/>
              </w:rPr>
              <w:t>P</w:t>
            </w:r>
            <w:r w:rsidR="00665C7C" w:rsidRPr="004960E0">
              <w:t xml:space="preserve">   PN-EN ISO 11079:2008</w:t>
            </w:r>
            <w:r>
              <w:rPr>
                <w:sz w:val="20"/>
                <w:szCs w:val="20"/>
              </w:rPr>
              <w:br/>
            </w:r>
            <w:r w:rsidR="00665C7C">
              <w:rPr>
                <w:sz w:val="20"/>
                <w:szCs w:val="20"/>
              </w:rPr>
              <w:t xml:space="preserve"> „Ergonomia środowiska termicznego. Wyznaczanie i interpretacja stresu termicznego wynikającego z ekspozycji na środowisko zimne z uwzględnieniem wymaganej izolacji cieplnej odzieży /IREQ/ oraz wpływu wychłodzenia miejscowego”</w:t>
            </w:r>
          </w:p>
          <w:p w14:paraId="2398249F" w14:textId="2F897A7D" w:rsidR="00665C7C" w:rsidRDefault="004960E0">
            <w:pPr>
              <w:pStyle w:val="Tekstkomentarza1"/>
            </w:pPr>
            <w:r w:rsidRPr="004960E0">
              <w:rPr>
                <w:b/>
                <w:bCs/>
              </w:rPr>
              <w:t>SZ,</w:t>
            </w:r>
            <w:r w:rsidR="00665C7C" w:rsidRPr="004960E0">
              <w:rPr>
                <w:b/>
                <w:bCs/>
              </w:rPr>
              <w:t>P</w:t>
            </w:r>
            <w:r w:rsidR="00665C7C">
              <w:t xml:space="preserve">   PN-EN ISO 7730:2006 Ergonomia środowiska termicznego. Analityczne  wyznaczanie i interpretacja komfortu termicznego z zastosowaniem obliczania PMV i PPD oraz kryteriów lokalnego komfortu termicznego.</w:t>
            </w:r>
          </w:p>
          <w:p w14:paraId="1EC1A342" w14:textId="77777777" w:rsidR="00665C7C" w:rsidRDefault="00665C7C">
            <w:pPr>
              <w:pStyle w:val="Tekstkomentarza1"/>
            </w:pPr>
          </w:p>
        </w:tc>
      </w:tr>
      <w:tr w:rsidR="00665C7C" w14:paraId="37E2F8C7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D5EF" w14:textId="6ED53B56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1CF9" w14:textId="77777777" w:rsidR="00665C7C" w:rsidRDefault="00665C7C">
            <w:pPr>
              <w:pStyle w:val="Standard"/>
            </w:pPr>
            <w:r>
              <w:rPr>
                <w:sz w:val="22"/>
                <w:szCs w:val="22"/>
              </w:rPr>
              <w:t>Tlenek azotu, dwutlenek azotu, ozon, tlenek węgla. dwutlenek siarki, siarkowodór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4C8F" w14:textId="482CE141" w:rsidR="00665C7C" w:rsidRDefault="00665C7C">
            <w:pPr>
              <w:pStyle w:val="Tekstkomentarza1"/>
            </w:pPr>
            <w:r w:rsidRPr="004960E0">
              <w:rPr>
                <w:b/>
                <w:bCs/>
              </w:rPr>
              <w:t>P</w:t>
            </w:r>
            <w:r>
              <w:t xml:space="preserve">  PN-EN 482:2009</w:t>
            </w:r>
            <w:r w:rsidR="004960E0">
              <w:br/>
            </w:r>
            <w:r>
              <w:t xml:space="preserve"> „ Powietrze na stanowiskach pracy. Ogólne wymagania dotyczące procedur pomiarów czynników chemicznych”</w:t>
            </w:r>
          </w:p>
          <w:p w14:paraId="4BDEC418" w14:textId="77777777" w:rsidR="00665C7C" w:rsidRDefault="00665C7C">
            <w:pPr>
              <w:pStyle w:val="Tekstkomentarza1"/>
            </w:pPr>
            <w:r>
              <w:t>/wycofana/</w:t>
            </w:r>
          </w:p>
        </w:tc>
      </w:tr>
      <w:tr w:rsidR="00665C7C" w14:paraId="6D5F6516" w14:textId="77777777" w:rsidTr="00665C7C">
        <w:tc>
          <w:tcPr>
            <w:tcW w:w="6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AF88" w14:textId="3F9C8EE8" w:rsidR="00665C7C" w:rsidRDefault="00665C7C" w:rsidP="00772945">
            <w:pPr>
              <w:pStyle w:val="Standard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A197" w14:textId="464BE0B7" w:rsidR="00665C7C" w:rsidRDefault="00665C7C" w:rsidP="00772945">
            <w:pPr>
              <w:pStyle w:val="Standard"/>
            </w:pPr>
            <w:r>
              <w:rPr>
                <w:sz w:val="22"/>
                <w:szCs w:val="22"/>
              </w:rPr>
              <w:t>Szacowanie wydatku energetycznego</w:t>
            </w:r>
          </w:p>
        </w:tc>
        <w:tc>
          <w:tcPr>
            <w:tcW w:w="37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ACB0" w14:textId="77777777" w:rsidR="00665C7C" w:rsidRDefault="00665C7C" w:rsidP="00772945">
            <w:pPr>
              <w:pStyle w:val="Tekstkomentarza1"/>
            </w:pPr>
            <w:r w:rsidRPr="004960E0">
              <w:rPr>
                <w:b/>
                <w:bCs/>
              </w:rPr>
              <w:t>P</w:t>
            </w:r>
            <w:r>
              <w:t xml:space="preserve">  Ocena Wielkości Obciążenia Pracą na Stanowiskach roboczych CIOP Warszawa</w:t>
            </w:r>
          </w:p>
          <w:p w14:paraId="139D7882" w14:textId="4A05BE78" w:rsidR="00665C7C" w:rsidRDefault="00665C7C" w:rsidP="00772945">
            <w:pPr>
              <w:pStyle w:val="Tekstkomentarza1"/>
            </w:pPr>
            <w:r>
              <w:t>Koszt Energetyczny Pracy. Wytyczne Dotyczące Określenia.   IMP Łódź</w:t>
            </w:r>
          </w:p>
        </w:tc>
      </w:tr>
    </w:tbl>
    <w:p w14:paraId="7310C0BE" w14:textId="77777777" w:rsidR="00B84833" w:rsidRDefault="00B84833">
      <w:pPr>
        <w:pStyle w:val="Standard"/>
      </w:pPr>
    </w:p>
    <w:p w14:paraId="64BF32B4" w14:textId="77777777" w:rsidR="00B84833" w:rsidRDefault="00B84833">
      <w:pPr>
        <w:pStyle w:val="Standard"/>
      </w:pPr>
    </w:p>
    <w:sectPr w:rsidR="00B848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304" w:bottom="709" w:left="1304" w:header="57" w:footer="1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756D" w14:textId="77777777" w:rsidR="002E2962" w:rsidRDefault="002E2962">
      <w:r>
        <w:separator/>
      </w:r>
    </w:p>
  </w:endnote>
  <w:endnote w:type="continuationSeparator" w:id="0">
    <w:p w14:paraId="70C36F58" w14:textId="77777777" w:rsidR="002E2962" w:rsidRDefault="002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8B4D" w14:textId="77777777" w:rsidR="00945B4F" w:rsidRDefault="00000000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F758" w14:textId="77777777" w:rsidR="00945B4F" w:rsidRDefault="001676CC">
    <w:pPr>
      <w:pStyle w:val="Stopka"/>
    </w:pPr>
    <w:r>
      <w:rPr>
        <w:rStyle w:val="Numerstrony"/>
        <w:rFonts w:cs="Arial"/>
        <w:sz w:val="18"/>
        <w:szCs w:val="18"/>
      </w:rPr>
      <w:t xml:space="preserve">PSSE Krosno </w:t>
    </w:r>
    <w:r>
      <w:rPr>
        <w:rStyle w:val="Numerstrony"/>
        <w:rFonts w:cs="Arial"/>
        <w:sz w:val="18"/>
        <w:szCs w:val="18"/>
      </w:rPr>
      <w:tab/>
    </w:r>
    <w:r>
      <w:rPr>
        <w:rStyle w:val="Numerstrony"/>
        <w:rFonts w:cs="Arial"/>
        <w:sz w:val="18"/>
        <w:szCs w:val="18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Style w:val="Numerstrony"/>
        <w:rFonts w:cs="Arial"/>
        <w:sz w:val="18"/>
        <w:szCs w:val="18"/>
      </w:rPr>
      <w:t>/</w:t>
    </w:r>
    <w:fldSimple w:instr=" NUMPAGES ">
      <w: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820E" w14:textId="77777777" w:rsidR="00945B4F" w:rsidRDefault="001676CC">
    <w:pPr>
      <w:pStyle w:val="Stopka"/>
    </w:pPr>
    <w:r>
      <w:rPr>
        <w:rStyle w:val="Numerstrony"/>
        <w:rFonts w:cs="Arial"/>
        <w:sz w:val="18"/>
        <w:szCs w:val="18"/>
      </w:rPr>
      <w:t>PSSE Krosno</w:t>
    </w:r>
    <w:r>
      <w:rPr>
        <w:rStyle w:val="Numerstrony"/>
        <w:rFonts w:cs="Arial"/>
        <w:sz w:val="18"/>
        <w:szCs w:val="18"/>
      </w:rPr>
      <w:tab/>
    </w:r>
    <w:r>
      <w:rPr>
        <w:rStyle w:val="Numerstrony"/>
        <w:rFonts w:cs="Arial"/>
        <w:sz w:val="18"/>
        <w:szCs w:val="18"/>
      </w:rPr>
      <w:tab/>
      <w:t>Strona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9B01" w14:textId="77777777" w:rsidR="002E2962" w:rsidRDefault="002E2962">
      <w:r>
        <w:rPr>
          <w:color w:val="000000"/>
        </w:rPr>
        <w:separator/>
      </w:r>
    </w:p>
  </w:footnote>
  <w:footnote w:type="continuationSeparator" w:id="0">
    <w:p w14:paraId="00D7DC8E" w14:textId="77777777" w:rsidR="002E2962" w:rsidRDefault="002E2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32DB" w14:textId="77777777" w:rsidR="00945B4F" w:rsidRDefault="0000000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9A11" w14:textId="77777777" w:rsidR="00945B4F" w:rsidRDefault="001676CC">
    <w:pPr>
      <w:pStyle w:val="Nagwek"/>
      <w:tabs>
        <w:tab w:val="clear" w:pos="9072"/>
        <w:tab w:val="left" w:pos="8025"/>
        <w:tab w:val="right" w:pos="8271"/>
      </w:tabs>
      <w:ind w:right="360"/>
    </w:pPr>
    <w: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090"/>
    <w:multiLevelType w:val="multilevel"/>
    <w:tmpl w:val="766C6B5E"/>
    <w:styleLink w:val="WWNum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2C527C54"/>
    <w:multiLevelType w:val="multilevel"/>
    <w:tmpl w:val="F55A4646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 w16cid:durableId="1363870162">
    <w:abstractNumId w:val="0"/>
  </w:num>
  <w:num w:numId="2" w16cid:durableId="184103753">
    <w:abstractNumId w:val="1"/>
  </w:num>
  <w:num w:numId="3" w16cid:durableId="97021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33"/>
    <w:rsid w:val="000445DA"/>
    <w:rsid w:val="001676CC"/>
    <w:rsid w:val="002E2962"/>
    <w:rsid w:val="002F518D"/>
    <w:rsid w:val="004960E0"/>
    <w:rsid w:val="004E6B4C"/>
    <w:rsid w:val="00665C7C"/>
    <w:rsid w:val="00772945"/>
    <w:rsid w:val="008114C0"/>
    <w:rsid w:val="00AE1310"/>
    <w:rsid w:val="00B76B6A"/>
    <w:rsid w:val="00B84833"/>
    <w:rsid w:val="00CC2598"/>
    <w:rsid w:val="00E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CAAE"/>
  <w15:docId w15:val="{36F3576A-CD7A-4245-A653-FE04E29F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hanging="7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Standard"/>
    <w:next w:val="Textbody"/>
    <w:uiPriority w:val="9"/>
    <w:unhideWhenUsed/>
    <w:qFormat/>
    <w:pPr>
      <w:keepNext/>
      <w:ind w:right="110"/>
      <w:outlineLvl w:val="2"/>
    </w:pPr>
    <w:rPr>
      <w:rFonts w:ascii="Arial" w:hAnsi="Arial" w:cs="Arial"/>
      <w:i/>
      <w:iCs/>
      <w:sz w:val="20"/>
      <w:szCs w:val="20"/>
    </w:rPr>
  </w:style>
  <w:style w:type="paragraph" w:styleId="Nagwek4">
    <w:name w:val="heading 4"/>
    <w:basedOn w:val="Standard"/>
    <w:next w:val="Textbody"/>
    <w:uiPriority w:val="9"/>
    <w:unhideWhenUsed/>
    <w:qFormat/>
    <w:pPr>
      <w:keepNext/>
      <w:ind w:right="-284"/>
      <w:outlineLvl w:val="3"/>
    </w:pPr>
    <w:rPr>
      <w:rFonts w:ascii="Arial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7">
    <w:name w:val="Nagłówek7"/>
    <w:basedOn w:val="Standard"/>
  </w:style>
  <w:style w:type="paragraph" w:customStyle="1" w:styleId="Podpis7">
    <w:name w:val="Podpis7"/>
    <w:basedOn w:val="Standard"/>
  </w:style>
  <w:style w:type="paragraph" w:customStyle="1" w:styleId="Nagwek6">
    <w:name w:val="Nagłówek6"/>
    <w:basedOn w:val="Standard"/>
  </w:style>
  <w:style w:type="paragraph" w:customStyle="1" w:styleId="Podpis6">
    <w:name w:val="Podpis6"/>
    <w:basedOn w:val="Standard"/>
  </w:style>
  <w:style w:type="paragraph" w:customStyle="1" w:styleId="Nagwek5">
    <w:name w:val="Nagłówek5"/>
    <w:basedOn w:val="Standard"/>
  </w:style>
  <w:style w:type="paragraph" w:customStyle="1" w:styleId="Podpis5">
    <w:name w:val="Podpis5"/>
    <w:basedOn w:val="Standard"/>
  </w:style>
  <w:style w:type="paragraph" w:customStyle="1" w:styleId="Nagwek40">
    <w:name w:val="Nagłówek4"/>
    <w:basedOn w:val="Standard"/>
  </w:style>
  <w:style w:type="paragraph" w:customStyle="1" w:styleId="Podpis4">
    <w:name w:val="Podpis4"/>
    <w:basedOn w:val="Standard"/>
  </w:style>
  <w:style w:type="paragraph" w:customStyle="1" w:styleId="Nagwek30">
    <w:name w:val="Nagłówek3"/>
    <w:basedOn w:val="Standard"/>
  </w:style>
  <w:style w:type="paragraph" w:customStyle="1" w:styleId="Podpis3">
    <w:name w:val="Podpis3"/>
    <w:basedOn w:val="Standard"/>
  </w:style>
  <w:style w:type="paragraph" w:customStyle="1" w:styleId="Nagwek20">
    <w:name w:val="Nagłówek2"/>
    <w:basedOn w:val="Standard"/>
  </w:style>
  <w:style w:type="paragraph" w:customStyle="1" w:styleId="Podpis2">
    <w:name w:val="Podpis2"/>
    <w:basedOn w:val="Standard"/>
  </w:style>
  <w:style w:type="paragraph" w:customStyle="1" w:styleId="Nagwek10">
    <w:name w:val="Nagłówek1"/>
    <w:basedOn w:val="Standard"/>
  </w:style>
  <w:style w:type="paragraph" w:customStyle="1" w:styleId="Podpis1">
    <w:name w:val="Podpis1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kstkomentarza1">
    <w:name w:val="Tekst komentarza1"/>
    <w:basedOn w:val="Standard"/>
  </w:style>
  <w:style w:type="paragraph" w:styleId="Tematkomentarza">
    <w:name w:val="annotation subject"/>
    <w:basedOn w:val="Tekstkomentarza1"/>
  </w:style>
  <w:style w:type="paragraph" w:styleId="Tekstdymka">
    <w:name w:val="Balloon Text"/>
    <w:basedOn w:val="Standard"/>
  </w:style>
  <w:style w:type="character" w:customStyle="1" w:styleId="ListLabel1">
    <w:name w:val="ListLabel 1"/>
    <w:rPr>
      <w:rFonts w:cs="OpenSymbol"/>
    </w:rPr>
  </w:style>
  <w:style w:type="character" w:customStyle="1" w:styleId="WW8Num2z0">
    <w:name w:val="WW8Num2z0"/>
  </w:style>
  <w:style w:type="character" w:customStyle="1" w:styleId="Domylnaczcionkaakapitu7">
    <w:name w:val="Domyślna czcionka akapitu7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6">
    <w:name w:val="Domyślna czcionka akapitu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5">
    <w:name w:val="Domyślna czcionka akapitu5"/>
  </w:style>
  <w:style w:type="character" w:customStyle="1" w:styleId="WW-Absatz-Standardschriftart111">
    <w:name w:val="WW-Absatz-Standardschriftart111"/>
  </w:style>
  <w:style w:type="character" w:customStyle="1" w:styleId="Domylnaczcionkaakapitu4">
    <w:name w:val="Domyślna czcionka akapitu4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</w:style>
  <w:style w:type="character" w:customStyle="1" w:styleId="WW-Absatz-Standardschriftart11111">
    <w:name w:val="WW-Absatz-Standardschriftart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2z2">
    <w:name w:val="WW8Num12z2"/>
  </w:style>
  <w:style w:type="character" w:customStyle="1" w:styleId="Odwoaniedokomentarza1">
    <w:name w:val="Odwołanie do komentarza1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DA43-C7DA-46E1-A354-CEFA9CC6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stosowanych procedur badawczych w Pracowni Higieny Komunalnej</vt:lpstr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stosowanych procedur badawczych w Pracowni Higieny Komunalnej</dc:title>
  <cp:revision>3</cp:revision>
  <cp:lastPrinted>2014-02-10T12:45:00Z</cp:lastPrinted>
  <dcterms:created xsi:type="dcterms:W3CDTF">2023-03-22T08:27:00Z</dcterms:created>
  <dcterms:modified xsi:type="dcterms:W3CDTF">2023-03-22T08:36:00Z</dcterms:modified>
</cp:coreProperties>
</file>