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Pr="00F50744" w:rsidRDefault="00E81C57" w:rsidP="00D61726">
      <w:pPr>
        <w:spacing w:after="0" w:line="260" w:lineRule="exact"/>
        <w:rPr>
          <w:rFonts w:ascii="Lato" w:hAnsi="Lato"/>
        </w:rPr>
      </w:pPr>
    </w:p>
    <w:p w14:paraId="271BB493" w14:textId="5FAF36A5" w:rsidR="000A6227" w:rsidRPr="00F50744" w:rsidRDefault="000A6227" w:rsidP="000A6227">
      <w:pPr>
        <w:spacing w:after="0" w:line="260" w:lineRule="exact"/>
        <w:rPr>
          <w:rFonts w:ascii="Lato" w:hAnsi="Lato"/>
        </w:rPr>
      </w:pPr>
      <w:r w:rsidRPr="00F50744">
        <w:rPr>
          <w:rFonts w:ascii="Lato" w:hAnsi="Lato"/>
        </w:rPr>
        <w:t>Znak pisma: DLI-I</w:t>
      </w:r>
      <w:r w:rsidR="00D23CBB" w:rsidRPr="00F50744">
        <w:rPr>
          <w:rFonts w:ascii="Lato" w:hAnsi="Lato"/>
        </w:rPr>
        <w:t>II</w:t>
      </w:r>
      <w:r w:rsidRPr="00F50744">
        <w:rPr>
          <w:rFonts w:ascii="Lato" w:hAnsi="Lato"/>
        </w:rPr>
        <w:t>.762</w:t>
      </w:r>
      <w:r w:rsidR="00D23CBB" w:rsidRPr="00F50744">
        <w:rPr>
          <w:rFonts w:ascii="Lato" w:hAnsi="Lato"/>
        </w:rPr>
        <w:t>0</w:t>
      </w:r>
      <w:r w:rsidRPr="00F50744">
        <w:rPr>
          <w:rFonts w:ascii="Lato" w:hAnsi="Lato"/>
        </w:rPr>
        <w:t>.</w:t>
      </w:r>
      <w:r w:rsidR="00D23CBB" w:rsidRPr="00F50744">
        <w:rPr>
          <w:rFonts w:ascii="Lato" w:hAnsi="Lato"/>
        </w:rPr>
        <w:t>6</w:t>
      </w:r>
      <w:r w:rsidRPr="00F50744">
        <w:rPr>
          <w:rFonts w:ascii="Lato" w:hAnsi="Lato"/>
        </w:rPr>
        <w:t>.202</w:t>
      </w:r>
      <w:r w:rsidR="00D23CBB" w:rsidRPr="00F50744">
        <w:rPr>
          <w:rFonts w:ascii="Lato" w:hAnsi="Lato"/>
        </w:rPr>
        <w:t>4</w:t>
      </w:r>
      <w:r w:rsidRPr="00F50744">
        <w:rPr>
          <w:rFonts w:ascii="Lato" w:hAnsi="Lato"/>
        </w:rPr>
        <w:t>.</w:t>
      </w:r>
      <w:r w:rsidR="002C2ED6" w:rsidRPr="00F50744">
        <w:rPr>
          <w:rFonts w:ascii="Lato" w:hAnsi="Lato"/>
        </w:rPr>
        <w:t>BW</w:t>
      </w:r>
      <w:r w:rsidRPr="00F50744">
        <w:rPr>
          <w:rFonts w:ascii="Lato" w:hAnsi="Lato"/>
        </w:rPr>
        <w:t>.</w:t>
      </w:r>
      <w:r w:rsidR="007D6BB1" w:rsidRPr="00F50744">
        <w:rPr>
          <w:rFonts w:ascii="Lato" w:hAnsi="Lato"/>
        </w:rPr>
        <w:t>9</w:t>
      </w:r>
      <w:r w:rsidR="00503CF9" w:rsidRPr="00F50744">
        <w:rPr>
          <w:rFonts w:ascii="Lato" w:hAnsi="Lato"/>
        </w:rPr>
        <w:t xml:space="preserve"> </w:t>
      </w:r>
    </w:p>
    <w:p w14:paraId="6CEB3E1F" w14:textId="1B75EE6A" w:rsidR="000A6227" w:rsidRPr="00F50744" w:rsidRDefault="000A6227" w:rsidP="000A6227">
      <w:pPr>
        <w:spacing w:after="0" w:line="260" w:lineRule="exact"/>
        <w:rPr>
          <w:rFonts w:ascii="Lato" w:hAnsi="Lato"/>
        </w:rPr>
      </w:pPr>
      <w:r w:rsidRPr="00F50744">
        <w:rPr>
          <w:rFonts w:ascii="Lato" w:hAnsi="Lato"/>
        </w:rPr>
        <w:t xml:space="preserve">Warszawa, </w:t>
      </w:r>
      <w:r w:rsidR="00D8058C">
        <w:rPr>
          <w:rFonts w:ascii="Lato" w:hAnsi="Lato"/>
        </w:rPr>
        <w:t>22</w:t>
      </w:r>
      <w:r w:rsidR="00FB77ED" w:rsidRPr="00F50744">
        <w:rPr>
          <w:rFonts w:ascii="Lato" w:hAnsi="Lato"/>
        </w:rPr>
        <w:t xml:space="preserve"> </w:t>
      </w:r>
      <w:r w:rsidR="007D6BB1" w:rsidRPr="00F50744">
        <w:rPr>
          <w:rFonts w:ascii="Lato" w:hAnsi="Lato"/>
        </w:rPr>
        <w:t>maja</w:t>
      </w:r>
      <w:r w:rsidR="0077271B" w:rsidRPr="00F50744">
        <w:rPr>
          <w:rFonts w:ascii="Lato" w:hAnsi="Lato"/>
        </w:rPr>
        <w:t xml:space="preserve"> </w:t>
      </w:r>
      <w:r w:rsidRPr="00F50744">
        <w:rPr>
          <w:rFonts w:ascii="Lato" w:hAnsi="Lato"/>
        </w:rPr>
        <w:t>202</w:t>
      </w:r>
      <w:r w:rsidR="00D23CBB" w:rsidRPr="00F50744">
        <w:rPr>
          <w:rFonts w:ascii="Lato" w:hAnsi="Lato"/>
        </w:rPr>
        <w:t>5</w:t>
      </w:r>
      <w:r w:rsidRPr="00F50744">
        <w:rPr>
          <w:rFonts w:ascii="Lato" w:hAnsi="Lato"/>
        </w:rPr>
        <w:t xml:space="preserve"> r.</w:t>
      </w:r>
    </w:p>
    <w:p w14:paraId="240A81A8" w14:textId="77777777" w:rsidR="00803E32" w:rsidRPr="00F50744" w:rsidRDefault="00803E32" w:rsidP="00E81C57">
      <w:pPr>
        <w:tabs>
          <w:tab w:val="center" w:pos="1848"/>
          <w:tab w:val="left" w:pos="5273"/>
        </w:tabs>
        <w:spacing w:before="600" w:after="240" w:line="360" w:lineRule="auto"/>
        <w:jc w:val="center"/>
        <w:textAlignment w:val="baseline"/>
        <w:rPr>
          <w:rFonts w:ascii="Lato" w:eastAsia="Times New Roman" w:hAnsi="Lato" w:cs="Arial"/>
          <w:b/>
          <w:spacing w:val="4"/>
          <w:kern w:val="2"/>
          <w:lang w:eastAsia="pl-PL"/>
        </w:rPr>
      </w:pPr>
    </w:p>
    <w:p w14:paraId="3439A4DB" w14:textId="77777777" w:rsidR="000A6227" w:rsidRPr="00F50744" w:rsidRDefault="00560CB3" w:rsidP="000A6227">
      <w:pPr>
        <w:spacing w:after="240" w:line="240" w:lineRule="exact"/>
        <w:jc w:val="center"/>
        <w:outlineLvl w:val="0"/>
        <w:rPr>
          <w:rFonts w:ascii="Lato" w:hAnsi="Lato" w:cs="Arial"/>
          <w:b/>
          <w:bCs/>
          <w:spacing w:val="4"/>
        </w:rPr>
      </w:pPr>
      <w:r w:rsidRPr="00F50744">
        <w:rPr>
          <w:rFonts w:ascii="Lato" w:eastAsia="Times New Roman" w:hAnsi="Lato" w:cs="Arial"/>
          <w:b/>
          <w:spacing w:val="4"/>
          <w:kern w:val="2"/>
          <w:lang w:eastAsia="pl-PL"/>
        </w:rPr>
        <w:br/>
      </w:r>
      <w:r w:rsidR="000A6227" w:rsidRPr="00F50744">
        <w:rPr>
          <w:rFonts w:ascii="Lato" w:hAnsi="Lato" w:cs="Arial"/>
          <w:b/>
          <w:bCs/>
          <w:spacing w:val="4"/>
        </w:rPr>
        <w:t>DECYZJA</w:t>
      </w:r>
    </w:p>
    <w:p w14:paraId="1279C0B7" w14:textId="4148C452" w:rsidR="00C213BF" w:rsidRPr="00F50744" w:rsidRDefault="000A6227" w:rsidP="000A6227">
      <w:pPr>
        <w:spacing w:after="240" w:line="240" w:lineRule="exact"/>
        <w:jc w:val="both"/>
        <w:rPr>
          <w:rFonts w:ascii="Lato" w:hAnsi="Lato" w:cs="Arial"/>
          <w:bCs/>
          <w:iCs/>
          <w:spacing w:val="4"/>
        </w:rPr>
      </w:pPr>
      <w:r w:rsidRPr="00F50744">
        <w:rPr>
          <w:rFonts w:ascii="Lato" w:hAnsi="Lato" w:cs="Arial"/>
          <w:spacing w:val="4"/>
        </w:rPr>
        <w:t>Na podstawie art. 155 ustawy z dnia 14 czerwca 1960 r. – Kodeks postępowania administracyjnego (t.j. Dz. U. z 202</w:t>
      </w:r>
      <w:r w:rsidR="00FB77ED" w:rsidRPr="00F50744">
        <w:rPr>
          <w:rFonts w:ascii="Lato" w:hAnsi="Lato" w:cs="Arial"/>
          <w:spacing w:val="4"/>
        </w:rPr>
        <w:t>4</w:t>
      </w:r>
      <w:r w:rsidRPr="00F50744">
        <w:rPr>
          <w:rFonts w:ascii="Lato" w:hAnsi="Lato" w:cs="Arial"/>
          <w:spacing w:val="4"/>
        </w:rPr>
        <w:t xml:space="preserve"> r. poz. </w:t>
      </w:r>
      <w:r w:rsidR="00FB77ED" w:rsidRPr="00F50744">
        <w:rPr>
          <w:rFonts w:ascii="Lato" w:hAnsi="Lato" w:cs="Arial"/>
          <w:spacing w:val="4"/>
        </w:rPr>
        <w:t>572</w:t>
      </w:r>
      <w:r w:rsidRPr="00F50744">
        <w:rPr>
          <w:rFonts w:ascii="Lato" w:hAnsi="Lato" w:cs="Arial"/>
          <w:spacing w:val="4"/>
        </w:rPr>
        <w:t>), zwanej dalej „</w:t>
      </w:r>
      <w:r w:rsidRPr="00F50744">
        <w:rPr>
          <w:rFonts w:ascii="Lato" w:hAnsi="Lato" w:cs="Arial"/>
          <w:i/>
          <w:spacing w:val="4"/>
        </w:rPr>
        <w:t>kpa</w:t>
      </w:r>
      <w:r w:rsidRPr="00F50744">
        <w:rPr>
          <w:rFonts w:ascii="Lato" w:hAnsi="Lato" w:cs="Arial"/>
          <w:spacing w:val="4"/>
        </w:rPr>
        <w:t xml:space="preserve">”, oraz art. </w:t>
      </w:r>
      <w:r w:rsidR="00C213BF" w:rsidRPr="00F50744">
        <w:rPr>
          <w:rFonts w:ascii="Lato" w:hAnsi="Lato" w:cs="Arial"/>
          <w:spacing w:val="4"/>
        </w:rPr>
        <w:t>27a</w:t>
      </w:r>
      <w:r w:rsidRPr="00F50744">
        <w:rPr>
          <w:rFonts w:ascii="Lato" w:hAnsi="Lato" w:cs="Arial"/>
          <w:spacing w:val="4"/>
        </w:rPr>
        <w:t xml:space="preserve"> ustawy z dnia </w:t>
      </w:r>
      <w:r w:rsidR="00C213BF" w:rsidRPr="00F50744">
        <w:rPr>
          <w:rFonts w:ascii="Lato" w:hAnsi="Lato" w:cs="Arial"/>
          <w:spacing w:val="4"/>
        </w:rPr>
        <w:t>24</w:t>
      </w:r>
      <w:r w:rsidRPr="00F50744">
        <w:rPr>
          <w:rFonts w:ascii="Lato" w:hAnsi="Lato" w:cs="Arial"/>
          <w:spacing w:val="4"/>
        </w:rPr>
        <w:t xml:space="preserve"> </w:t>
      </w:r>
      <w:r w:rsidR="00C213BF" w:rsidRPr="00F50744">
        <w:rPr>
          <w:rFonts w:ascii="Lato" w:hAnsi="Lato" w:cs="Arial"/>
          <w:spacing w:val="4"/>
        </w:rPr>
        <w:t>lipca</w:t>
      </w:r>
      <w:r w:rsidRPr="00F50744">
        <w:rPr>
          <w:rFonts w:ascii="Lato" w:hAnsi="Lato" w:cs="Arial"/>
          <w:spacing w:val="4"/>
        </w:rPr>
        <w:t xml:space="preserve"> </w:t>
      </w:r>
      <w:r w:rsidR="00C213BF" w:rsidRPr="00F50744">
        <w:rPr>
          <w:rFonts w:ascii="Lato" w:hAnsi="Lato" w:cs="Arial"/>
          <w:spacing w:val="4"/>
        </w:rPr>
        <w:t>2015</w:t>
      </w:r>
      <w:r w:rsidRPr="00F50744">
        <w:rPr>
          <w:rFonts w:ascii="Lato" w:hAnsi="Lato" w:cs="Arial"/>
          <w:spacing w:val="4"/>
        </w:rPr>
        <w:t xml:space="preserve"> r. o </w:t>
      </w:r>
      <w:r w:rsidR="00C213BF" w:rsidRPr="00F50744">
        <w:rPr>
          <w:rFonts w:ascii="Lato" w:hAnsi="Lato" w:cs="Arial"/>
          <w:spacing w:val="4"/>
        </w:rPr>
        <w:t>przygotowaniu i realizacji strategicznych inwestycji w zakresie sieci przesyłowych</w:t>
      </w:r>
      <w:r w:rsidRPr="00F50744">
        <w:rPr>
          <w:rFonts w:ascii="Lato" w:hAnsi="Lato" w:cs="Arial"/>
          <w:spacing w:val="4"/>
        </w:rPr>
        <w:t xml:space="preserve"> </w:t>
      </w:r>
      <w:r w:rsidRPr="00F50744">
        <w:rPr>
          <w:rFonts w:ascii="Lato" w:hAnsi="Lato" w:cs="Arial"/>
          <w:spacing w:val="4"/>
          <w:lang w:bidi="pl-PL"/>
        </w:rPr>
        <w:t>(</w:t>
      </w:r>
      <w:r w:rsidRPr="00F50744">
        <w:rPr>
          <w:rFonts w:ascii="Lato" w:hAnsi="Lato" w:cs="Arial"/>
          <w:spacing w:val="4"/>
        </w:rPr>
        <w:t>t.j. Dz. U. z 202</w:t>
      </w:r>
      <w:r w:rsidR="00FB77ED" w:rsidRPr="00F50744">
        <w:rPr>
          <w:rFonts w:ascii="Lato" w:hAnsi="Lato" w:cs="Arial"/>
          <w:spacing w:val="4"/>
        </w:rPr>
        <w:t>4</w:t>
      </w:r>
      <w:r w:rsidRPr="00F50744">
        <w:rPr>
          <w:rFonts w:ascii="Lato" w:hAnsi="Lato" w:cs="Arial"/>
          <w:spacing w:val="4"/>
        </w:rPr>
        <w:t xml:space="preserve"> r. poz. </w:t>
      </w:r>
      <w:r w:rsidR="00C213BF" w:rsidRPr="00F50744">
        <w:rPr>
          <w:rFonts w:ascii="Lato" w:hAnsi="Lato" w:cs="Arial"/>
          <w:spacing w:val="4"/>
        </w:rPr>
        <w:t>1199</w:t>
      </w:r>
      <w:r w:rsidRPr="00F50744">
        <w:rPr>
          <w:rFonts w:ascii="Lato" w:hAnsi="Lato" w:cs="Arial"/>
          <w:spacing w:val="4"/>
        </w:rPr>
        <w:t>), zwanej dalej „</w:t>
      </w:r>
      <w:r w:rsidRPr="00F50744">
        <w:rPr>
          <w:rFonts w:ascii="Lato" w:hAnsi="Lato" w:cs="Arial"/>
          <w:i/>
          <w:spacing w:val="4"/>
        </w:rPr>
        <w:t xml:space="preserve">specustawą </w:t>
      </w:r>
      <w:r w:rsidR="00C213BF" w:rsidRPr="00F50744">
        <w:rPr>
          <w:rFonts w:ascii="Lato" w:hAnsi="Lato" w:cs="Arial"/>
          <w:i/>
          <w:spacing w:val="4"/>
        </w:rPr>
        <w:t>przesyłową</w:t>
      </w:r>
      <w:r w:rsidRPr="00F50744">
        <w:rPr>
          <w:rFonts w:ascii="Lato" w:hAnsi="Lato" w:cs="Arial"/>
          <w:spacing w:val="4"/>
        </w:rPr>
        <w:t xml:space="preserve">”, po rozpatrzeniu wniosku </w:t>
      </w:r>
      <w:r w:rsidR="00C213BF" w:rsidRPr="00F50744">
        <w:rPr>
          <w:rFonts w:ascii="Lato" w:hAnsi="Lato" w:cs="Arial"/>
          <w:spacing w:val="4"/>
        </w:rPr>
        <w:t>Polskich Sieci Elektroenergetycznych</w:t>
      </w:r>
      <w:r w:rsidR="00D01970" w:rsidRPr="00F50744">
        <w:rPr>
          <w:rFonts w:ascii="Lato" w:hAnsi="Lato" w:cs="Arial"/>
          <w:spacing w:val="4"/>
        </w:rPr>
        <w:t xml:space="preserve"> S.A.</w:t>
      </w:r>
      <w:r w:rsidRPr="00F50744">
        <w:rPr>
          <w:rFonts w:ascii="Lato" w:hAnsi="Lato" w:cs="Arial"/>
          <w:spacing w:val="4"/>
        </w:rPr>
        <w:t xml:space="preserve">, o zmianę, w trybie art. 155 </w:t>
      </w:r>
      <w:r w:rsidRPr="00F50744">
        <w:rPr>
          <w:rFonts w:ascii="Lato" w:hAnsi="Lato" w:cs="Arial"/>
          <w:i/>
          <w:spacing w:val="4"/>
        </w:rPr>
        <w:t>kpa</w:t>
      </w:r>
      <w:r w:rsidRPr="00F50744">
        <w:rPr>
          <w:rFonts w:ascii="Lato" w:hAnsi="Lato" w:cs="Arial"/>
          <w:spacing w:val="4"/>
        </w:rPr>
        <w:t xml:space="preserve">, </w:t>
      </w:r>
      <w:r w:rsidR="00AF21AE" w:rsidRPr="00F50744">
        <w:rPr>
          <w:rFonts w:ascii="Lato" w:hAnsi="Lato" w:cs="Arial"/>
          <w:bCs/>
          <w:iCs/>
          <w:spacing w:val="4"/>
        </w:rPr>
        <w:t xml:space="preserve">decyzji </w:t>
      </w:r>
      <w:bookmarkStart w:id="0" w:name="_Hlk188350564"/>
      <w:bookmarkStart w:id="1" w:name="_Hlk150868197"/>
      <w:bookmarkStart w:id="2" w:name="_Hlk150867597"/>
      <w:r w:rsidR="00C213BF" w:rsidRPr="00F50744">
        <w:rPr>
          <w:rFonts w:ascii="Lato" w:hAnsi="Lato" w:cs="Arial"/>
          <w:bCs/>
          <w:iCs/>
          <w:spacing w:val="4"/>
        </w:rPr>
        <w:t xml:space="preserve">Ministra Rozwoju i Technologii z 6 października 2023 r., znak: </w:t>
      </w:r>
      <w:r w:rsidR="007D6BB1" w:rsidRPr="00F50744">
        <w:rPr>
          <w:rFonts w:ascii="Lato" w:hAnsi="Lato" w:cs="Arial"/>
          <w:bCs/>
          <w:iCs/>
          <w:spacing w:val="4"/>
        </w:rPr>
        <w:br/>
      </w:r>
      <w:r w:rsidR="00C213BF" w:rsidRPr="00F50744">
        <w:rPr>
          <w:rFonts w:ascii="Lato" w:hAnsi="Lato" w:cs="Arial"/>
          <w:bCs/>
          <w:iCs/>
          <w:spacing w:val="4"/>
        </w:rPr>
        <w:t xml:space="preserve">DLI-III.7620.47.2022.AW.6, </w:t>
      </w:r>
      <w:bookmarkStart w:id="3" w:name="_Hlk188365759"/>
      <w:bookmarkEnd w:id="0"/>
      <w:r w:rsidR="00C213BF" w:rsidRPr="00F50744">
        <w:rPr>
          <w:rFonts w:ascii="Lato" w:hAnsi="Lato" w:cs="Arial"/>
          <w:bCs/>
          <w:iCs/>
          <w:spacing w:val="4"/>
        </w:rPr>
        <w:t xml:space="preserve">uchylającej w części decyzję Wojewody Pomorskiego z dnia 7 października 2022 r., znak: WI-III.747.1.33.2022.AM, o ustaleniu lokalizacji strategicznych inwestycji w zakresie sieci przesyłowej pn.: „Budowa linii 400 kV Choczewo – nacięcie linii Gdańsk Błonia – Grudziądz Węgrowo” oraz „Budowa linii 400kV Gdańsk Przyjaźń – Choczewo”, </w:t>
      </w:r>
      <w:bookmarkStart w:id="4" w:name="_Hlk188438416"/>
      <w:r w:rsidR="00C213BF" w:rsidRPr="00F50744">
        <w:rPr>
          <w:rFonts w:ascii="Lato" w:hAnsi="Lato" w:cs="Arial"/>
          <w:bCs/>
          <w:iCs/>
          <w:spacing w:val="4"/>
        </w:rPr>
        <w:t xml:space="preserve">na działkach ewidencyjnych nr.: 105/1, 105/2, 105/4, 105/6 obręb 0012 Lublewo, 24, 25/4, 25/6 i 33/73 obręb 0016 Kierzkowo </w:t>
      </w:r>
      <w:r w:rsidR="007D6BB1" w:rsidRPr="00F50744">
        <w:rPr>
          <w:rFonts w:ascii="Lato" w:hAnsi="Lato" w:cs="Arial"/>
          <w:bCs/>
          <w:iCs/>
          <w:spacing w:val="4"/>
        </w:rPr>
        <w:br/>
      </w:r>
      <w:r w:rsidR="00C213BF" w:rsidRPr="00F50744">
        <w:rPr>
          <w:rFonts w:ascii="Lato" w:hAnsi="Lato" w:cs="Arial"/>
          <w:bCs/>
          <w:iCs/>
          <w:spacing w:val="4"/>
        </w:rPr>
        <w:t>w gminie Choczewo,</w:t>
      </w:r>
      <w:bookmarkEnd w:id="4"/>
      <w:r w:rsidR="00C213BF" w:rsidRPr="00F50744">
        <w:rPr>
          <w:rFonts w:ascii="Lato" w:hAnsi="Lato" w:cs="Arial"/>
          <w:bCs/>
          <w:iCs/>
          <w:spacing w:val="4"/>
        </w:rPr>
        <w:t xml:space="preserve"> i orzekającej w tym zakresie co do istoty sprawy, a w pozostałej części utrzymującej w mocy ww. decyzję Wojewody Pomorskiego,</w:t>
      </w:r>
      <w:bookmarkEnd w:id="1"/>
      <w:bookmarkEnd w:id="2"/>
    </w:p>
    <w:bookmarkEnd w:id="3"/>
    <w:p w14:paraId="15E83625" w14:textId="3F71D648" w:rsidR="00490BDD" w:rsidRPr="00F50744" w:rsidRDefault="00490BDD" w:rsidP="00FF1046">
      <w:pPr>
        <w:spacing w:after="240" w:line="240" w:lineRule="exact"/>
        <w:jc w:val="both"/>
        <w:rPr>
          <w:rFonts w:ascii="Lato" w:hAnsi="Lato" w:cs="Arial"/>
          <w:b/>
          <w:bCs/>
          <w:spacing w:val="4"/>
        </w:rPr>
      </w:pPr>
      <w:r w:rsidRPr="00F50744">
        <w:rPr>
          <w:rFonts w:ascii="Lato" w:hAnsi="Lato" w:cs="Arial"/>
          <w:b/>
          <w:bCs/>
          <w:spacing w:val="4"/>
        </w:rPr>
        <w:t xml:space="preserve">zmieniam ww. decyzję Ministra Rozwoju i Technologii z 6 października 2023 r., znak: </w:t>
      </w:r>
      <w:r w:rsidRPr="00F50744">
        <w:rPr>
          <w:rFonts w:ascii="Lato" w:hAnsi="Lato" w:cs="Arial"/>
          <w:b/>
          <w:bCs/>
          <w:spacing w:val="4"/>
        </w:rPr>
        <w:br/>
        <w:t>DLI-III.7620.47.2022.AW.6</w:t>
      </w:r>
      <w:r w:rsidR="00F8371E">
        <w:rPr>
          <w:rFonts w:ascii="Lato" w:hAnsi="Lato" w:cs="Arial"/>
          <w:b/>
          <w:bCs/>
          <w:spacing w:val="4"/>
        </w:rPr>
        <w:t xml:space="preserve"> </w:t>
      </w:r>
      <w:r w:rsidRPr="00F50744">
        <w:rPr>
          <w:rFonts w:ascii="Lato" w:hAnsi="Lato" w:cs="Arial"/>
          <w:b/>
          <w:bCs/>
          <w:spacing w:val="4"/>
        </w:rPr>
        <w:t>- w części dotyczącej pkt II - w następujący sposób:</w:t>
      </w:r>
    </w:p>
    <w:p w14:paraId="0871F439" w14:textId="26349B8C" w:rsidR="00490BDD" w:rsidRPr="00F50744" w:rsidRDefault="00490BDD" w:rsidP="00FF1046">
      <w:pPr>
        <w:spacing w:after="240" w:line="240" w:lineRule="exact"/>
        <w:ind w:left="284"/>
        <w:jc w:val="both"/>
        <w:rPr>
          <w:rFonts w:ascii="Lato" w:hAnsi="Lato" w:cs="Arial"/>
          <w:b/>
          <w:bCs/>
          <w:spacing w:val="4"/>
        </w:rPr>
      </w:pPr>
      <w:r w:rsidRPr="00F50744">
        <w:rPr>
          <w:rFonts w:ascii="Lato" w:hAnsi="Lato" w:cs="Arial"/>
          <w:b/>
          <w:bCs/>
          <w:spacing w:val="4"/>
        </w:rPr>
        <w:t>II. Uchylam</w:t>
      </w:r>
      <w:r w:rsidR="002E3617" w:rsidRPr="00F50744">
        <w:rPr>
          <w:rFonts w:ascii="Lato" w:hAnsi="Lato" w:cs="Arial"/>
          <w:b/>
          <w:bCs/>
          <w:spacing w:val="4"/>
        </w:rPr>
        <w:t>:</w:t>
      </w:r>
    </w:p>
    <w:p w14:paraId="429CFAF0" w14:textId="77777777" w:rsidR="00622345" w:rsidRPr="00F50744" w:rsidRDefault="00622345" w:rsidP="00622345">
      <w:pPr>
        <w:pStyle w:val="Akapitzlist"/>
        <w:numPr>
          <w:ilvl w:val="0"/>
          <w:numId w:val="5"/>
        </w:numPr>
        <w:spacing w:after="240" w:line="240" w:lineRule="exact"/>
        <w:ind w:left="567" w:hanging="283"/>
        <w:contextualSpacing w:val="0"/>
        <w:jc w:val="both"/>
        <w:rPr>
          <w:rFonts w:ascii="Lato" w:hAnsi="Lato" w:cs="Arial"/>
          <w:b/>
          <w:bCs/>
          <w:spacing w:val="4"/>
          <w:sz w:val="22"/>
          <w:szCs w:val="22"/>
          <w:lang w:val="pl-PL"/>
        </w:rPr>
      </w:pPr>
      <w:r w:rsidRPr="00F50744">
        <w:rPr>
          <w:rFonts w:ascii="Lato" w:hAnsi="Lato" w:cs="Arial"/>
          <w:spacing w:val="4"/>
          <w:sz w:val="22"/>
          <w:szCs w:val="22"/>
          <w:lang w:val="pl-PL"/>
        </w:rPr>
        <w:t>w rozstrzygnięciu zaskarżonej decyzji,</w:t>
      </w:r>
      <w:r w:rsidRPr="00F50744" w:rsidDel="0018157C">
        <w:rPr>
          <w:rFonts w:ascii="Lato" w:hAnsi="Lato" w:cs="Arial"/>
          <w:spacing w:val="4"/>
          <w:sz w:val="22"/>
          <w:szCs w:val="22"/>
          <w:lang w:val="pl-PL"/>
        </w:rPr>
        <w:t xml:space="preserve"> </w:t>
      </w:r>
      <w:r w:rsidRPr="00F50744">
        <w:rPr>
          <w:rFonts w:ascii="Lato" w:hAnsi="Lato" w:cs="Arial"/>
          <w:spacing w:val="4"/>
          <w:sz w:val="22"/>
          <w:szCs w:val="22"/>
          <w:lang w:val="pl-PL"/>
        </w:rPr>
        <w:t xml:space="preserve">na stronie 1, zapis pkt I. zaskarżonej decyzji: </w:t>
      </w:r>
    </w:p>
    <w:p w14:paraId="1B5393AB" w14:textId="77777777" w:rsidR="00622345" w:rsidRPr="00F50744" w:rsidRDefault="00622345" w:rsidP="00622345">
      <w:pPr>
        <w:pStyle w:val="Akapitzlist"/>
        <w:spacing w:after="240" w:line="240" w:lineRule="exact"/>
        <w:ind w:left="709"/>
        <w:contextualSpacing w:val="0"/>
        <w:jc w:val="both"/>
        <w:rPr>
          <w:rFonts w:ascii="Lato" w:eastAsiaTheme="minorHAnsi" w:hAnsi="Lato" w:cs="Arial"/>
          <w:spacing w:val="4"/>
          <w:sz w:val="22"/>
          <w:szCs w:val="22"/>
          <w:lang w:val="pl-PL" w:eastAsia="en-US"/>
        </w:rPr>
      </w:pPr>
      <w:r w:rsidRPr="00F50744">
        <w:rPr>
          <w:rFonts w:ascii="Lato" w:hAnsi="Lato" w:cs="Arial"/>
          <w:spacing w:val="4"/>
          <w:sz w:val="22"/>
          <w:szCs w:val="22"/>
          <w:lang w:val="pl-PL"/>
        </w:rPr>
        <w:t xml:space="preserve">„I. </w:t>
      </w:r>
      <w:r w:rsidRPr="00F50744">
        <w:rPr>
          <w:rFonts w:ascii="Lato" w:hAnsi="Lato" w:cs="Arial"/>
          <w:b/>
          <w:bCs/>
          <w:spacing w:val="4"/>
          <w:sz w:val="22"/>
          <w:szCs w:val="22"/>
          <w:u w:val="single"/>
          <w:lang w:val="pl-PL"/>
        </w:rPr>
        <w:t xml:space="preserve">Określenie terenu objętego strategiczną inwestycją w zakresie sieci przesyłowej. </w:t>
      </w:r>
    </w:p>
    <w:p w14:paraId="7054CFB9" w14:textId="77777777" w:rsidR="00622345" w:rsidRPr="00F50744" w:rsidRDefault="00622345" w:rsidP="00622345">
      <w:pPr>
        <w:spacing w:after="240" w:line="240" w:lineRule="exact"/>
        <w:ind w:left="709"/>
        <w:jc w:val="both"/>
        <w:rPr>
          <w:rFonts w:ascii="Lato" w:hAnsi="Lato" w:cs="Arial"/>
          <w:b/>
          <w:bCs/>
          <w:spacing w:val="4"/>
          <w:u w:val="single"/>
        </w:rPr>
      </w:pPr>
      <w:r w:rsidRPr="00F50744">
        <w:rPr>
          <w:rFonts w:ascii="Lato" w:hAnsi="Lato" w:cs="Arial"/>
          <w:spacing w:val="4"/>
        </w:rPr>
        <w:t>Obszar objęty planowaną inwestycją przedstawiono na kopii mapy w skali 1:1000, stanowiącej załącznik nr 1 do niniejszej decyzji i oznaczono odpowiednio:</w:t>
      </w:r>
    </w:p>
    <w:p w14:paraId="00B1ECCA" w14:textId="77777777" w:rsidR="00622345" w:rsidRPr="00F50744" w:rsidRDefault="00622345" w:rsidP="00622345">
      <w:pPr>
        <w:pStyle w:val="Akapitzlist"/>
        <w:numPr>
          <w:ilvl w:val="0"/>
          <w:numId w:val="13"/>
        </w:numPr>
        <w:spacing w:after="240" w:line="240" w:lineRule="exact"/>
        <w:ind w:left="1134" w:hanging="283"/>
        <w:contextualSpacing w:val="0"/>
        <w:jc w:val="both"/>
        <w:rPr>
          <w:rFonts w:ascii="Lato" w:hAnsi="Lato" w:cs="Arial"/>
          <w:spacing w:val="4"/>
          <w:sz w:val="22"/>
          <w:szCs w:val="22"/>
        </w:rPr>
      </w:pPr>
      <w:r w:rsidRPr="00F50744">
        <w:rPr>
          <w:rFonts w:ascii="Lato" w:hAnsi="Lato" w:cs="Arial"/>
          <w:spacing w:val="4"/>
          <w:sz w:val="22"/>
          <w:szCs w:val="22"/>
        </w:rPr>
        <w:t>linią przerywaną koloru niebieskiego – granice wniosku/decyzji,</w:t>
      </w:r>
    </w:p>
    <w:p w14:paraId="44D5A92B" w14:textId="77777777" w:rsidR="00622345" w:rsidRPr="00F50744" w:rsidRDefault="00622345" w:rsidP="00622345">
      <w:pPr>
        <w:pStyle w:val="Akapitzlist"/>
        <w:numPr>
          <w:ilvl w:val="0"/>
          <w:numId w:val="13"/>
        </w:numPr>
        <w:spacing w:after="240" w:line="240" w:lineRule="exact"/>
        <w:ind w:left="1134" w:hanging="283"/>
        <w:contextualSpacing w:val="0"/>
        <w:jc w:val="both"/>
        <w:rPr>
          <w:rFonts w:ascii="Lato" w:hAnsi="Lato" w:cs="Arial"/>
          <w:spacing w:val="4"/>
          <w:sz w:val="22"/>
          <w:szCs w:val="22"/>
        </w:rPr>
      </w:pPr>
      <w:r w:rsidRPr="00F50744">
        <w:rPr>
          <w:rFonts w:ascii="Lato" w:hAnsi="Lato" w:cs="Arial"/>
          <w:spacing w:val="4"/>
          <w:sz w:val="22"/>
          <w:szCs w:val="22"/>
        </w:rPr>
        <w:t xml:space="preserve">kolorem czerwonym  - obszar, na którym niniejsza decyzja o ustaleniu lokalizacji strategicznej inwestycji w zakresie sieci przesyłowej ma wywołać skutek, o którym mowa w art. 22 ust. 1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Pr="00F50744">
        <w:rPr>
          <w:rFonts w:ascii="Lato" w:hAnsi="Lato" w:cs="Arial"/>
          <w:spacing w:val="4"/>
          <w:sz w:val="22"/>
          <w:szCs w:val="22"/>
        </w:rPr>
        <w:t xml:space="preserve"> (ograniczenie sposobu korzystania z nieruchomości na czas nieokreślony), w tym obszar objęty zakazem i nakazem, o którym mowa w art. 22 ust. 2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Pr="00F50744">
        <w:rPr>
          <w:rFonts w:ascii="Lato" w:hAnsi="Lato" w:cs="Arial"/>
          <w:spacing w:val="4"/>
          <w:sz w:val="22"/>
          <w:szCs w:val="22"/>
        </w:rPr>
        <w:t xml:space="preserve"> </w:t>
      </w:r>
    </w:p>
    <w:p w14:paraId="53C7C1C5" w14:textId="77777777" w:rsidR="00622345" w:rsidRPr="00F50744" w:rsidRDefault="00622345" w:rsidP="00622345">
      <w:pPr>
        <w:pStyle w:val="Akapitzlist"/>
        <w:numPr>
          <w:ilvl w:val="0"/>
          <w:numId w:val="13"/>
        </w:numPr>
        <w:spacing w:after="240" w:line="240" w:lineRule="exact"/>
        <w:ind w:left="1134" w:hanging="283"/>
        <w:contextualSpacing w:val="0"/>
        <w:jc w:val="both"/>
        <w:rPr>
          <w:rFonts w:ascii="Lato" w:hAnsi="Lato" w:cs="Arial"/>
          <w:spacing w:val="4"/>
          <w:sz w:val="22"/>
          <w:szCs w:val="22"/>
        </w:rPr>
      </w:pPr>
      <w:r w:rsidRPr="00F50744">
        <w:rPr>
          <w:rFonts w:ascii="Lato" w:hAnsi="Lato" w:cs="Arial"/>
          <w:spacing w:val="4"/>
          <w:sz w:val="22"/>
          <w:szCs w:val="22"/>
        </w:rPr>
        <w:t xml:space="preserve">kolorem zielonym – obszar, na którym niniejsza decyzja o ustaleniu lokalizacji strategicznej inwestycji w zakresie sieci przesyłowej ma wywołać skutek, </w:t>
      </w:r>
      <w:r w:rsidRPr="00F50744">
        <w:rPr>
          <w:rFonts w:ascii="Lato" w:hAnsi="Lato" w:cs="Arial"/>
          <w:spacing w:val="4"/>
          <w:sz w:val="22"/>
          <w:szCs w:val="22"/>
        </w:rPr>
        <w:br/>
        <w:t xml:space="preserve">o którym mowa w art. 22 ust. 1 i ust. 5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Pr="00F50744">
        <w:rPr>
          <w:rFonts w:ascii="Lato" w:hAnsi="Lato" w:cs="Arial"/>
          <w:spacing w:val="4"/>
          <w:sz w:val="22"/>
          <w:szCs w:val="22"/>
        </w:rPr>
        <w:t xml:space="preserve"> (ograniczenie sposobu korzystania z nieruchomości na czas określony), w tym obszar objęty zakazem i nakazem, o którym mowa w art. 22 ust. 2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 xml:space="preserve">.”, </w:t>
      </w:r>
    </w:p>
    <w:p w14:paraId="18B670BE" w14:textId="7EDEA911" w:rsidR="007F0403" w:rsidRPr="00F50744" w:rsidRDefault="00D63ED3" w:rsidP="00674251">
      <w:pPr>
        <w:pStyle w:val="Akapitzlist"/>
        <w:numPr>
          <w:ilvl w:val="0"/>
          <w:numId w:val="13"/>
        </w:numPr>
        <w:spacing w:after="240" w:line="240" w:lineRule="exact"/>
        <w:ind w:left="567" w:hanging="283"/>
        <w:contextualSpacing w:val="0"/>
        <w:jc w:val="both"/>
        <w:rPr>
          <w:rFonts w:ascii="Lato" w:hAnsi="Lato" w:cs="Arial"/>
          <w:spacing w:val="4"/>
          <w:sz w:val="22"/>
          <w:szCs w:val="22"/>
        </w:rPr>
      </w:pPr>
      <w:r w:rsidRPr="00F50744">
        <w:rPr>
          <w:rFonts w:ascii="Lato" w:hAnsi="Lato" w:cs="Arial"/>
          <w:spacing w:val="4"/>
          <w:sz w:val="22"/>
          <w:szCs w:val="22"/>
          <w:lang w:val="pl-PL"/>
        </w:rPr>
        <w:lastRenderedPageBreak/>
        <w:t xml:space="preserve">w rozstrzygnięciu zaskarżonej decyzji, </w:t>
      </w:r>
      <w:r w:rsidR="007F0403" w:rsidRPr="00F50744">
        <w:rPr>
          <w:rFonts w:ascii="Lato" w:hAnsi="Lato" w:cs="Arial"/>
          <w:spacing w:val="4"/>
          <w:sz w:val="22"/>
          <w:szCs w:val="22"/>
        </w:rPr>
        <w:t>na stronie 5, w wierszach od 23-26, licząc</w:t>
      </w:r>
      <w:r w:rsidR="00674251" w:rsidRPr="00F50744">
        <w:rPr>
          <w:rFonts w:ascii="Lato" w:hAnsi="Lato" w:cs="Arial"/>
          <w:spacing w:val="4"/>
          <w:sz w:val="22"/>
          <w:szCs w:val="22"/>
        </w:rPr>
        <w:t xml:space="preserve"> </w:t>
      </w:r>
      <w:r w:rsidR="007F0403" w:rsidRPr="00F50744">
        <w:rPr>
          <w:rFonts w:ascii="Lato" w:hAnsi="Lato" w:cs="Arial"/>
          <w:spacing w:val="4"/>
          <w:sz w:val="22"/>
          <w:szCs w:val="22"/>
        </w:rPr>
        <w:t>od góry strony zapis:</w:t>
      </w:r>
    </w:p>
    <w:p w14:paraId="12DDF927" w14:textId="256BED3F" w:rsidR="00BA1EF3" w:rsidRPr="00F50744" w:rsidRDefault="007F0403" w:rsidP="008D1CB7">
      <w:pPr>
        <w:pStyle w:val="Akapitzlist"/>
        <w:spacing w:after="240" w:line="240" w:lineRule="exact"/>
        <w:ind w:left="567"/>
        <w:contextualSpacing w:val="0"/>
        <w:jc w:val="both"/>
      </w:pPr>
      <w:r w:rsidRPr="00F50744">
        <w:rPr>
          <w:rFonts w:ascii="Lato" w:hAnsi="Lato" w:cs="Arial"/>
          <w:spacing w:val="4"/>
          <w:sz w:val="22"/>
          <w:szCs w:val="22"/>
        </w:rPr>
        <w:t xml:space="preserve">“Niniejsza decyzja o </w:t>
      </w:r>
      <w:r w:rsidRPr="00F50744">
        <w:rPr>
          <w:rFonts w:ascii="Lato" w:hAnsi="Lato" w:cs="Arial"/>
          <w:bCs/>
          <w:spacing w:val="4"/>
          <w:sz w:val="22"/>
          <w:szCs w:val="22"/>
          <w:lang w:val="pl-PL"/>
        </w:rPr>
        <w:t>ustaleniu lokalizacji strategiczn</w:t>
      </w:r>
      <w:r w:rsidR="002236C6">
        <w:rPr>
          <w:rFonts w:ascii="Lato" w:hAnsi="Lato" w:cs="Arial"/>
          <w:bCs/>
          <w:spacing w:val="4"/>
          <w:sz w:val="22"/>
          <w:szCs w:val="22"/>
          <w:lang w:val="pl-PL"/>
        </w:rPr>
        <w:t>ej</w:t>
      </w:r>
      <w:r w:rsidRPr="00F50744">
        <w:rPr>
          <w:rFonts w:ascii="Lato" w:hAnsi="Lato" w:cs="Arial"/>
          <w:bCs/>
          <w:spacing w:val="4"/>
          <w:sz w:val="22"/>
          <w:szCs w:val="22"/>
          <w:lang w:val="pl-PL"/>
        </w:rPr>
        <w:t xml:space="preserve"> inwestycji w zakresie sieci przesyłowej</w:t>
      </w:r>
      <w:r w:rsidR="00896762" w:rsidRPr="00F50744">
        <w:rPr>
          <w:rFonts w:ascii="Lato" w:hAnsi="Lato" w:cs="Arial"/>
          <w:bCs/>
          <w:spacing w:val="4"/>
          <w:sz w:val="22"/>
          <w:szCs w:val="22"/>
          <w:lang w:val="pl-PL"/>
        </w:rPr>
        <w:t xml:space="preserve">, </w:t>
      </w:r>
      <w:r w:rsidRPr="00F50744">
        <w:rPr>
          <w:rFonts w:ascii="Lato" w:hAnsi="Lato" w:cs="Arial"/>
          <w:bCs/>
          <w:spacing w:val="4"/>
          <w:sz w:val="22"/>
          <w:szCs w:val="22"/>
          <w:lang w:val="pl-PL"/>
        </w:rPr>
        <w:t xml:space="preserve">z dniem w którym stanie się ostateczna, stanowić będzie podstawę </w:t>
      </w:r>
      <w:r w:rsidR="00B07F1D">
        <w:rPr>
          <w:rFonts w:ascii="Lato" w:hAnsi="Lato" w:cs="Arial"/>
          <w:bCs/>
          <w:spacing w:val="4"/>
          <w:sz w:val="22"/>
          <w:szCs w:val="22"/>
          <w:lang w:val="pl-PL"/>
        </w:rPr>
        <w:br/>
      </w:r>
      <w:r w:rsidRPr="00F50744">
        <w:rPr>
          <w:rFonts w:ascii="Lato" w:hAnsi="Lato" w:cs="Arial"/>
          <w:bCs/>
          <w:spacing w:val="4"/>
          <w:sz w:val="22"/>
          <w:szCs w:val="22"/>
          <w:lang w:val="pl-PL"/>
        </w:rPr>
        <w:t xml:space="preserve">do dokonania wpisów </w:t>
      </w:r>
      <w:r w:rsidR="002236C6">
        <w:rPr>
          <w:rFonts w:ascii="Lato" w:hAnsi="Lato" w:cs="Arial"/>
          <w:bCs/>
          <w:spacing w:val="4"/>
          <w:sz w:val="22"/>
          <w:szCs w:val="22"/>
          <w:lang w:val="pl-PL"/>
        </w:rPr>
        <w:t xml:space="preserve">w </w:t>
      </w:r>
      <w:r w:rsidRPr="00F50744">
        <w:rPr>
          <w:rFonts w:ascii="Lato" w:hAnsi="Lato" w:cs="Arial"/>
          <w:bCs/>
          <w:spacing w:val="4"/>
          <w:sz w:val="22"/>
          <w:szCs w:val="22"/>
          <w:lang w:val="pl-PL"/>
        </w:rPr>
        <w:t>księg</w:t>
      </w:r>
      <w:r w:rsidR="002236C6">
        <w:rPr>
          <w:rFonts w:ascii="Lato" w:hAnsi="Lato" w:cs="Arial"/>
          <w:bCs/>
          <w:spacing w:val="4"/>
          <w:sz w:val="22"/>
          <w:szCs w:val="22"/>
          <w:lang w:val="pl-PL"/>
        </w:rPr>
        <w:t xml:space="preserve">ach </w:t>
      </w:r>
      <w:r w:rsidRPr="00F50744">
        <w:rPr>
          <w:rFonts w:ascii="Lato" w:hAnsi="Lato" w:cs="Arial"/>
          <w:bCs/>
          <w:spacing w:val="4"/>
          <w:sz w:val="22"/>
          <w:szCs w:val="22"/>
          <w:lang w:val="pl-PL"/>
        </w:rPr>
        <w:t>wieczyst</w:t>
      </w:r>
      <w:r w:rsidR="002236C6">
        <w:rPr>
          <w:rFonts w:ascii="Lato" w:hAnsi="Lato" w:cs="Arial"/>
          <w:bCs/>
          <w:spacing w:val="4"/>
          <w:sz w:val="22"/>
          <w:szCs w:val="22"/>
          <w:lang w:val="pl-PL"/>
        </w:rPr>
        <w:t>ych</w:t>
      </w:r>
      <w:r w:rsidRPr="00F50744">
        <w:rPr>
          <w:rFonts w:ascii="Lato" w:hAnsi="Lato" w:cs="Arial"/>
          <w:bCs/>
          <w:spacing w:val="4"/>
          <w:sz w:val="22"/>
          <w:szCs w:val="22"/>
          <w:lang w:val="pl-PL"/>
        </w:rPr>
        <w:t xml:space="preserve"> ww. praw nabytych przez Polskie Sieci Elektroenergetyczne S.A. (art. 12 ust. </w:t>
      </w:r>
      <w:r w:rsidR="00896762" w:rsidRPr="00F50744">
        <w:rPr>
          <w:rFonts w:ascii="Lato" w:hAnsi="Lato" w:cs="Arial"/>
          <w:bCs/>
          <w:spacing w:val="4"/>
          <w:sz w:val="22"/>
          <w:szCs w:val="22"/>
          <w:lang w:val="pl-PL"/>
        </w:rPr>
        <w:t>1</w:t>
      </w:r>
      <w:r w:rsidRPr="00F50744">
        <w:rPr>
          <w:rFonts w:ascii="Lato" w:hAnsi="Lato" w:cs="Arial"/>
          <w:bCs/>
          <w:spacing w:val="4"/>
          <w:sz w:val="22"/>
          <w:szCs w:val="22"/>
          <w:lang w:val="pl-PL"/>
        </w:rPr>
        <w:t xml:space="preserve"> </w:t>
      </w:r>
      <w:proofErr w:type="spellStart"/>
      <w:r w:rsidRPr="00F50744">
        <w:rPr>
          <w:rFonts w:ascii="Lato" w:hAnsi="Lato" w:cs="Arial"/>
          <w:bCs/>
          <w:i/>
          <w:iCs/>
          <w:spacing w:val="4"/>
          <w:sz w:val="22"/>
          <w:szCs w:val="22"/>
          <w:lang w:val="pl-PL"/>
        </w:rPr>
        <w:t>u.i.s.p</w:t>
      </w:r>
      <w:proofErr w:type="spellEnd"/>
      <w:r w:rsidRPr="00F50744">
        <w:rPr>
          <w:rFonts w:ascii="Lato" w:hAnsi="Lato" w:cs="Arial"/>
          <w:bCs/>
          <w:i/>
          <w:iCs/>
          <w:spacing w:val="4"/>
          <w:sz w:val="22"/>
          <w:szCs w:val="22"/>
          <w:lang w:val="pl-PL"/>
        </w:rPr>
        <w:t>.</w:t>
      </w:r>
      <w:r w:rsidRPr="00F50744">
        <w:rPr>
          <w:rFonts w:ascii="Lato" w:hAnsi="Lato" w:cs="Arial"/>
          <w:bCs/>
          <w:spacing w:val="4"/>
          <w:sz w:val="22"/>
          <w:szCs w:val="22"/>
          <w:lang w:val="pl-PL"/>
        </w:rPr>
        <w:t>).”,</w:t>
      </w:r>
    </w:p>
    <w:p w14:paraId="6C02888E" w14:textId="387961DA" w:rsidR="00490BDD" w:rsidRPr="00F50744" w:rsidRDefault="00D63ED3" w:rsidP="008D1CB7">
      <w:pPr>
        <w:numPr>
          <w:ilvl w:val="0"/>
          <w:numId w:val="24"/>
        </w:numPr>
        <w:spacing w:after="240" w:line="240" w:lineRule="exact"/>
        <w:ind w:left="567" w:hanging="283"/>
        <w:jc w:val="both"/>
        <w:rPr>
          <w:rFonts w:ascii="Lato" w:hAnsi="Lato" w:cs="Arial"/>
          <w:spacing w:val="4"/>
        </w:rPr>
      </w:pPr>
      <w:bookmarkStart w:id="5" w:name="_Hlk197693239"/>
      <w:r w:rsidRPr="00F50744">
        <w:rPr>
          <w:rFonts w:ascii="Lato" w:hAnsi="Lato" w:cs="Arial"/>
          <w:spacing w:val="4"/>
        </w:rPr>
        <w:t>w rozstrzygnięciu zaskarżonej decyzji</w:t>
      </w:r>
      <w:bookmarkEnd w:id="5"/>
      <w:r w:rsidRPr="00F50744">
        <w:rPr>
          <w:rFonts w:ascii="Lato" w:hAnsi="Lato" w:cs="Arial"/>
          <w:spacing w:val="4"/>
        </w:rPr>
        <w:t xml:space="preserve">, </w:t>
      </w:r>
      <w:r w:rsidR="008A4F7F" w:rsidRPr="00F50744">
        <w:rPr>
          <w:rFonts w:ascii="Lato" w:hAnsi="Lato" w:cs="Arial"/>
          <w:spacing w:val="4"/>
        </w:rPr>
        <w:t xml:space="preserve">na stronie 5, w wierszach 29-31, licząc </w:t>
      </w:r>
      <w:r w:rsidR="00B07F1D">
        <w:rPr>
          <w:rFonts w:ascii="Lato" w:hAnsi="Lato" w:cs="Arial"/>
          <w:spacing w:val="4"/>
        </w:rPr>
        <w:br/>
      </w:r>
      <w:r w:rsidR="008A4F7F" w:rsidRPr="00F50744">
        <w:rPr>
          <w:rFonts w:ascii="Lato" w:hAnsi="Lato" w:cs="Arial"/>
          <w:spacing w:val="4"/>
        </w:rPr>
        <w:t>od góry strony zapis:</w:t>
      </w:r>
    </w:p>
    <w:p w14:paraId="697D8329" w14:textId="38513D53" w:rsidR="008A4F7F" w:rsidRPr="00F50744" w:rsidRDefault="008A4F7F" w:rsidP="008D1CB7">
      <w:pPr>
        <w:spacing w:after="240" w:line="240" w:lineRule="exact"/>
        <w:ind w:left="567"/>
        <w:jc w:val="both"/>
        <w:rPr>
          <w:rFonts w:ascii="Lato" w:hAnsi="Lato" w:cs="Arial"/>
          <w:spacing w:val="4"/>
        </w:rPr>
      </w:pPr>
      <w:r w:rsidRPr="00F50744">
        <w:rPr>
          <w:rFonts w:ascii="Lato" w:hAnsi="Lato" w:cs="Arial"/>
          <w:spacing w:val="4"/>
        </w:rPr>
        <w:t xml:space="preserve">„Nie dotyczy – inwestor nie wskazał we wniosku innych podmiotów, na rzecz których ograniczenie sposobu korzystania z nieruchomości miałoby nastąpić zgodnie z art. 22 ust. 4 </w:t>
      </w:r>
      <w:proofErr w:type="spellStart"/>
      <w:r w:rsidRPr="00F50744">
        <w:rPr>
          <w:rFonts w:ascii="Lato" w:hAnsi="Lato" w:cs="Arial"/>
          <w:i/>
          <w:iCs/>
          <w:spacing w:val="4"/>
        </w:rPr>
        <w:t>u.i.s.p</w:t>
      </w:r>
      <w:proofErr w:type="spellEnd"/>
      <w:r w:rsidR="0032164A">
        <w:rPr>
          <w:rFonts w:ascii="Lato" w:hAnsi="Lato" w:cs="Arial"/>
          <w:i/>
          <w:iCs/>
          <w:spacing w:val="4"/>
        </w:rPr>
        <w:t>.</w:t>
      </w:r>
      <w:r w:rsidRPr="00F50744">
        <w:rPr>
          <w:rFonts w:ascii="Lato" w:hAnsi="Lato" w:cs="Arial"/>
          <w:i/>
          <w:iCs/>
          <w:spacing w:val="4"/>
        </w:rPr>
        <w:t>”</w:t>
      </w:r>
      <w:r w:rsidR="002236C6">
        <w:rPr>
          <w:rFonts w:ascii="Lato" w:hAnsi="Lato" w:cs="Arial"/>
          <w:i/>
          <w:iCs/>
          <w:spacing w:val="4"/>
        </w:rPr>
        <w:t>,</w:t>
      </w:r>
    </w:p>
    <w:p w14:paraId="26D78025" w14:textId="7DC32265" w:rsidR="008A4F7F" w:rsidRPr="00F50744" w:rsidRDefault="00D63ED3" w:rsidP="008D1CB7">
      <w:pPr>
        <w:numPr>
          <w:ilvl w:val="0"/>
          <w:numId w:val="24"/>
        </w:numPr>
        <w:spacing w:after="240" w:line="240" w:lineRule="exact"/>
        <w:ind w:left="567" w:hanging="283"/>
        <w:jc w:val="both"/>
        <w:rPr>
          <w:rFonts w:ascii="Lato" w:hAnsi="Lato" w:cs="Arial"/>
          <w:spacing w:val="4"/>
        </w:rPr>
      </w:pPr>
      <w:r w:rsidRPr="00F50744">
        <w:rPr>
          <w:rFonts w:ascii="Lato" w:hAnsi="Lato" w:cs="Arial"/>
          <w:spacing w:val="4"/>
        </w:rPr>
        <w:t xml:space="preserve">w rozstrzygnięciu zaskarżonej decyzji, </w:t>
      </w:r>
      <w:r w:rsidR="008A4F7F" w:rsidRPr="00F50744">
        <w:rPr>
          <w:rFonts w:ascii="Lato" w:hAnsi="Lato" w:cs="Arial"/>
          <w:spacing w:val="4"/>
        </w:rPr>
        <w:t xml:space="preserve">na stronie 6, w wierszach 6-7, licząc od </w:t>
      </w:r>
      <w:r w:rsidRPr="00F50744">
        <w:rPr>
          <w:rFonts w:ascii="Lato" w:hAnsi="Lato" w:cs="Arial"/>
          <w:spacing w:val="4"/>
        </w:rPr>
        <w:t>góry strony</w:t>
      </w:r>
      <w:r w:rsidR="008A4F7F" w:rsidRPr="00F50744">
        <w:rPr>
          <w:rFonts w:ascii="Lato" w:hAnsi="Lato" w:cs="Arial"/>
          <w:spacing w:val="4"/>
        </w:rPr>
        <w:t xml:space="preserve"> zapis:</w:t>
      </w:r>
    </w:p>
    <w:p w14:paraId="2F1C5050" w14:textId="2046334E" w:rsidR="008A4F7F" w:rsidRPr="00F50744" w:rsidRDefault="00674251" w:rsidP="008D1CB7">
      <w:pPr>
        <w:pStyle w:val="Akapitzlist"/>
        <w:spacing w:after="240" w:line="240" w:lineRule="exact"/>
        <w:ind w:left="567" w:hanging="141"/>
        <w:contextualSpacing w:val="0"/>
        <w:jc w:val="both"/>
        <w:rPr>
          <w:rFonts w:ascii="Lato" w:hAnsi="Lato" w:cs="Arial"/>
          <w:bCs/>
          <w:spacing w:val="4"/>
          <w:sz w:val="22"/>
          <w:szCs w:val="22"/>
        </w:rPr>
      </w:pPr>
      <w:r w:rsidRPr="00F50744">
        <w:rPr>
          <w:rFonts w:ascii="Lato" w:hAnsi="Lato" w:cs="Arial"/>
          <w:bCs/>
          <w:spacing w:val="4"/>
          <w:sz w:val="22"/>
          <w:szCs w:val="22"/>
          <w:lang w:val="pl-PL"/>
        </w:rPr>
        <w:t xml:space="preserve">  </w:t>
      </w:r>
      <w:r w:rsidR="00D63ED3" w:rsidRPr="00F50744">
        <w:rPr>
          <w:rFonts w:ascii="Lato" w:hAnsi="Lato" w:cs="Arial"/>
          <w:bCs/>
          <w:spacing w:val="4"/>
          <w:sz w:val="22"/>
          <w:szCs w:val="22"/>
          <w:lang w:val="pl-PL"/>
        </w:rPr>
        <w:t>„-</w:t>
      </w:r>
      <w:r w:rsidR="008A4F7F" w:rsidRPr="00F50744">
        <w:rPr>
          <w:rFonts w:ascii="Lato" w:hAnsi="Lato" w:cs="Arial"/>
          <w:bCs/>
          <w:spacing w:val="4"/>
          <w:sz w:val="22"/>
          <w:szCs w:val="22"/>
          <w:lang w:val="pl-PL"/>
        </w:rPr>
        <w:t xml:space="preserve"> </w:t>
      </w:r>
      <w:r w:rsidR="008A4F7F" w:rsidRPr="00F50744">
        <w:rPr>
          <w:rFonts w:ascii="Lato" w:hAnsi="Lato" w:cs="Arial"/>
          <w:bCs/>
          <w:spacing w:val="4"/>
          <w:sz w:val="22"/>
          <w:szCs w:val="22"/>
        </w:rPr>
        <w:t>nakaz uzgadniania z Polskimi Sieciami Elektroenergetycznym</w:t>
      </w:r>
      <w:r w:rsidRPr="00F50744">
        <w:rPr>
          <w:rFonts w:ascii="Lato" w:hAnsi="Lato" w:cs="Arial"/>
          <w:bCs/>
          <w:spacing w:val="4"/>
          <w:sz w:val="22"/>
          <w:szCs w:val="22"/>
        </w:rPr>
        <w:t xml:space="preserve"> S.A.</w:t>
      </w:r>
      <w:r w:rsidR="008A4F7F" w:rsidRPr="00F50744">
        <w:rPr>
          <w:rFonts w:ascii="Lato" w:hAnsi="Lato" w:cs="Arial"/>
          <w:bCs/>
          <w:spacing w:val="4"/>
          <w:sz w:val="22"/>
          <w:szCs w:val="22"/>
        </w:rPr>
        <w:t xml:space="preserve"> lokalizacji</w:t>
      </w:r>
      <w:r w:rsidR="001465D1" w:rsidRPr="00F50744">
        <w:rPr>
          <w:rFonts w:ascii="Lato" w:hAnsi="Lato" w:cs="Arial"/>
          <w:bCs/>
          <w:spacing w:val="4"/>
          <w:sz w:val="22"/>
          <w:szCs w:val="22"/>
        </w:rPr>
        <w:t xml:space="preserve"> </w:t>
      </w:r>
      <w:r w:rsidR="008A4F7F" w:rsidRPr="00F50744">
        <w:rPr>
          <w:rFonts w:ascii="Lato" w:hAnsi="Lato" w:cs="Arial"/>
          <w:bCs/>
          <w:spacing w:val="4"/>
          <w:sz w:val="22"/>
          <w:szCs w:val="22"/>
        </w:rPr>
        <w:t>obiektów budowlanych,”</w:t>
      </w:r>
      <w:r w:rsidR="002236C6">
        <w:rPr>
          <w:rFonts w:ascii="Lato" w:hAnsi="Lato" w:cs="Arial"/>
          <w:bCs/>
          <w:spacing w:val="4"/>
          <w:sz w:val="22"/>
          <w:szCs w:val="22"/>
        </w:rPr>
        <w:t>,</w:t>
      </w:r>
    </w:p>
    <w:p w14:paraId="4A4CB55E" w14:textId="47E1E277" w:rsidR="00D63ED3" w:rsidRPr="00F50744" w:rsidRDefault="00D63ED3" w:rsidP="00674251">
      <w:pPr>
        <w:pStyle w:val="Akapitzlist"/>
        <w:numPr>
          <w:ilvl w:val="0"/>
          <w:numId w:val="30"/>
        </w:numPr>
        <w:spacing w:after="240" w:line="240" w:lineRule="exact"/>
        <w:ind w:left="567"/>
        <w:jc w:val="both"/>
        <w:rPr>
          <w:rFonts w:ascii="Lato" w:eastAsia="Aptos" w:hAnsi="Lato"/>
          <w:kern w:val="2"/>
          <w:sz w:val="22"/>
          <w:szCs w:val="22"/>
          <w14:ligatures w14:val="standardContextual"/>
        </w:rPr>
      </w:pPr>
      <w:r w:rsidRPr="00F50744">
        <w:rPr>
          <w:rFonts w:ascii="Lato" w:eastAsia="Aptos" w:hAnsi="Lato"/>
          <w:kern w:val="2"/>
          <w:sz w:val="22"/>
          <w:szCs w:val="22"/>
          <w14:ligatures w14:val="standardContextual"/>
        </w:rPr>
        <w:t>map</w:t>
      </w:r>
      <w:r w:rsidR="00AD62B5">
        <w:rPr>
          <w:rFonts w:ascii="Lato" w:eastAsia="Aptos" w:hAnsi="Lato"/>
          <w:kern w:val="2"/>
          <w:sz w:val="22"/>
          <w:szCs w:val="22"/>
          <w14:ligatures w14:val="standardContextual"/>
        </w:rPr>
        <w:t>ę</w:t>
      </w:r>
      <w:r w:rsidRPr="00F50744">
        <w:rPr>
          <w:rFonts w:ascii="Lato" w:eastAsia="Aptos" w:hAnsi="Lato"/>
          <w:kern w:val="2"/>
          <w:sz w:val="22"/>
          <w:szCs w:val="22"/>
          <w14:ligatures w14:val="standardContextual"/>
        </w:rPr>
        <w:t xml:space="preserve"> w skali 1:1000, określającą granice </w:t>
      </w:r>
      <w:r w:rsidR="002236C6">
        <w:rPr>
          <w:rFonts w:ascii="Lato" w:eastAsia="Aptos" w:hAnsi="Lato"/>
          <w:kern w:val="2"/>
          <w:sz w:val="22"/>
          <w:szCs w:val="22"/>
          <w14:ligatures w14:val="standardContextual"/>
        </w:rPr>
        <w:t>obszaru</w:t>
      </w:r>
      <w:r w:rsidR="002236C6" w:rsidRPr="00F50744">
        <w:rPr>
          <w:rFonts w:ascii="Lato" w:eastAsia="Aptos" w:hAnsi="Lato"/>
          <w:kern w:val="2"/>
          <w:sz w:val="22"/>
          <w:szCs w:val="22"/>
          <w14:ligatures w14:val="standardContextual"/>
        </w:rPr>
        <w:t xml:space="preserve"> </w:t>
      </w:r>
      <w:r w:rsidRPr="00F50744">
        <w:rPr>
          <w:rFonts w:ascii="Lato" w:eastAsia="Aptos" w:hAnsi="Lato"/>
          <w:kern w:val="2"/>
          <w:sz w:val="22"/>
          <w:szCs w:val="22"/>
          <w14:ligatures w14:val="standardContextual"/>
        </w:rPr>
        <w:t>objętego</w:t>
      </w:r>
      <w:r w:rsidR="00AD62B5">
        <w:rPr>
          <w:rFonts w:ascii="Lato" w:eastAsia="Aptos" w:hAnsi="Lato"/>
          <w:kern w:val="2"/>
          <w:sz w:val="22"/>
          <w:szCs w:val="22"/>
          <w14:ligatures w14:val="standardContextual"/>
        </w:rPr>
        <w:t xml:space="preserve"> inwestycją</w:t>
      </w:r>
      <w:r w:rsidRPr="00F50744">
        <w:rPr>
          <w:rFonts w:ascii="Lato" w:eastAsia="Aptos" w:hAnsi="Lato"/>
          <w:kern w:val="2"/>
          <w:sz w:val="22"/>
          <w:szCs w:val="22"/>
          <w14:ligatures w14:val="standardContextual"/>
        </w:rPr>
        <w:t xml:space="preserve">, stanowiącą załącznik nr 1 do </w:t>
      </w:r>
      <w:r w:rsidR="00FA7973" w:rsidRPr="00F50744">
        <w:rPr>
          <w:rFonts w:ascii="Lato" w:eastAsia="Aptos" w:hAnsi="Lato"/>
          <w:kern w:val="2"/>
          <w:sz w:val="22"/>
          <w:szCs w:val="22"/>
          <w14:ligatures w14:val="standardContextual"/>
        </w:rPr>
        <w:t xml:space="preserve">zaskarżonej </w:t>
      </w:r>
      <w:r w:rsidRPr="00F50744">
        <w:rPr>
          <w:rFonts w:ascii="Lato" w:eastAsia="Aptos" w:hAnsi="Lato"/>
          <w:kern w:val="2"/>
          <w:sz w:val="22"/>
          <w:szCs w:val="22"/>
          <w14:ligatures w14:val="standardContextual"/>
        </w:rPr>
        <w:t>decyzji</w:t>
      </w:r>
      <w:r w:rsidR="001465D1" w:rsidRPr="00F50744">
        <w:rPr>
          <w:rFonts w:ascii="Lato" w:eastAsia="Aptos" w:hAnsi="Lato"/>
          <w:kern w:val="2"/>
          <w:sz w:val="22"/>
          <w:szCs w:val="22"/>
          <w14:ligatures w14:val="standardContextual"/>
        </w:rPr>
        <w:t>,</w:t>
      </w:r>
    </w:p>
    <w:p w14:paraId="32E30DBD" w14:textId="517BED52" w:rsidR="00AE5A8D" w:rsidRPr="00F50744" w:rsidRDefault="002D28FD" w:rsidP="00FF1046">
      <w:pPr>
        <w:spacing w:after="240" w:line="240" w:lineRule="exact"/>
        <w:ind w:left="142"/>
        <w:jc w:val="both"/>
        <w:rPr>
          <w:rFonts w:ascii="Lato" w:hAnsi="Lato" w:cs="Arial"/>
          <w:spacing w:val="4"/>
        </w:rPr>
      </w:pPr>
      <w:r w:rsidRPr="00F50744">
        <w:rPr>
          <w:rFonts w:ascii="Lato" w:hAnsi="Lato" w:cs="Arial"/>
          <w:b/>
          <w:bCs/>
          <w:spacing w:val="4"/>
        </w:rPr>
        <w:t>i orzekam w tym zakresie</w:t>
      </w:r>
      <w:r w:rsidRPr="00F50744">
        <w:rPr>
          <w:rFonts w:ascii="Lato" w:hAnsi="Lato" w:cs="Arial"/>
          <w:spacing w:val="4"/>
        </w:rPr>
        <w:t xml:space="preserve"> poprzez:</w:t>
      </w:r>
    </w:p>
    <w:p w14:paraId="191CCF62" w14:textId="720839BB" w:rsidR="00705A34" w:rsidRPr="00F50744" w:rsidRDefault="002D28FD" w:rsidP="00FF1046">
      <w:pPr>
        <w:pStyle w:val="Akapitzlist"/>
        <w:numPr>
          <w:ilvl w:val="0"/>
          <w:numId w:val="5"/>
        </w:numPr>
        <w:spacing w:after="240" w:line="240" w:lineRule="exact"/>
        <w:ind w:left="567" w:hanging="425"/>
        <w:contextualSpacing w:val="0"/>
        <w:jc w:val="both"/>
        <w:rPr>
          <w:rFonts w:ascii="Lato" w:hAnsi="Lato" w:cs="Arial"/>
          <w:bCs/>
          <w:spacing w:val="4"/>
          <w:sz w:val="22"/>
          <w:szCs w:val="22"/>
        </w:rPr>
      </w:pPr>
      <w:bookmarkStart w:id="6" w:name="_Hlk188361786"/>
      <w:r w:rsidRPr="00F50744">
        <w:rPr>
          <w:rFonts w:ascii="Lato" w:hAnsi="Lato" w:cs="Arial"/>
          <w:spacing w:val="4"/>
          <w:sz w:val="22"/>
          <w:szCs w:val="22"/>
        </w:rPr>
        <w:t>ustalenie w miejsce uchylenia,</w:t>
      </w:r>
      <w:r w:rsidRPr="00F50744">
        <w:rPr>
          <w:rFonts w:ascii="Lato" w:hAnsi="Lato" w:cs="Arial"/>
          <w:bCs/>
          <w:spacing w:val="4"/>
          <w:sz w:val="22"/>
          <w:szCs w:val="22"/>
        </w:rPr>
        <w:t xml:space="preserve"> na stronie 1, </w:t>
      </w:r>
      <w:r w:rsidR="00705A34" w:rsidRPr="00F50744">
        <w:rPr>
          <w:rFonts w:ascii="Lato" w:hAnsi="Lato" w:cs="Arial"/>
          <w:bCs/>
          <w:spacing w:val="4"/>
          <w:sz w:val="22"/>
          <w:szCs w:val="22"/>
        </w:rPr>
        <w:t>nowej treści pkt. I</w:t>
      </w:r>
      <w:r w:rsidR="007F2D77">
        <w:rPr>
          <w:rFonts w:ascii="Lato" w:hAnsi="Lato" w:cs="Arial"/>
          <w:bCs/>
          <w:spacing w:val="4"/>
          <w:sz w:val="22"/>
          <w:szCs w:val="22"/>
        </w:rPr>
        <w:t>:</w:t>
      </w:r>
      <w:r w:rsidR="00705A34" w:rsidRPr="00F50744">
        <w:rPr>
          <w:rFonts w:ascii="Lato" w:hAnsi="Lato" w:cs="Arial"/>
          <w:bCs/>
          <w:spacing w:val="4"/>
          <w:sz w:val="22"/>
          <w:szCs w:val="22"/>
        </w:rPr>
        <w:t xml:space="preserve"> </w:t>
      </w:r>
    </w:p>
    <w:bookmarkEnd w:id="6"/>
    <w:p w14:paraId="6DBD12FD" w14:textId="0AAA16FA" w:rsidR="00705A34" w:rsidRPr="00F50744" w:rsidRDefault="00705A34" w:rsidP="00FF1046">
      <w:pPr>
        <w:pStyle w:val="Akapitzlist"/>
        <w:spacing w:after="240" w:line="240" w:lineRule="exact"/>
        <w:ind w:left="567"/>
        <w:contextualSpacing w:val="0"/>
        <w:jc w:val="both"/>
        <w:rPr>
          <w:rFonts w:ascii="Lato" w:hAnsi="Lato" w:cs="Arial"/>
          <w:spacing w:val="4"/>
          <w:sz w:val="22"/>
          <w:szCs w:val="22"/>
        </w:rPr>
      </w:pPr>
      <w:r w:rsidRPr="00F50744">
        <w:rPr>
          <w:rFonts w:ascii="Lato" w:hAnsi="Lato" w:cs="Arial"/>
          <w:spacing w:val="4"/>
          <w:sz w:val="22"/>
          <w:szCs w:val="22"/>
          <w:lang w:val="pl-PL"/>
        </w:rPr>
        <w:t xml:space="preserve">„I. </w:t>
      </w:r>
      <w:r w:rsidRPr="00F50744">
        <w:rPr>
          <w:rFonts w:ascii="Lato" w:hAnsi="Lato" w:cs="Arial"/>
          <w:b/>
          <w:bCs/>
          <w:spacing w:val="4"/>
          <w:sz w:val="22"/>
          <w:szCs w:val="22"/>
          <w:u w:val="single"/>
          <w:lang w:val="pl-PL"/>
        </w:rPr>
        <w:t>Określenie terenu objętego strategiczną inwestycj</w:t>
      </w:r>
      <w:r w:rsidR="002236C6">
        <w:rPr>
          <w:rFonts w:ascii="Lato" w:hAnsi="Lato" w:cs="Arial"/>
          <w:b/>
          <w:bCs/>
          <w:spacing w:val="4"/>
          <w:sz w:val="22"/>
          <w:szCs w:val="22"/>
          <w:u w:val="single"/>
          <w:lang w:val="pl-PL"/>
        </w:rPr>
        <w:t>ą</w:t>
      </w:r>
      <w:r w:rsidRPr="00F50744">
        <w:rPr>
          <w:rFonts w:ascii="Lato" w:hAnsi="Lato" w:cs="Arial"/>
          <w:b/>
          <w:bCs/>
          <w:spacing w:val="4"/>
          <w:sz w:val="22"/>
          <w:szCs w:val="22"/>
          <w:u w:val="single"/>
          <w:lang w:val="pl-PL"/>
        </w:rPr>
        <w:t xml:space="preserve"> w zakresie sieci przesyłowej.</w:t>
      </w:r>
    </w:p>
    <w:p w14:paraId="03DCE9FD" w14:textId="66832AF5" w:rsidR="002D28FD" w:rsidRPr="00F50744" w:rsidRDefault="002D28FD" w:rsidP="00FF1046">
      <w:pPr>
        <w:pStyle w:val="Akapitzlist"/>
        <w:spacing w:after="240" w:line="240" w:lineRule="exact"/>
        <w:ind w:left="567"/>
        <w:contextualSpacing w:val="0"/>
        <w:jc w:val="both"/>
        <w:rPr>
          <w:rFonts w:ascii="Lato" w:hAnsi="Lato" w:cs="Arial"/>
          <w:spacing w:val="4"/>
          <w:sz w:val="22"/>
          <w:szCs w:val="22"/>
        </w:rPr>
      </w:pPr>
      <w:r w:rsidRPr="00F50744">
        <w:rPr>
          <w:rFonts w:ascii="Lato" w:hAnsi="Lato" w:cs="Arial"/>
          <w:spacing w:val="4"/>
          <w:sz w:val="22"/>
          <w:szCs w:val="22"/>
        </w:rPr>
        <w:t>Obszar objęty planowaną inwestycją przedstawiono na kopii mapy w skali 1:1000, stanowiącej załącznik nr 1 do niniejszej decyzji i oznaczono odpowiednio:</w:t>
      </w:r>
    </w:p>
    <w:p w14:paraId="47434CA3" w14:textId="200DBDA0" w:rsidR="00DE79DE" w:rsidRPr="00F50744" w:rsidRDefault="00447645" w:rsidP="00FF1046">
      <w:pPr>
        <w:pStyle w:val="Akapitzlist"/>
        <w:numPr>
          <w:ilvl w:val="0"/>
          <w:numId w:val="17"/>
        </w:numPr>
        <w:spacing w:after="240" w:line="240" w:lineRule="exact"/>
        <w:ind w:left="851" w:hanging="284"/>
        <w:contextualSpacing w:val="0"/>
        <w:jc w:val="both"/>
        <w:rPr>
          <w:rFonts w:ascii="Lato" w:hAnsi="Lato" w:cs="Arial"/>
          <w:spacing w:val="4"/>
          <w:sz w:val="22"/>
          <w:szCs w:val="22"/>
        </w:rPr>
      </w:pPr>
      <w:r w:rsidRPr="00F50744">
        <w:rPr>
          <w:rFonts w:ascii="Lato" w:hAnsi="Lato" w:cs="Arial"/>
          <w:spacing w:val="4"/>
          <w:sz w:val="22"/>
          <w:szCs w:val="22"/>
        </w:rPr>
        <w:t>l</w:t>
      </w:r>
      <w:r w:rsidR="00DE79DE" w:rsidRPr="00F50744">
        <w:rPr>
          <w:rFonts w:ascii="Lato" w:hAnsi="Lato" w:cs="Arial"/>
          <w:spacing w:val="4"/>
          <w:sz w:val="22"/>
          <w:szCs w:val="22"/>
        </w:rPr>
        <w:t>inią przerywaną koloru niebieskiego – granice wniosku/decyzji,</w:t>
      </w:r>
    </w:p>
    <w:p w14:paraId="2EDB6BF2" w14:textId="10A9D4A6" w:rsidR="00DE79DE" w:rsidRPr="00F50744" w:rsidRDefault="00894896" w:rsidP="00FF1046">
      <w:pPr>
        <w:pStyle w:val="Akapitzlist"/>
        <w:numPr>
          <w:ilvl w:val="0"/>
          <w:numId w:val="17"/>
        </w:numPr>
        <w:spacing w:after="240" w:line="240" w:lineRule="exact"/>
        <w:ind w:left="851" w:hanging="284"/>
        <w:contextualSpacing w:val="0"/>
        <w:jc w:val="both"/>
        <w:rPr>
          <w:rFonts w:ascii="Lato" w:hAnsi="Lato" w:cs="Arial"/>
          <w:spacing w:val="4"/>
          <w:sz w:val="22"/>
          <w:szCs w:val="22"/>
        </w:rPr>
      </w:pPr>
      <w:r w:rsidRPr="00F50744">
        <w:rPr>
          <w:rFonts w:ascii="Lato" w:hAnsi="Lato" w:cs="Arial"/>
          <w:spacing w:val="4"/>
          <w:sz w:val="22"/>
          <w:szCs w:val="22"/>
        </w:rPr>
        <w:t>s</w:t>
      </w:r>
      <w:r w:rsidR="00DE79DE" w:rsidRPr="00F50744">
        <w:rPr>
          <w:rFonts w:ascii="Lato" w:hAnsi="Lato" w:cs="Arial"/>
          <w:spacing w:val="4"/>
          <w:sz w:val="22"/>
          <w:szCs w:val="22"/>
        </w:rPr>
        <w:t xml:space="preserve">zrafem koloru czerwonego – obszar, na którym niniejsza decyzja o ustaleniu lokalizacji strategicznej inwestycji w zakresie sieci przesyłowej ma wywołać skutek, o którym mowa w art. 22 ust. 1 </w:t>
      </w:r>
      <w:proofErr w:type="spellStart"/>
      <w:r w:rsidR="00DE79DE" w:rsidRPr="00F50744">
        <w:rPr>
          <w:rFonts w:ascii="Lato" w:hAnsi="Lato" w:cs="Arial"/>
          <w:i/>
          <w:iCs/>
          <w:spacing w:val="4"/>
          <w:sz w:val="22"/>
          <w:szCs w:val="22"/>
        </w:rPr>
        <w:t>u.i.s.p</w:t>
      </w:r>
      <w:proofErr w:type="spellEnd"/>
      <w:r w:rsidR="00DE79DE" w:rsidRPr="00F50744">
        <w:rPr>
          <w:rFonts w:ascii="Lato" w:hAnsi="Lato" w:cs="Arial"/>
          <w:i/>
          <w:iCs/>
          <w:spacing w:val="4"/>
          <w:sz w:val="22"/>
          <w:szCs w:val="22"/>
        </w:rPr>
        <w:t>.</w:t>
      </w:r>
      <w:r w:rsidR="00DE79DE" w:rsidRPr="00F50744">
        <w:rPr>
          <w:rFonts w:ascii="Lato" w:hAnsi="Lato" w:cs="Arial"/>
          <w:spacing w:val="4"/>
          <w:sz w:val="22"/>
          <w:szCs w:val="22"/>
        </w:rPr>
        <w:t xml:space="preserve"> (ograniczenie sposobu korzystania z nieruchomości na czas nieokreślony) tj. działki nr 33/73, 24, 25/6 z obrębu 0016 Kierzkowo oraz działk</w:t>
      </w:r>
      <w:r w:rsidR="00B07F1D" w:rsidRPr="00EC57E7">
        <w:rPr>
          <w:rFonts w:ascii="Lato" w:hAnsi="Lato" w:cs="Arial"/>
          <w:spacing w:val="4"/>
          <w:sz w:val="22"/>
          <w:szCs w:val="22"/>
        </w:rPr>
        <w:t>i</w:t>
      </w:r>
      <w:r w:rsidR="00DE79DE" w:rsidRPr="00F50744">
        <w:rPr>
          <w:rFonts w:ascii="Lato" w:hAnsi="Lato" w:cs="Arial"/>
          <w:spacing w:val="4"/>
          <w:sz w:val="22"/>
          <w:szCs w:val="22"/>
        </w:rPr>
        <w:t xml:space="preserve"> nr 105/4 z obrębu 0012 Lublewo w gminie Choczewo, w tym obszar objęty zakazem i nakazem, o którym mowa w art. 22 ust. 2 </w:t>
      </w:r>
      <w:proofErr w:type="spellStart"/>
      <w:r w:rsidR="00DE79DE" w:rsidRPr="00F50744">
        <w:rPr>
          <w:rFonts w:ascii="Lato" w:hAnsi="Lato" w:cs="Arial"/>
          <w:i/>
          <w:iCs/>
          <w:spacing w:val="4"/>
          <w:sz w:val="22"/>
          <w:szCs w:val="22"/>
        </w:rPr>
        <w:t>u.i.s.p</w:t>
      </w:r>
      <w:proofErr w:type="spellEnd"/>
      <w:r w:rsidR="00DE79DE" w:rsidRPr="00F50744">
        <w:rPr>
          <w:rFonts w:ascii="Lato" w:hAnsi="Lato" w:cs="Arial"/>
          <w:i/>
          <w:iCs/>
          <w:spacing w:val="4"/>
          <w:sz w:val="22"/>
          <w:szCs w:val="22"/>
        </w:rPr>
        <w:t>.</w:t>
      </w:r>
      <w:r w:rsidR="006A7C21" w:rsidRPr="00F50744">
        <w:rPr>
          <w:rFonts w:ascii="Lato" w:hAnsi="Lato" w:cs="Arial"/>
          <w:i/>
          <w:iCs/>
          <w:spacing w:val="4"/>
          <w:sz w:val="22"/>
          <w:szCs w:val="22"/>
        </w:rPr>
        <w:t>,</w:t>
      </w:r>
      <w:r w:rsidR="00DE79DE" w:rsidRPr="00F50744">
        <w:rPr>
          <w:rFonts w:ascii="Lato" w:hAnsi="Lato" w:cs="Arial"/>
          <w:i/>
          <w:iCs/>
          <w:spacing w:val="4"/>
          <w:sz w:val="22"/>
          <w:szCs w:val="22"/>
        </w:rPr>
        <w:t xml:space="preserve"> </w:t>
      </w:r>
      <w:r w:rsidR="00DE79DE" w:rsidRPr="00F50744">
        <w:rPr>
          <w:rFonts w:ascii="Lato" w:hAnsi="Lato" w:cs="Arial"/>
          <w:spacing w:val="4"/>
          <w:sz w:val="22"/>
          <w:szCs w:val="22"/>
        </w:rPr>
        <w:t xml:space="preserve">na rzecz innego niż inwestor podmiotu zgodnie z art. 22 ust. 4 </w:t>
      </w:r>
      <w:proofErr w:type="spellStart"/>
      <w:r w:rsidR="00DE79DE" w:rsidRPr="00F50744">
        <w:rPr>
          <w:rFonts w:ascii="Lato" w:hAnsi="Lato" w:cs="Arial"/>
          <w:i/>
          <w:iCs/>
          <w:spacing w:val="4"/>
          <w:sz w:val="22"/>
          <w:szCs w:val="22"/>
        </w:rPr>
        <w:t>u.i.s.p</w:t>
      </w:r>
      <w:proofErr w:type="spellEnd"/>
      <w:r w:rsidR="00DE79DE" w:rsidRPr="00F50744">
        <w:rPr>
          <w:rFonts w:ascii="Lato" w:hAnsi="Lato" w:cs="Arial"/>
          <w:i/>
          <w:iCs/>
          <w:spacing w:val="4"/>
          <w:sz w:val="22"/>
          <w:szCs w:val="22"/>
        </w:rPr>
        <w:t xml:space="preserve">. </w:t>
      </w:r>
      <w:r w:rsidR="00DE79DE" w:rsidRPr="00F50744">
        <w:rPr>
          <w:rFonts w:ascii="Lato" w:hAnsi="Lato" w:cs="Arial"/>
          <w:spacing w:val="4"/>
          <w:sz w:val="22"/>
          <w:szCs w:val="22"/>
        </w:rPr>
        <w:t>tj. na rzecz Energa-Operator S.A. z siedzibą w Gdańsku,</w:t>
      </w:r>
    </w:p>
    <w:p w14:paraId="08B91941" w14:textId="26FC0144" w:rsidR="00DE79DE" w:rsidRPr="00F50744" w:rsidRDefault="00894896" w:rsidP="00FF1046">
      <w:pPr>
        <w:pStyle w:val="Akapitzlist"/>
        <w:numPr>
          <w:ilvl w:val="0"/>
          <w:numId w:val="17"/>
        </w:numPr>
        <w:spacing w:after="240" w:line="240" w:lineRule="exact"/>
        <w:ind w:left="851" w:hanging="284"/>
        <w:contextualSpacing w:val="0"/>
        <w:jc w:val="both"/>
        <w:rPr>
          <w:rFonts w:ascii="Lato" w:hAnsi="Lato" w:cs="Arial"/>
          <w:i/>
          <w:iCs/>
          <w:spacing w:val="4"/>
          <w:sz w:val="22"/>
          <w:szCs w:val="22"/>
        </w:rPr>
      </w:pPr>
      <w:r w:rsidRPr="00F50744">
        <w:rPr>
          <w:rFonts w:ascii="Lato" w:hAnsi="Lato" w:cs="Arial"/>
          <w:spacing w:val="4"/>
          <w:sz w:val="22"/>
          <w:szCs w:val="22"/>
        </w:rPr>
        <w:t>k</w:t>
      </w:r>
      <w:r w:rsidR="00DE79DE" w:rsidRPr="00F50744">
        <w:rPr>
          <w:rFonts w:ascii="Lato" w:hAnsi="Lato" w:cs="Arial"/>
          <w:spacing w:val="4"/>
          <w:sz w:val="22"/>
          <w:szCs w:val="22"/>
        </w:rPr>
        <w:t xml:space="preserve">olorem zielonym – obszar, na </w:t>
      </w:r>
      <w:r w:rsidRPr="00F50744">
        <w:rPr>
          <w:rFonts w:ascii="Lato" w:hAnsi="Lato" w:cs="Arial"/>
          <w:spacing w:val="4"/>
          <w:sz w:val="22"/>
          <w:szCs w:val="22"/>
        </w:rPr>
        <w:t>którym</w:t>
      </w:r>
      <w:r w:rsidR="00DE79DE" w:rsidRPr="00F50744">
        <w:rPr>
          <w:rFonts w:ascii="Lato" w:hAnsi="Lato" w:cs="Arial"/>
          <w:spacing w:val="4"/>
          <w:sz w:val="22"/>
          <w:szCs w:val="22"/>
        </w:rPr>
        <w:t xml:space="preserve"> niniejsza decyzja o ustaleniu lokalizacji strategicznej inwestycji w zakresie sieci przesyłowej ma wywołać skutek, </w:t>
      </w:r>
      <w:r w:rsidR="00447645" w:rsidRPr="00F50744">
        <w:rPr>
          <w:rFonts w:ascii="Lato" w:hAnsi="Lato" w:cs="Arial"/>
          <w:spacing w:val="4"/>
          <w:sz w:val="22"/>
          <w:szCs w:val="22"/>
        </w:rPr>
        <w:br/>
      </w:r>
      <w:r w:rsidR="00DE79DE" w:rsidRPr="00F50744">
        <w:rPr>
          <w:rFonts w:ascii="Lato" w:hAnsi="Lato" w:cs="Arial"/>
          <w:spacing w:val="4"/>
          <w:sz w:val="22"/>
          <w:szCs w:val="22"/>
        </w:rPr>
        <w:t xml:space="preserve">o którym mowa w art. 22 ust. 1 i ust. 5 </w:t>
      </w:r>
      <w:proofErr w:type="spellStart"/>
      <w:r w:rsidR="00DE79DE" w:rsidRPr="00F50744">
        <w:rPr>
          <w:rFonts w:ascii="Lato" w:hAnsi="Lato" w:cs="Arial"/>
          <w:i/>
          <w:iCs/>
          <w:spacing w:val="4"/>
          <w:sz w:val="22"/>
          <w:szCs w:val="22"/>
        </w:rPr>
        <w:t>u.i.s.p</w:t>
      </w:r>
      <w:proofErr w:type="spellEnd"/>
      <w:r w:rsidR="00DE79DE" w:rsidRPr="00F50744">
        <w:rPr>
          <w:rFonts w:ascii="Lato" w:hAnsi="Lato" w:cs="Arial"/>
          <w:i/>
          <w:iCs/>
          <w:spacing w:val="4"/>
          <w:sz w:val="22"/>
          <w:szCs w:val="22"/>
        </w:rPr>
        <w:t>.</w:t>
      </w:r>
      <w:r w:rsidR="00DE79DE" w:rsidRPr="00F50744">
        <w:rPr>
          <w:rFonts w:ascii="Lato" w:hAnsi="Lato" w:cs="Arial"/>
          <w:spacing w:val="4"/>
          <w:sz w:val="22"/>
          <w:szCs w:val="22"/>
        </w:rPr>
        <w:t xml:space="preserve"> (ograniczenie sposobu korzystania z nieruchomości na czas określony), tj. </w:t>
      </w:r>
      <w:r w:rsidRPr="00F50744">
        <w:rPr>
          <w:rFonts w:ascii="Lato" w:hAnsi="Lato" w:cs="Arial"/>
          <w:spacing w:val="4"/>
          <w:sz w:val="22"/>
          <w:szCs w:val="22"/>
        </w:rPr>
        <w:t>działki nr 24, 25/4, 25/6, 33/73 z obrębu 0016 Kierzkowo ora</w:t>
      </w:r>
      <w:r w:rsidR="006A7C21" w:rsidRPr="00F50744">
        <w:rPr>
          <w:rFonts w:ascii="Lato" w:hAnsi="Lato" w:cs="Arial"/>
          <w:spacing w:val="4"/>
          <w:sz w:val="22"/>
          <w:szCs w:val="22"/>
        </w:rPr>
        <w:t>z</w:t>
      </w:r>
      <w:r w:rsidRPr="00F50744">
        <w:rPr>
          <w:rFonts w:ascii="Lato" w:hAnsi="Lato" w:cs="Arial"/>
          <w:spacing w:val="4"/>
          <w:sz w:val="22"/>
          <w:szCs w:val="22"/>
        </w:rPr>
        <w:t xml:space="preserve"> działki nr 105/1, 105/2, 105/4 oraz 105/6 z obrębu 0012 Lublewo w gminie Choczewo,  w tym obszar objęty zakazem i nakazem, o którym mowa w art. 22 ust. 2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001465D1" w:rsidRPr="00F50744">
        <w:rPr>
          <w:rFonts w:ascii="Lato" w:hAnsi="Lato" w:cs="Arial"/>
          <w:spacing w:val="4"/>
        </w:rPr>
        <w:t xml:space="preserve">, </w:t>
      </w:r>
      <w:r w:rsidR="00674251" w:rsidRPr="00F50744">
        <w:rPr>
          <w:rFonts w:ascii="Lato" w:hAnsi="Lato" w:cs="Arial"/>
          <w:spacing w:val="4"/>
          <w:sz w:val="22"/>
          <w:szCs w:val="22"/>
        </w:rPr>
        <w:t xml:space="preserve">na rzecz </w:t>
      </w:r>
      <w:r w:rsidR="004252F8">
        <w:rPr>
          <w:rFonts w:ascii="Lato" w:hAnsi="Lato" w:cs="Arial"/>
          <w:spacing w:val="4"/>
          <w:sz w:val="22"/>
          <w:szCs w:val="22"/>
        </w:rPr>
        <w:t>i</w:t>
      </w:r>
      <w:r w:rsidR="00674251" w:rsidRPr="00F50744">
        <w:rPr>
          <w:rFonts w:ascii="Lato" w:hAnsi="Lato" w:cs="Arial"/>
          <w:spacing w:val="4"/>
          <w:sz w:val="22"/>
          <w:szCs w:val="22"/>
        </w:rPr>
        <w:t>nwestora tj. Polskich Sieci Elektroenergetycznych S.A. z siedzibą w Konstancinie-Jeziornej</w:t>
      </w:r>
      <w:r w:rsidR="001465D1" w:rsidRPr="00F50744">
        <w:rPr>
          <w:rFonts w:ascii="Lato" w:hAnsi="Lato" w:cs="Arial"/>
          <w:spacing w:val="4"/>
          <w:sz w:val="22"/>
          <w:szCs w:val="22"/>
        </w:rPr>
        <w:t>,</w:t>
      </w:r>
    </w:p>
    <w:p w14:paraId="33C15314" w14:textId="4746946B" w:rsidR="00894896" w:rsidRPr="00F50744" w:rsidRDefault="00894896" w:rsidP="00FF1046">
      <w:pPr>
        <w:pStyle w:val="Akapitzlist"/>
        <w:numPr>
          <w:ilvl w:val="0"/>
          <w:numId w:val="17"/>
        </w:numPr>
        <w:spacing w:after="240" w:line="240" w:lineRule="exact"/>
        <w:ind w:left="851" w:hanging="284"/>
        <w:contextualSpacing w:val="0"/>
        <w:jc w:val="both"/>
        <w:rPr>
          <w:rFonts w:ascii="Lato" w:hAnsi="Lato" w:cs="Arial"/>
          <w:spacing w:val="4"/>
          <w:sz w:val="22"/>
          <w:szCs w:val="22"/>
        </w:rPr>
      </w:pPr>
      <w:r w:rsidRPr="00F50744">
        <w:rPr>
          <w:rFonts w:ascii="Lato" w:hAnsi="Lato" w:cs="Arial"/>
          <w:spacing w:val="4"/>
          <w:sz w:val="22"/>
          <w:szCs w:val="22"/>
        </w:rPr>
        <w:lastRenderedPageBreak/>
        <w:t>szrafem kolor</w:t>
      </w:r>
      <w:r w:rsidR="00517C6B">
        <w:rPr>
          <w:rFonts w:ascii="Lato" w:hAnsi="Lato" w:cs="Arial"/>
          <w:spacing w:val="4"/>
          <w:sz w:val="22"/>
          <w:szCs w:val="22"/>
        </w:rPr>
        <w:t>u</w:t>
      </w:r>
      <w:r w:rsidRPr="00F50744">
        <w:rPr>
          <w:rFonts w:ascii="Lato" w:hAnsi="Lato" w:cs="Arial"/>
          <w:spacing w:val="4"/>
          <w:sz w:val="22"/>
          <w:szCs w:val="22"/>
        </w:rPr>
        <w:t xml:space="preserve"> niebieskiego – obszar, na którym niniejsza decyzja o ustaleniu lokalizacji strategicznej inwestycji w zakresie sieci przesyłowej ma wywołać skutek, o którym mowa w art. 22 ust. 1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Pr="00F50744">
        <w:rPr>
          <w:rFonts w:ascii="Lato" w:hAnsi="Lato" w:cs="Arial"/>
          <w:spacing w:val="4"/>
          <w:sz w:val="22"/>
          <w:szCs w:val="22"/>
        </w:rPr>
        <w:t xml:space="preserve"> (ograniczenie sposobu korzystania z nieruchomości na czas nieokreślony) tj. działki nr 33/73, 24, 25/6 z obrębu 0016 Kierzkowo w gminie Choczewo, w tym obszar objęty zakazem i nakazem, o którym mowa w art. 22 ust.</w:t>
      </w:r>
      <w:r w:rsidR="001465D1" w:rsidRPr="00F50744">
        <w:rPr>
          <w:rFonts w:ascii="Lato" w:hAnsi="Lato" w:cs="Arial"/>
          <w:spacing w:val="4"/>
          <w:sz w:val="22"/>
          <w:szCs w:val="22"/>
        </w:rPr>
        <w:t xml:space="preserve"> 2</w:t>
      </w:r>
      <w:r w:rsidRPr="00F50744">
        <w:rPr>
          <w:rFonts w:ascii="Lato" w:hAnsi="Lato" w:cs="Arial"/>
          <w:spacing w:val="4"/>
          <w:sz w:val="22"/>
          <w:szCs w:val="22"/>
        </w:rPr>
        <w:t xml:space="preserve"> </w:t>
      </w:r>
      <w:proofErr w:type="spellStart"/>
      <w:r w:rsidRPr="00F50744">
        <w:rPr>
          <w:rFonts w:ascii="Lato" w:hAnsi="Lato" w:cs="Arial"/>
          <w:i/>
          <w:iCs/>
          <w:spacing w:val="4"/>
          <w:sz w:val="22"/>
          <w:szCs w:val="22"/>
        </w:rPr>
        <w:t>u.i.s.p</w:t>
      </w:r>
      <w:proofErr w:type="spellEnd"/>
      <w:r w:rsidRPr="00F50744">
        <w:rPr>
          <w:rFonts w:ascii="Lato" w:hAnsi="Lato" w:cs="Arial"/>
          <w:i/>
          <w:iCs/>
          <w:spacing w:val="4"/>
          <w:sz w:val="22"/>
          <w:szCs w:val="22"/>
        </w:rPr>
        <w:t>.</w:t>
      </w:r>
      <w:r w:rsidR="001465D1" w:rsidRPr="00F50744">
        <w:rPr>
          <w:rFonts w:ascii="Lato" w:hAnsi="Lato" w:cs="Arial"/>
          <w:i/>
          <w:iCs/>
          <w:spacing w:val="4"/>
          <w:sz w:val="22"/>
          <w:szCs w:val="22"/>
        </w:rPr>
        <w:t xml:space="preserve">, </w:t>
      </w:r>
      <w:r w:rsidR="001465D1" w:rsidRPr="00F50744">
        <w:rPr>
          <w:rFonts w:ascii="Lato" w:hAnsi="Lato" w:cs="Arial"/>
          <w:spacing w:val="4"/>
          <w:sz w:val="22"/>
          <w:szCs w:val="22"/>
        </w:rPr>
        <w:t xml:space="preserve">na </w:t>
      </w:r>
      <w:r w:rsidR="004252F8">
        <w:rPr>
          <w:rFonts w:ascii="Lato" w:hAnsi="Lato" w:cs="Arial"/>
          <w:spacing w:val="4"/>
          <w:sz w:val="22"/>
          <w:szCs w:val="22"/>
        </w:rPr>
        <w:t>rzecz i</w:t>
      </w:r>
      <w:r w:rsidR="001465D1" w:rsidRPr="00F50744">
        <w:rPr>
          <w:rFonts w:ascii="Lato" w:hAnsi="Lato" w:cs="Arial"/>
          <w:spacing w:val="4"/>
          <w:sz w:val="22"/>
          <w:szCs w:val="22"/>
        </w:rPr>
        <w:t>nwestora tj. Polskich Sieci Elektroenergetycznych S.A. z siedzibą w Konstancinie-Jeziornej</w:t>
      </w:r>
      <w:r w:rsidR="006A7C21" w:rsidRPr="00F50744">
        <w:rPr>
          <w:rFonts w:ascii="Lato" w:hAnsi="Lato" w:cs="Arial"/>
          <w:spacing w:val="4"/>
          <w:sz w:val="22"/>
          <w:szCs w:val="22"/>
        </w:rPr>
        <w:t>”</w:t>
      </w:r>
      <w:r w:rsidR="00447645" w:rsidRPr="00F50744">
        <w:rPr>
          <w:rFonts w:ascii="Lato" w:hAnsi="Lato" w:cs="Arial"/>
          <w:spacing w:val="4"/>
          <w:sz w:val="22"/>
          <w:szCs w:val="22"/>
        </w:rPr>
        <w:t>,</w:t>
      </w:r>
    </w:p>
    <w:p w14:paraId="79039B35" w14:textId="5113DB32" w:rsidR="00447645" w:rsidRPr="00F50744" w:rsidRDefault="00447645" w:rsidP="00FF1046">
      <w:pPr>
        <w:pStyle w:val="Akapitzlist"/>
        <w:numPr>
          <w:ilvl w:val="0"/>
          <w:numId w:val="5"/>
        </w:numPr>
        <w:spacing w:after="240" w:line="240" w:lineRule="exact"/>
        <w:ind w:left="567" w:hanging="425"/>
        <w:contextualSpacing w:val="0"/>
        <w:jc w:val="both"/>
        <w:rPr>
          <w:rFonts w:ascii="Lato" w:hAnsi="Lato" w:cs="Arial"/>
          <w:bCs/>
          <w:spacing w:val="4"/>
          <w:sz w:val="22"/>
          <w:szCs w:val="22"/>
        </w:rPr>
      </w:pPr>
      <w:bookmarkStart w:id="7" w:name="_Hlk188363349"/>
      <w:r w:rsidRPr="00F50744">
        <w:rPr>
          <w:rFonts w:ascii="Lato" w:hAnsi="Lato" w:cs="Arial"/>
          <w:spacing w:val="4"/>
          <w:sz w:val="22"/>
          <w:szCs w:val="22"/>
        </w:rPr>
        <w:t>ustalenie w miejsce uchylenia,</w:t>
      </w:r>
      <w:r w:rsidRPr="00F50744">
        <w:rPr>
          <w:rFonts w:ascii="Lato" w:hAnsi="Lato" w:cs="Arial"/>
          <w:bCs/>
          <w:spacing w:val="4"/>
          <w:sz w:val="22"/>
          <w:szCs w:val="22"/>
        </w:rPr>
        <w:t xml:space="preserve"> na stronie </w:t>
      </w:r>
      <w:r w:rsidR="00F34DC3" w:rsidRPr="00F50744">
        <w:rPr>
          <w:rFonts w:ascii="Lato" w:hAnsi="Lato" w:cs="Arial"/>
          <w:bCs/>
          <w:spacing w:val="4"/>
          <w:sz w:val="22"/>
          <w:szCs w:val="22"/>
        </w:rPr>
        <w:t>5</w:t>
      </w:r>
      <w:r w:rsidRPr="00F50744">
        <w:rPr>
          <w:rFonts w:ascii="Lato" w:hAnsi="Lato" w:cs="Arial"/>
          <w:bCs/>
          <w:spacing w:val="4"/>
          <w:sz w:val="22"/>
          <w:szCs w:val="22"/>
        </w:rPr>
        <w:t>,</w:t>
      </w:r>
      <w:r w:rsidR="008A4F7F" w:rsidRPr="00F50744">
        <w:rPr>
          <w:rFonts w:ascii="Lato" w:hAnsi="Lato" w:cs="Arial"/>
          <w:bCs/>
          <w:spacing w:val="4"/>
          <w:sz w:val="22"/>
          <w:szCs w:val="22"/>
        </w:rPr>
        <w:t xml:space="preserve"> w wierszach </w:t>
      </w:r>
      <w:r w:rsidR="008A4F7F" w:rsidRPr="00F50744">
        <w:rPr>
          <w:rFonts w:ascii="Lato" w:hAnsi="Lato" w:cs="Arial"/>
          <w:bCs/>
          <w:spacing w:val="4"/>
          <w:sz w:val="22"/>
          <w:szCs w:val="22"/>
          <w:lang w:val="pl-PL"/>
        </w:rPr>
        <w:t>od 23-26, licząc od góry strony,</w:t>
      </w:r>
      <w:r w:rsidRPr="00F50744">
        <w:rPr>
          <w:rFonts w:ascii="Lato" w:hAnsi="Lato" w:cs="Arial"/>
          <w:bCs/>
          <w:spacing w:val="4"/>
          <w:sz w:val="22"/>
          <w:szCs w:val="22"/>
        </w:rPr>
        <w:t xml:space="preserve"> nowego zapisu:</w:t>
      </w:r>
    </w:p>
    <w:bookmarkEnd w:id="7"/>
    <w:p w14:paraId="7490D415" w14:textId="258C6BE2" w:rsidR="006D27A6" w:rsidRPr="00F50744" w:rsidRDefault="00F34DC3" w:rsidP="00FF1046">
      <w:pPr>
        <w:pStyle w:val="Akapitzlist"/>
        <w:spacing w:after="240" w:line="240" w:lineRule="exact"/>
        <w:ind w:left="567"/>
        <w:contextualSpacing w:val="0"/>
        <w:jc w:val="both"/>
        <w:rPr>
          <w:rFonts w:ascii="Lato" w:hAnsi="Lato" w:cs="Arial"/>
          <w:bCs/>
          <w:spacing w:val="4"/>
          <w:sz w:val="22"/>
          <w:szCs w:val="22"/>
        </w:rPr>
      </w:pPr>
      <w:r w:rsidRPr="00F50744">
        <w:rPr>
          <w:rFonts w:ascii="Lato" w:hAnsi="Lato" w:cs="Arial"/>
          <w:bCs/>
          <w:spacing w:val="4"/>
          <w:sz w:val="22"/>
          <w:szCs w:val="22"/>
        </w:rPr>
        <w:t>“</w:t>
      </w:r>
      <w:r w:rsidR="006D27A6" w:rsidRPr="00F50744">
        <w:rPr>
          <w:rFonts w:ascii="Lato" w:hAnsi="Lato" w:cs="Arial"/>
          <w:bCs/>
          <w:spacing w:val="4"/>
          <w:sz w:val="22"/>
          <w:szCs w:val="22"/>
        </w:rPr>
        <w:t>Niniejsza decyzja o ustaleniu lokalizacji strategiczn</w:t>
      </w:r>
      <w:r w:rsidR="00517C6B">
        <w:rPr>
          <w:rFonts w:ascii="Lato" w:hAnsi="Lato" w:cs="Arial"/>
          <w:bCs/>
          <w:spacing w:val="4"/>
          <w:sz w:val="22"/>
          <w:szCs w:val="22"/>
        </w:rPr>
        <w:t>ej</w:t>
      </w:r>
      <w:r w:rsidR="006D27A6" w:rsidRPr="00F50744">
        <w:rPr>
          <w:rFonts w:ascii="Lato" w:hAnsi="Lato" w:cs="Arial"/>
          <w:bCs/>
          <w:spacing w:val="4"/>
          <w:sz w:val="22"/>
          <w:szCs w:val="22"/>
        </w:rPr>
        <w:t xml:space="preserve"> inwestycji w zakresie sieci przesyłowej</w:t>
      </w:r>
      <w:r w:rsidR="008A4F7F" w:rsidRPr="00F50744">
        <w:rPr>
          <w:rFonts w:ascii="Lato" w:hAnsi="Lato" w:cs="Arial"/>
          <w:bCs/>
          <w:spacing w:val="4"/>
          <w:sz w:val="22"/>
          <w:szCs w:val="22"/>
        </w:rPr>
        <w:t>,</w:t>
      </w:r>
      <w:r w:rsidR="006D27A6" w:rsidRPr="00F50744">
        <w:rPr>
          <w:rFonts w:ascii="Lato" w:hAnsi="Lato" w:cs="Arial"/>
          <w:bCs/>
          <w:spacing w:val="4"/>
          <w:sz w:val="22"/>
          <w:szCs w:val="22"/>
        </w:rPr>
        <w:t xml:space="preserve"> z dn</w:t>
      </w:r>
      <w:r w:rsidR="002A0292" w:rsidRPr="00F50744">
        <w:rPr>
          <w:rFonts w:ascii="Lato" w:hAnsi="Lato" w:cs="Arial"/>
          <w:bCs/>
          <w:spacing w:val="4"/>
          <w:sz w:val="22"/>
          <w:szCs w:val="22"/>
        </w:rPr>
        <w:t>iem</w:t>
      </w:r>
      <w:r w:rsidR="006D27A6" w:rsidRPr="00F50744">
        <w:rPr>
          <w:rFonts w:ascii="Lato" w:hAnsi="Lato" w:cs="Arial"/>
          <w:bCs/>
          <w:spacing w:val="4"/>
          <w:sz w:val="22"/>
          <w:szCs w:val="22"/>
        </w:rPr>
        <w:t xml:space="preserve"> w którym stanie się ostateczna, stanowić będzie podstawę </w:t>
      </w:r>
      <w:r w:rsidR="00B07F1D">
        <w:rPr>
          <w:rFonts w:ascii="Lato" w:hAnsi="Lato" w:cs="Arial"/>
          <w:bCs/>
          <w:spacing w:val="4"/>
          <w:sz w:val="22"/>
          <w:szCs w:val="22"/>
        </w:rPr>
        <w:br/>
      </w:r>
      <w:r w:rsidR="006D27A6" w:rsidRPr="00F50744">
        <w:rPr>
          <w:rFonts w:ascii="Lato" w:hAnsi="Lato" w:cs="Arial"/>
          <w:bCs/>
          <w:spacing w:val="4"/>
          <w:sz w:val="22"/>
          <w:szCs w:val="22"/>
        </w:rPr>
        <w:t xml:space="preserve">do dokonania wpisów </w:t>
      </w:r>
      <w:r w:rsidR="009352CF" w:rsidRPr="00F50744">
        <w:rPr>
          <w:rFonts w:ascii="Lato" w:hAnsi="Lato" w:cs="Arial"/>
          <w:bCs/>
          <w:spacing w:val="4"/>
          <w:sz w:val="22"/>
          <w:szCs w:val="22"/>
        </w:rPr>
        <w:t>w</w:t>
      </w:r>
      <w:r w:rsidR="006D27A6" w:rsidRPr="00F50744">
        <w:rPr>
          <w:rFonts w:ascii="Lato" w:hAnsi="Lato" w:cs="Arial"/>
          <w:bCs/>
          <w:spacing w:val="4"/>
          <w:sz w:val="22"/>
          <w:szCs w:val="22"/>
        </w:rPr>
        <w:t xml:space="preserve"> księg</w:t>
      </w:r>
      <w:r w:rsidR="009352CF" w:rsidRPr="00F50744">
        <w:rPr>
          <w:rFonts w:ascii="Lato" w:hAnsi="Lato" w:cs="Arial"/>
          <w:bCs/>
          <w:spacing w:val="4"/>
          <w:sz w:val="22"/>
          <w:szCs w:val="22"/>
        </w:rPr>
        <w:t>ach</w:t>
      </w:r>
      <w:r w:rsidR="006D27A6" w:rsidRPr="00F50744">
        <w:rPr>
          <w:rFonts w:ascii="Lato" w:hAnsi="Lato" w:cs="Arial"/>
          <w:bCs/>
          <w:spacing w:val="4"/>
          <w:sz w:val="22"/>
          <w:szCs w:val="22"/>
        </w:rPr>
        <w:t xml:space="preserve"> wieczyst</w:t>
      </w:r>
      <w:r w:rsidR="00517C6B">
        <w:rPr>
          <w:rFonts w:ascii="Lato" w:hAnsi="Lato" w:cs="Arial"/>
          <w:bCs/>
          <w:spacing w:val="4"/>
          <w:sz w:val="22"/>
          <w:szCs w:val="22"/>
        </w:rPr>
        <w:t>ych</w:t>
      </w:r>
      <w:r w:rsidR="006D27A6" w:rsidRPr="00F50744">
        <w:rPr>
          <w:rFonts w:ascii="Lato" w:hAnsi="Lato" w:cs="Arial"/>
          <w:bCs/>
          <w:spacing w:val="4"/>
          <w:sz w:val="22"/>
          <w:szCs w:val="22"/>
        </w:rPr>
        <w:t xml:space="preserve"> ww. </w:t>
      </w:r>
      <w:r w:rsidR="00517C6B">
        <w:rPr>
          <w:rFonts w:ascii="Lato" w:hAnsi="Lato" w:cs="Arial"/>
          <w:bCs/>
          <w:spacing w:val="4"/>
          <w:sz w:val="22"/>
          <w:szCs w:val="22"/>
        </w:rPr>
        <w:t xml:space="preserve">ograniczeń na rzecz </w:t>
      </w:r>
      <w:r w:rsidR="006D27A6" w:rsidRPr="00F50744">
        <w:rPr>
          <w:rFonts w:ascii="Lato" w:hAnsi="Lato" w:cs="Arial"/>
          <w:bCs/>
          <w:spacing w:val="4"/>
          <w:sz w:val="22"/>
          <w:szCs w:val="22"/>
        </w:rPr>
        <w:t>Polski</w:t>
      </w:r>
      <w:r w:rsidR="00517C6B">
        <w:rPr>
          <w:rFonts w:ascii="Lato" w:hAnsi="Lato" w:cs="Arial"/>
          <w:bCs/>
          <w:spacing w:val="4"/>
          <w:sz w:val="22"/>
          <w:szCs w:val="22"/>
        </w:rPr>
        <w:t>ch</w:t>
      </w:r>
      <w:r w:rsidR="006D27A6" w:rsidRPr="00F50744">
        <w:rPr>
          <w:rFonts w:ascii="Lato" w:hAnsi="Lato" w:cs="Arial"/>
          <w:bCs/>
          <w:spacing w:val="4"/>
          <w:sz w:val="22"/>
          <w:szCs w:val="22"/>
        </w:rPr>
        <w:t xml:space="preserve"> Sieci Elektroenergetyczn</w:t>
      </w:r>
      <w:r w:rsidR="00517C6B">
        <w:rPr>
          <w:rFonts w:ascii="Lato" w:hAnsi="Lato" w:cs="Arial"/>
          <w:bCs/>
          <w:spacing w:val="4"/>
          <w:sz w:val="22"/>
          <w:szCs w:val="22"/>
        </w:rPr>
        <w:t>ych</w:t>
      </w:r>
      <w:r w:rsidR="006D27A6" w:rsidRPr="00F50744">
        <w:rPr>
          <w:rFonts w:ascii="Lato" w:hAnsi="Lato" w:cs="Arial"/>
          <w:bCs/>
          <w:spacing w:val="4"/>
          <w:sz w:val="22"/>
          <w:szCs w:val="22"/>
        </w:rPr>
        <w:t xml:space="preserve"> S.A. oraz Energa-Operator S.A. (art. 12 ust. </w:t>
      </w:r>
      <w:r w:rsidR="007B7C6A" w:rsidRPr="00F50744">
        <w:rPr>
          <w:rFonts w:ascii="Lato" w:hAnsi="Lato" w:cs="Arial"/>
          <w:bCs/>
          <w:spacing w:val="4"/>
          <w:sz w:val="22"/>
          <w:szCs w:val="22"/>
        </w:rPr>
        <w:t>1</w:t>
      </w:r>
      <w:r w:rsidR="006D27A6" w:rsidRPr="00F50744">
        <w:rPr>
          <w:rFonts w:ascii="Lato" w:hAnsi="Lato" w:cs="Arial"/>
          <w:bCs/>
          <w:spacing w:val="4"/>
          <w:sz w:val="22"/>
          <w:szCs w:val="22"/>
        </w:rPr>
        <w:t xml:space="preserve"> </w:t>
      </w:r>
      <w:proofErr w:type="spellStart"/>
      <w:r w:rsidR="006D27A6" w:rsidRPr="00F50744">
        <w:rPr>
          <w:rFonts w:ascii="Lato" w:hAnsi="Lato" w:cs="Arial"/>
          <w:bCs/>
          <w:i/>
          <w:iCs/>
          <w:spacing w:val="4"/>
          <w:sz w:val="22"/>
          <w:szCs w:val="22"/>
        </w:rPr>
        <w:t>u.i.s.p</w:t>
      </w:r>
      <w:proofErr w:type="spellEnd"/>
      <w:r w:rsidR="006D27A6" w:rsidRPr="00F50744">
        <w:rPr>
          <w:rFonts w:ascii="Lato" w:hAnsi="Lato" w:cs="Arial"/>
          <w:bCs/>
          <w:i/>
          <w:iCs/>
          <w:spacing w:val="4"/>
          <w:sz w:val="22"/>
          <w:szCs w:val="22"/>
        </w:rPr>
        <w:t>.</w:t>
      </w:r>
      <w:r w:rsidR="006D27A6" w:rsidRPr="00F50744">
        <w:rPr>
          <w:rFonts w:ascii="Lato" w:hAnsi="Lato" w:cs="Arial"/>
          <w:bCs/>
          <w:spacing w:val="4"/>
          <w:sz w:val="22"/>
          <w:szCs w:val="22"/>
        </w:rPr>
        <w:t>)</w:t>
      </w:r>
      <w:r w:rsidR="000B5A5F" w:rsidRPr="00F50744">
        <w:rPr>
          <w:rFonts w:ascii="Lato" w:hAnsi="Lato" w:cs="Arial"/>
          <w:bCs/>
          <w:spacing w:val="4"/>
          <w:sz w:val="22"/>
          <w:szCs w:val="22"/>
        </w:rPr>
        <w:t>.”</w:t>
      </w:r>
      <w:r w:rsidR="001214C8" w:rsidRPr="00F50744">
        <w:rPr>
          <w:rFonts w:ascii="Lato" w:hAnsi="Lato" w:cs="Arial"/>
          <w:bCs/>
          <w:spacing w:val="4"/>
          <w:sz w:val="22"/>
          <w:szCs w:val="22"/>
        </w:rPr>
        <w:t>,</w:t>
      </w:r>
    </w:p>
    <w:p w14:paraId="45A0A0A4" w14:textId="5DAADF7D" w:rsidR="00F163C7" w:rsidRPr="00F50744" w:rsidRDefault="00F163C7" w:rsidP="00FF1046">
      <w:pPr>
        <w:pStyle w:val="Akapitzlist"/>
        <w:numPr>
          <w:ilvl w:val="0"/>
          <w:numId w:val="5"/>
        </w:numPr>
        <w:spacing w:after="240" w:line="240" w:lineRule="exact"/>
        <w:ind w:left="567" w:hanging="425"/>
        <w:contextualSpacing w:val="0"/>
        <w:jc w:val="both"/>
        <w:rPr>
          <w:rFonts w:ascii="Lato" w:hAnsi="Lato" w:cs="Arial"/>
          <w:b/>
          <w:i/>
          <w:iCs/>
          <w:spacing w:val="4"/>
          <w:sz w:val="22"/>
          <w:szCs w:val="22"/>
          <w:u w:val="single"/>
        </w:rPr>
      </w:pPr>
      <w:bookmarkStart w:id="8" w:name="_Hlk188363541"/>
      <w:r w:rsidRPr="00F50744">
        <w:rPr>
          <w:rFonts w:ascii="Lato" w:hAnsi="Lato" w:cs="Arial"/>
          <w:spacing w:val="4"/>
          <w:sz w:val="22"/>
          <w:szCs w:val="22"/>
        </w:rPr>
        <w:t>ustalenie w miejsce uchylenia,</w:t>
      </w:r>
      <w:r w:rsidRPr="00F50744">
        <w:rPr>
          <w:rFonts w:ascii="Lato" w:hAnsi="Lato" w:cs="Arial"/>
          <w:bCs/>
          <w:spacing w:val="4"/>
          <w:sz w:val="22"/>
          <w:szCs w:val="22"/>
        </w:rPr>
        <w:t xml:space="preserve"> </w:t>
      </w:r>
      <w:r w:rsidR="002A0292" w:rsidRPr="00F50744">
        <w:rPr>
          <w:rFonts w:ascii="Lato" w:hAnsi="Lato" w:cs="Arial"/>
          <w:bCs/>
          <w:spacing w:val="4"/>
          <w:sz w:val="22"/>
          <w:szCs w:val="22"/>
          <w:lang w:val="pl-PL"/>
        </w:rPr>
        <w:t>na stronie 5, w wierszach 29-31</w:t>
      </w:r>
      <w:r w:rsidRPr="00F50744">
        <w:rPr>
          <w:rFonts w:ascii="Lato" w:hAnsi="Lato" w:cs="Arial"/>
          <w:bCs/>
          <w:spacing w:val="4"/>
          <w:sz w:val="22"/>
          <w:szCs w:val="22"/>
        </w:rPr>
        <w:t>, nowego zapisu:</w:t>
      </w:r>
      <w:bookmarkEnd w:id="8"/>
    </w:p>
    <w:p w14:paraId="53F5C503" w14:textId="14F06DB8" w:rsidR="00F163C7" w:rsidRPr="00F50744" w:rsidRDefault="002A0292" w:rsidP="00FF1046">
      <w:pPr>
        <w:pStyle w:val="Akapitzlist"/>
        <w:spacing w:after="240" w:line="240" w:lineRule="exact"/>
        <w:ind w:left="567"/>
        <w:contextualSpacing w:val="0"/>
        <w:jc w:val="both"/>
        <w:rPr>
          <w:rFonts w:ascii="Lato" w:hAnsi="Lato" w:cs="Arial"/>
          <w:bCs/>
          <w:spacing w:val="4"/>
          <w:sz w:val="22"/>
          <w:szCs w:val="22"/>
        </w:rPr>
      </w:pPr>
      <w:r w:rsidRPr="00F50744">
        <w:rPr>
          <w:rFonts w:ascii="Lato" w:hAnsi="Lato" w:cs="Arial"/>
          <w:bCs/>
          <w:spacing w:val="4"/>
          <w:sz w:val="22"/>
          <w:szCs w:val="22"/>
        </w:rPr>
        <w:t>“</w:t>
      </w:r>
      <w:r w:rsidR="00F163C7" w:rsidRPr="00F50744">
        <w:rPr>
          <w:rFonts w:ascii="Lato" w:hAnsi="Lato" w:cs="Arial"/>
          <w:bCs/>
          <w:spacing w:val="4"/>
          <w:sz w:val="22"/>
          <w:szCs w:val="22"/>
        </w:rPr>
        <w:t>Energa-Operator S.A. z siedzibą w Gdańsku, ul. Marynarki Polskiej 130, 80-557 Gdańsk KRS 000033455.</w:t>
      </w:r>
      <w:r w:rsidR="001214C8" w:rsidRPr="00F50744">
        <w:rPr>
          <w:rFonts w:ascii="Lato" w:hAnsi="Lato" w:cs="Arial"/>
          <w:bCs/>
          <w:spacing w:val="4"/>
          <w:sz w:val="22"/>
          <w:szCs w:val="22"/>
        </w:rPr>
        <w:t>”,</w:t>
      </w:r>
    </w:p>
    <w:p w14:paraId="3C11D7E2" w14:textId="5DA485B9" w:rsidR="00F163C7" w:rsidRPr="00F50744" w:rsidRDefault="00F163C7" w:rsidP="00FF1046">
      <w:pPr>
        <w:pStyle w:val="Akapitzlist"/>
        <w:numPr>
          <w:ilvl w:val="0"/>
          <w:numId w:val="5"/>
        </w:numPr>
        <w:spacing w:after="240" w:line="240" w:lineRule="exact"/>
        <w:ind w:left="567" w:hanging="425"/>
        <w:contextualSpacing w:val="0"/>
        <w:jc w:val="both"/>
        <w:rPr>
          <w:rFonts w:ascii="Lato" w:hAnsi="Lato" w:cs="Arial"/>
          <w:bCs/>
          <w:spacing w:val="4"/>
          <w:sz w:val="22"/>
          <w:szCs w:val="22"/>
        </w:rPr>
      </w:pPr>
      <w:r w:rsidRPr="00F50744">
        <w:rPr>
          <w:rFonts w:ascii="Lato" w:hAnsi="Lato" w:cs="Arial"/>
          <w:spacing w:val="4"/>
          <w:sz w:val="22"/>
          <w:szCs w:val="22"/>
        </w:rPr>
        <w:t>ustalenie w miejsce uchylenia,</w:t>
      </w:r>
      <w:r w:rsidRPr="00F50744">
        <w:rPr>
          <w:rFonts w:ascii="Lato" w:hAnsi="Lato" w:cs="Arial"/>
          <w:bCs/>
          <w:spacing w:val="4"/>
          <w:sz w:val="22"/>
          <w:szCs w:val="22"/>
        </w:rPr>
        <w:t xml:space="preserve"> </w:t>
      </w:r>
      <w:r w:rsidR="002A0292" w:rsidRPr="00F50744">
        <w:rPr>
          <w:rFonts w:ascii="Lato" w:hAnsi="Lato" w:cs="Arial"/>
          <w:bCs/>
          <w:spacing w:val="4"/>
          <w:sz w:val="22"/>
          <w:szCs w:val="22"/>
        </w:rPr>
        <w:t xml:space="preserve">na stronie </w:t>
      </w:r>
      <w:r w:rsidR="002A0292" w:rsidRPr="00F50744">
        <w:rPr>
          <w:rFonts w:ascii="Lato" w:hAnsi="Lato" w:cs="Arial"/>
          <w:bCs/>
          <w:spacing w:val="4"/>
          <w:sz w:val="22"/>
          <w:szCs w:val="22"/>
          <w:lang w:val="pl-PL"/>
        </w:rPr>
        <w:t>6, w wierszach 6-7</w:t>
      </w:r>
      <w:r w:rsidRPr="00F50744">
        <w:rPr>
          <w:rFonts w:ascii="Lato" w:hAnsi="Lato" w:cs="Arial"/>
          <w:bCs/>
          <w:spacing w:val="4"/>
          <w:sz w:val="22"/>
          <w:szCs w:val="22"/>
        </w:rPr>
        <w:t>, nowego zapisu:</w:t>
      </w:r>
    </w:p>
    <w:p w14:paraId="736752A2" w14:textId="6B18EF70" w:rsidR="005375C1" w:rsidRPr="00F50744" w:rsidRDefault="002A0292" w:rsidP="00FF1046">
      <w:pPr>
        <w:pStyle w:val="Akapitzlist"/>
        <w:spacing w:after="240" w:line="240" w:lineRule="exact"/>
        <w:ind w:left="567"/>
        <w:contextualSpacing w:val="0"/>
        <w:jc w:val="both"/>
        <w:rPr>
          <w:rFonts w:ascii="Lato" w:hAnsi="Lato" w:cs="Arial"/>
          <w:bCs/>
          <w:spacing w:val="4"/>
          <w:sz w:val="22"/>
          <w:szCs w:val="22"/>
        </w:rPr>
      </w:pPr>
      <w:r w:rsidRPr="00F50744">
        <w:rPr>
          <w:rFonts w:ascii="Lato" w:hAnsi="Lato" w:cs="Arial"/>
          <w:bCs/>
          <w:spacing w:val="4"/>
          <w:sz w:val="22"/>
          <w:szCs w:val="22"/>
        </w:rPr>
        <w:t xml:space="preserve">“- </w:t>
      </w:r>
      <w:r w:rsidR="005375C1" w:rsidRPr="00F50744">
        <w:rPr>
          <w:rFonts w:ascii="Lato" w:hAnsi="Lato" w:cs="Arial"/>
          <w:bCs/>
          <w:spacing w:val="4"/>
          <w:sz w:val="22"/>
          <w:szCs w:val="22"/>
        </w:rPr>
        <w:t xml:space="preserve">nakaz </w:t>
      </w:r>
      <w:r w:rsidR="009352CF" w:rsidRPr="00F50744">
        <w:rPr>
          <w:rFonts w:ascii="Lato" w:hAnsi="Lato" w:cs="Arial"/>
          <w:bCs/>
          <w:spacing w:val="4"/>
          <w:sz w:val="22"/>
          <w:szCs w:val="22"/>
        </w:rPr>
        <w:t>uzg</w:t>
      </w:r>
      <w:r w:rsidR="00517C6B">
        <w:rPr>
          <w:rFonts w:ascii="Lato" w:hAnsi="Lato" w:cs="Arial"/>
          <w:bCs/>
          <w:spacing w:val="4"/>
          <w:sz w:val="22"/>
          <w:szCs w:val="22"/>
        </w:rPr>
        <w:t>adniania</w:t>
      </w:r>
      <w:r w:rsidR="009352CF" w:rsidRPr="00F50744">
        <w:rPr>
          <w:rFonts w:ascii="Lato" w:hAnsi="Lato" w:cs="Arial"/>
          <w:bCs/>
          <w:spacing w:val="4"/>
          <w:sz w:val="22"/>
          <w:szCs w:val="22"/>
        </w:rPr>
        <w:t xml:space="preserve"> lokalizacji obiektów budowalnych</w:t>
      </w:r>
      <w:r w:rsidR="005375C1" w:rsidRPr="00F50744">
        <w:rPr>
          <w:rFonts w:ascii="Lato" w:hAnsi="Lato" w:cs="Arial"/>
          <w:bCs/>
          <w:spacing w:val="4"/>
          <w:sz w:val="22"/>
          <w:szCs w:val="22"/>
        </w:rPr>
        <w:t xml:space="preserve"> z</w:t>
      </w:r>
      <w:r w:rsidR="009352CF" w:rsidRPr="00F50744">
        <w:rPr>
          <w:rFonts w:ascii="Lato" w:hAnsi="Lato" w:cs="Arial"/>
          <w:bCs/>
          <w:spacing w:val="4"/>
          <w:sz w:val="22"/>
          <w:szCs w:val="22"/>
        </w:rPr>
        <w:t xml:space="preserve"> Polskimi Sieciami Elektroenergetycznymi S.A.</w:t>
      </w:r>
      <w:r w:rsidR="00AD62B5">
        <w:rPr>
          <w:rFonts w:ascii="Lato" w:hAnsi="Lato" w:cs="Arial"/>
          <w:bCs/>
          <w:spacing w:val="4"/>
          <w:sz w:val="22"/>
          <w:szCs w:val="22"/>
        </w:rPr>
        <w:t xml:space="preserve"> </w:t>
      </w:r>
      <w:r w:rsidR="009352CF" w:rsidRPr="00F50744">
        <w:rPr>
          <w:rFonts w:ascii="Lato" w:hAnsi="Lato" w:cs="Arial"/>
          <w:bCs/>
          <w:spacing w:val="4"/>
          <w:sz w:val="22"/>
          <w:szCs w:val="22"/>
        </w:rPr>
        <w:t xml:space="preserve">w odniesieniu </w:t>
      </w:r>
      <w:r w:rsidR="00E96AA1" w:rsidRPr="00F50744">
        <w:rPr>
          <w:rFonts w:ascii="Lato" w:hAnsi="Lato" w:cs="Arial"/>
          <w:bCs/>
          <w:spacing w:val="4"/>
          <w:sz w:val="22"/>
          <w:szCs w:val="22"/>
        </w:rPr>
        <w:t xml:space="preserve">do nieruchomości określonych </w:t>
      </w:r>
      <w:r w:rsidR="00E96AA1" w:rsidRPr="00F50744">
        <w:rPr>
          <w:rFonts w:ascii="Lato" w:hAnsi="Lato" w:cs="Arial"/>
          <w:bCs/>
          <w:spacing w:val="4"/>
          <w:sz w:val="22"/>
          <w:szCs w:val="22"/>
        </w:rPr>
        <w:br/>
        <w:t xml:space="preserve">w punkcie IX w granicach obszarów oznaczonych na załączniku nr 1 szrafem koloru niebieskiego </w:t>
      </w:r>
      <w:r w:rsidR="009352CF" w:rsidRPr="00F50744">
        <w:rPr>
          <w:rFonts w:ascii="Lato" w:hAnsi="Lato" w:cs="Arial"/>
          <w:bCs/>
          <w:spacing w:val="4"/>
          <w:sz w:val="22"/>
          <w:szCs w:val="22"/>
        </w:rPr>
        <w:t>oraz</w:t>
      </w:r>
      <w:r w:rsidR="005375C1" w:rsidRPr="00F50744">
        <w:rPr>
          <w:rFonts w:ascii="Lato" w:hAnsi="Lato" w:cs="Arial"/>
          <w:bCs/>
          <w:spacing w:val="4"/>
          <w:sz w:val="22"/>
          <w:szCs w:val="22"/>
        </w:rPr>
        <w:t xml:space="preserve"> </w:t>
      </w:r>
      <w:r w:rsidR="001372BA">
        <w:rPr>
          <w:rFonts w:ascii="Lato" w:hAnsi="Lato" w:cs="Arial"/>
          <w:bCs/>
          <w:spacing w:val="4"/>
          <w:sz w:val="22"/>
          <w:szCs w:val="22"/>
        </w:rPr>
        <w:t xml:space="preserve">z </w:t>
      </w:r>
      <w:r w:rsidR="005375C1" w:rsidRPr="00F50744">
        <w:rPr>
          <w:rFonts w:ascii="Lato" w:hAnsi="Lato" w:cs="Arial"/>
          <w:bCs/>
          <w:spacing w:val="4"/>
          <w:sz w:val="22"/>
          <w:szCs w:val="22"/>
        </w:rPr>
        <w:t>Energa-Operator S.A. z siedzibą w Gdańsku</w:t>
      </w:r>
      <w:r w:rsidR="00F16221">
        <w:rPr>
          <w:rFonts w:ascii="Lato" w:hAnsi="Lato" w:cs="Arial"/>
          <w:bCs/>
          <w:spacing w:val="4"/>
          <w:sz w:val="22"/>
          <w:szCs w:val="22"/>
        </w:rPr>
        <w:t xml:space="preserve">, </w:t>
      </w:r>
      <w:r w:rsidR="00E96AA1" w:rsidRPr="00F50744">
        <w:rPr>
          <w:rFonts w:ascii="Lato" w:hAnsi="Lato" w:cs="Arial"/>
          <w:bCs/>
          <w:spacing w:val="4"/>
          <w:sz w:val="22"/>
          <w:szCs w:val="22"/>
        </w:rPr>
        <w:t xml:space="preserve">w odniesieniu  </w:t>
      </w:r>
      <w:r w:rsidR="00FF1046">
        <w:rPr>
          <w:rFonts w:ascii="Lato" w:hAnsi="Lato" w:cs="Arial"/>
          <w:bCs/>
          <w:spacing w:val="4"/>
          <w:sz w:val="22"/>
          <w:szCs w:val="22"/>
        </w:rPr>
        <w:br/>
      </w:r>
      <w:r w:rsidR="00E96AA1" w:rsidRPr="00F50744">
        <w:rPr>
          <w:rFonts w:ascii="Lato" w:hAnsi="Lato" w:cs="Arial"/>
          <w:bCs/>
          <w:spacing w:val="4"/>
          <w:sz w:val="22"/>
          <w:szCs w:val="22"/>
        </w:rPr>
        <w:t>do nieruchomości określonych w punkcie IX</w:t>
      </w:r>
      <w:r w:rsidR="00F16221">
        <w:rPr>
          <w:rFonts w:ascii="Lato" w:hAnsi="Lato" w:cs="Arial"/>
          <w:bCs/>
          <w:spacing w:val="4"/>
          <w:sz w:val="22"/>
          <w:szCs w:val="22"/>
        </w:rPr>
        <w:t>,</w:t>
      </w:r>
      <w:r w:rsidR="00E96AA1" w:rsidRPr="00F50744">
        <w:rPr>
          <w:rFonts w:ascii="Lato" w:hAnsi="Lato" w:cs="Arial"/>
          <w:bCs/>
          <w:spacing w:val="4"/>
          <w:sz w:val="22"/>
          <w:szCs w:val="22"/>
        </w:rPr>
        <w:t xml:space="preserve"> w granicach obszarów oznaczonych na załączniku nr 1 </w:t>
      </w:r>
      <w:r w:rsidR="001372BA">
        <w:rPr>
          <w:rFonts w:ascii="Lato" w:hAnsi="Lato" w:cs="Arial"/>
          <w:bCs/>
          <w:spacing w:val="4"/>
          <w:sz w:val="22"/>
          <w:szCs w:val="22"/>
        </w:rPr>
        <w:t xml:space="preserve">szrafem </w:t>
      </w:r>
      <w:r w:rsidR="00E96AA1" w:rsidRPr="00F50744">
        <w:rPr>
          <w:rFonts w:ascii="Lato" w:hAnsi="Lato" w:cs="Arial"/>
          <w:bCs/>
          <w:spacing w:val="4"/>
          <w:sz w:val="22"/>
          <w:szCs w:val="22"/>
        </w:rPr>
        <w:t>kolor</w:t>
      </w:r>
      <w:r w:rsidR="006725F1">
        <w:rPr>
          <w:rFonts w:ascii="Lato" w:hAnsi="Lato" w:cs="Arial"/>
          <w:bCs/>
          <w:spacing w:val="4"/>
          <w:sz w:val="22"/>
          <w:szCs w:val="22"/>
        </w:rPr>
        <w:t>u</w:t>
      </w:r>
      <w:r w:rsidR="00E96AA1" w:rsidRPr="00F50744">
        <w:rPr>
          <w:rFonts w:ascii="Lato" w:hAnsi="Lato" w:cs="Arial"/>
          <w:bCs/>
          <w:spacing w:val="4"/>
          <w:sz w:val="22"/>
          <w:szCs w:val="22"/>
        </w:rPr>
        <w:t xml:space="preserve"> czerwo</w:t>
      </w:r>
      <w:r w:rsidR="006725F1">
        <w:rPr>
          <w:rFonts w:ascii="Lato" w:hAnsi="Lato" w:cs="Arial"/>
          <w:bCs/>
          <w:spacing w:val="4"/>
          <w:sz w:val="22"/>
          <w:szCs w:val="22"/>
        </w:rPr>
        <w:t>nego</w:t>
      </w:r>
      <w:r w:rsidR="00E96AA1" w:rsidRPr="00F50744">
        <w:rPr>
          <w:rFonts w:ascii="Lato" w:hAnsi="Lato" w:cs="Arial"/>
          <w:bCs/>
          <w:spacing w:val="4"/>
          <w:sz w:val="22"/>
          <w:szCs w:val="22"/>
        </w:rPr>
        <w:t>”,</w:t>
      </w:r>
    </w:p>
    <w:p w14:paraId="0B764EDF" w14:textId="0D3C8012" w:rsidR="000B5A5F" w:rsidRPr="00FF1046" w:rsidRDefault="00FA7973" w:rsidP="00FF1046">
      <w:pPr>
        <w:pStyle w:val="Akapitzlist"/>
        <w:numPr>
          <w:ilvl w:val="0"/>
          <w:numId w:val="30"/>
        </w:numPr>
        <w:spacing w:after="240" w:line="240" w:lineRule="exact"/>
        <w:ind w:left="567" w:hanging="425"/>
        <w:contextualSpacing w:val="0"/>
        <w:jc w:val="both"/>
        <w:rPr>
          <w:rFonts w:ascii="Lato" w:hAnsi="Lato" w:cs="Arial"/>
          <w:bCs/>
          <w:spacing w:val="4"/>
          <w:sz w:val="22"/>
          <w:szCs w:val="22"/>
        </w:rPr>
      </w:pPr>
      <w:r w:rsidRPr="00FF1046">
        <w:rPr>
          <w:rFonts w:ascii="Lato" w:hAnsi="Lato" w:cs="Arial"/>
          <w:bCs/>
          <w:spacing w:val="4"/>
          <w:sz w:val="22"/>
          <w:szCs w:val="22"/>
        </w:rPr>
        <w:t>zatwierdzenie, w miejsce uchylenia</w:t>
      </w:r>
      <w:r w:rsidR="001372BA">
        <w:rPr>
          <w:rFonts w:ascii="Lato" w:hAnsi="Lato" w:cs="Arial"/>
          <w:bCs/>
          <w:spacing w:val="4"/>
          <w:sz w:val="22"/>
          <w:szCs w:val="22"/>
        </w:rPr>
        <w:t xml:space="preserve">, </w:t>
      </w:r>
      <w:r w:rsidRPr="00FF1046">
        <w:rPr>
          <w:rFonts w:ascii="Lato" w:hAnsi="Lato" w:cs="Arial"/>
          <w:bCs/>
          <w:spacing w:val="4"/>
          <w:sz w:val="22"/>
          <w:szCs w:val="22"/>
        </w:rPr>
        <w:t>mapy w skali 1:1000, określając</w:t>
      </w:r>
      <w:r w:rsidR="001372BA">
        <w:rPr>
          <w:rFonts w:ascii="Lato" w:hAnsi="Lato" w:cs="Arial"/>
          <w:bCs/>
          <w:spacing w:val="4"/>
          <w:sz w:val="22"/>
          <w:szCs w:val="22"/>
        </w:rPr>
        <w:t>ej</w:t>
      </w:r>
      <w:r w:rsidRPr="00FF1046">
        <w:rPr>
          <w:rFonts w:ascii="Lato" w:hAnsi="Lato" w:cs="Arial"/>
          <w:bCs/>
          <w:spacing w:val="4"/>
          <w:sz w:val="22"/>
          <w:szCs w:val="22"/>
        </w:rPr>
        <w:t xml:space="preserve"> granice </w:t>
      </w:r>
      <w:r w:rsidR="001372BA">
        <w:rPr>
          <w:rFonts w:ascii="Lato" w:hAnsi="Lato" w:cs="Arial"/>
          <w:bCs/>
          <w:spacing w:val="4"/>
          <w:sz w:val="22"/>
          <w:szCs w:val="22"/>
        </w:rPr>
        <w:t xml:space="preserve">obszaru </w:t>
      </w:r>
      <w:r w:rsidRPr="00FF1046">
        <w:rPr>
          <w:rFonts w:ascii="Lato" w:hAnsi="Lato" w:cs="Arial"/>
          <w:bCs/>
          <w:spacing w:val="4"/>
          <w:sz w:val="22"/>
          <w:szCs w:val="22"/>
        </w:rPr>
        <w:t>objętego</w:t>
      </w:r>
      <w:r w:rsidR="00AD62B5">
        <w:rPr>
          <w:rFonts w:ascii="Lato" w:hAnsi="Lato" w:cs="Arial"/>
          <w:bCs/>
          <w:spacing w:val="4"/>
          <w:sz w:val="22"/>
          <w:szCs w:val="22"/>
        </w:rPr>
        <w:t xml:space="preserve"> </w:t>
      </w:r>
      <w:r w:rsidR="00F16221">
        <w:rPr>
          <w:rFonts w:ascii="Lato" w:hAnsi="Lato" w:cs="Arial"/>
          <w:bCs/>
          <w:spacing w:val="4"/>
          <w:sz w:val="22"/>
          <w:szCs w:val="22"/>
        </w:rPr>
        <w:t>inwestycją</w:t>
      </w:r>
      <w:r w:rsidRPr="00FF1046">
        <w:rPr>
          <w:rFonts w:ascii="Lato" w:hAnsi="Lato" w:cs="Arial"/>
          <w:bCs/>
          <w:spacing w:val="4"/>
          <w:sz w:val="22"/>
          <w:szCs w:val="22"/>
        </w:rPr>
        <w:t>, stanowiąc</w:t>
      </w:r>
      <w:r w:rsidR="001372BA">
        <w:rPr>
          <w:rFonts w:ascii="Lato" w:hAnsi="Lato" w:cs="Arial"/>
          <w:bCs/>
          <w:spacing w:val="4"/>
          <w:sz w:val="22"/>
          <w:szCs w:val="22"/>
        </w:rPr>
        <w:t>ej</w:t>
      </w:r>
      <w:r w:rsidRPr="00FF1046">
        <w:rPr>
          <w:rFonts w:ascii="Lato" w:hAnsi="Lato" w:cs="Arial"/>
          <w:bCs/>
          <w:spacing w:val="4"/>
          <w:sz w:val="22"/>
          <w:szCs w:val="22"/>
        </w:rPr>
        <w:t xml:space="preserve"> załącznik do niniejszej decyzji</w:t>
      </w:r>
      <w:r w:rsidR="004252F8">
        <w:rPr>
          <w:rFonts w:ascii="Lato" w:hAnsi="Lato" w:cs="Arial"/>
          <w:bCs/>
          <w:spacing w:val="4"/>
          <w:sz w:val="22"/>
          <w:szCs w:val="22"/>
        </w:rPr>
        <w:t>.</w:t>
      </w:r>
      <w:r w:rsidRPr="00FF1046">
        <w:rPr>
          <w:rFonts w:ascii="Lato" w:hAnsi="Lato" w:cs="Arial"/>
          <w:bCs/>
          <w:spacing w:val="4"/>
          <w:sz w:val="22"/>
          <w:szCs w:val="22"/>
        </w:rPr>
        <w:t xml:space="preserve"> </w:t>
      </w:r>
    </w:p>
    <w:p w14:paraId="369F62E4" w14:textId="212247A9" w:rsidR="00725003" w:rsidRPr="00F50744" w:rsidRDefault="00FA7973" w:rsidP="00FF1046">
      <w:pPr>
        <w:pStyle w:val="Akapitzlist"/>
        <w:numPr>
          <w:ilvl w:val="0"/>
          <w:numId w:val="27"/>
        </w:numPr>
        <w:spacing w:after="240" w:line="240" w:lineRule="exact"/>
        <w:ind w:left="142" w:firstLine="0"/>
        <w:contextualSpacing w:val="0"/>
        <w:jc w:val="both"/>
        <w:outlineLvl w:val="0"/>
        <w:rPr>
          <w:rFonts w:ascii="Lato" w:eastAsia="Calibri" w:hAnsi="Lato"/>
          <w:bCs/>
          <w:sz w:val="22"/>
          <w:szCs w:val="22"/>
        </w:rPr>
      </w:pPr>
      <w:r w:rsidRPr="00F50744">
        <w:rPr>
          <w:rFonts w:ascii="Lato" w:eastAsia="Calibri" w:hAnsi="Lato"/>
          <w:b/>
          <w:bCs/>
          <w:sz w:val="22"/>
          <w:szCs w:val="22"/>
        </w:rPr>
        <w:t xml:space="preserve">  </w:t>
      </w:r>
      <w:r w:rsidR="00725003" w:rsidRPr="00F50744">
        <w:rPr>
          <w:rFonts w:ascii="Lato" w:eastAsia="Calibri" w:hAnsi="Lato"/>
          <w:b/>
          <w:bCs/>
          <w:sz w:val="22"/>
          <w:szCs w:val="22"/>
        </w:rPr>
        <w:t>W pozostałej części zaskarżoną decyzję utrzymuję w mocy.</w:t>
      </w:r>
    </w:p>
    <w:p w14:paraId="7FC1033B" w14:textId="77777777" w:rsidR="000A6227" w:rsidRPr="00F50744" w:rsidRDefault="000A6227" w:rsidP="00673F98">
      <w:pPr>
        <w:spacing w:after="240" w:line="240" w:lineRule="exact"/>
        <w:outlineLvl w:val="0"/>
        <w:rPr>
          <w:rFonts w:ascii="Lato" w:hAnsi="Lato" w:cs="Arial"/>
          <w:b/>
          <w:bCs/>
          <w:spacing w:val="4"/>
        </w:rPr>
      </w:pPr>
    </w:p>
    <w:p w14:paraId="0A7057C6" w14:textId="77777777" w:rsidR="001A6F82" w:rsidRPr="00F50744" w:rsidRDefault="000A6227" w:rsidP="001A6F82">
      <w:pPr>
        <w:spacing w:after="240" w:line="240" w:lineRule="exact"/>
        <w:jc w:val="center"/>
        <w:outlineLvl w:val="0"/>
        <w:rPr>
          <w:rFonts w:ascii="Lato" w:hAnsi="Lato" w:cs="Arial"/>
          <w:b/>
          <w:bCs/>
          <w:spacing w:val="4"/>
        </w:rPr>
      </w:pPr>
      <w:r w:rsidRPr="00F50744">
        <w:rPr>
          <w:rFonts w:ascii="Lato" w:hAnsi="Lato" w:cs="Arial"/>
          <w:b/>
          <w:bCs/>
          <w:spacing w:val="4"/>
        </w:rPr>
        <w:t>UZASADNIENIE</w:t>
      </w:r>
    </w:p>
    <w:p w14:paraId="4F85D893" w14:textId="232B0503" w:rsidR="00A76E5F" w:rsidRPr="00F50744" w:rsidRDefault="00A76E5F" w:rsidP="001A6F82">
      <w:pPr>
        <w:spacing w:after="240" w:line="240" w:lineRule="exact"/>
        <w:jc w:val="both"/>
        <w:outlineLvl w:val="0"/>
        <w:rPr>
          <w:rFonts w:ascii="Lato" w:hAnsi="Lato" w:cs="Arial"/>
          <w:spacing w:val="4"/>
        </w:rPr>
      </w:pPr>
      <w:r w:rsidRPr="00F50744">
        <w:rPr>
          <w:rFonts w:ascii="Lato" w:hAnsi="Lato" w:cs="Arial"/>
          <w:spacing w:val="4"/>
        </w:rPr>
        <w:t xml:space="preserve">Wnioskiem z dnia 31 sierpnia 2022 r., spółka Polskie Sieci Elektroenergetyczne S.A. </w:t>
      </w:r>
      <w:r w:rsidR="000B5A5F" w:rsidRPr="00F50744">
        <w:rPr>
          <w:rFonts w:ascii="Lato" w:hAnsi="Lato" w:cs="Arial"/>
          <w:spacing w:val="4"/>
        </w:rPr>
        <w:br/>
      </w:r>
      <w:r w:rsidRPr="00F50744">
        <w:rPr>
          <w:rFonts w:ascii="Lato" w:hAnsi="Lato" w:cs="Arial"/>
          <w:spacing w:val="4"/>
        </w:rPr>
        <w:t>z siedzibie w Konstancinie</w:t>
      </w:r>
      <w:r w:rsidR="000B5A5F" w:rsidRPr="00F50744">
        <w:rPr>
          <w:rFonts w:ascii="Lato" w:hAnsi="Lato" w:cs="Arial"/>
          <w:spacing w:val="4"/>
        </w:rPr>
        <w:t xml:space="preserve"> </w:t>
      </w:r>
      <w:r w:rsidR="00B76EF3" w:rsidRPr="00F50744">
        <w:rPr>
          <w:rFonts w:ascii="Lato" w:hAnsi="Lato" w:cs="Arial"/>
          <w:spacing w:val="4"/>
        </w:rPr>
        <w:t>–</w:t>
      </w:r>
      <w:r w:rsidRPr="00F50744">
        <w:rPr>
          <w:rFonts w:ascii="Lato" w:hAnsi="Lato" w:cs="Arial"/>
          <w:spacing w:val="4"/>
        </w:rPr>
        <w:t xml:space="preserve"> Jeziornie</w:t>
      </w:r>
      <w:r w:rsidR="00B76EF3" w:rsidRPr="00F50744">
        <w:rPr>
          <w:rFonts w:ascii="Lato" w:hAnsi="Lato" w:cs="Arial"/>
          <w:spacing w:val="4"/>
        </w:rPr>
        <w:t>,</w:t>
      </w:r>
      <w:r w:rsidRPr="00F50744">
        <w:rPr>
          <w:rFonts w:ascii="Lato" w:hAnsi="Lato" w:cs="Arial"/>
          <w:spacing w:val="4"/>
        </w:rPr>
        <w:t xml:space="preserve"> zwana dalej </w:t>
      </w:r>
      <w:r w:rsidRPr="00F50744">
        <w:rPr>
          <w:rFonts w:ascii="Lato" w:hAnsi="Lato" w:cs="Arial"/>
          <w:i/>
          <w:iCs/>
          <w:spacing w:val="4"/>
        </w:rPr>
        <w:t>„inwestorem”,</w:t>
      </w:r>
      <w:r w:rsidRPr="00F50744">
        <w:rPr>
          <w:rFonts w:ascii="Lato" w:hAnsi="Lato" w:cs="Arial"/>
          <w:spacing w:val="4"/>
        </w:rPr>
        <w:t xml:space="preserve"> wystąpiła do</w:t>
      </w:r>
      <w:r w:rsidR="00651D2F" w:rsidRPr="00F50744">
        <w:rPr>
          <w:rFonts w:ascii="Lato" w:hAnsi="Lato" w:cs="Arial"/>
          <w:spacing w:val="4"/>
        </w:rPr>
        <w:t xml:space="preserve"> </w:t>
      </w:r>
      <w:r w:rsidRPr="00F50744">
        <w:rPr>
          <w:rFonts w:ascii="Lato" w:hAnsi="Lato" w:cs="Arial"/>
          <w:spacing w:val="4"/>
        </w:rPr>
        <w:t>Wojewody Pomorskiego o wydanie decyzji o ustaleniu lokalizacji strategicznej inwestycji w zakresie sieci przesyłowej pn.:</w:t>
      </w:r>
      <w:r w:rsidRPr="00F50744">
        <w:rPr>
          <w:rFonts w:ascii="Lato" w:hAnsi="Lato" w:cs="Arial"/>
          <w:bCs/>
          <w:iCs/>
          <w:spacing w:val="4"/>
        </w:rPr>
        <w:t xml:space="preserve"> „Budowa linii 400 kV Choczewo – nacięcie linii Gdańsk Błonia – Grudziądz Węgrowo” oraz „Budowa linii 400kV Gdańsk Przyjaźń – Choczewo”, </w:t>
      </w:r>
      <w:r w:rsidR="000B5A5F" w:rsidRPr="00F50744">
        <w:rPr>
          <w:rFonts w:ascii="Lato" w:hAnsi="Lato" w:cs="Arial"/>
          <w:bCs/>
          <w:iCs/>
          <w:spacing w:val="4"/>
        </w:rPr>
        <w:br/>
      </w:r>
      <w:r w:rsidRPr="00F50744">
        <w:rPr>
          <w:rFonts w:ascii="Lato" w:hAnsi="Lato" w:cs="Arial"/>
          <w:bCs/>
          <w:iCs/>
          <w:spacing w:val="4"/>
        </w:rPr>
        <w:t xml:space="preserve">na działkach ewidencyjnych nr.: 105/1, 105/2, 105/4, 105/6 obręb 0012 Lublewo, </w:t>
      </w:r>
      <w:r w:rsidR="006B54CA" w:rsidRPr="00F50744">
        <w:rPr>
          <w:rFonts w:ascii="Lato" w:hAnsi="Lato" w:cs="Arial"/>
          <w:bCs/>
          <w:iCs/>
          <w:spacing w:val="4"/>
        </w:rPr>
        <w:br/>
      </w:r>
      <w:r w:rsidRPr="00F50744">
        <w:rPr>
          <w:rFonts w:ascii="Lato" w:hAnsi="Lato" w:cs="Arial"/>
          <w:bCs/>
          <w:iCs/>
          <w:spacing w:val="4"/>
        </w:rPr>
        <w:t>24, 25/4, 25/6 i 33/73 obręb 0016 Kierzkowo w gminie Choczewo.</w:t>
      </w:r>
    </w:p>
    <w:p w14:paraId="2A67F9BD" w14:textId="1DA81417" w:rsidR="00651D2F" w:rsidRPr="00F50744" w:rsidRDefault="00651D2F" w:rsidP="00651D2F">
      <w:pPr>
        <w:spacing w:after="240" w:line="240" w:lineRule="exact"/>
        <w:jc w:val="both"/>
        <w:outlineLvl w:val="0"/>
        <w:rPr>
          <w:rFonts w:ascii="Lato" w:hAnsi="Lato" w:cs="Arial"/>
          <w:bCs/>
          <w:spacing w:val="4"/>
          <w:lang w:bidi="pl-PL"/>
        </w:rPr>
      </w:pPr>
      <w:r w:rsidRPr="00F50744">
        <w:rPr>
          <w:rFonts w:ascii="Lato" w:hAnsi="Lato" w:cs="Arial"/>
          <w:spacing w:val="4"/>
        </w:rPr>
        <w:t>Po przeprowadzeniu postępowania w przedmiotowej sprawie, Wojewoda Pomorski wydał w dniu 7 października 2022 r., decyzję znak: WI-III.741.1.</w:t>
      </w:r>
      <w:r w:rsidR="000B5A5F" w:rsidRPr="00F50744">
        <w:rPr>
          <w:rFonts w:ascii="Lato" w:hAnsi="Lato" w:cs="Arial"/>
          <w:spacing w:val="4"/>
        </w:rPr>
        <w:t>33</w:t>
      </w:r>
      <w:r w:rsidRPr="00F50744">
        <w:rPr>
          <w:rFonts w:ascii="Lato" w:hAnsi="Lato" w:cs="Arial"/>
          <w:spacing w:val="4"/>
        </w:rPr>
        <w:t>.2022.AM, o ustaleniu lokalizacji strategicznej inwestycji w zakresie sieci przesyłowej pn.:</w:t>
      </w:r>
      <w:r w:rsidRPr="00F50744">
        <w:rPr>
          <w:rFonts w:ascii="Lato" w:hAnsi="Lato" w:cs="Arial"/>
          <w:bCs/>
          <w:iCs/>
          <w:spacing w:val="4"/>
        </w:rPr>
        <w:t xml:space="preserve"> „Budowa linii 400 kV Choczewo – nacięcie linii Gdańsk Błonia – Grudziądz Węgrowo” oraz „Budowa linii 400</w:t>
      </w:r>
      <w:r w:rsidR="000B5A5F" w:rsidRPr="00F50744">
        <w:rPr>
          <w:rFonts w:ascii="Lato" w:hAnsi="Lato" w:cs="Arial"/>
          <w:bCs/>
          <w:iCs/>
          <w:spacing w:val="4"/>
        </w:rPr>
        <w:t xml:space="preserve"> </w:t>
      </w:r>
      <w:r w:rsidRPr="00F50744">
        <w:rPr>
          <w:rFonts w:ascii="Lato" w:hAnsi="Lato" w:cs="Arial"/>
          <w:bCs/>
          <w:iCs/>
          <w:spacing w:val="4"/>
        </w:rPr>
        <w:t xml:space="preserve">kV Gdańsk Przyjaźń – Choczewo”, </w:t>
      </w:r>
      <w:r w:rsidRPr="00F50744">
        <w:rPr>
          <w:rFonts w:ascii="Lato" w:hAnsi="Lato" w:cs="Arial"/>
          <w:spacing w:val="4"/>
        </w:rPr>
        <w:t>zwaną dalej „</w:t>
      </w:r>
      <w:r w:rsidRPr="00F50744">
        <w:rPr>
          <w:rFonts w:ascii="Lato" w:hAnsi="Lato" w:cs="Arial"/>
          <w:i/>
          <w:spacing w:val="4"/>
        </w:rPr>
        <w:t>decyzją Wojewody Pomorskiego</w:t>
      </w:r>
      <w:r w:rsidRPr="00F50744">
        <w:rPr>
          <w:rFonts w:ascii="Lato" w:hAnsi="Lato" w:cs="Arial"/>
          <w:spacing w:val="4"/>
        </w:rPr>
        <w:t>”.</w:t>
      </w:r>
    </w:p>
    <w:p w14:paraId="06680036" w14:textId="0EA2BB6E"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Od </w:t>
      </w:r>
      <w:r w:rsidRPr="00F50744">
        <w:rPr>
          <w:rFonts w:ascii="Lato" w:hAnsi="Lato" w:cs="Arial"/>
          <w:i/>
          <w:iCs/>
          <w:spacing w:val="4"/>
        </w:rPr>
        <w:t xml:space="preserve">decyzji Wojewody </w:t>
      </w:r>
      <w:r w:rsidR="00651D2F" w:rsidRPr="00F50744">
        <w:rPr>
          <w:rFonts w:ascii="Lato" w:hAnsi="Lato" w:cs="Arial"/>
          <w:i/>
          <w:iCs/>
          <w:spacing w:val="4"/>
        </w:rPr>
        <w:t>Pomorskiego</w:t>
      </w:r>
      <w:r w:rsidRPr="00F50744">
        <w:rPr>
          <w:rFonts w:ascii="Lato" w:hAnsi="Lato" w:cs="Arial"/>
          <w:i/>
          <w:iCs/>
          <w:spacing w:val="4"/>
        </w:rPr>
        <w:t xml:space="preserve"> </w:t>
      </w:r>
      <w:r w:rsidRPr="00F50744">
        <w:rPr>
          <w:rFonts w:ascii="Lato" w:hAnsi="Lato" w:cs="Arial"/>
          <w:spacing w:val="4"/>
        </w:rPr>
        <w:t>wniesiono odwołani</w:t>
      </w:r>
      <w:r w:rsidR="00651D2F" w:rsidRPr="00F50744">
        <w:rPr>
          <w:rFonts w:ascii="Lato" w:hAnsi="Lato" w:cs="Arial"/>
          <w:spacing w:val="4"/>
        </w:rPr>
        <w:t>e</w:t>
      </w:r>
      <w:r w:rsidRPr="00F50744">
        <w:rPr>
          <w:rFonts w:ascii="Lato" w:hAnsi="Lato" w:cs="Arial"/>
          <w:spacing w:val="4"/>
        </w:rPr>
        <w:t>.</w:t>
      </w:r>
    </w:p>
    <w:p w14:paraId="0AFBFFE5" w14:textId="2451BEE0" w:rsidR="00651D2F" w:rsidRPr="00F50744" w:rsidRDefault="001A6F82" w:rsidP="00651D2F">
      <w:pPr>
        <w:spacing w:after="240" w:line="240" w:lineRule="exact"/>
        <w:jc w:val="both"/>
        <w:outlineLvl w:val="0"/>
        <w:rPr>
          <w:rFonts w:ascii="Lato" w:hAnsi="Lato" w:cs="Arial"/>
          <w:bCs/>
          <w:iCs/>
          <w:spacing w:val="4"/>
        </w:rPr>
      </w:pPr>
      <w:r w:rsidRPr="00F50744">
        <w:rPr>
          <w:rFonts w:ascii="Lato" w:hAnsi="Lato" w:cs="Arial"/>
          <w:spacing w:val="4"/>
        </w:rPr>
        <w:lastRenderedPageBreak/>
        <w:t>Po rozpatrzeniu odwoła</w:t>
      </w:r>
      <w:r w:rsidR="00651D2F" w:rsidRPr="00F50744">
        <w:rPr>
          <w:rFonts w:ascii="Lato" w:hAnsi="Lato" w:cs="Arial"/>
          <w:spacing w:val="4"/>
        </w:rPr>
        <w:t>nia</w:t>
      </w:r>
      <w:r w:rsidRPr="00F50744">
        <w:rPr>
          <w:rFonts w:ascii="Lato" w:hAnsi="Lato" w:cs="Arial"/>
          <w:spacing w:val="4"/>
        </w:rPr>
        <w:t xml:space="preserve">, decyzją z dnia </w:t>
      </w:r>
      <w:r w:rsidR="00651D2F" w:rsidRPr="00F50744">
        <w:rPr>
          <w:rFonts w:ascii="Lato" w:hAnsi="Lato" w:cs="Arial"/>
          <w:spacing w:val="4"/>
        </w:rPr>
        <w:t>6</w:t>
      </w:r>
      <w:r w:rsidRPr="00F50744">
        <w:rPr>
          <w:rFonts w:ascii="Lato" w:hAnsi="Lato" w:cs="Arial"/>
          <w:spacing w:val="4"/>
        </w:rPr>
        <w:t xml:space="preserve"> </w:t>
      </w:r>
      <w:r w:rsidR="00651D2F" w:rsidRPr="00F50744">
        <w:rPr>
          <w:rFonts w:ascii="Lato" w:hAnsi="Lato" w:cs="Arial"/>
          <w:spacing w:val="4"/>
        </w:rPr>
        <w:t>października</w:t>
      </w:r>
      <w:r w:rsidRPr="00F50744">
        <w:rPr>
          <w:rFonts w:ascii="Lato" w:hAnsi="Lato" w:cs="Arial"/>
          <w:spacing w:val="4"/>
        </w:rPr>
        <w:t xml:space="preserve"> 20</w:t>
      </w:r>
      <w:r w:rsidR="00651D2F" w:rsidRPr="00F50744">
        <w:rPr>
          <w:rFonts w:ascii="Lato" w:hAnsi="Lato" w:cs="Arial"/>
          <w:spacing w:val="4"/>
        </w:rPr>
        <w:t>23</w:t>
      </w:r>
      <w:r w:rsidRPr="00F50744">
        <w:rPr>
          <w:rFonts w:ascii="Lato" w:hAnsi="Lato" w:cs="Arial"/>
          <w:spacing w:val="4"/>
        </w:rPr>
        <w:t xml:space="preserve"> r., znak:</w:t>
      </w:r>
      <w:r w:rsidR="00E96AA1" w:rsidRPr="00F50744">
        <w:rPr>
          <w:rFonts w:ascii="Lato" w:hAnsi="Lato" w:cs="Arial"/>
          <w:spacing w:val="4"/>
        </w:rPr>
        <w:br/>
      </w:r>
      <w:r w:rsidRPr="00F50744">
        <w:rPr>
          <w:rFonts w:ascii="Lato" w:hAnsi="Lato" w:cs="Arial"/>
          <w:spacing w:val="4"/>
        </w:rPr>
        <w:t>DLI.</w:t>
      </w:r>
      <w:r w:rsidR="00651D2F" w:rsidRPr="00F50744">
        <w:rPr>
          <w:rFonts w:ascii="Lato" w:hAnsi="Lato" w:cs="Arial"/>
          <w:spacing w:val="4"/>
        </w:rPr>
        <w:t>III</w:t>
      </w:r>
      <w:r w:rsidRPr="00F50744">
        <w:rPr>
          <w:rFonts w:ascii="Lato" w:hAnsi="Lato" w:cs="Arial"/>
          <w:spacing w:val="4"/>
        </w:rPr>
        <w:t>.</w:t>
      </w:r>
      <w:r w:rsidR="00651D2F" w:rsidRPr="00F50744">
        <w:rPr>
          <w:rFonts w:ascii="Lato" w:hAnsi="Lato" w:cs="Arial"/>
          <w:spacing w:val="4"/>
        </w:rPr>
        <w:t>7620</w:t>
      </w:r>
      <w:r w:rsidRPr="00F50744">
        <w:rPr>
          <w:rFonts w:ascii="Lato" w:hAnsi="Lato" w:cs="Arial"/>
          <w:spacing w:val="4"/>
        </w:rPr>
        <w:t>.</w:t>
      </w:r>
      <w:r w:rsidR="00651D2F" w:rsidRPr="00F50744">
        <w:rPr>
          <w:rFonts w:ascii="Lato" w:hAnsi="Lato" w:cs="Arial"/>
          <w:spacing w:val="4"/>
        </w:rPr>
        <w:t>47</w:t>
      </w:r>
      <w:r w:rsidRPr="00F50744">
        <w:rPr>
          <w:rFonts w:ascii="Lato" w:hAnsi="Lato" w:cs="Arial"/>
          <w:spacing w:val="4"/>
        </w:rPr>
        <w:t>.20</w:t>
      </w:r>
      <w:r w:rsidR="00651D2F" w:rsidRPr="00F50744">
        <w:rPr>
          <w:rFonts w:ascii="Lato" w:hAnsi="Lato" w:cs="Arial"/>
          <w:spacing w:val="4"/>
        </w:rPr>
        <w:t>22</w:t>
      </w:r>
      <w:r w:rsidRPr="00F50744">
        <w:rPr>
          <w:rFonts w:ascii="Lato" w:hAnsi="Lato" w:cs="Arial"/>
          <w:spacing w:val="4"/>
        </w:rPr>
        <w:t>.</w:t>
      </w:r>
      <w:r w:rsidR="00651D2F" w:rsidRPr="00F50744">
        <w:rPr>
          <w:rFonts w:ascii="Lato" w:hAnsi="Lato" w:cs="Arial"/>
          <w:spacing w:val="4"/>
        </w:rPr>
        <w:t>AW</w:t>
      </w:r>
      <w:r w:rsidRPr="00F50744">
        <w:rPr>
          <w:rFonts w:ascii="Lato" w:hAnsi="Lato" w:cs="Arial"/>
          <w:spacing w:val="4"/>
        </w:rPr>
        <w:t>.</w:t>
      </w:r>
      <w:r w:rsidR="00651D2F" w:rsidRPr="00F50744">
        <w:rPr>
          <w:rFonts w:ascii="Lato" w:hAnsi="Lato" w:cs="Arial"/>
          <w:spacing w:val="4"/>
        </w:rPr>
        <w:t>6</w:t>
      </w:r>
      <w:r w:rsidRPr="00F50744">
        <w:rPr>
          <w:rFonts w:ascii="Lato" w:hAnsi="Lato" w:cs="Arial"/>
          <w:spacing w:val="4"/>
        </w:rPr>
        <w:t xml:space="preserve">, zwaną dalej </w:t>
      </w:r>
      <w:bookmarkStart w:id="9" w:name="_Hlk197946106"/>
      <w:r w:rsidRPr="00F50744">
        <w:rPr>
          <w:rFonts w:ascii="Lato" w:hAnsi="Lato" w:cs="Arial"/>
          <w:i/>
          <w:spacing w:val="4"/>
        </w:rPr>
        <w:t xml:space="preserve">„decyzją Ministra”, </w:t>
      </w:r>
      <w:r w:rsidRPr="00F50744">
        <w:rPr>
          <w:rFonts w:ascii="Lato" w:hAnsi="Lato" w:cs="Arial"/>
          <w:spacing w:val="4"/>
        </w:rPr>
        <w:t xml:space="preserve">organ odwoławczy </w:t>
      </w:r>
      <w:r w:rsidR="00651D2F" w:rsidRPr="00F50744">
        <w:rPr>
          <w:rFonts w:ascii="Lato" w:hAnsi="Lato" w:cs="Arial"/>
          <w:bCs/>
          <w:iCs/>
          <w:spacing w:val="4"/>
        </w:rPr>
        <w:t xml:space="preserve">uchylił </w:t>
      </w:r>
      <w:r w:rsidR="00651D2F" w:rsidRPr="00F50744">
        <w:rPr>
          <w:rFonts w:ascii="Lato" w:hAnsi="Lato" w:cs="Arial"/>
          <w:bCs/>
          <w:iCs/>
          <w:spacing w:val="4"/>
        </w:rPr>
        <w:br/>
        <w:t xml:space="preserve">w części </w:t>
      </w:r>
      <w:r w:rsidR="00651D2F" w:rsidRPr="00F50744">
        <w:rPr>
          <w:rFonts w:ascii="Lato" w:hAnsi="Lato" w:cs="Arial"/>
          <w:bCs/>
          <w:i/>
          <w:spacing w:val="4"/>
        </w:rPr>
        <w:t>decyzję Wojewody Pomorskiego</w:t>
      </w:r>
      <w:r w:rsidR="00651D2F" w:rsidRPr="00F50744">
        <w:rPr>
          <w:rFonts w:ascii="Lato" w:hAnsi="Lato" w:cs="Arial"/>
          <w:bCs/>
          <w:iCs/>
          <w:spacing w:val="4"/>
        </w:rPr>
        <w:t xml:space="preserve"> i orzekł w tym zakresie co do istoty sprawy, </w:t>
      </w:r>
      <w:r w:rsidR="00651D2F" w:rsidRPr="00F50744">
        <w:rPr>
          <w:rFonts w:ascii="Lato" w:hAnsi="Lato" w:cs="Arial"/>
          <w:bCs/>
          <w:iCs/>
          <w:spacing w:val="4"/>
        </w:rPr>
        <w:br/>
        <w:t>a w pozostałej części utrzymał w mocy zaskarżoną decyzję</w:t>
      </w:r>
      <w:r w:rsidR="00651D2F" w:rsidRPr="00F50744">
        <w:rPr>
          <w:rFonts w:ascii="Lato" w:hAnsi="Lato" w:cs="Arial"/>
          <w:bCs/>
          <w:i/>
          <w:spacing w:val="4"/>
        </w:rPr>
        <w:t>.</w:t>
      </w:r>
    </w:p>
    <w:bookmarkEnd w:id="9"/>
    <w:p w14:paraId="6FCAD426" w14:textId="583322D6" w:rsidR="0042286E" w:rsidRPr="00D40B87" w:rsidRDefault="00F16221" w:rsidP="0042286E">
      <w:pPr>
        <w:spacing w:after="240" w:line="240" w:lineRule="exact"/>
        <w:jc w:val="both"/>
        <w:outlineLvl w:val="0"/>
        <w:rPr>
          <w:rFonts w:ascii="Lato" w:hAnsi="Lato" w:cs="Arial"/>
          <w:bCs/>
          <w:spacing w:val="4"/>
        </w:rPr>
      </w:pPr>
      <w:r w:rsidRPr="00F16221">
        <w:rPr>
          <w:rFonts w:ascii="Lato" w:hAnsi="Lato" w:cs="Arial"/>
          <w:spacing w:val="4"/>
        </w:rPr>
        <w:t xml:space="preserve">W dniu 26 stycznia 2024 r. do Ministerstwa Rozwoju i Technologii wpłynął wniosek </w:t>
      </w:r>
      <w:r w:rsidRPr="00F16221">
        <w:rPr>
          <w:rFonts w:ascii="Lato" w:hAnsi="Lato" w:cs="Arial"/>
          <w:i/>
          <w:spacing w:val="4"/>
        </w:rPr>
        <w:t>inwestora</w:t>
      </w:r>
      <w:r w:rsidR="00B03A93">
        <w:rPr>
          <w:rFonts w:ascii="Lato" w:hAnsi="Lato" w:cs="Arial"/>
          <w:i/>
          <w:spacing w:val="4"/>
        </w:rPr>
        <w:t>,</w:t>
      </w:r>
      <w:r w:rsidRPr="00F16221">
        <w:rPr>
          <w:rFonts w:ascii="Lato" w:hAnsi="Lato" w:cs="Arial"/>
          <w:i/>
          <w:spacing w:val="4"/>
        </w:rPr>
        <w:t xml:space="preserve"> </w:t>
      </w:r>
      <w:r w:rsidRPr="00F16221">
        <w:rPr>
          <w:rFonts w:ascii="Lato" w:hAnsi="Lato" w:cs="Arial"/>
          <w:iCs/>
          <w:spacing w:val="4"/>
        </w:rPr>
        <w:t>z dnia 8 stycznia 2024 r.</w:t>
      </w:r>
      <w:r w:rsidR="001A6F82" w:rsidRPr="00F50744">
        <w:rPr>
          <w:rFonts w:ascii="Lato" w:hAnsi="Lato" w:cs="Arial"/>
          <w:spacing w:val="4"/>
        </w:rPr>
        <w:t xml:space="preserve"> o zmianę</w:t>
      </w:r>
      <w:r w:rsidR="009F1C54" w:rsidRPr="00F50744">
        <w:rPr>
          <w:rFonts w:ascii="Lato" w:hAnsi="Lato" w:cs="Arial"/>
          <w:i/>
          <w:spacing w:val="4"/>
        </w:rPr>
        <w:t xml:space="preserve"> decyzji </w:t>
      </w:r>
      <w:r w:rsidR="00B66AC2" w:rsidRPr="00F50744">
        <w:rPr>
          <w:rFonts w:ascii="Lato" w:hAnsi="Lato" w:cs="Arial"/>
          <w:i/>
          <w:spacing w:val="4"/>
        </w:rPr>
        <w:t>Wojewody Pomorskiego</w:t>
      </w:r>
      <w:r w:rsidR="00B66AC2" w:rsidRPr="00192E96">
        <w:rPr>
          <w:rFonts w:ascii="Lato" w:hAnsi="Lato" w:cs="Arial"/>
          <w:iCs/>
          <w:spacing w:val="4"/>
        </w:rPr>
        <w:t xml:space="preserve">, która </w:t>
      </w:r>
      <w:r w:rsidR="00B66AC2" w:rsidRPr="00F50744">
        <w:rPr>
          <w:rFonts w:ascii="Lato" w:hAnsi="Lato" w:cs="Arial"/>
          <w:i/>
          <w:spacing w:val="4"/>
        </w:rPr>
        <w:t xml:space="preserve">decyzją </w:t>
      </w:r>
      <w:r w:rsidR="009F1C54" w:rsidRPr="00F50744">
        <w:rPr>
          <w:rFonts w:ascii="Lato" w:hAnsi="Lato" w:cs="Arial"/>
          <w:i/>
          <w:spacing w:val="4"/>
        </w:rPr>
        <w:t>Ministra</w:t>
      </w:r>
      <w:r w:rsidR="009F1C54" w:rsidRPr="00F50744">
        <w:rPr>
          <w:rFonts w:ascii="Lato" w:hAnsi="Lato" w:cs="Arial"/>
          <w:spacing w:val="4"/>
        </w:rPr>
        <w:t xml:space="preserve"> </w:t>
      </w:r>
      <w:r w:rsidR="00B66AC2" w:rsidRPr="00F50744">
        <w:rPr>
          <w:rFonts w:ascii="Lato" w:hAnsi="Lato" w:cs="Arial"/>
          <w:spacing w:val="4"/>
        </w:rPr>
        <w:t xml:space="preserve">została </w:t>
      </w:r>
      <w:r w:rsidR="009F1C54" w:rsidRPr="00F50744">
        <w:rPr>
          <w:rFonts w:ascii="Lato" w:hAnsi="Lato" w:cs="Arial"/>
          <w:bCs/>
          <w:iCs/>
          <w:spacing w:val="4"/>
        </w:rPr>
        <w:t>uchyla w części i orze</w:t>
      </w:r>
      <w:r w:rsidR="00B66AC2" w:rsidRPr="00F50744">
        <w:rPr>
          <w:rFonts w:ascii="Lato" w:hAnsi="Lato" w:cs="Arial"/>
          <w:bCs/>
          <w:iCs/>
          <w:spacing w:val="4"/>
        </w:rPr>
        <w:t>czon</w:t>
      </w:r>
      <w:r w:rsidR="00FE72BC">
        <w:rPr>
          <w:rFonts w:ascii="Lato" w:hAnsi="Lato" w:cs="Arial"/>
          <w:bCs/>
          <w:iCs/>
          <w:spacing w:val="4"/>
        </w:rPr>
        <w:t>o</w:t>
      </w:r>
      <w:r w:rsidR="009F1C54" w:rsidRPr="00F50744">
        <w:rPr>
          <w:rFonts w:ascii="Lato" w:hAnsi="Lato" w:cs="Arial"/>
          <w:bCs/>
          <w:iCs/>
          <w:spacing w:val="4"/>
        </w:rPr>
        <w:t xml:space="preserve"> w tym zakresie co do istoty sprawy, </w:t>
      </w:r>
      <w:r w:rsidR="007E1020">
        <w:rPr>
          <w:rFonts w:ascii="Lato" w:hAnsi="Lato" w:cs="Arial"/>
          <w:bCs/>
          <w:iCs/>
          <w:spacing w:val="4"/>
        </w:rPr>
        <w:br/>
      </w:r>
      <w:r w:rsidR="009F1C54" w:rsidRPr="00F50744">
        <w:rPr>
          <w:rFonts w:ascii="Lato" w:hAnsi="Lato" w:cs="Arial"/>
          <w:bCs/>
          <w:iCs/>
          <w:spacing w:val="4"/>
        </w:rPr>
        <w:t xml:space="preserve">a w pozostałej części </w:t>
      </w:r>
      <w:r w:rsidR="00FE72BC">
        <w:rPr>
          <w:rFonts w:ascii="Lato" w:hAnsi="Lato" w:cs="Arial"/>
          <w:bCs/>
          <w:iCs/>
          <w:spacing w:val="4"/>
        </w:rPr>
        <w:t xml:space="preserve">decyzja została </w:t>
      </w:r>
      <w:r w:rsidR="009F1C54" w:rsidRPr="00F50744">
        <w:rPr>
          <w:rFonts w:ascii="Lato" w:hAnsi="Lato" w:cs="Arial"/>
          <w:bCs/>
          <w:iCs/>
          <w:spacing w:val="4"/>
        </w:rPr>
        <w:t>utrzy</w:t>
      </w:r>
      <w:r w:rsidR="00B66AC2" w:rsidRPr="00F50744">
        <w:rPr>
          <w:rFonts w:ascii="Lato" w:hAnsi="Lato" w:cs="Arial"/>
          <w:bCs/>
          <w:iCs/>
          <w:spacing w:val="4"/>
        </w:rPr>
        <w:t>mana</w:t>
      </w:r>
      <w:r w:rsidR="009F1C54" w:rsidRPr="00F50744">
        <w:rPr>
          <w:rFonts w:ascii="Lato" w:hAnsi="Lato" w:cs="Arial"/>
          <w:bCs/>
          <w:iCs/>
          <w:spacing w:val="4"/>
        </w:rPr>
        <w:t xml:space="preserve"> w mocy</w:t>
      </w:r>
      <w:r w:rsidR="00B66AC2" w:rsidRPr="00F50744">
        <w:rPr>
          <w:rFonts w:ascii="Lato" w:hAnsi="Lato" w:cs="Arial"/>
          <w:bCs/>
          <w:iCs/>
          <w:spacing w:val="4"/>
        </w:rPr>
        <w:t>. Ww. wniosek</w:t>
      </w:r>
      <w:r w:rsidR="00FE72BC">
        <w:rPr>
          <w:rFonts w:ascii="Lato" w:hAnsi="Lato" w:cs="Arial"/>
          <w:bCs/>
          <w:iCs/>
          <w:spacing w:val="4"/>
        </w:rPr>
        <w:t xml:space="preserve"> </w:t>
      </w:r>
      <w:r w:rsidR="00FE72BC" w:rsidRPr="0006000D">
        <w:rPr>
          <w:rFonts w:ascii="Lato" w:hAnsi="Lato" w:cs="Arial"/>
          <w:bCs/>
          <w:i/>
          <w:spacing w:val="4"/>
        </w:rPr>
        <w:t>inwestora</w:t>
      </w:r>
      <w:r w:rsidR="00B66AC2" w:rsidRPr="00F50744">
        <w:rPr>
          <w:rFonts w:ascii="Lato" w:hAnsi="Lato" w:cs="Arial"/>
          <w:bCs/>
          <w:iCs/>
          <w:spacing w:val="4"/>
        </w:rPr>
        <w:t xml:space="preserve"> dotyczył </w:t>
      </w:r>
      <w:r w:rsidR="00707E32">
        <w:rPr>
          <w:rFonts w:ascii="Lato" w:hAnsi="Lato" w:cs="Arial"/>
          <w:bCs/>
          <w:spacing w:val="4"/>
        </w:rPr>
        <w:t>z</w:t>
      </w:r>
      <w:r w:rsidR="00FE72BC">
        <w:rPr>
          <w:rFonts w:ascii="Lato" w:hAnsi="Lato" w:cs="Arial"/>
          <w:bCs/>
          <w:spacing w:val="4"/>
        </w:rPr>
        <w:t>mian</w:t>
      </w:r>
      <w:r w:rsidR="00707E32">
        <w:rPr>
          <w:rFonts w:ascii="Lato" w:hAnsi="Lato" w:cs="Arial"/>
          <w:bCs/>
          <w:spacing w:val="4"/>
        </w:rPr>
        <w:t>y</w:t>
      </w:r>
      <w:r w:rsidR="00FE72BC">
        <w:rPr>
          <w:rFonts w:ascii="Lato" w:hAnsi="Lato" w:cs="Arial"/>
          <w:bCs/>
          <w:spacing w:val="4"/>
        </w:rPr>
        <w:t xml:space="preserve"> </w:t>
      </w:r>
      <w:r w:rsidR="00FE72BC" w:rsidRPr="00B03A93">
        <w:rPr>
          <w:rFonts w:ascii="Lato" w:hAnsi="Lato" w:cs="Arial"/>
          <w:bCs/>
          <w:i/>
          <w:iCs/>
          <w:spacing w:val="4"/>
        </w:rPr>
        <w:t>decyzji Wojewody Pomorskiego</w:t>
      </w:r>
      <w:r w:rsidR="00FE72BC">
        <w:rPr>
          <w:rFonts w:ascii="Lato" w:hAnsi="Lato" w:cs="Arial"/>
          <w:bCs/>
          <w:spacing w:val="4"/>
        </w:rPr>
        <w:t xml:space="preserve"> </w:t>
      </w:r>
      <w:r w:rsidR="00707E32">
        <w:rPr>
          <w:rFonts w:ascii="Lato" w:hAnsi="Lato" w:cs="Arial"/>
          <w:bCs/>
          <w:spacing w:val="4"/>
        </w:rPr>
        <w:t xml:space="preserve">w zakresie </w:t>
      </w:r>
      <w:r w:rsidR="00FE72BC">
        <w:rPr>
          <w:rFonts w:ascii="Lato" w:hAnsi="Lato" w:cs="Arial"/>
          <w:bCs/>
          <w:spacing w:val="4"/>
        </w:rPr>
        <w:t xml:space="preserve">podmiotu, na rzecz którego ustanowiono ograniczenie sposobu korzystania z nieruchomości, w odniesieniu </w:t>
      </w:r>
      <w:r w:rsidR="007E1020">
        <w:rPr>
          <w:rFonts w:ascii="Lato" w:hAnsi="Lato" w:cs="Arial"/>
          <w:bCs/>
          <w:spacing w:val="4"/>
        </w:rPr>
        <w:br/>
      </w:r>
      <w:r w:rsidR="00FE72BC">
        <w:rPr>
          <w:rFonts w:ascii="Lato" w:hAnsi="Lato" w:cs="Arial"/>
          <w:bCs/>
          <w:spacing w:val="4"/>
        </w:rPr>
        <w:t xml:space="preserve">do poszczególnych działek </w:t>
      </w:r>
      <w:r w:rsidR="00FE72BC" w:rsidRPr="00FE72BC">
        <w:rPr>
          <w:rFonts w:ascii="Lato" w:hAnsi="Lato" w:cs="Arial"/>
          <w:bCs/>
          <w:spacing w:val="4"/>
        </w:rPr>
        <w:t>objętych decyzją o ustalaniu lokalizacji strategicznej inwestycji w zakresie sieci przesyłowej</w:t>
      </w:r>
      <w:r w:rsidR="00713E33">
        <w:rPr>
          <w:rFonts w:ascii="Lato" w:hAnsi="Lato" w:cs="Arial"/>
          <w:bCs/>
          <w:spacing w:val="4"/>
        </w:rPr>
        <w:t>.</w:t>
      </w:r>
    </w:p>
    <w:p w14:paraId="2A78DC89" w14:textId="3CCC59E3" w:rsidR="00912C3E" w:rsidRPr="00F50744" w:rsidRDefault="00D71BEA" w:rsidP="00D71BEA">
      <w:pPr>
        <w:tabs>
          <w:tab w:val="left" w:pos="360"/>
        </w:tabs>
        <w:suppressAutoHyphens/>
        <w:spacing w:after="240" w:line="240" w:lineRule="exact"/>
        <w:jc w:val="both"/>
        <w:rPr>
          <w:rFonts w:ascii="Lato" w:hAnsi="Lato" w:cs="Arial"/>
          <w:bCs/>
          <w:spacing w:val="4"/>
        </w:rPr>
      </w:pPr>
      <w:r w:rsidRPr="00F50744">
        <w:rPr>
          <w:rFonts w:ascii="Lato" w:hAnsi="Lato" w:cs="Arial"/>
          <w:bCs/>
          <w:spacing w:val="4"/>
        </w:rPr>
        <w:t>W uzasadnieniu ww. wniosku</w:t>
      </w:r>
      <w:r w:rsidRPr="00F50744">
        <w:rPr>
          <w:rFonts w:ascii="Lato" w:hAnsi="Lato" w:cs="Arial"/>
          <w:bCs/>
          <w:i/>
          <w:spacing w:val="4"/>
        </w:rPr>
        <w:t xml:space="preserve"> inwestor</w:t>
      </w:r>
      <w:r w:rsidRPr="00F50744">
        <w:rPr>
          <w:rFonts w:ascii="Lato" w:hAnsi="Lato" w:cs="Arial"/>
          <w:bCs/>
          <w:spacing w:val="4"/>
        </w:rPr>
        <w:t xml:space="preserve"> wskazał, iż </w:t>
      </w:r>
      <w:r w:rsidR="000F2329">
        <w:rPr>
          <w:rFonts w:ascii="Lato" w:hAnsi="Lato" w:cs="Arial"/>
          <w:bCs/>
          <w:spacing w:val="4"/>
        </w:rPr>
        <w:t xml:space="preserve">w stosunku do niektórych </w:t>
      </w:r>
      <w:r w:rsidR="007F2D77" w:rsidRPr="00F50744">
        <w:rPr>
          <w:rFonts w:ascii="Lato" w:hAnsi="Lato" w:cs="Arial"/>
          <w:bCs/>
          <w:spacing w:val="4"/>
        </w:rPr>
        <w:t>dział</w:t>
      </w:r>
      <w:r w:rsidR="007F2D77">
        <w:rPr>
          <w:rFonts w:ascii="Lato" w:hAnsi="Lato" w:cs="Arial"/>
          <w:bCs/>
          <w:spacing w:val="4"/>
        </w:rPr>
        <w:t>ek</w:t>
      </w:r>
      <w:r w:rsidR="007F2D77" w:rsidRPr="00F50744">
        <w:rPr>
          <w:rFonts w:ascii="Lato" w:hAnsi="Lato" w:cs="Arial"/>
          <w:bCs/>
          <w:spacing w:val="4"/>
        </w:rPr>
        <w:t xml:space="preserve"> obję</w:t>
      </w:r>
      <w:r w:rsidR="007F2D77">
        <w:rPr>
          <w:rFonts w:ascii="Lato" w:hAnsi="Lato" w:cs="Arial"/>
          <w:bCs/>
          <w:spacing w:val="4"/>
        </w:rPr>
        <w:t xml:space="preserve">tych </w:t>
      </w:r>
      <w:r w:rsidRPr="00F50744">
        <w:rPr>
          <w:rFonts w:ascii="Lato" w:hAnsi="Lato" w:cs="Arial"/>
          <w:bCs/>
          <w:i/>
          <w:spacing w:val="4"/>
        </w:rPr>
        <w:t>decyzją Wojewody Pomorskiego</w:t>
      </w:r>
      <w:r w:rsidRPr="00F50744">
        <w:rPr>
          <w:rFonts w:ascii="Lato" w:hAnsi="Lato" w:cs="Arial"/>
          <w:bCs/>
          <w:spacing w:val="4"/>
        </w:rPr>
        <w:t xml:space="preserve"> </w:t>
      </w:r>
      <w:r w:rsidR="000F2329">
        <w:rPr>
          <w:rFonts w:ascii="Lato" w:hAnsi="Lato" w:cs="Arial"/>
          <w:bCs/>
          <w:spacing w:val="4"/>
        </w:rPr>
        <w:t xml:space="preserve">krąg podmiotów uprawnionych z tytułu ograniczenia sposobu korzystania z nieruchomości, o którym mowa </w:t>
      </w:r>
      <w:r w:rsidR="00912C3E" w:rsidRPr="00F50744">
        <w:rPr>
          <w:rFonts w:ascii="Lato" w:hAnsi="Lato" w:cs="Arial"/>
          <w:bCs/>
          <w:spacing w:val="4"/>
        </w:rPr>
        <w:t xml:space="preserve">art. 22 ust. 1 </w:t>
      </w:r>
      <w:r w:rsidR="007F2D77" w:rsidRPr="007F2D77">
        <w:rPr>
          <w:rFonts w:ascii="Lato" w:hAnsi="Lato" w:cs="Arial"/>
          <w:bCs/>
          <w:i/>
          <w:iCs/>
          <w:spacing w:val="4"/>
        </w:rPr>
        <w:t>specustawy przesyłowej</w:t>
      </w:r>
      <w:r w:rsidR="007F2D77">
        <w:rPr>
          <w:rFonts w:ascii="Lato" w:hAnsi="Lato" w:cs="Arial"/>
          <w:bCs/>
          <w:spacing w:val="4"/>
        </w:rPr>
        <w:t xml:space="preserve"> </w:t>
      </w:r>
      <w:r w:rsidR="000F2329">
        <w:rPr>
          <w:rFonts w:ascii="Lato" w:hAnsi="Lato" w:cs="Arial"/>
          <w:bCs/>
          <w:spacing w:val="4"/>
        </w:rPr>
        <w:t xml:space="preserve">powinien zostać uzupełniony o </w:t>
      </w:r>
      <w:r w:rsidR="00912C3E" w:rsidRPr="00F50744">
        <w:rPr>
          <w:rFonts w:ascii="Lato" w:hAnsi="Lato" w:cs="Arial"/>
          <w:bCs/>
          <w:spacing w:val="4"/>
        </w:rPr>
        <w:t>operatora systemu dystrybucyjnego</w:t>
      </w:r>
      <w:r w:rsidR="00F2337F" w:rsidRPr="00F50744">
        <w:rPr>
          <w:rFonts w:ascii="Lato" w:hAnsi="Lato" w:cs="Arial"/>
          <w:bCs/>
          <w:spacing w:val="4"/>
        </w:rPr>
        <w:t xml:space="preserve"> </w:t>
      </w:r>
      <w:r w:rsidR="00912C3E" w:rsidRPr="00F50744">
        <w:rPr>
          <w:rFonts w:ascii="Lato" w:hAnsi="Lato" w:cs="Arial"/>
          <w:bCs/>
          <w:spacing w:val="4"/>
        </w:rPr>
        <w:t xml:space="preserve">jakim jest </w:t>
      </w:r>
      <w:bookmarkStart w:id="10" w:name="_Hlk197946344"/>
      <w:r w:rsidR="00BA3423" w:rsidRPr="00F50744">
        <w:rPr>
          <w:rFonts w:ascii="Lato" w:hAnsi="Lato" w:cs="Arial"/>
          <w:bCs/>
          <w:i/>
          <w:iCs/>
          <w:spacing w:val="4"/>
        </w:rPr>
        <w:t>Energa-</w:t>
      </w:r>
      <w:bookmarkEnd w:id="10"/>
      <w:r w:rsidR="00B66AC2" w:rsidRPr="00F50744">
        <w:rPr>
          <w:rFonts w:ascii="Lato" w:hAnsi="Lato" w:cs="Arial"/>
          <w:bCs/>
          <w:i/>
          <w:iCs/>
          <w:spacing w:val="4"/>
        </w:rPr>
        <w:t>Operator</w:t>
      </w:r>
      <w:r w:rsidR="000F2329">
        <w:rPr>
          <w:rFonts w:ascii="Lato" w:hAnsi="Lato" w:cs="Arial"/>
          <w:bCs/>
          <w:i/>
          <w:iCs/>
          <w:spacing w:val="4"/>
        </w:rPr>
        <w:t xml:space="preserve">. </w:t>
      </w:r>
      <w:r w:rsidR="000F2329" w:rsidRPr="0006000D">
        <w:rPr>
          <w:rFonts w:ascii="Lato" w:hAnsi="Lato" w:cs="Arial"/>
          <w:bCs/>
          <w:spacing w:val="4"/>
        </w:rPr>
        <w:t xml:space="preserve">Podmiot ten </w:t>
      </w:r>
      <w:r w:rsidR="00B66AC2" w:rsidRPr="000F2329">
        <w:rPr>
          <w:rFonts w:ascii="Lato" w:hAnsi="Lato" w:cs="Arial"/>
          <w:bCs/>
          <w:spacing w:val="4"/>
        </w:rPr>
        <w:t>po</w:t>
      </w:r>
      <w:r w:rsidR="00912C3E" w:rsidRPr="00F50744">
        <w:rPr>
          <w:rFonts w:ascii="Lato" w:hAnsi="Lato" w:cs="Arial"/>
          <w:bCs/>
          <w:spacing w:val="4"/>
        </w:rPr>
        <w:t xml:space="preserve"> uprzednim zrealizowaniu przez </w:t>
      </w:r>
      <w:r w:rsidR="00912C3E" w:rsidRPr="00F50744">
        <w:rPr>
          <w:rFonts w:ascii="Lato" w:hAnsi="Lato" w:cs="Arial"/>
          <w:bCs/>
          <w:i/>
          <w:iCs/>
          <w:spacing w:val="4"/>
        </w:rPr>
        <w:t>inwestora</w:t>
      </w:r>
      <w:r w:rsidR="00912C3E" w:rsidRPr="00F50744">
        <w:rPr>
          <w:rFonts w:ascii="Lato" w:hAnsi="Lato" w:cs="Arial"/>
          <w:bCs/>
          <w:spacing w:val="4"/>
        </w:rPr>
        <w:t xml:space="preserve"> przedmiotowego przedsięwzięci</w:t>
      </w:r>
      <w:r w:rsidR="00707E32">
        <w:rPr>
          <w:rFonts w:ascii="Lato" w:hAnsi="Lato" w:cs="Arial"/>
          <w:bCs/>
          <w:spacing w:val="4"/>
        </w:rPr>
        <w:t>a</w:t>
      </w:r>
      <w:r w:rsidR="007F2D77">
        <w:rPr>
          <w:rFonts w:ascii="Lato" w:hAnsi="Lato" w:cs="Arial"/>
          <w:bCs/>
          <w:spacing w:val="4"/>
        </w:rPr>
        <w:t xml:space="preserve"> </w:t>
      </w:r>
      <w:r w:rsidR="00B66AC2" w:rsidRPr="00F50744">
        <w:rPr>
          <w:rFonts w:ascii="Lato" w:hAnsi="Lato" w:cs="Arial"/>
          <w:bCs/>
          <w:spacing w:val="4"/>
        </w:rPr>
        <w:t>będzie</w:t>
      </w:r>
      <w:r w:rsidR="00912C3E" w:rsidRPr="00F50744">
        <w:rPr>
          <w:rFonts w:ascii="Lato" w:hAnsi="Lato" w:cs="Arial"/>
          <w:bCs/>
          <w:spacing w:val="4"/>
        </w:rPr>
        <w:t xml:space="preserve"> </w:t>
      </w:r>
      <w:r w:rsidR="000F2329">
        <w:rPr>
          <w:rFonts w:ascii="Lato" w:hAnsi="Lato" w:cs="Arial"/>
          <w:bCs/>
          <w:spacing w:val="4"/>
        </w:rPr>
        <w:t xml:space="preserve">bowiem </w:t>
      </w:r>
      <w:r w:rsidR="00912C3E" w:rsidRPr="00F50744">
        <w:rPr>
          <w:rFonts w:ascii="Lato" w:hAnsi="Lato" w:cs="Arial"/>
          <w:bCs/>
          <w:spacing w:val="4"/>
        </w:rPr>
        <w:t>właścicielem nowopowstałej infrastruktury i</w:t>
      </w:r>
      <w:r w:rsidR="00DB4BFE" w:rsidRPr="00F50744">
        <w:rPr>
          <w:rFonts w:ascii="Lato" w:hAnsi="Lato" w:cs="Arial"/>
          <w:bCs/>
          <w:spacing w:val="4"/>
        </w:rPr>
        <w:t xml:space="preserve"> </w:t>
      </w:r>
      <w:r w:rsidR="00912C3E" w:rsidRPr="00F50744">
        <w:rPr>
          <w:rFonts w:ascii="Lato" w:hAnsi="Lato" w:cs="Arial"/>
          <w:bCs/>
          <w:spacing w:val="4"/>
        </w:rPr>
        <w:t>w</w:t>
      </w:r>
      <w:r w:rsidR="00D43D81" w:rsidRPr="00F50744">
        <w:rPr>
          <w:rFonts w:ascii="Lato" w:hAnsi="Lato" w:cs="Arial"/>
          <w:bCs/>
          <w:spacing w:val="4"/>
        </w:rPr>
        <w:t xml:space="preserve"> </w:t>
      </w:r>
      <w:r w:rsidR="00912C3E" w:rsidRPr="00F50744">
        <w:rPr>
          <w:rFonts w:ascii="Lato" w:hAnsi="Lato" w:cs="Arial"/>
          <w:bCs/>
          <w:spacing w:val="4"/>
        </w:rPr>
        <w:t xml:space="preserve">konsekwencji będzie odpowiadała za jej utrzymanie. </w:t>
      </w:r>
      <w:r w:rsidR="000F2329">
        <w:rPr>
          <w:rFonts w:ascii="Lato" w:hAnsi="Lato" w:cs="Arial"/>
          <w:bCs/>
          <w:spacing w:val="4"/>
        </w:rPr>
        <w:t>Zatem</w:t>
      </w:r>
      <w:r w:rsidR="00912C3E" w:rsidRPr="00F50744">
        <w:rPr>
          <w:rFonts w:ascii="Lato" w:hAnsi="Lato" w:cs="Arial"/>
          <w:bCs/>
          <w:spacing w:val="4"/>
        </w:rPr>
        <w:t xml:space="preserve"> </w:t>
      </w:r>
      <w:r w:rsidR="00CA2ADF">
        <w:rPr>
          <w:rFonts w:ascii="Lato" w:hAnsi="Lato" w:cs="Arial"/>
          <w:bCs/>
          <w:spacing w:val="4"/>
        </w:rPr>
        <w:t xml:space="preserve">niezbędne jest </w:t>
      </w:r>
      <w:r w:rsidR="000F2329">
        <w:rPr>
          <w:rFonts w:ascii="Lato" w:hAnsi="Lato" w:cs="Arial"/>
          <w:bCs/>
          <w:spacing w:val="4"/>
        </w:rPr>
        <w:t xml:space="preserve">zapewnienie </w:t>
      </w:r>
      <w:r w:rsidR="00912C3E" w:rsidRPr="00F50744">
        <w:rPr>
          <w:rFonts w:ascii="Lato" w:hAnsi="Lato" w:cs="Arial"/>
          <w:bCs/>
          <w:spacing w:val="4"/>
        </w:rPr>
        <w:t>właściwe</w:t>
      </w:r>
      <w:r w:rsidR="000F2329">
        <w:rPr>
          <w:rFonts w:ascii="Lato" w:hAnsi="Lato" w:cs="Arial"/>
          <w:bCs/>
          <w:spacing w:val="4"/>
        </w:rPr>
        <w:t>go</w:t>
      </w:r>
      <w:r w:rsidR="00912C3E" w:rsidRPr="00F50744">
        <w:rPr>
          <w:rFonts w:ascii="Lato" w:hAnsi="Lato" w:cs="Arial"/>
          <w:bCs/>
          <w:spacing w:val="4"/>
        </w:rPr>
        <w:t xml:space="preserve"> korzystani</w:t>
      </w:r>
      <w:r w:rsidR="000F2329">
        <w:rPr>
          <w:rFonts w:ascii="Lato" w:hAnsi="Lato" w:cs="Arial"/>
          <w:bCs/>
          <w:spacing w:val="4"/>
        </w:rPr>
        <w:t>a</w:t>
      </w:r>
      <w:r w:rsidR="00912C3E" w:rsidRPr="00F50744">
        <w:rPr>
          <w:rFonts w:ascii="Lato" w:hAnsi="Lato" w:cs="Arial"/>
          <w:bCs/>
          <w:spacing w:val="4"/>
        </w:rPr>
        <w:t xml:space="preserve"> z urządzeń przesyłowych </w:t>
      </w:r>
      <w:r w:rsidR="007E1020">
        <w:rPr>
          <w:rFonts w:ascii="Lato" w:hAnsi="Lato" w:cs="Arial"/>
          <w:bCs/>
          <w:spacing w:val="4"/>
        </w:rPr>
        <w:br/>
      </w:r>
      <w:r w:rsidR="00912C3E" w:rsidRPr="00F50744">
        <w:rPr>
          <w:rFonts w:ascii="Lato" w:hAnsi="Lato" w:cs="Arial"/>
          <w:bCs/>
          <w:spacing w:val="4"/>
        </w:rPr>
        <w:t>w zakresie wykonywanych prac konserwatorskich sieci</w:t>
      </w:r>
      <w:r w:rsidR="00EC23E8" w:rsidRPr="00F50744">
        <w:rPr>
          <w:rFonts w:ascii="Lato" w:hAnsi="Lato" w:cs="Arial"/>
          <w:bCs/>
          <w:spacing w:val="4"/>
        </w:rPr>
        <w:t>,</w:t>
      </w:r>
      <w:r w:rsidR="00912C3E" w:rsidRPr="00F50744">
        <w:rPr>
          <w:rFonts w:ascii="Lato" w:hAnsi="Lato" w:cs="Arial"/>
          <w:bCs/>
          <w:spacing w:val="4"/>
        </w:rPr>
        <w:t xml:space="preserve"> eksploatacyjnych, awaryjnych.</w:t>
      </w:r>
    </w:p>
    <w:p w14:paraId="79D95995" w14:textId="599EDC11" w:rsidR="00D71BEA" w:rsidRPr="00F50744" w:rsidRDefault="00B66AC2" w:rsidP="00D71BEA">
      <w:pPr>
        <w:widowControl w:val="0"/>
        <w:spacing w:after="240" w:line="240" w:lineRule="exact"/>
        <w:ind w:right="-1"/>
        <w:jc w:val="both"/>
        <w:rPr>
          <w:rFonts w:ascii="Lato" w:hAnsi="Lato" w:cs="Arial"/>
          <w:bCs/>
          <w:iCs/>
          <w:spacing w:val="4"/>
        </w:rPr>
      </w:pPr>
      <w:r w:rsidRPr="00F50744">
        <w:rPr>
          <w:rFonts w:ascii="Lato" w:hAnsi="Lato" w:cs="Arial"/>
          <w:bCs/>
          <w:i/>
          <w:iCs/>
          <w:spacing w:val="4"/>
        </w:rPr>
        <w:t>Inwestor</w:t>
      </w:r>
      <w:r w:rsidR="00D71BEA" w:rsidRPr="00F50744">
        <w:rPr>
          <w:rFonts w:ascii="Lato" w:hAnsi="Lato" w:cs="Arial"/>
          <w:bCs/>
          <w:iCs/>
          <w:spacing w:val="4"/>
        </w:rPr>
        <w:t xml:space="preserve"> jako argumentację przemawiającą za zmianą </w:t>
      </w:r>
      <w:r w:rsidR="00D71BEA" w:rsidRPr="00192E96">
        <w:rPr>
          <w:rFonts w:ascii="Lato" w:hAnsi="Lato" w:cs="Arial"/>
          <w:bCs/>
          <w:spacing w:val="4"/>
        </w:rPr>
        <w:t>decyzji,</w:t>
      </w:r>
      <w:r w:rsidR="00D71BEA" w:rsidRPr="00F50744">
        <w:rPr>
          <w:rFonts w:ascii="Lato" w:hAnsi="Lato" w:cs="Arial"/>
          <w:bCs/>
          <w:iCs/>
          <w:spacing w:val="4"/>
        </w:rPr>
        <w:t xml:space="preserve"> wskazał </w:t>
      </w:r>
      <w:r w:rsidR="00575F3B" w:rsidRPr="00F50744">
        <w:rPr>
          <w:rFonts w:ascii="Lato" w:hAnsi="Lato" w:cs="Arial"/>
          <w:bCs/>
          <w:iCs/>
          <w:spacing w:val="4"/>
        </w:rPr>
        <w:t xml:space="preserve">kluczowe znaczenie realizowanego przedsięwzięcia, które zapewni bezpieczeństwo energetycznie regionu pomorskiego jak również kraju, co stanowi istotny interes społeczny. Z uwagi </w:t>
      </w:r>
      <w:r w:rsidR="00DB4BFE" w:rsidRPr="00F50744">
        <w:rPr>
          <w:rFonts w:ascii="Lato" w:hAnsi="Lato" w:cs="Arial"/>
          <w:bCs/>
          <w:iCs/>
          <w:spacing w:val="4"/>
        </w:rPr>
        <w:br/>
      </w:r>
      <w:r w:rsidR="00575F3B" w:rsidRPr="00F50744">
        <w:rPr>
          <w:rFonts w:ascii="Lato" w:hAnsi="Lato" w:cs="Arial"/>
          <w:bCs/>
          <w:iCs/>
          <w:spacing w:val="4"/>
        </w:rPr>
        <w:t xml:space="preserve">na specyfikę inwestycji, w szczególności konieczność prowadzenia prac na działkach ewidencyjnych </w:t>
      </w:r>
      <w:r w:rsidR="009F1C54" w:rsidRPr="00F50744">
        <w:rPr>
          <w:rFonts w:ascii="Lato" w:hAnsi="Lato" w:cs="Arial"/>
          <w:bCs/>
          <w:iCs/>
          <w:spacing w:val="4"/>
        </w:rPr>
        <w:t xml:space="preserve">objętych przedmiotową inwestycją </w:t>
      </w:r>
      <w:r w:rsidR="00575F3B" w:rsidRPr="00F50744">
        <w:rPr>
          <w:rFonts w:ascii="Lato" w:hAnsi="Lato" w:cs="Arial"/>
          <w:bCs/>
          <w:iCs/>
          <w:spacing w:val="4"/>
        </w:rPr>
        <w:t xml:space="preserve">niezbędne jest </w:t>
      </w:r>
      <w:r w:rsidR="00CA2ADF">
        <w:rPr>
          <w:rFonts w:ascii="Lato" w:hAnsi="Lato" w:cs="Arial"/>
          <w:bCs/>
          <w:iCs/>
          <w:spacing w:val="4"/>
        </w:rPr>
        <w:t xml:space="preserve">zapewnienie </w:t>
      </w:r>
      <w:r w:rsidR="00CA2ADF" w:rsidRPr="0006000D">
        <w:rPr>
          <w:rFonts w:ascii="Lato" w:hAnsi="Lato" w:cs="Arial"/>
          <w:bCs/>
          <w:i/>
          <w:spacing w:val="4"/>
        </w:rPr>
        <w:t xml:space="preserve">Energa Operator </w:t>
      </w:r>
      <w:r w:rsidR="00CA2ADF">
        <w:rPr>
          <w:rFonts w:ascii="Lato" w:hAnsi="Lato" w:cs="Arial"/>
          <w:bCs/>
          <w:iCs/>
          <w:spacing w:val="4"/>
        </w:rPr>
        <w:t xml:space="preserve">uprawnień z tytułu ustanowionych </w:t>
      </w:r>
      <w:r w:rsidR="00575F3B" w:rsidRPr="00F50744">
        <w:rPr>
          <w:rFonts w:ascii="Lato" w:hAnsi="Lato" w:cs="Arial"/>
          <w:bCs/>
          <w:iCs/>
          <w:spacing w:val="4"/>
        </w:rPr>
        <w:t>ograniczeń</w:t>
      </w:r>
      <w:r w:rsidRPr="00F50744">
        <w:rPr>
          <w:rFonts w:ascii="Lato" w:hAnsi="Lato" w:cs="Arial"/>
          <w:bCs/>
          <w:iCs/>
          <w:spacing w:val="4"/>
        </w:rPr>
        <w:t>,</w:t>
      </w:r>
      <w:r w:rsidR="00575F3B" w:rsidRPr="00F50744">
        <w:rPr>
          <w:rFonts w:ascii="Lato" w:hAnsi="Lato" w:cs="Arial"/>
          <w:bCs/>
          <w:iCs/>
          <w:spacing w:val="4"/>
        </w:rPr>
        <w:t xml:space="preserve"> o których mowa w art. 22 ust. 1 </w:t>
      </w:r>
      <w:r w:rsidR="00575F3B" w:rsidRPr="00F50744">
        <w:rPr>
          <w:rFonts w:ascii="Lato" w:hAnsi="Lato" w:cs="Arial"/>
          <w:bCs/>
          <w:i/>
          <w:spacing w:val="4"/>
        </w:rPr>
        <w:t>specustawy przesyłowej</w:t>
      </w:r>
      <w:r w:rsidR="00D206E1">
        <w:rPr>
          <w:rFonts w:ascii="Lato" w:hAnsi="Lato" w:cs="Arial"/>
          <w:bCs/>
          <w:i/>
          <w:spacing w:val="4"/>
        </w:rPr>
        <w:t>.</w:t>
      </w:r>
    </w:p>
    <w:p w14:paraId="224EB4F2" w14:textId="7025E4C9" w:rsidR="00D71BEA" w:rsidRPr="00F50744" w:rsidRDefault="00D71BEA" w:rsidP="00D71BEA">
      <w:pPr>
        <w:tabs>
          <w:tab w:val="left" w:pos="851"/>
        </w:tabs>
        <w:spacing w:after="240" w:line="240" w:lineRule="exact"/>
        <w:jc w:val="both"/>
        <w:rPr>
          <w:rFonts w:ascii="Lato" w:hAnsi="Lato" w:cs="Arial"/>
          <w:spacing w:val="4"/>
          <w:szCs w:val="20"/>
        </w:rPr>
      </w:pPr>
      <w:r w:rsidRPr="00F50744">
        <w:rPr>
          <w:rFonts w:ascii="Lato" w:hAnsi="Lato" w:cs="Arial"/>
          <w:bCs/>
          <w:spacing w:val="4"/>
          <w:szCs w:val="20"/>
        </w:rPr>
        <w:t>Uwzględniając fakt, iż właściwym w przedmiotowej sprawie – stosownie do treści rozporządzenia Prezesa Rady Ministrów z dnia 16 maja 2024 r. w sprawie szczegółowego zakresu działania Ministra Rozwoju i Technologii (t.j. Dz. U. z 2024 r. poz. 739) – jest Minister Rozwoju i Technologii</w:t>
      </w:r>
      <w:r w:rsidRPr="00F50744">
        <w:rPr>
          <w:rFonts w:ascii="Lato" w:hAnsi="Lato" w:cs="Arial"/>
          <w:spacing w:val="4"/>
          <w:szCs w:val="20"/>
        </w:rPr>
        <w:t>, zwany dalej „</w:t>
      </w:r>
      <w:r w:rsidRPr="00F50744">
        <w:rPr>
          <w:rFonts w:ascii="Lato" w:hAnsi="Lato" w:cs="Arial"/>
          <w:i/>
          <w:spacing w:val="4"/>
          <w:szCs w:val="20"/>
        </w:rPr>
        <w:t>Ministrem</w:t>
      </w:r>
      <w:r w:rsidRPr="00F50744">
        <w:rPr>
          <w:rFonts w:ascii="Lato" w:hAnsi="Lato" w:cs="Arial"/>
          <w:spacing w:val="4"/>
          <w:szCs w:val="20"/>
        </w:rPr>
        <w:t xml:space="preserve">”, stwierdzono, co następuje.  </w:t>
      </w:r>
    </w:p>
    <w:p w14:paraId="653D118F" w14:textId="4E9E865C" w:rsidR="001A6F82" w:rsidRPr="00F50744" w:rsidRDefault="001A6F82" w:rsidP="001A6F82">
      <w:pPr>
        <w:spacing w:after="240" w:line="240" w:lineRule="exact"/>
        <w:jc w:val="both"/>
        <w:outlineLvl w:val="0"/>
        <w:rPr>
          <w:rFonts w:ascii="Lato" w:hAnsi="Lato" w:cs="Arial"/>
          <w:i/>
          <w:spacing w:val="4"/>
        </w:rPr>
      </w:pPr>
      <w:r w:rsidRPr="00F50744">
        <w:rPr>
          <w:rFonts w:ascii="Lato" w:hAnsi="Lato" w:cs="Arial"/>
          <w:spacing w:val="4"/>
        </w:rPr>
        <w:t xml:space="preserve">Zgodnie z art. </w:t>
      </w:r>
      <w:r w:rsidR="000B2641" w:rsidRPr="00F50744">
        <w:rPr>
          <w:rFonts w:ascii="Lato" w:hAnsi="Lato" w:cs="Arial"/>
          <w:spacing w:val="4"/>
        </w:rPr>
        <w:t>27</w:t>
      </w:r>
      <w:r w:rsidRPr="00F50744">
        <w:rPr>
          <w:rFonts w:ascii="Lato" w:hAnsi="Lato" w:cs="Arial"/>
          <w:spacing w:val="4"/>
        </w:rPr>
        <w:t xml:space="preserve">a </w:t>
      </w:r>
      <w:r w:rsidRPr="00F50744">
        <w:rPr>
          <w:rFonts w:ascii="Lato" w:hAnsi="Lato" w:cs="Arial"/>
          <w:i/>
          <w:spacing w:val="4"/>
        </w:rPr>
        <w:t xml:space="preserve">specustawy </w:t>
      </w:r>
      <w:r w:rsidR="000B2641" w:rsidRPr="00F50744">
        <w:rPr>
          <w:rFonts w:ascii="Lato" w:hAnsi="Lato" w:cs="Arial"/>
          <w:i/>
          <w:spacing w:val="4"/>
        </w:rPr>
        <w:t>przesyłowej</w:t>
      </w:r>
      <w:r w:rsidRPr="00F50744">
        <w:rPr>
          <w:rFonts w:ascii="Lato" w:hAnsi="Lato" w:cs="Arial"/>
          <w:spacing w:val="4"/>
        </w:rPr>
        <w:t xml:space="preserve"> do zmiany decyzji </w:t>
      </w:r>
      <w:r w:rsidRPr="00F50744">
        <w:rPr>
          <w:rFonts w:ascii="Lato" w:hAnsi="Lato" w:cs="Arial"/>
          <w:bCs/>
          <w:spacing w:val="4"/>
        </w:rPr>
        <w:t xml:space="preserve">o ustaleniu lokalizacji inwestycji </w:t>
      </w:r>
      <w:r w:rsidR="000B2641" w:rsidRPr="00F50744">
        <w:rPr>
          <w:rFonts w:ascii="Lato" w:hAnsi="Lato" w:cs="Arial"/>
          <w:bCs/>
          <w:spacing w:val="4"/>
        </w:rPr>
        <w:t>strategicznej inwestycji w zakresie sieci przesyłowej</w:t>
      </w:r>
      <w:r w:rsidRPr="00F50744">
        <w:rPr>
          <w:rFonts w:ascii="Lato" w:hAnsi="Lato" w:cs="Arial"/>
          <w:spacing w:val="4"/>
        </w:rPr>
        <w:t xml:space="preserve">, stosuje się odpowiednio przepis </w:t>
      </w:r>
      <w:hyperlink r:id="rId8" w:history="1">
        <w:r w:rsidRPr="00F50744">
          <w:rPr>
            <w:rStyle w:val="Hipercze"/>
            <w:rFonts w:ascii="Lato" w:hAnsi="Lato" w:cs="Arial"/>
            <w:color w:val="auto"/>
            <w:spacing w:val="4"/>
            <w:u w:val="none"/>
          </w:rPr>
          <w:t>art. 155</w:t>
        </w:r>
      </w:hyperlink>
      <w:r w:rsidRPr="00F50744">
        <w:rPr>
          <w:rFonts w:ascii="Lato" w:hAnsi="Lato" w:cs="Arial"/>
          <w:spacing w:val="4"/>
        </w:rPr>
        <w:t xml:space="preserve"> </w:t>
      </w:r>
      <w:r w:rsidRPr="00F50744">
        <w:rPr>
          <w:rFonts w:ascii="Lato" w:hAnsi="Lato" w:cs="Arial"/>
          <w:i/>
          <w:spacing w:val="4"/>
        </w:rPr>
        <w:t>kpa</w:t>
      </w:r>
      <w:r w:rsidRPr="00F50744">
        <w:rPr>
          <w:rFonts w:ascii="Lato" w:hAnsi="Lato" w:cs="Arial"/>
          <w:spacing w:val="4"/>
        </w:rPr>
        <w:t>, z zastrzeżeniem</w:t>
      </w:r>
      <w:r w:rsidR="00F2337F" w:rsidRPr="00F50744">
        <w:rPr>
          <w:rFonts w:ascii="Lato" w:hAnsi="Lato" w:cs="Arial"/>
          <w:spacing w:val="4"/>
        </w:rPr>
        <w:t>,</w:t>
      </w:r>
      <w:r w:rsidRPr="00F50744">
        <w:rPr>
          <w:rFonts w:ascii="Lato" w:hAnsi="Lato" w:cs="Arial"/>
          <w:spacing w:val="4"/>
        </w:rPr>
        <w:t xml:space="preserve"> że zgodę wyraża wyłącznie strona, która złożyła wniosek o wydanie tej decyzji.</w:t>
      </w:r>
    </w:p>
    <w:p w14:paraId="54343B2B" w14:textId="554B489C"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Wniosek </w:t>
      </w:r>
      <w:r w:rsidRPr="00F50744">
        <w:rPr>
          <w:rFonts w:ascii="Lato" w:hAnsi="Lato" w:cs="Arial"/>
          <w:i/>
          <w:spacing w:val="4"/>
        </w:rPr>
        <w:t>inwestora</w:t>
      </w:r>
      <w:r w:rsidRPr="00F50744">
        <w:rPr>
          <w:rFonts w:ascii="Lato" w:hAnsi="Lato" w:cs="Arial"/>
          <w:spacing w:val="4"/>
        </w:rPr>
        <w:t xml:space="preserve"> dotyczył zmiany </w:t>
      </w:r>
      <w:r w:rsidRPr="00F50744">
        <w:rPr>
          <w:rFonts w:ascii="Lato" w:hAnsi="Lato" w:cs="Arial"/>
          <w:i/>
          <w:spacing w:val="4"/>
        </w:rPr>
        <w:t>decyzji</w:t>
      </w:r>
      <w:r w:rsidRPr="00F50744">
        <w:rPr>
          <w:rFonts w:ascii="Lato" w:hAnsi="Lato" w:cs="Arial"/>
          <w:bCs/>
          <w:i/>
          <w:spacing w:val="4"/>
        </w:rPr>
        <w:t xml:space="preserve"> Wojewody </w:t>
      </w:r>
      <w:r w:rsidR="000B2641" w:rsidRPr="00F50744">
        <w:rPr>
          <w:rFonts w:ascii="Lato" w:hAnsi="Lato" w:cs="Arial"/>
          <w:bCs/>
          <w:i/>
          <w:spacing w:val="4"/>
        </w:rPr>
        <w:t>Pomorskiego</w:t>
      </w:r>
      <w:r w:rsidRPr="00F50744">
        <w:rPr>
          <w:rFonts w:ascii="Lato" w:hAnsi="Lato" w:cs="Arial"/>
          <w:bCs/>
          <w:i/>
          <w:spacing w:val="4"/>
        </w:rPr>
        <w:t xml:space="preserve">, </w:t>
      </w:r>
      <w:r w:rsidRPr="00F50744">
        <w:rPr>
          <w:rFonts w:ascii="Lato" w:hAnsi="Lato" w:cs="Arial"/>
          <w:spacing w:val="4"/>
        </w:rPr>
        <w:t xml:space="preserve">która to decyzja była przedmiotem kontroli w trybie odwoławczym, zakończonym </w:t>
      </w:r>
      <w:r w:rsidRPr="00F50744">
        <w:rPr>
          <w:rFonts w:ascii="Lato" w:hAnsi="Lato" w:cs="Arial"/>
          <w:i/>
          <w:spacing w:val="4"/>
        </w:rPr>
        <w:t>decyzją Ministra</w:t>
      </w:r>
      <w:r w:rsidR="000B2641" w:rsidRPr="00F50744">
        <w:rPr>
          <w:rFonts w:ascii="Lato" w:hAnsi="Lato" w:cs="Arial"/>
          <w:i/>
          <w:spacing w:val="4"/>
        </w:rPr>
        <w:t xml:space="preserve">. </w:t>
      </w:r>
      <w:r w:rsidRPr="00F50744">
        <w:rPr>
          <w:rFonts w:ascii="Lato" w:hAnsi="Lato" w:cs="Arial"/>
          <w:spacing w:val="4"/>
        </w:rPr>
        <w:t xml:space="preserve">Zgodnie zaś z art. 155 </w:t>
      </w:r>
      <w:r w:rsidRPr="00F50744">
        <w:rPr>
          <w:rFonts w:ascii="Lato" w:hAnsi="Lato" w:cs="Arial"/>
          <w:i/>
          <w:spacing w:val="4"/>
        </w:rPr>
        <w:t>kpa</w:t>
      </w:r>
      <w:r w:rsidRPr="00F50744">
        <w:rPr>
          <w:rFonts w:ascii="Lato" w:hAnsi="Lato" w:cs="Arial"/>
          <w:spacing w:val="4"/>
        </w:rPr>
        <w:t xml:space="preserve"> zmieniona może być jedynie decyzja ostateczna, którą niewątpliwie </w:t>
      </w:r>
      <w:r w:rsidR="000B2641" w:rsidRPr="00F50744">
        <w:rPr>
          <w:rFonts w:ascii="Lato" w:hAnsi="Lato" w:cs="Arial"/>
          <w:spacing w:val="4"/>
        </w:rPr>
        <w:br/>
      </w:r>
      <w:r w:rsidRPr="00F50744">
        <w:rPr>
          <w:rFonts w:ascii="Lato" w:hAnsi="Lato" w:cs="Arial"/>
          <w:spacing w:val="4"/>
        </w:rPr>
        <w:t xml:space="preserve">w niniejszej sprawie jest </w:t>
      </w:r>
      <w:r w:rsidRPr="00F50744">
        <w:rPr>
          <w:rFonts w:ascii="Lato" w:hAnsi="Lato" w:cs="Arial"/>
          <w:i/>
          <w:spacing w:val="4"/>
        </w:rPr>
        <w:t>decyzja Ministra</w:t>
      </w:r>
      <w:r w:rsidRPr="00F50744">
        <w:rPr>
          <w:rFonts w:ascii="Lato" w:hAnsi="Lato" w:cs="Arial"/>
          <w:spacing w:val="4"/>
        </w:rPr>
        <w:t xml:space="preserve">, jako decyzja wydana w trybie odwoławczym. Zatem, w realiach niniejszej sprawy, wniosek </w:t>
      </w:r>
      <w:r w:rsidRPr="00F50744">
        <w:rPr>
          <w:rFonts w:ascii="Lato" w:hAnsi="Lato" w:cs="Arial"/>
          <w:i/>
          <w:spacing w:val="4"/>
        </w:rPr>
        <w:t xml:space="preserve">inwestora </w:t>
      </w:r>
      <w:r w:rsidRPr="00F50744">
        <w:rPr>
          <w:rFonts w:ascii="Lato" w:hAnsi="Lato" w:cs="Arial"/>
          <w:spacing w:val="4"/>
        </w:rPr>
        <w:t xml:space="preserve">z dnia </w:t>
      </w:r>
      <w:r w:rsidR="000B2641" w:rsidRPr="00F50744">
        <w:rPr>
          <w:rFonts w:ascii="Lato" w:hAnsi="Lato" w:cs="Arial"/>
          <w:spacing w:val="4"/>
        </w:rPr>
        <w:t>8 stycznia</w:t>
      </w:r>
      <w:r w:rsidRPr="00F50744">
        <w:rPr>
          <w:rFonts w:ascii="Lato" w:hAnsi="Lato" w:cs="Arial"/>
          <w:spacing w:val="4"/>
        </w:rPr>
        <w:t xml:space="preserve"> 20</w:t>
      </w:r>
      <w:r w:rsidR="000B2641" w:rsidRPr="00F50744">
        <w:rPr>
          <w:rFonts w:ascii="Lato" w:hAnsi="Lato" w:cs="Arial"/>
          <w:spacing w:val="4"/>
        </w:rPr>
        <w:t>24</w:t>
      </w:r>
      <w:r w:rsidRPr="00F50744">
        <w:rPr>
          <w:rFonts w:ascii="Lato" w:hAnsi="Lato" w:cs="Arial"/>
          <w:spacing w:val="4"/>
        </w:rPr>
        <w:t xml:space="preserve"> r., należało potraktować jako wniosek o zmianę </w:t>
      </w:r>
      <w:r w:rsidRPr="00F50744">
        <w:rPr>
          <w:rFonts w:ascii="Lato" w:hAnsi="Lato" w:cs="Arial"/>
          <w:i/>
          <w:spacing w:val="4"/>
        </w:rPr>
        <w:t xml:space="preserve">decyzji Ministra, </w:t>
      </w:r>
      <w:r w:rsidRPr="00F50744">
        <w:rPr>
          <w:rFonts w:ascii="Lato" w:hAnsi="Lato" w:cs="Arial"/>
          <w:spacing w:val="4"/>
        </w:rPr>
        <w:t>jako decyzji ostatecznej w toku instancji.</w:t>
      </w:r>
    </w:p>
    <w:p w14:paraId="72CEB776" w14:textId="7E150894" w:rsidR="001A6F82" w:rsidRPr="00F50744" w:rsidRDefault="00A01070" w:rsidP="001A6F82">
      <w:pPr>
        <w:spacing w:after="240" w:line="240" w:lineRule="exact"/>
        <w:jc w:val="both"/>
        <w:outlineLvl w:val="0"/>
        <w:rPr>
          <w:rFonts w:ascii="Lato" w:hAnsi="Lato" w:cs="Arial"/>
          <w:spacing w:val="4"/>
        </w:rPr>
      </w:pPr>
      <w:r w:rsidRPr="00F50744">
        <w:rPr>
          <w:rFonts w:ascii="Lato" w:hAnsi="Lato" w:cs="Arial"/>
          <w:spacing w:val="4"/>
        </w:rPr>
        <w:t xml:space="preserve">Pismem z dnia 12 czerwca 2024 r., znak: DLI-III.7620.6.2024.BW.3, organ nadzoru zawiadomił o wszczęciu postępowania w sprawie </w:t>
      </w:r>
      <w:r w:rsidRPr="007F2D77">
        <w:rPr>
          <w:rFonts w:ascii="Lato" w:hAnsi="Lato" w:cs="Arial"/>
          <w:spacing w:val="4"/>
        </w:rPr>
        <w:t xml:space="preserve">zmiany, w trybie art. 155 </w:t>
      </w:r>
      <w:r w:rsidRPr="007F2D77">
        <w:rPr>
          <w:rFonts w:ascii="Lato" w:hAnsi="Lato" w:cs="Arial"/>
          <w:i/>
          <w:spacing w:val="4"/>
        </w:rPr>
        <w:t>kpa</w:t>
      </w:r>
      <w:r w:rsidRPr="007F2D77">
        <w:rPr>
          <w:rFonts w:ascii="Lato" w:hAnsi="Lato" w:cs="Arial"/>
          <w:spacing w:val="4"/>
        </w:rPr>
        <w:t>, osta</w:t>
      </w:r>
      <w:r w:rsidRPr="007F2D77">
        <w:rPr>
          <w:rFonts w:ascii="Lato" w:hAnsi="Lato" w:cs="Arial"/>
          <w:bCs/>
          <w:spacing w:val="4"/>
        </w:rPr>
        <w:t>tecznej decyzji w przedmiocie ustalenia lokalizacji</w:t>
      </w:r>
      <w:r w:rsidRPr="00F50744">
        <w:rPr>
          <w:rFonts w:ascii="Lato" w:hAnsi="Lato" w:cs="Arial"/>
          <w:bCs/>
          <w:spacing w:val="4"/>
        </w:rPr>
        <w:t xml:space="preserve"> strategicznych inwestycji </w:t>
      </w:r>
      <w:r w:rsidR="00DB4BFE" w:rsidRPr="00F50744">
        <w:rPr>
          <w:rFonts w:ascii="Lato" w:hAnsi="Lato" w:cs="Arial"/>
          <w:bCs/>
          <w:spacing w:val="4"/>
        </w:rPr>
        <w:br/>
      </w:r>
      <w:r w:rsidRPr="00F50744">
        <w:rPr>
          <w:rFonts w:ascii="Lato" w:hAnsi="Lato" w:cs="Arial"/>
          <w:bCs/>
          <w:spacing w:val="4"/>
        </w:rPr>
        <w:lastRenderedPageBreak/>
        <w:t>w zakresie sieci przesyłowej</w:t>
      </w:r>
      <w:r w:rsidR="00F2337F" w:rsidRPr="00F50744">
        <w:rPr>
          <w:rFonts w:ascii="Lato" w:hAnsi="Lato" w:cs="Arial"/>
          <w:spacing w:val="4"/>
        </w:rPr>
        <w:t xml:space="preserve">. </w:t>
      </w:r>
      <w:r w:rsidR="009A0DB5" w:rsidRPr="00F50744">
        <w:rPr>
          <w:rFonts w:ascii="Lato" w:hAnsi="Lato" w:cs="Arial"/>
          <w:spacing w:val="4"/>
        </w:rPr>
        <w:t>O wszczęciu przedmiotowego postępowania organ nadzoru</w:t>
      </w:r>
      <w:r w:rsidR="009A0DB5" w:rsidRPr="00F50744">
        <w:rPr>
          <w:rFonts w:ascii="Lato" w:hAnsi="Lato" w:cs="Arial"/>
          <w:bCs/>
          <w:spacing w:val="4"/>
        </w:rPr>
        <w:t xml:space="preserve"> poinformował także w drodze obwieszczenia. </w:t>
      </w:r>
    </w:p>
    <w:p w14:paraId="4AD7860C" w14:textId="5782D3D7"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bCs/>
          <w:spacing w:val="4"/>
        </w:rPr>
        <w:t xml:space="preserve">Po przeprowadzeniu postępowania w sprawie </w:t>
      </w:r>
      <w:r w:rsidRPr="007F2D77">
        <w:rPr>
          <w:rFonts w:ascii="Lato" w:hAnsi="Lato" w:cs="Arial"/>
          <w:bCs/>
          <w:spacing w:val="4"/>
        </w:rPr>
        <w:t xml:space="preserve">zmiany </w:t>
      </w:r>
      <w:r w:rsidRPr="007F2D77">
        <w:rPr>
          <w:rFonts w:ascii="Lato" w:hAnsi="Lato" w:cs="Arial"/>
          <w:bCs/>
          <w:i/>
          <w:spacing w:val="4"/>
        </w:rPr>
        <w:t>decyzji</w:t>
      </w:r>
      <w:r w:rsidR="00230177" w:rsidRPr="007F2D77">
        <w:rPr>
          <w:rFonts w:ascii="Lato" w:hAnsi="Lato" w:cs="Arial"/>
          <w:bCs/>
          <w:i/>
          <w:spacing w:val="4"/>
        </w:rPr>
        <w:t xml:space="preserve"> Ministra</w:t>
      </w:r>
      <w:r w:rsidRPr="00F50744">
        <w:rPr>
          <w:rFonts w:ascii="Lato" w:hAnsi="Lato" w:cs="Arial"/>
          <w:spacing w:val="4"/>
        </w:rPr>
        <w:t xml:space="preserve">, stwierdzono, </w:t>
      </w:r>
      <w:r w:rsidR="00230177" w:rsidRPr="00F50744">
        <w:rPr>
          <w:rFonts w:ascii="Lato" w:hAnsi="Lato" w:cs="Arial"/>
          <w:spacing w:val="4"/>
        </w:rPr>
        <w:br/>
      </w:r>
      <w:r w:rsidRPr="00F50744">
        <w:rPr>
          <w:rFonts w:ascii="Lato" w:hAnsi="Lato" w:cs="Arial"/>
          <w:spacing w:val="4"/>
        </w:rPr>
        <w:t>co następuje.</w:t>
      </w:r>
    </w:p>
    <w:p w14:paraId="493E479C" w14:textId="1B3D2D0A"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Jedną z podstawowych zasad postępowania administracyjnego jest wyrażona w art. 16 </w:t>
      </w:r>
      <w:r w:rsidRPr="00F50744">
        <w:rPr>
          <w:rFonts w:ascii="Lato" w:hAnsi="Lato" w:cs="Arial"/>
          <w:i/>
          <w:spacing w:val="4"/>
        </w:rPr>
        <w:t>kpa</w:t>
      </w:r>
      <w:r w:rsidRPr="00F50744">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F50744">
        <w:rPr>
          <w:rFonts w:ascii="Lato" w:hAnsi="Lato" w:cs="Arial"/>
          <w:i/>
          <w:spacing w:val="4"/>
        </w:rPr>
        <w:t>kpa</w:t>
      </w:r>
      <w:r w:rsidRPr="00F50744">
        <w:rPr>
          <w:rFonts w:ascii="Lato" w:hAnsi="Lato" w:cs="Arial"/>
          <w:spacing w:val="4"/>
        </w:rPr>
        <w:t xml:space="preserve"> lub ustawach szczególnych. Zasada ta wymaga przy tym ścisłego przestrzegania granic rozpoznania sprawy dla konkretnego, przewidzianego przez </w:t>
      </w:r>
      <w:r w:rsidRPr="00F50744">
        <w:rPr>
          <w:rFonts w:ascii="Lato" w:hAnsi="Lato" w:cs="Arial"/>
          <w:i/>
          <w:spacing w:val="4"/>
        </w:rPr>
        <w:t>kpa</w:t>
      </w:r>
      <w:r w:rsidRPr="00F50744">
        <w:rPr>
          <w:rFonts w:ascii="Lato" w:hAnsi="Lato" w:cs="Arial"/>
          <w:spacing w:val="4"/>
        </w:rPr>
        <w:t>, trybu eliminacji z obrotu prawnego lub zmiany ostatecznej decyzji administracyjnej (por. wyroki Naczelnego Sądu</w:t>
      </w:r>
      <w:r w:rsidR="00DB4BFE" w:rsidRPr="00F50744">
        <w:rPr>
          <w:rFonts w:ascii="Lato" w:hAnsi="Lato" w:cs="Arial"/>
          <w:spacing w:val="4"/>
        </w:rPr>
        <w:t xml:space="preserve"> </w:t>
      </w:r>
      <w:r w:rsidRPr="00F50744">
        <w:rPr>
          <w:rFonts w:ascii="Lato" w:hAnsi="Lato" w:cs="Arial"/>
          <w:spacing w:val="4"/>
        </w:rPr>
        <w:t xml:space="preserve">Administracyjnego z dnia 23 sierpnia 2011 r., sygn. akt II OSK 1229/10, opubl. Lex </w:t>
      </w:r>
      <w:r w:rsidR="007A4C51">
        <w:rPr>
          <w:rFonts w:ascii="Lato" w:hAnsi="Lato" w:cs="Arial"/>
          <w:spacing w:val="4"/>
        </w:rPr>
        <w:br/>
      </w:r>
      <w:r w:rsidRPr="00F50744">
        <w:rPr>
          <w:rFonts w:ascii="Lato" w:hAnsi="Lato" w:cs="Arial"/>
          <w:spacing w:val="4"/>
        </w:rPr>
        <w:t xml:space="preserve">nr 1068968 oraz z dnia 4 października 2002 r., sygn. akt IV SA 1206/02, opubl. ONSA 2003, Nr 4, poz. 140, wyrok Wojewódzkiego Sądu Administracyjnego w Warszawie </w:t>
      </w:r>
      <w:r w:rsidR="007A4C51">
        <w:rPr>
          <w:rFonts w:ascii="Lato" w:hAnsi="Lato" w:cs="Arial"/>
          <w:spacing w:val="4"/>
        </w:rPr>
        <w:br/>
      </w:r>
      <w:r w:rsidRPr="00F50744">
        <w:rPr>
          <w:rFonts w:ascii="Lato" w:hAnsi="Lato" w:cs="Arial"/>
          <w:spacing w:val="4"/>
        </w:rPr>
        <w:t>z dnia 16 października 2013 r., sygn. akt VI SA/Wa 893/13, opubl. Lex nr 1630278).</w:t>
      </w:r>
    </w:p>
    <w:p w14:paraId="754E0FEC" w14:textId="77777777"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Jednym ze szczególnych trybów weryfikacji ostatecznych decyzji administracyjnych przewidzianych przepisami </w:t>
      </w:r>
      <w:r w:rsidRPr="00F50744">
        <w:rPr>
          <w:rFonts w:ascii="Lato" w:hAnsi="Lato" w:cs="Arial"/>
          <w:i/>
          <w:spacing w:val="4"/>
        </w:rPr>
        <w:t>kpa</w:t>
      </w:r>
      <w:r w:rsidRPr="00F50744">
        <w:rPr>
          <w:rFonts w:ascii="Lato" w:hAnsi="Lato" w:cs="Arial"/>
          <w:spacing w:val="4"/>
        </w:rPr>
        <w:t xml:space="preserve"> jest tryb uregulowany w art. 155 </w:t>
      </w:r>
      <w:r w:rsidRPr="00F50744">
        <w:rPr>
          <w:rFonts w:ascii="Lato" w:hAnsi="Lato" w:cs="Arial"/>
          <w:i/>
          <w:spacing w:val="4"/>
        </w:rPr>
        <w:t>kpa</w:t>
      </w:r>
      <w:r w:rsidRPr="00F50744">
        <w:rPr>
          <w:rFonts w:ascii="Lato" w:hAnsi="Lato" w:cs="Arial"/>
          <w:spacing w:val="4"/>
        </w:rPr>
        <w:t>.</w:t>
      </w:r>
    </w:p>
    <w:p w14:paraId="4EC5D249" w14:textId="7A05AE89"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Zgodnie z art. 155 </w:t>
      </w:r>
      <w:r w:rsidRPr="00F50744">
        <w:rPr>
          <w:rFonts w:ascii="Lato" w:hAnsi="Lato" w:cs="Arial"/>
          <w:i/>
          <w:spacing w:val="4"/>
        </w:rPr>
        <w:t>kpa</w:t>
      </w:r>
      <w:r w:rsidRPr="00F50744">
        <w:rPr>
          <w:rFonts w:ascii="Lato" w:hAnsi="Lato" w:cs="Arial"/>
          <w:spacing w:val="4"/>
        </w:rPr>
        <w:t xml:space="preserve"> decyzja ostateczna</w:t>
      </w:r>
      <w:r w:rsidR="00FC250D" w:rsidRPr="00F50744">
        <w:rPr>
          <w:rFonts w:ascii="Lato" w:hAnsi="Lato" w:cs="Arial"/>
          <w:spacing w:val="4"/>
        </w:rPr>
        <w:t xml:space="preserve"> </w:t>
      </w:r>
      <w:r w:rsidRPr="00F50744">
        <w:rPr>
          <w:rFonts w:ascii="Lato" w:hAnsi="Lato" w:cs="Arial"/>
          <w:spacing w:val="4"/>
        </w:rPr>
        <w:t xml:space="preserve">na </w:t>
      </w:r>
      <w:r w:rsidR="00FC250D" w:rsidRPr="00F50744">
        <w:rPr>
          <w:rFonts w:ascii="Lato" w:hAnsi="Lato" w:cs="Arial"/>
          <w:spacing w:val="4"/>
        </w:rPr>
        <w:t>mocy,</w:t>
      </w:r>
      <w:r w:rsidRPr="00F50744">
        <w:rPr>
          <w:rFonts w:ascii="Lato" w:hAnsi="Lato" w:cs="Arial"/>
          <w:spacing w:val="4"/>
        </w:rPr>
        <w:t xml:space="preserve">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Taka konstrukcja przepisu art. 155 </w:t>
      </w:r>
      <w:r w:rsidRPr="00F50744">
        <w:rPr>
          <w:rFonts w:ascii="Lato" w:hAnsi="Lato" w:cs="Arial"/>
          <w:i/>
          <w:spacing w:val="4"/>
        </w:rPr>
        <w:t>kpa</w:t>
      </w:r>
      <w:r w:rsidRPr="00F50744">
        <w:rPr>
          <w:rFonts w:ascii="Lato" w:hAnsi="Lato" w:cs="Arial"/>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F50744">
        <w:rPr>
          <w:rFonts w:ascii="Lato" w:hAnsi="Lato" w:cs="Arial"/>
          <w:i/>
          <w:spacing w:val="4"/>
        </w:rPr>
        <w:t>kpa</w:t>
      </w:r>
      <w:r w:rsidRPr="00F50744">
        <w:rPr>
          <w:rFonts w:ascii="Lato" w:hAnsi="Lato" w:cs="Arial"/>
          <w:spacing w:val="4"/>
        </w:rPr>
        <w:t xml:space="preserve"> jest samodzielnym postępowaniem administracyjnym, a jego celem jest jedynie ustalenie, czy zachodzą przesłanki do uchylenia lub zmiany decyzji ostatecznej określone w art. 155 </w:t>
      </w:r>
      <w:r w:rsidRPr="00F50744">
        <w:rPr>
          <w:rFonts w:ascii="Lato" w:hAnsi="Lato" w:cs="Arial"/>
          <w:i/>
          <w:spacing w:val="4"/>
        </w:rPr>
        <w:t>kpa,</w:t>
      </w:r>
      <w:r w:rsidRPr="00F50744">
        <w:rPr>
          <w:rFonts w:ascii="Lato" w:hAnsi="Lato" w:cs="Arial"/>
          <w:spacing w:val="4"/>
        </w:rPr>
        <w:t xml:space="preserve"> i czy ewentualnemu uchyleniu lub zmianie nie sprzeciwiają się przepisy szczególne (vide: wyrok Naczelnego Sądu Administracyjnego z dnia 18 listopada 2015 r., sygn. akt II OSK 612/14, Lex nr 1990889, wyrok</w:t>
      </w:r>
      <w:r w:rsidR="00A01070" w:rsidRPr="00F50744">
        <w:rPr>
          <w:rFonts w:ascii="Lato" w:hAnsi="Lato" w:cs="Arial"/>
          <w:spacing w:val="4"/>
        </w:rPr>
        <w:t xml:space="preserve"> </w:t>
      </w:r>
      <w:r w:rsidRPr="00F50744">
        <w:rPr>
          <w:rFonts w:ascii="Lato" w:hAnsi="Lato" w:cs="Arial"/>
          <w:spacing w:val="4"/>
        </w:rPr>
        <w:t>Wojewódzkiego Sądu Administracyjnego w Warszawie z dnia 4 czerwca 2014 r., sygn. akt VII SA/Wa 324/14, Lex nr 1566573).</w:t>
      </w:r>
    </w:p>
    <w:p w14:paraId="1621169C" w14:textId="26D45F25"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Konkretyzację art. 155 </w:t>
      </w:r>
      <w:r w:rsidRPr="00F50744">
        <w:rPr>
          <w:rFonts w:ascii="Lato" w:hAnsi="Lato" w:cs="Arial"/>
          <w:i/>
          <w:spacing w:val="4"/>
        </w:rPr>
        <w:t>kpa</w:t>
      </w:r>
      <w:r w:rsidR="00F2337F" w:rsidRPr="00F50744">
        <w:rPr>
          <w:rFonts w:ascii="Lato" w:hAnsi="Lato" w:cs="Arial"/>
          <w:i/>
          <w:spacing w:val="4"/>
        </w:rPr>
        <w:t>,</w:t>
      </w:r>
      <w:r w:rsidRPr="00F50744">
        <w:rPr>
          <w:rFonts w:ascii="Lato" w:hAnsi="Lato" w:cs="Arial"/>
          <w:i/>
          <w:spacing w:val="4"/>
        </w:rPr>
        <w:t xml:space="preserve"> </w:t>
      </w:r>
      <w:r w:rsidRPr="00F50744">
        <w:rPr>
          <w:rFonts w:ascii="Lato" w:hAnsi="Lato" w:cs="Arial"/>
          <w:spacing w:val="4"/>
        </w:rPr>
        <w:t xml:space="preserve">stanowi ww. art. </w:t>
      </w:r>
      <w:r w:rsidR="00A01070" w:rsidRPr="00F50744">
        <w:rPr>
          <w:rFonts w:ascii="Lato" w:hAnsi="Lato" w:cs="Arial"/>
          <w:spacing w:val="4"/>
        </w:rPr>
        <w:t>27a</w:t>
      </w:r>
      <w:r w:rsidRPr="00F50744">
        <w:rPr>
          <w:rFonts w:ascii="Lato" w:hAnsi="Lato" w:cs="Arial"/>
          <w:spacing w:val="4"/>
        </w:rPr>
        <w:t xml:space="preserve"> </w:t>
      </w:r>
      <w:r w:rsidRPr="00F50744">
        <w:rPr>
          <w:rFonts w:ascii="Lato" w:hAnsi="Lato" w:cs="Arial"/>
          <w:i/>
          <w:spacing w:val="4"/>
        </w:rPr>
        <w:t xml:space="preserve">specustawy </w:t>
      </w:r>
      <w:r w:rsidR="00A01070" w:rsidRPr="00F50744">
        <w:rPr>
          <w:rFonts w:ascii="Lato" w:hAnsi="Lato" w:cs="Arial"/>
          <w:i/>
          <w:spacing w:val="4"/>
        </w:rPr>
        <w:t>przesyłowej</w:t>
      </w:r>
      <w:r w:rsidRPr="00F50744">
        <w:rPr>
          <w:rFonts w:ascii="Lato" w:hAnsi="Lato" w:cs="Arial"/>
          <w:spacing w:val="4"/>
        </w:rPr>
        <w:t xml:space="preserve">, zgodnie </w:t>
      </w:r>
      <w:r w:rsidR="00A01070" w:rsidRPr="00F50744">
        <w:rPr>
          <w:rFonts w:ascii="Lato" w:hAnsi="Lato" w:cs="Arial"/>
          <w:spacing w:val="4"/>
        </w:rPr>
        <w:br/>
      </w:r>
      <w:r w:rsidRPr="00F50744">
        <w:rPr>
          <w:rFonts w:ascii="Lato" w:hAnsi="Lato" w:cs="Arial"/>
          <w:spacing w:val="4"/>
        </w:rPr>
        <w:t xml:space="preserve">z którym, do zmiany decyzji, o której mowa w </w:t>
      </w:r>
      <w:hyperlink r:id="rId9" w:history="1">
        <w:r w:rsidRPr="00F50744">
          <w:rPr>
            <w:rStyle w:val="Hipercze"/>
            <w:rFonts w:ascii="Lato" w:hAnsi="Lato" w:cs="Arial"/>
            <w:color w:val="auto"/>
            <w:spacing w:val="4"/>
            <w:u w:val="none"/>
          </w:rPr>
          <w:t>art. 5 ust. 1</w:t>
        </w:r>
      </w:hyperlink>
      <w:r w:rsidRPr="00F50744">
        <w:rPr>
          <w:rFonts w:ascii="Lato" w:hAnsi="Lato" w:cs="Arial"/>
          <w:spacing w:val="4"/>
        </w:rPr>
        <w:t xml:space="preserve">, stosuje się odpowiednio przepis </w:t>
      </w:r>
      <w:hyperlink r:id="rId10" w:history="1">
        <w:r w:rsidRPr="00F50744">
          <w:rPr>
            <w:rStyle w:val="Hipercze"/>
            <w:rFonts w:ascii="Lato" w:hAnsi="Lato" w:cs="Arial"/>
            <w:color w:val="auto"/>
            <w:spacing w:val="4"/>
            <w:u w:val="none"/>
          </w:rPr>
          <w:t>art. 155</w:t>
        </w:r>
      </w:hyperlink>
      <w:r w:rsidRPr="00F50744">
        <w:rPr>
          <w:rFonts w:ascii="Lato" w:hAnsi="Lato" w:cs="Arial"/>
          <w:spacing w:val="4"/>
        </w:rPr>
        <w:t xml:space="preserve"> </w:t>
      </w:r>
      <w:r w:rsidRPr="00F50744">
        <w:rPr>
          <w:rFonts w:ascii="Lato" w:hAnsi="Lato" w:cs="Arial"/>
          <w:i/>
          <w:spacing w:val="4"/>
        </w:rPr>
        <w:t>kpa</w:t>
      </w:r>
      <w:r w:rsidRPr="00F50744">
        <w:rPr>
          <w:rFonts w:ascii="Lato" w:hAnsi="Lato" w:cs="Arial"/>
          <w:spacing w:val="4"/>
        </w:rPr>
        <w:t>, z zastrzeżeniem</w:t>
      </w:r>
      <w:r w:rsidR="00BF3353" w:rsidRPr="00F50744">
        <w:rPr>
          <w:rFonts w:ascii="Lato" w:hAnsi="Lato" w:cs="Arial"/>
          <w:spacing w:val="4"/>
        </w:rPr>
        <w:t>,</w:t>
      </w:r>
      <w:r w:rsidRPr="00F50744">
        <w:rPr>
          <w:rFonts w:ascii="Lato" w:hAnsi="Lato" w:cs="Arial"/>
          <w:spacing w:val="4"/>
        </w:rPr>
        <w:t xml:space="preserve"> że zgodę </w:t>
      </w:r>
      <w:r w:rsidR="00CA2ADF">
        <w:rPr>
          <w:rFonts w:ascii="Lato" w:hAnsi="Lato" w:cs="Arial"/>
          <w:spacing w:val="4"/>
        </w:rPr>
        <w:t xml:space="preserve">na zmianę decyzji </w:t>
      </w:r>
      <w:r w:rsidRPr="00F50744">
        <w:rPr>
          <w:rFonts w:ascii="Lato" w:hAnsi="Lato" w:cs="Arial"/>
          <w:spacing w:val="4"/>
        </w:rPr>
        <w:t xml:space="preserve">wyraża wyłącznie strona, która złożyła wniosek o wydanie tej decyzji. </w:t>
      </w:r>
    </w:p>
    <w:p w14:paraId="0E6D1B38" w14:textId="1B0C7A11" w:rsidR="001A6F82" w:rsidRPr="00F50744" w:rsidRDefault="001A6F82" w:rsidP="001A6F82">
      <w:pPr>
        <w:spacing w:after="240" w:line="240" w:lineRule="exact"/>
        <w:jc w:val="both"/>
        <w:outlineLvl w:val="0"/>
        <w:rPr>
          <w:rFonts w:ascii="Lato" w:hAnsi="Lato" w:cs="Arial"/>
          <w:i/>
          <w:spacing w:val="4"/>
        </w:rPr>
      </w:pPr>
      <w:r w:rsidRPr="00F50744">
        <w:rPr>
          <w:rFonts w:ascii="Lato" w:hAnsi="Lato" w:cs="Arial"/>
          <w:spacing w:val="4"/>
        </w:rPr>
        <w:t xml:space="preserve">Przenosząc powyższe rozważania na grunt rozpatrywanej sprawy wskazać należy, </w:t>
      </w:r>
      <w:r w:rsidR="00A01070" w:rsidRPr="00F50744">
        <w:rPr>
          <w:rFonts w:ascii="Lato" w:hAnsi="Lato" w:cs="Arial"/>
          <w:spacing w:val="4"/>
        </w:rPr>
        <w:br/>
      </w:r>
      <w:r w:rsidRPr="00F50744">
        <w:rPr>
          <w:rFonts w:ascii="Lato" w:hAnsi="Lato" w:cs="Arial"/>
          <w:spacing w:val="4"/>
        </w:rPr>
        <w:t xml:space="preserve">iż wystąpiły przesłanki uzasadniające dokonanie zmiany </w:t>
      </w:r>
      <w:r w:rsidRPr="00F50744">
        <w:rPr>
          <w:rFonts w:ascii="Lato" w:hAnsi="Lato" w:cs="Arial"/>
          <w:i/>
          <w:spacing w:val="4"/>
        </w:rPr>
        <w:t>decyzji Ministra</w:t>
      </w:r>
      <w:r w:rsidRPr="00F50744">
        <w:rPr>
          <w:rFonts w:ascii="Lato" w:hAnsi="Lato" w:cs="Arial"/>
          <w:spacing w:val="4"/>
        </w:rPr>
        <w:t xml:space="preserve">, </w:t>
      </w:r>
      <w:r w:rsidRPr="00F50744">
        <w:rPr>
          <w:rFonts w:ascii="Lato" w:hAnsi="Lato" w:cs="Arial"/>
          <w:bCs/>
          <w:spacing w:val="4"/>
        </w:rPr>
        <w:t xml:space="preserve">w zakresie objętym wnioskiem </w:t>
      </w:r>
      <w:r w:rsidRPr="00F50744">
        <w:rPr>
          <w:rFonts w:ascii="Lato" w:hAnsi="Lato" w:cs="Arial"/>
          <w:bCs/>
          <w:i/>
          <w:spacing w:val="4"/>
        </w:rPr>
        <w:t>inwestora</w:t>
      </w:r>
      <w:r w:rsidRPr="00F50744">
        <w:rPr>
          <w:rFonts w:ascii="Lato" w:hAnsi="Lato" w:cs="Arial"/>
          <w:spacing w:val="4"/>
        </w:rPr>
        <w:t xml:space="preserve">, a wskazane przez wnioskodawcę okoliczności uzasadniające dokonanie tej zmiany nie stanowią, w ocenie </w:t>
      </w:r>
      <w:r w:rsidRPr="00F50744">
        <w:rPr>
          <w:rFonts w:ascii="Lato" w:hAnsi="Lato" w:cs="Arial"/>
          <w:i/>
          <w:spacing w:val="4"/>
        </w:rPr>
        <w:t>Ministra</w:t>
      </w:r>
      <w:r w:rsidRPr="00F50744">
        <w:rPr>
          <w:rFonts w:ascii="Lato" w:hAnsi="Lato" w:cs="Arial"/>
          <w:spacing w:val="4"/>
        </w:rPr>
        <w:t xml:space="preserve">, przesłanki </w:t>
      </w:r>
      <w:r w:rsidR="005B791D" w:rsidRPr="00F50744">
        <w:rPr>
          <w:rFonts w:ascii="Lato" w:hAnsi="Lato" w:cs="Arial"/>
          <w:spacing w:val="4"/>
        </w:rPr>
        <w:br/>
      </w:r>
      <w:r w:rsidRPr="00F50744">
        <w:rPr>
          <w:rFonts w:ascii="Lato" w:hAnsi="Lato" w:cs="Arial"/>
          <w:spacing w:val="4"/>
        </w:rPr>
        <w:t xml:space="preserve">do wznowienia postępowania w sprawie zakończonej ostateczną </w:t>
      </w:r>
      <w:r w:rsidRPr="00F50744">
        <w:rPr>
          <w:rFonts w:ascii="Lato" w:hAnsi="Lato" w:cs="Arial"/>
          <w:i/>
          <w:spacing w:val="4"/>
        </w:rPr>
        <w:t xml:space="preserve">decyzją </w:t>
      </w:r>
      <w:r w:rsidR="00BC1ECB" w:rsidRPr="00F50744">
        <w:rPr>
          <w:rFonts w:ascii="Lato" w:hAnsi="Lato" w:cs="Arial"/>
          <w:i/>
          <w:spacing w:val="4"/>
        </w:rPr>
        <w:t>Ministra</w:t>
      </w:r>
      <w:r w:rsidRPr="00F50744">
        <w:rPr>
          <w:rFonts w:ascii="Lato" w:hAnsi="Lato" w:cs="Arial"/>
          <w:spacing w:val="4"/>
        </w:rPr>
        <w:t xml:space="preserve"> ani stwierdzenia nieważności tej decyzji.</w:t>
      </w:r>
    </w:p>
    <w:p w14:paraId="0AB9DDD5" w14:textId="17020A67" w:rsidR="001A6F82" w:rsidRPr="00F50744" w:rsidRDefault="001A6F82" w:rsidP="001A6F82">
      <w:pPr>
        <w:spacing w:after="240" w:line="240" w:lineRule="exact"/>
        <w:jc w:val="both"/>
        <w:outlineLvl w:val="0"/>
        <w:rPr>
          <w:rFonts w:ascii="Lato" w:hAnsi="Lato" w:cs="Arial"/>
          <w:iCs/>
          <w:spacing w:val="4"/>
        </w:rPr>
      </w:pPr>
      <w:r w:rsidRPr="00F50744">
        <w:rPr>
          <w:rFonts w:ascii="Lato" w:hAnsi="Lato" w:cs="Arial"/>
          <w:iCs/>
          <w:spacing w:val="4"/>
        </w:rPr>
        <w:t xml:space="preserve">Z przepisu </w:t>
      </w:r>
      <w:r w:rsidRPr="00F50744">
        <w:rPr>
          <w:rFonts w:ascii="Lato" w:hAnsi="Lato" w:cs="Arial"/>
          <w:spacing w:val="4"/>
        </w:rPr>
        <w:t xml:space="preserve">art. 155 </w:t>
      </w:r>
      <w:r w:rsidRPr="00F50744">
        <w:rPr>
          <w:rFonts w:ascii="Lato" w:hAnsi="Lato" w:cs="Arial"/>
          <w:i/>
          <w:iCs/>
          <w:spacing w:val="4"/>
        </w:rPr>
        <w:t>kpa</w:t>
      </w:r>
      <w:r w:rsidRPr="00F50744">
        <w:rPr>
          <w:rFonts w:ascii="Lato" w:hAnsi="Lato" w:cs="Arial"/>
          <w:iCs/>
          <w:spacing w:val="4"/>
        </w:rPr>
        <w:t xml:space="preserve"> wynika, że organ administracji publicznej może uchylić lub zmienić decyzję ostateczną, jeżeli spełnione są łącznie następujące przesłanki: a) strona nabywająca na podstawie decyzji prawo wyraziła zgodę na jej zmianę lub uchylenie, </w:t>
      </w:r>
      <w:r w:rsidR="00BF3353" w:rsidRPr="00F50744">
        <w:rPr>
          <w:rFonts w:ascii="Lato" w:hAnsi="Lato" w:cs="Arial"/>
          <w:iCs/>
          <w:spacing w:val="4"/>
        </w:rPr>
        <w:br/>
      </w:r>
      <w:r w:rsidRPr="00F50744">
        <w:rPr>
          <w:rFonts w:ascii="Lato" w:hAnsi="Lato" w:cs="Arial"/>
          <w:iCs/>
          <w:spacing w:val="4"/>
        </w:rPr>
        <w:t xml:space="preserve">b) przepisy szczególne nie sprzeciwiają się zmianie lub uchyleniu takiej decyzji, </w:t>
      </w:r>
      <w:r w:rsidR="00BF3353" w:rsidRPr="00F50744">
        <w:rPr>
          <w:rFonts w:ascii="Lato" w:hAnsi="Lato" w:cs="Arial"/>
          <w:iCs/>
          <w:spacing w:val="4"/>
        </w:rPr>
        <w:br/>
      </w:r>
      <w:r w:rsidRPr="00F50744">
        <w:rPr>
          <w:rFonts w:ascii="Lato" w:hAnsi="Lato" w:cs="Arial"/>
          <w:iCs/>
          <w:spacing w:val="4"/>
        </w:rPr>
        <w:lastRenderedPageBreak/>
        <w:t>c) za uchyleniem lub zmianą decyzji przemawia interes społeczny lub słuszny interes</w:t>
      </w:r>
      <w:r w:rsidR="00BF3353" w:rsidRPr="00F50744">
        <w:rPr>
          <w:rFonts w:ascii="Lato" w:hAnsi="Lato" w:cs="Arial"/>
          <w:iCs/>
          <w:spacing w:val="4"/>
        </w:rPr>
        <w:t xml:space="preserve"> </w:t>
      </w:r>
      <w:r w:rsidRPr="00F50744">
        <w:rPr>
          <w:rFonts w:ascii="Lato" w:hAnsi="Lato" w:cs="Arial"/>
          <w:iCs/>
          <w:spacing w:val="4"/>
        </w:rPr>
        <w:t>strony.</w:t>
      </w:r>
    </w:p>
    <w:p w14:paraId="177FE77C" w14:textId="11F605B3" w:rsidR="001A6F82" w:rsidRPr="00F50744" w:rsidRDefault="001A6F82" w:rsidP="001A6F82">
      <w:pPr>
        <w:spacing w:after="240" w:line="240" w:lineRule="exact"/>
        <w:jc w:val="both"/>
        <w:outlineLvl w:val="0"/>
        <w:rPr>
          <w:rFonts w:ascii="Lato" w:hAnsi="Lato" w:cs="Arial"/>
          <w:i/>
          <w:spacing w:val="4"/>
        </w:rPr>
      </w:pPr>
      <w:r w:rsidRPr="00F50744">
        <w:rPr>
          <w:rFonts w:ascii="Lato" w:hAnsi="Lato" w:cs="Arial"/>
          <w:i/>
          <w:spacing w:val="4"/>
        </w:rPr>
        <w:t xml:space="preserve">Decyzja Ministra </w:t>
      </w:r>
      <w:r w:rsidRPr="00F50744">
        <w:rPr>
          <w:rFonts w:ascii="Lato" w:hAnsi="Lato" w:cs="Arial"/>
          <w:spacing w:val="4"/>
        </w:rPr>
        <w:t>jest decyzją ostateczną, a co za tym idzie pierwszy warunek został spełniony.</w:t>
      </w:r>
    </w:p>
    <w:p w14:paraId="20E02EE1" w14:textId="40E4FAF3"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Natomiast w zakresie zmierzającym do ustalenia, czy zmiana przedmiotowej decyzji jest w interesie społecznym lub słusznym interesie strony należy przede wszystkim wyjaśnić, na czym polega interes społeczny lub interes </w:t>
      </w:r>
      <w:r w:rsidR="00CA2ADF">
        <w:rPr>
          <w:rFonts w:ascii="Lato" w:hAnsi="Lato" w:cs="Arial"/>
          <w:spacing w:val="4"/>
        </w:rPr>
        <w:t>indywidualny</w:t>
      </w:r>
      <w:r w:rsidRPr="00F50744">
        <w:rPr>
          <w:rFonts w:ascii="Lato" w:hAnsi="Lato" w:cs="Arial"/>
          <w:spacing w:val="4"/>
        </w:rPr>
        <w:t xml:space="preserve">. Pojęcie „interes społeczny lub interes strony” nie jest bowiem ustawowo zdefiniowane. Ustawodawca odsyła więc w tym zakresie nie tylko do poglądów wyrażonych w orzecznictwie i literaturze, ale również pozostawia organom orzekającym swobodę oceny </w:t>
      </w:r>
      <w:r w:rsidRPr="00F50744">
        <w:rPr>
          <w:rFonts w:ascii="Lato" w:hAnsi="Lato" w:cs="Arial"/>
          <w:i/>
          <w:spacing w:val="4"/>
        </w:rPr>
        <w:t>ad casum</w:t>
      </w:r>
      <w:r w:rsidRPr="00F50744">
        <w:rPr>
          <w:rFonts w:ascii="Lato" w:hAnsi="Lato" w:cs="Arial"/>
          <w:spacing w:val="4"/>
        </w:rPr>
        <w:t>, uznając, że każdy stan faktyczny wymaga dokonania odrębnej oceny, przy uwzględnieniu skutków, jakie spowoduje zmiana decyzji administracyjnej.</w:t>
      </w:r>
    </w:p>
    <w:p w14:paraId="5373355E" w14:textId="10732223"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Pojęcie „interes społeczny” i „słuszny interes strony” nawiązuje do określonej w art. </w:t>
      </w:r>
      <w:r w:rsidR="005B791D" w:rsidRPr="00F50744">
        <w:rPr>
          <w:rFonts w:ascii="Lato" w:hAnsi="Lato" w:cs="Arial"/>
          <w:spacing w:val="4"/>
        </w:rPr>
        <w:br/>
      </w:r>
      <w:r w:rsidRPr="00F50744">
        <w:rPr>
          <w:rFonts w:ascii="Lato" w:hAnsi="Lato" w:cs="Arial"/>
          <w:spacing w:val="4"/>
        </w:rPr>
        <w:t xml:space="preserve">7 </w:t>
      </w:r>
      <w:r w:rsidRPr="00F50744">
        <w:rPr>
          <w:rFonts w:ascii="Lato" w:hAnsi="Lato" w:cs="Arial"/>
          <w:i/>
          <w:spacing w:val="4"/>
        </w:rPr>
        <w:t>kpa</w:t>
      </w:r>
      <w:r w:rsidRPr="00F50744">
        <w:rPr>
          <w:rFonts w:ascii="Lato" w:hAnsi="Lato" w:cs="Arial"/>
          <w:spacing w:val="4"/>
        </w:rPr>
        <w:t xml:space="preserve"> zasady uwzględniania z urzędu interesu społecznego i słusznego interesu strony. </w:t>
      </w:r>
      <w:r w:rsidR="00A00F74" w:rsidRPr="00F50744">
        <w:rPr>
          <w:rFonts w:ascii="Lato" w:hAnsi="Lato" w:cs="Arial"/>
          <w:spacing w:val="4"/>
        </w:rPr>
        <w:br/>
      </w:r>
      <w:r w:rsidRPr="00F50744">
        <w:rPr>
          <w:rFonts w:ascii="Lato" w:hAnsi="Lato" w:cs="Arial"/>
          <w:spacing w:val="4"/>
        </w:rPr>
        <w:t xml:space="preserve">Są to typowe klauzule generalne, które mają charakter nieostry i tym bardziej jako przesłanki zmiany decyzji administracyjnej, wymagają skonkretyzowania w każdym przypadku i wyczerpującego uzasadnienia stanowiska organu (tak np. Wojewódzki Sąd Administracyjny w Warszawie w wyroku z dnia 23 lutego 2010 r., sygn. akt VII SA/Wa 1142/09). Jak wskazuje się w doktrynie (komentarz do art. 7 k.p.a. w: B. Adamiak, </w:t>
      </w:r>
      <w:r w:rsidR="005B791D" w:rsidRPr="00F50744">
        <w:rPr>
          <w:rFonts w:ascii="Lato" w:hAnsi="Lato" w:cs="Arial"/>
          <w:spacing w:val="4"/>
        </w:rPr>
        <w:br/>
      </w:r>
      <w:r w:rsidRPr="00F50744">
        <w:rPr>
          <w:rFonts w:ascii="Lato" w:hAnsi="Lato" w:cs="Arial"/>
          <w:spacing w:val="4"/>
        </w:rPr>
        <w:t xml:space="preserve">J. Borkowski, Kodeks postępowania administracyjnego. Komentarz. Wyd. 14, Warszawa 2016) pojęcie interesu społecznego jest pojęciem nieokreślonym, któremu – zgodnie </w:t>
      </w:r>
      <w:r w:rsidR="005B791D" w:rsidRPr="00F50744">
        <w:rPr>
          <w:rFonts w:ascii="Lato" w:hAnsi="Lato" w:cs="Arial"/>
          <w:spacing w:val="4"/>
        </w:rPr>
        <w:br/>
      </w:r>
      <w:r w:rsidRPr="00F50744">
        <w:rPr>
          <w:rFonts w:ascii="Lato" w:hAnsi="Lato" w:cs="Arial"/>
          <w:spacing w:val="4"/>
        </w:rPr>
        <w:t>z poglądem literatury (</w:t>
      </w:r>
      <w:r w:rsidRPr="00F50744">
        <w:rPr>
          <w:rFonts w:ascii="Lato" w:hAnsi="Lato" w:cs="Arial"/>
          <w:i/>
          <w:spacing w:val="4"/>
        </w:rPr>
        <w:t>op. cit</w:t>
      </w:r>
      <w:r w:rsidRPr="00F50744">
        <w:rPr>
          <w:rFonts w:ascii="Lato" w:hAnsi="Lato" w:cs="Arial"/>
          <w:spacing w:val="4"/>
        </w:rPr>
        <w:t>.) – treść nadaje organ orzekający.</w:t>
      </w:r>
    </w:p>
    <w:p w14:paraId="05D349DE" w14:textId="30399D76"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Naczelny Sąd Administracyjny w wyroku z dnia 10 stycznia 2014 r., sygn. akt I OSK 2111/13 wyjaśnił, że „pojęcie interesu publicznego jest pojęciem szerokim i nieostrym, nie ulega jednak wątpliwości, że obejmuje ono interes ogółu (określonej wspólnoty), </w:t>
      </w:r>
      <w:r w:rsidR="00A00F74" w:rsidRPr="00F50744">
        <w:rPr>
          <w:rFonts w:ascii="Lato" w:hAnsi="Lato" w:cs="Arial"/>
          <w:spacing w:val="4"/>
        </w:rPr>
        <w:br/>
      </w:r>
      <w:r w:rsidRPr="00F50744">
        <w:rPr>
          <w:rFonts w:ascii="Lato" w:hAnsi="Lato" w:cs="Arial"/>
          <w:spacing w:val="4"/>
        </w:rPr>
        <w:t xml:space="preserve">a nie jedynie interesy indywidualne”. Warto zwrócić uwagę, że w doktrynie przyjmuje się, że „jest w interesie indywidualnym” bądź „jest w interesie ogółu” oznacza, </w:t>
      </w:r>
      <w:r w:rsidR="005B791D" w:rsidRPr="00F50744">
        <w:rPr>
          <w:rFonts w:ascii="Lato" w:hAnsi="Lato" w:cs="Arial"/>
          <w:spacing w:val="4"/>
        </w:rPr>
        <w:br/>
      </w:r>
      <w:r w:rsidRPr="00F50744">
        <w:rPr>
          <w:rFonts w:ascii="Lato" w:hAnsi="Lato" w:cs="Arial"/>
          <w:spacing w:val="4"/>
        </w:rPr>
        <w:t xml:space="preserve">że wyprowadzona z danego stanu obiektywnego określona korzyść przypada jednostce względnie całemu społeczeństwu. O ile zatem interes indywidualny jest relacją pomiędzy jakimś stanem obiektywnym a oceną tego stanu z punktu widzenia korzyści, jaką </w:t>
      </w:r>
      <w:r w:rsidRPr="00F50744">
        <w:rPr>
          <w:rFonts w:ascii="Lato" w:hAnsi="Lato" w:cs="Arial"/>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15C580A6" w14:textId="03A6602F"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Każde działanie w interesie ogółu jako określonej wspólnoty publicznoprawnej jest zatem działaniem w interesie publicznym, a wobec tego działanie „szczególnie istotne” musi charakteryzować się dodatkową kwalifikacją z punktu widzenia interesu ogółu. Działanie wnioskodawcy nie tylko w interesie indywidualnym, lecz w interesie „ponadindywidualnym” nie jest samoistnie wystarczające dla przyjęcia „szczególnej istotności dla interesu publicznego” takiego działania. Zasadniczo obowiązek realizowania interesu publicznego charakteryzuje kompetencje szeroko rozumianych organów państwa (por. wyrok Wojewódzkiego Sądu Administracyjnego w Warszawie </w:t>
      </w:r>
      <w:r w:rsidR="005B791D" w:rsidRPr="00F50744">
        <w:rPr>
          <w:rFonts w:ascii="Lato" w:hAnsi="Lato" w:cs="Arial"/>
          <w:spacing w:val="4"/>
        </w:rPr>
        <w:br/>
      </w:r>
      <w:r w:rsidRPr="00F50744">
        <w:rPr>
          <w:rFonts w:ascii="Lato" w:hAnsi="Lato" w:cs="Arial"/>
          <w:spacing w:val="4"/>
        </w:rPr>
        <w:t>z dnia 7 lutego 2017 r., sygn. akt VII SA/Wa 2837/16).</w:t>
      </w:r>
    </w:p>
    <w:p w14:paraId="54E52038" w14:textId="71C0BDF9"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Jak więc wynika z poglądów </w:t>
      </w:r>
      <w:r w:rsidR="00BB40E3">
        <w:rPr>
          <w:rFonts w:ascii="Lato" w:hAnsi="Lato" w:cs="Arial"/>
          <w:spacing w:val="4"/>
        </w:rPr>
        <w:t xml:space="preserve">prezentowanych </w:t>
      </w:r>
      <w:r w:rsidRPr="00F50744">
        <w:rPr>
          <w:rFonts w:ascii="Lato" w:hAnsi="Lato" w:cs="Arial"/>
          <w:spacing w:val="4"/>
        </w:rPr>
        <w:t xml:space="preserve">w doktrynie i utrwalonego orzecznictwa, interes społeczny i interes indywidualny są sobie równoważne. W związku z użytym przez ustawodawcę w art. 155 </w:t>
      </w:r>
      <w:r w:rsidRPr="00F50744">
        <w:rPr>
          <w:rFonts w:ascii="Lato" w:hAnsi="Lato" w:cs="Arial"/>
          <w:i/>
          <w:spacing w:val="4"/>
        </w:rPr>
        <w:t>kpa</w:t>
      </w:r>
      <w:r w:rsidRPr="00F50744">
        <w:rPr>
          <w:rFonts w:ascii="Lato" w:hAnsi="Lato" w:cs="Arial"/>
          <w:spacing w:val="4"/>
        </w:rPr>
        <w:t xml:space="preserve"> spójniku we fragmencie: „i przemawia za tym interes społeczny lub słuszny interes strony” należy podkreślić, że ów spójnik nie tylko przeciwstawia to, co komunikują łączone nim wyrażenia, lecz także dopuszcza możliwość </w:t>
      </w:r>
      <w:r w:rsidRPr="00F50744">
        <w:rPr>
          <w:rFonts w:ascii="Lato" w:hAnsi="Lato" w:cs="Arial"/>
          <w:spacing w:val="4"/>
        </w:rPr>
        <w:lastRenderedPageBreak/>
        <w:t xml:space="preserve">współwystępowania tego, do czego się odnoszą człony przeciwstawienia. Oznacza </w:t>
      </w:r>
      <w:r w:rsidR="00A00F74" w:rsidRPr="00F50744">
        <w:rPr>
          <w:rFonts w:ascii="Lato" w:hAnsi="Lato" w:cs="Arial"/>
          <w:spacing w:val="4"/>
        </w:rPr>
        <w:br/>
      </w:r>
      <w:r w:rsidRPr="00F50744">
        <w:rPr>
          <w:rFonts w:ascii="Lato" w:hAnsi="Lato" w:cs="Arial"/>
          <w:spacing w:val="4"/>
        </w:rPr>
        <w:t>to, że ustawodawca nie wykluczył pokrywania się interesu społecznego i interesu indywidualnego, a jednocześnie dopuścił możliwość konfliktu pomiędzy tymi interesami lub obojętność jednego z nich dla bytu drugiego.</w:t>
      </w:r>
    </w:p>
    <w:p w14:paraId="7511DBDB" w14:textId="08724A01"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W przypadku </w:t>
      </w:r>
      <w:r w:rsidRPr="00F50744">
        <w:rPr>
          <w:rFonts w:ascii="Lato" w:hAnsi="Lato" w:cs="Arial"/>
          <w:i/>
          <w:spacing w:val="4"/>
        </w:rPr>
        <w:t>inwestora</w:t>
      </w:r>
      <w:r w:rsidRPr="00F50744">
        <w:rPr>
          <w:rFonts w:ascii="Lato" w:hAnsi="Lato" w:cs="Arial"/>
          <w:spacing w:val="4"/>
        </w:rPr>
        <w:t xml:space="preserve"> nie można mówić, aby podmiot ten posiadał własny interes, odrębny od interesu społecznego. Nie można bowiem zapominać o tym, że </w:t>
      </w:r>
      <w:r w:rsidRPr="00F50744">
        <w:rPr>
          <w:rFonts w:ascii="Lato" w:hAnsi="Lato" w:cs="Arial"/>
          <w:i/>
          <w:spacing w:val="4"/>
        </w:rPr>
        <w:t>inwestor</w:t>
      </w:r>
      <w:r w:rsidRPr="00F50744">
        <w:rPr>
          <w:rFonts w:ascii="Lato" w:hAnsi="Lato" w:cs="Arial"/>
          <w:spacing w:val="4"/>
        </w:rPr>
        <w:t xml:space="preserve"> </w:t>
      </w:r>
      <w:r w:rsidR="00A00F74" w:rsidRPr="00F50744">
        <w:rPr>
          <w:rFonts w:ascii="Lato" w:hAnsi="Lato" w:cs="Arial"/>
          <w:spacing w:val="4"/>
        </w:rPr>
        <w:br/>
      </w:r>
      <w:r w:rsidRPr="00F50744">
        <w:rPr>
          <w:rFonts w:ascii="Lato" w:hAnsi="Lato" w:cs="Arial"/>
          <w:spacing w:val="4"/>
        </w:rPr>
        <w:t xml:space="preserve">w oparciu o </w:t>
      </w:r>
      <w:r w:rsidRPr="00F50744">
        <w:rPr>
          <w:rFonts w:ascii="Lato" w:hAnsi="Lato" w:cs="Arial"/>
          <w:i/>
          <w:spacing w:val="4"/>
        </w:rPr>
        <w:t xml:space="preserve">specustawę </w:t>
      </w:r>
      <w:r w:rsidR="00A00F74" w:rsidRPr="00F50744">
        <w:rPr>
          <w:rFonts w:ascii="Lato" w:hAnsi="Lato" w:cs="Arial"/>
          <w:i/>
          <w:spacing w:val="4"/>
        </w:rPr>
        <w:t>przesyłową</w:t>
      </w:r>
      <w:r w:rsidRPr="00F50744">
        <w:rPr>
          <w:rFonts w:ascii="Lato" w:hAnsi="Lato" w:cs="Arial"/>
          <w:i/>
          <w:spacing w:val="4"/>
        </w:rPr>
        <w:t xml:space="preserve"> </w:t>
      </w:r>
      <w:r w:rsidRPr="00F50744">
        <w:rPr>
          <w:rFonts w:ascii="Lato" w:hAnsi="Lato" w:cs="Arial"/>
          <w:spacing w:val="4"/>
        </w:rPr>
        <w:t xml:space="preserve">przygotowuje do realizacji inwestycje celu publicznego, które są istotne i ważne dla kraju, dla wspólnot samorządowych (gmina, powiat, województwo). Z mocy </w:t>
      </w:r>
      <w:r w:rsidRPr="00F50744">
        <w:rPr>
          <w:rFonts w:ascii="Lato" w:hAnsi="Lato" w:cs="Arial"/>
          <w:i/>
          <w:spacing w:val="4"/>
        </w:rPr>
        <w:t xml:space="preserve">specustawy </w:t>
      </w:r>
      <w:r w:rsidR="00A00F74" w:rsidRPr="00F50744">
        <w:rPr>
          <w:rFonts w:ascii="Lato" w:hAnsi="Lato" w:cs="Arial"/>
          <w:i/>
          <w:spacing w:val="4"/>
        </w:rPr>
        <w:t>przesyłowej</w:t>
      </w:r>
      <w:r w:rsidRPr="00F50744">
        <w:rPr>
          <w:rFonts w:ascii="Lato" w:hAnsi="Lato" w:cs="Arial"/>
          <w:spacing w:val="4"/>
        </w:rPr>
        <w:t xml:space="preserve"> te ściśle określone uprawnienia, bardzo istotne, przysługują </w:t>
      </w:r>
      <w:r w:rsidRPr="00F50744">
        <w:rPr>
          <w:rFonts w:ascii="Lato" w:hAnsi="Lato" w:cs="Arial"/>
          <w:i/>
          <w:spacing w:val="4"/>
        </w:rPr>
        <w:t>inwestorowi</w:t>
      </w:r>
      <w:r w:rsidRPr="00F50744">
        <w:rPr>
          <w:rFonts w:ascii="Lato" w:hAnsi="Lato" w:cs="Arial"/>
          <w:spacing w:val="4"/>
        </w:rPr>
        <w:t xml:space="preserve">. Ale to nie oznacza, iż w tym zakresie </w:t>
      </w:r>
      <w:r w:rsidRPr="00F50744">
        <w:rPr>
          <w:rFonts w:ascii="Lato" w:hAnsi="Lato" w:cs="Arial"/>
          <w:i/>
          <w:spacing w:val="4"/>
        </w:rPr>
        <w:t>inwestor</w:t>
      </w:r>
      <w:r w:rsidRPr="00F50744">
        <w:rPr>
          <w:rFonts w:ascii="Lato" w:hAnsi="Lato" w:cs="Arial"/>
          <w:spacing w:val="4"/>
        </w:rPr>
        <w:t xml:space="preserve"> działa autonomicznie, w oderwaniu od interesu kraju i wspólnot samorządowych </w:t>
      </w:r>
      <w:r w:rsidR="00A00F74" w:rsidRPr="00F50744">
        <w:rPr>
          <w:rFonts w:ascii="Lato" w:hAnsi="Lato" w:cs="Arial"/>
          <w:spacing w:val="4"/>
        </w:rPr>
        <w:br/>
      </w:r>
      <w:r w:rsidRPr="00F50744">
        <w:rPr>
          <w:rFonts w:ascii="Lato" w:hAnsi="Lato" w:cs="Arial"/>
          <w:spacing w:val="4"/>
        </w:rPr>
        <w:t xml:space="preserve">i realizując zadania ustawowe ma na uwadze swój własny, </w:t>
      </w:r>
      <w:r w:rsidR="00BB40E3">
        <w:rPr>
          <w:rFonts w:ascii="Lato" w:hAnsi="Lato" w:cs="Arial"/>
          <w:spacing w:val="4"/>
        </w:rPr>
        <w:t>indywidualny</w:t>
      </w:r>
      <w:r w:rsidRPr="00F50744">
        <w:rPr>
          <w:rFonts w:ascii="Lato" w:hAnsi="Lato" w:cs="Arial"/>
          <w:spacing w:val="4"/>
        </w:rPr>
        <w:t xml:space="preserve"> interes. </w:t>
      </w:r>
    </w:p>
    <w:p w14:paraId="492C66C1" w14:textId="4FE1E007"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i/>
          <w:spacing w:val="4"/>
        </w:rPr>
        <w:t>Inwestor</w:t>
      </w:r>
      <w:r w:rsidRPr="00F50744">
        <w:rPr>
          <w:rFonts w:ascii="Lato" w:hAnsi="Lato" w:cs="Arial"/>
          <w:spacing w:val="4"/>
        </w:rPr>
        <w:t xml:space="preserve"> działa w interesie państwa i w interesie społecznym. Podmiot ten, realizując inwestycje celu publicznego [zgodnie z art. </w:t>
      </w:r>
      <w:r w:rsidR="00A00F74" w:rsidRPr="00F50744">
        <w:rPr>
          <w:rFonts w:ascii="Lato" w:hAnsi="Lato" w:cs="Arial"/>
          <w:spacing w:val="4"/>
        </w:rPr>
        <w:t>3</w:t>
      </w:r>
      <w:r w:rsidRPr="00F50744">
        <w:rPr>
          <w:rFonts w:ascii="Lato" w:hAnsi="Lato" w:cs="Arial"/>
          <w:spacing w:val="4"/>
        </w:rPr>
        <w:t xml:space="preserve"> </w:t>
      </w:r>
      <w:r w:rsidRPr="00F50744">
        <w:rPr>
          <w:rFonts w:ascii="Lato" w:hAnsi="Lato" w:cs="Arial"/>
          <w:i/>
          <w:spacing w:val="4"/>
        </w:rPr>
        <w:t xml:space="preserve">specustawy </w:t>
      </w:r>
      <w:r w:rsidR="00A00F74" w:rsidRPr="00F50744">
        <w:rPr>
          <w:rFonts w:ascii="Lato" w:hAnsi="Lato" w:cs="Arial"/>
          <w:i/>
          <w:spacing w:val="4"/>
        </w:rPr>
        <w:t>przesyłowej</w:t>
      </w:r>
      <w:r w:rsidR="00A00F74" w:rsidRPr="00F50744">
        <w:rPr>
          <w:rFonts w:ascii="Lato" w:hAnsi="Lato" w:cs="Arial"/>
          <w:spacing w:val="4"/>
        </w:rPr>
        <w:t xml:space="preserve">, strategiczne inwestycje w zakresie sieci przesyłowych </w:t>
      </w:r>
      <w:r w:rsidRPr="00F50744">
        <w:rPr>
          <w:rFonts w:ascii="Lato" w:hAnsi="Lato" w:cs="Arial"/>
          <w:spacing w:val="4"/>
        </w:rPr>
        <w:t xml:space="preserve">są celami publicznymi w rozumieniu przepisów </w:t>
      </w:r>
      <w:r w:rsidRPr="00F50744">
        <w:rPr>
          <w:rFonts w:ascii="Lato" w:hAnsi="Lato" w:cs="Arial"/>
          <w:bCs/>
          <w:iCs/>
          <w:spacing w:val="4"/>
          <w:lang w:bidi="pl-PL"/>
        </w:rPr>
        <w:t>ustawy z dnia 21 sierpnia 1997 r. o gospodarce nieruchomościami (</w:t>
      </w:r>
      <w:r w:rsidR="00A00F74" w:rsidRPr="00F50744">
        <w:rPr>
          <w:rFonts w:ascii="Lato" w:hAnsi="Lato" w:cs="Arial"/>
          <w:bCs/>
          <w:iCs/>
          <w:spacing w:val="4"/>
          <w:lang w:bidi="pl-PL"/>
        </w:rPr>
        <w:t xml:space="preserve">t.j. </w:t>
      </w:r>
      <w:r w:rsidRPr="00F50744">
        <w:rPr>
          <w:rFonts w:ascii="Lato" w:hAnsi="Lato" w:cs="Arial"/>
          <w:bCs/>
          <w:iCs/>
          <w:spacing w:val="4"/>
          <w:lang w:bidi="pl-PL"/>
        </w:rPr>
        <w:t>Dz. U. z 20</w:t>
      </w:r>
      <w:r w:rsidR="00A00F74" w:rsidRPr="00F50744">
        <w:rPr>
          <w:rFonts w:ascii="Lato" w:hAnsi="Lato" w:cs="Arial"/>
          <w:bCs/>
          <w:iCs/>
          <w:spacing w:val="4"/>
          <w:lang w:bidi="pl-PL"/>
        </w:rPr>
        <w:t>24</w:t>
      </w:r>
      <w:r w:rsidRPr="00F50744">
        <w:rPr>
          <w:rFonts w:ascii="Lato" w:hAnsi="Lato" w:cs="Arial"/>
          <w:bCs/>
          <w:iCs/>
          <w:spacing w:val="4"/>
          <w:lang w:bidi="pl-PL"/>
        </w:rPr>
        <w:t xml:space="preserve"> r. poz. </w:t>
      </w:r>
      <w:r w:rsidR="00A00F74" w:rsidRPr="00F50744">
        <w:rPr>
          <w:rFonts w:ascii="Lato" w:hAnsi="Lato" w:cs="Arial"/>
          <w:bCs/>
          <w:iCs/>
          <w:spacing w:val="4"/>
          <w:lang w:bidi="pl-PL"/>
        </w:rPr>
        <w:t>1145</w:t>
      </w:r>
      <w:r w:rsidRPr="00F50744">
        <w:rPr>
          <w:rFonts w:ascii="Lato" w:hAnsi="Lato" w:cs="Arial"/>
          <w:bCs/>
          <w:iCs/>
          <w:spacing w:val="4"/>
          <w:lang w:bidi="pl-PL"/>
        </w:rPr>
        <w:t>)]</w:t>
      </w:r>
      <w:r w:rsidRPr="00F50744">
        <w:rPr>
          <w:rFonts w:ascii="Lato" w:hAnsi="Lato" w:cs="Arial"/>
          <w:spacing w:val="4"/>
        </w:rPr>
        <w:t xml:space="preserve">, reprezentuje interes społeczny, gdyż działania polegające na budowie inwestycji w zakresie </w:t>
      </w:r>
      <w:r w:rsidR="006875EE" w:rsidRPr="00F50744">
        <w:rPr>
          <w:rFonts w:ascii="Lato" w:hAnsi="Lato" w:cs="Arial"/>
          <w:spacing w:val="4"/>
        </w:rPr>
        <w:t>sieci przesyłowych</w:t>
      </w:r>
      <w:r w:rsidRPr="00F50744">
        <w:rPr>
          <w:rFonts w:ascii="Lato" w:hAnsi="Lato" w:cs="Arial"/>
          <w:spacing w:val="4"/>
        </w:rPr>
        <w:t xml:space="preserve"> oraz inwestycji towarzyszących, należy uznać za inwestycję celu publicznego. Celu zaś publicznego nie można wiązać z określonym </w:t>
      </w:r>
      <w:r w:rsidRPr="00F50744">
        <w:rPr>
          <w:rFonts w:ascii="Lato" w:hAnsi="Lato" w:cs="Arial"/>
          <w:i/>
          <w:spacing w:val="4"/>
        </w:rPr>
        <w:t>inwestorem</w:t>
      </w:r>
      <w:r w:rsidRPr="00F50744">
        <w:rPr>
          <w:rFonts w:ascii="Lato" w:hAnsi="Lato" w:cs="Arial"/>
          <w:spacing w:val="4"/>
        </w:rPr>
        <w:t xml:space="preserve"> i uznawać, że realizacja tego celu leży w interesie indywidualnym/własnym tegoż inwestora. Realizacja inwestycji celu publicznego leży w interesie społecznym (kraju, województwa, powiatu, gminy), a tym samym nie może tu być mowy o interesie indywidualnym.</w:t>
      </w:r>
    </w:p>
    <w:p w14:paraId="476EE03E" w14:textId="28D29032" w:rsidR="001A6F82" w:rsidRPr="00F50744" w:rsidRDefault="001A6F82" w:rsidP="001A6F82">
      <w:pPr>
        <w:spacing w:after="240" w:line="240" w:lineRule="exact"/>
        <w:jc w:val="both"/>
        <w:outlineLvl w:val="0"/>
        <w:rPr>
          <w:rFonts w:ascii="Lato" w:hAnsi="Lato" w:cs="Arial"/>
          <w:spacing w:val="4"/>
        </w:rPr>
      </w:pPr>
      <w:r w:rsidRPr="00F50744">
        <w:rPr>
          <w:rFonts w:ascii="Lato" w:hAnsi="Lato" w:cs="Arial"/>
          <w:spacing w:val="4"/>
        </w:rPr>
        <w:t xml:space="preserve">Mając powyższe na względzie, należy uznać, iż </w:t>
      </w:r>
      <w:r w:rsidRPr="00F50744">
        <w:rPr>
          <w:rFonts w:ascii="Lato" w:hAnsi="Lato" w:cs="Arial"/>
          <w:i/>
          <w:spacing w:val="4"/>
        </w:rPr>
        <w:t>inwestor</w:t>
      </w:r>
      <w:r w:rsidRPr="00F50744">
        <w:rPr>
          <w:rFonts w:ascii="Lato" w:hAnsi="Lato" w:cs="Arial"/>
          <w:spacing w:val="4"/>
        </w:rPr>
        <w:t xml:space="preserve"> działa w interesie społecznym zarówno występując o wydanie decyzji o ustaleniu lokalizacji </w:t>
      </w:r>
      <w:r w:rsidR="006875EE" w:rsidRPr="00F50744">
        <w:rPr>
          <w:rFonts w:ascii="Lato" w:hAnsi="Lato" w:cs="Arial"/>
          <w:spacing w:val="4"/>
        </w:rPr>
        <w:t xml:space="preserve">strategicznej inwestycji </w:t>
      </w:r>
      <w:r w:rsidR="006875EE" w:rsidRPr="00F50744">
        <w:rPr>
          <w:rFonts w:ascii="Lato" w:hAnsi="Lato" w:cs="Arial"/>
          <w:spacing w:val="4"/>
        </w:rPr>
        <w:br/>
        <w:t>w zakresie sieci przesyłowej</w:t>
      </w:r>
      <w:r w:rsidRPr="00F50744">
        <w:rPr>
          <w:rFonts w:ascii="Lato" w:hAnsi="Lato" w:cs="Arial"/>
          <w:spacing w:val="4"/>
        </w:rPr>
        <w:t xml:space="preserve">, jak i sygnalizując konieczność jej zmiany. </w:t>
      </w:r>
    </w:p>
    <w:p w14:paraId="009B0A1B" w14:textId="2F7C7C16" w:rsidR="000F52A2" w:rsidRPr="00192E96" w:rsidRDefault="005D4245" w:rsidP="001A6F82">
      <w:pPr>
        <w:spacing w:after="240" w:line="240" w:lineRule="exact"/>
        <w:jc w:val="both"/>
        <w:outlineLvl w:val="0"/>
        <w:rPr>
          <w:rFonts w:ascii="Lato" w:hAnsi="Lato" w:cs="Arial"/>
          <w:spacing w:val="4"/>
        </w:rPr>
      </w:pPr>
      <w:r w:rsidRPr="00F50744">
        <w:rPr>
          <w:rFonts w:ascii="Lato" w:hAnsi="Lato" w:cs="Arial"/>
          <w:bCs/>
          <w:iCs/>
          <w:spacing w:val="4"/>
        </w:rPr>
        <w:t>W myśl art. 8 ust. 1 pkt 8</w:t>
      </w:r>
      <w:r w:rsidR="00027B72" w:rsidRPr="00F50744">
        <w:rPr>
          <w:rFonts w:ascii="Lato" w:hAnsi="Lato" w:cs="Arial"/>
          <w:bCs/>
          <w:iCs/>
          <w:spacing w:val="4"/>
        </w:rPr>
        <w:t xml:space="preserve"> i</w:t>
      </w:r>
      <w:r w:rsidRPr="00F50744">
        <w:rPr>
          <w:rFonts w:ascii="Lato" w:hAnsi="Lato" w:cs="Arial"/>
          <w:bCs/>
          <w:iCs/>
          <w:spacing w:val="4"/>
        </w:rPr>
        <w:t xml:space="preserve"> 8a </w:t>
      </w:r>
      <w:r w:rsidRPr="00F50744">
        <w:rPr>
          <w:rFonts w:ascii="Lato" w:hAnsi="Lato" w:cs="Arial"/>
          <w:bCs/>
          <w:i/>
          <w:iCs/>
          <w:spacing w:val="4"/>
        </w:rPr>
        <w:t>specustawy przesyłowej</w:t>
      </w:r>
      <w:r w:rsidRPr="00F50744">
        <w:rPr>
          <w:rFonts w:ascii="Lato" w:hAnsi="Lato" w:cs="Arial"/>
          <w:bCs/>
          <w:spacing w:val="4"/>
        </w:rPr>
        <w:t xml:space="preserve">, </w:t>
      </w:r>
      <w:r w:rsidRPr="00F50744">
        <w:rPr>
          <w:rFonts w:ascii="Lato" w:hAnsi="Lato" w:cs="Arial"/>
          <w:bCs/>
          <w:iCs/>
          <w:spacing w:val="4"/>
        </w:rPr>
        <w:t>decyzja o ustaleniu lokalizacji inwestycji</w:t>
      </w:r>
      <w:r w:rsidRPr="00F50744">
        <w:rPr>
          <w:rFonts w:ascii="Lato" w:hAnsi="Lato" w:cs="Arial"/>
          <w:spacing w:val="4"/>
        </w:rPr>
        <w:t xml:space="preserve"> zawiera</w:t>
      </w:r>
      <w:r w:rsidR="000F52A2" w:rsidRPr="00F50744">
        <w:rPr>
          <w:rFonts w:ascii="Lato" w:hAnsi="Lato" w:cs="Arial"/>
          <w:spacing w:val="4"/>
        </w:rPr>
        <w:t xml:space="preserve"> m</w:t>
      </w:r>
      <w:r w:rsidR="00353315" w:rsidRPr="00F50744">
        <w:rPr>
          <w:rFonts w:ascii="Lato" w:hAnsi="Lato" w:cs="Arial"/>
          <w:spacing w:val="4"/>
        </w:rPr>
        <w:t>.</w:t>
      </w:r>
      <w:r w:rsidR="000F52A2" w:rsidRPr="00F50744">
        <w:rPr>
          <w:rFonts w:ascii="Lato" w:hAnsi="Lato" w:cs="Arial"/>
          <w:spacing w:val="4"/>
        </w:rPr>
        <w:t xml:space="preserve">in. wskazanie nieruchomości, w stosunku do których decyzja </w:t>
      </w:r>
      <w:r w:rsidR="00706DF6" w:rsidRPr="00F50744">
        <w:rPr>
          <w:rFonts w:ascii="Lato" w:hAnsi="Lato" w:cs="Arial"/>
          <w:spacing w:val="4"/>
        </w:rPr>
        <w:br/>
      </w:r>
      <w:r w:rsidR="000F52A2" w:rsidRPr="00F50744">
        <w:rPr>
          <w:rFonts w:ascii="Lato" w:hAnsi="Lato" w:cs="Arial"/>
          <w:spacing w:val="4"/>
        </w:rPr>
        <w:t xml:space="preserve">o ustaleniu lokalizacji strategicznej inwestycji w zakresie sieci przesyłowej ma wywołać skutek, o którym mowa w art. 22 ust. 1, w tym gruntów Skarbu Państwa pokrytych wodami, pasów drogowych i obszarów kolejowych – jeżeli inwestycja wymaga przez nie przejścia lub budowy/przebudowy zjazdów. Decyzja określa sposób, miejsce i warunki umieszczenia urządzeń oraz parametry zjazdów oraz wskazanie podmiotów </w:t>
      </w:r>
      <w:r w:rsidR="00706DF6" w:rsidRPr="00192E96">
        <w:rPr>
          <w:rFonts w:ascii="Lato" w:hAnsi="Lato" w:cs="Arial"/>
          <w:bCs/>
          <w:iCs/>
          <w:spacing w:val="4"/>
        </w:rPr>
        <w:t xml:space="preserve">innych niż </w:t>
      </w:r>
      <w:r w:rsidR="00706DF6" w:rsidRPr="00192E96">
        <w:rPr>
          <w:rFonts w:ascii="Lato" w:hAnsi="Lato" w:cs="Arial"/>
          <w:bCs/>
          <w:i/>
          <w:spacing w:val="4"/>
        </w:rPr>
        <w:t>inwestor</w:t>
      </w:r>
      <w:r w:rsidR="00706DF6" w:rsidRPr="00192E96">
        <w:rPr>
          <w:rFonts w:ascii="Lato" w:hAnsi="Lato" w:cs="Arial"/>
          <w:bCs/>
          <w:iCs/>
          <w:spacing w:val="4"/>
        </w:rPr>
        <w:t xml:space="preserve">, na rzecz których ograniczenie sposobu korzystania z nieruchomości ma nastąpić zgodnie z </w:t>
      </w:r>
      <w:hyperlink r:id="rId11" w:history="1">
        <w:r w:rsidR="00706DF6" w:rsidRPr="00192E96">
          <w:rPr>
            <w:rStyle w:val="Hipercze"/>
            <w:rFonts w:ascii="Lato" w:hAnsi="Lato" w:cs="Arial"/>
            <w:bCs/>
            <w:iCs/>
            <w:color w:val="auto"/>
            <w:spacing w:val="4"/>
            <w:u w:val="none"/>
          </w:rPr>
          <w:t>art. 22 ust. 4</w:t>
        </w:r>
      </w:hyperlink>
      <w:r w:rsidR="00706DF6" w:rsidRPr="00192E96">
        <w:rPr>
          <w:rFonts w:ascii="Lato" w:hAnsi="Lato" w:cs="Arial"/>
          <w:spacing w:val="4"/>
        </w:rPr>
        <w:t xml:space="preserve"> </w:t>
      </w:r>
      <w:r w:rsidR="00706DF6" w:rsidRPr="00192E96">
        <w:rPr>
          <w:rFonts w:ascii="Lato" w:hAnsi="Lato" w:cs="Arial"/>
          <w:i/>
          <w:iCs/>
          <w:spacing w:val="4"/>
        </w:rPr>
        <w:t>specustawy przesyłowej.</w:t>
      </w:r>
    </w:p>
    <w:p w14:paraId="2E3D30FA" w14:textId="56AF764A" w:rsidR="00F96E3C" w:rsidRPr="00F50744" w:rsidRDefault="00F96E3C" w:rsidP="00F96E3C">
      <w:pPr>
        <w:autoSpaceDE w:val="0"/>
        <w:autoSpaceDN w:val="0"/>
        <w:adjustRightInd w:val="0"/>
        <w:spacing w:after="240" w:line="240" w:lineRule="exact"/>
        <w:jc w:val="both"/>
        <w:rPr>
          <w:rFonts w:ascii="Lato" w:hAnsi="Lato" w:cs="Arial"/>
          <w:bCs/>
          <w:iCs/>
          <w:spacing w:val="4"/>
          <w:lang w:bidi="pl-PL"/>
        </w:rPr>
      </w:pPr>
      <w:r w:rsidRPr="00F50744">
        <w:rPr>
          <w:rFonts w:ascii="Lato" w:hAnsi="Lato" w:cs="Arial"/>
          <w:bCs/>
          <w:iCs/>
          <w:spacing w:val="4"/>
          <w:lang w:bidi="pl-PL"/>
        </w:rPr>
        <w:t xml:space="preserve">Z kolei w myśl art. 27a ust. 2 </w:t>
      </w:r>
      <w:r w:rsidRPr="00F50744">
        <w:rPr>
          <w:rFonts w:ascii="Lato" w:hAnsi="Lato" w:cs="Arial"/>
          <w:bCs/>
          <w:i/>
          <w:spacing w:val="4"/>
          <w:lang w:bidi="pl-PL"/>
        </w:rPr>
        <w:t>specustawy przesyłowej</w:t>
      </w:r>
      <w:r w:rsidRPr="00F50744">
        <w:rPr>
          <w:rFonts w:ascii="Lato" w:hAnsi="Lato" w:cs="Arial"/>
          <w:bCs/>
          <w:iCs/>
          <w:spacing w:val="4"/>
          <w:lang w:bidi="pl-PL"/>
        </w:rPr>
        <w:t xml:space="preserve">, </w:t>
      </w:r>
      <w:bookmarkStart w:id="11" w:name="_Hlk160181944"/>
      <w:r w:rsidRPr="00F50744">
        <w:rPr>
          <w:rFonts w:ascii="Lato" w:hAnsi="Lato" w:cs="Arial"/>
          <w:bCs/>
          <w:iCs/>
          <w:spacing w:val="4"/>
          <w:lang w:bidi="pl-PL"/>
        </w:rPr>
        <w:t xml:space="preserve">wniosek o zmianę decyzji, </w:t>
      </w:r>
      <w:bookmarkEnd w:id="11"/>
      <w:r w:rsidRPr="00F50744">
        <w:rPr>
          <w:rFonts w:ascii="Lato" w:hAnsi="Lato" w:cs="Arial"/>
          <w:bCs/>
          <w:iCs/>
          <w:spacing w:val="4"/>
          <w:lang w:bidi="pl-PL"/>
        </w:rPr>
        <w:t>o której mowa w art. 5 ust. 1, w zakresie objęcia nieruchomości znajdujących się na terenie objętym strategiczną inwestycją w zakresie sieci przesyłowej skutkami, o których mowa w art. 19 ust. 3, art. 22 ust. 1, art. 23 ust. 1 lub 1a, zawiera dane określone w art. 4 ust. 1 pkt 7-11 i 13. Przepisów art. 4 ust. 2 pkt 1-7, 9-12, 14 i 16 nie stosuje się.</w:t>
      </w:r>
    </w:p>
    <w:p w14:paraId="245F429F" w14:textId="68667E52" w:rsidR="00876395" w:rsidRPr="00F50744" w:rsidRDefault="00F96E3C" w:rsidP="00BF07D9">
      <w:pPr>
        <w:autoSpaceDE w:val="0"/>
        <w:autoSpaceDN w:val="0"/>
        <w:adjustRightInd w:val="0"/>
        <w:spacing w:after="240" w:line="240" w:lineRule="exact"/>
        <w:jc w:val="both"/>
        <w:rPr>
          <w:rFonts w:ascii="Lato" w:hAnsi="Lato" w:cs="Arial"/>
          <w:spacing w:val="4"/>
        </w:rPr>
      </w:pPr>
      <w:r w:rsidRPr="00F50744">
        <w:rPr>
          <w:rFonts w:ascii="Lato" w:hAnsi="Lato" w:cs="Arial"/>
          <w:bCs/>
          <w:iCs/>
          <w:spacing w:val="4"/>
          <w:lang w:bidi="pl-PL"/>
        </w:rPr>
        <w:t xml:space="preserve">W myśl art. 4 ust. 1 pkt 10 </w:t>
      </w:r>
      <w:r w:rsidRPr="00F50744">
        <w:rPr>
          <w:rFonts w:ascii="Lato" w:hAnsi="Lato" w:cs="Arial"/>
          <w:bCs/>
          <w:i/>
          <w:spacing w:val="4"/>
          <w:lang w:bidi="pl-PL"/>
        </w:rPr>
        <w:t>specustawy przesyłowej</w:t>
      </w:r>
      <w:r w:rsidRPr="00F50744">
        <w:rPr>
          <w:rFonts w:ascii="Lato" w:hAnsi="Lato" w:cs="Arial"/>
          <w:bCs/>
          <w:iCs/>
          <w:spacing w:val="4"/>
          <w:lang w:bidi="pl-PL"/>
        </w:rPr>
        <w:t xml:space="preserve">, wniosek o wydanie decyzji o ustalenie lokalizacji </w:t>
      </w:r>
      <w:r w:rsidR="00BB5561" w:rsidRPr="00F50744">
        <w:rPr>
          <w:rFonts w:ascii="Lato" w:hAnsi="Lato" w:cs="Arial"/>
          <w:bCs/>
          <w:iCs/>
          <w:spacing w:val="4"/>
          <w:lang w:bidi="pl-PL"/>
        </w:rPr>
        <w:t xml:space="preserve">strategicznej </w:t>
      </w:r>
      <w:r w:rsidRPr="00F50744">
        <w:rPr>
          <w:rFonts w:ascii="Lato" w:hAnsi="Lato" w:cs="Arial"/>
          <w:bCs/>
          <w:iCs/>
          <w:spacing w:val="4"/>
          <w:lang w:bidi="pl-PL"/>
        </w:rPr>
        <w:t xml:space="preserve">inwestycji w zakresie </w:t>
      </w:r>
      <w:r w:rsidR="00BB5561" w:rsidRPr="00F50744">
        <w:rPr>
          <w:rFonts w:ascii="Lato" w:hAnsi="Lato" w:cs="Arial"/>
          <w:bCs/>
          <w:iCs/>
          <w:spacing w:val="4"/>
          <w:lang w:bidi="pl-PL"/>
        </w:rPr>
        <w:t>sieci przesyłowej</w:t>
      </w:r>
      <w:r w:rsidRPr="00F50744">
        <w:rPr>
          <w:rFonts w:ascii="Lato" w:eastAsia="Times New Roman" w:hAnsi="Lato" w:cs="Times New Roman"/>
          <w:spacing w:val="4"/>
          <w:lang w:eastAsia="pl-PL"/>
        </w:rPr>
        <w:t xml:space="preserve"> zawiera </w:t>
      </w:r>
      <w:r w:rsidRPr="00F50744">
        <w:rPr>
          <w:rFonts w:ascii="Lato" w:hAnsi="Lato" w:cs="Arial"/>
          <w:bCs/>
          <w:iCs/>
          <w:spacing w:val="4"/>
          <w:lang w:bidi="pl-PL"/>
        </w:rPr>
        <w:t xml:space="preserve">wskazanie nieruchomości, w stosunku do których decyzja o ustaleniu lokalizacji inwestycji ma wywołać skutek, o którym mowa w </w:t>
      </w:r>
      <w:hyperlink r:id="rId12" w:history="1">
        <w:r w:rsidRPr="00F50744">
          <w:rPr>
            <w:rFonts w:ascii="Lato" w:hAnsi="Lato" w:cs="Arial"/>
            <w:bCs/>
            <w:iCs/>
            <w:spacing w:val="4"/>
            <w:lang w:bidi="pl-PL"/>
          </w:rPr>
          <w:t>art. 22 ust. 1</w:t>
        </w:r>
      </w:hyperlink>
      <w:r w:rsidRPr="00F50744">
        <w:rPr>
          <w:rFonts w:ascii="Lato" w:hAnsi="Lato" w:cs="Arial"/>
          <w:bCs/>
          <w:iCs/>
          <w:spacing w:val="4"/>
          <w:lang w:bidi="pl-PL"/>
        </w:rPr>
        <w:t xml:space="preserve"> (ograniczenie sposobu korzystania </w:t>
      </w:r>
      <w:r w:rsidR="00BB5561" w:rsidRPr="00F50744">
        <w:rPr>
          <w:rFonts w:ascii="Lato" w:hAnsi="Lato" w:cs="Arial"/>
          <w:bCs/>
          <w:iCs/>
          <w:spacing w:val="4"/>
          <w:lang w:bidi="pl-PL"/>
        </w:rPr>
        <w:br/>
      </w:r>
      <w:r w:rsidRPr="00F50744">
        <w:rPr>
          <w:rFonts w:ascii="Lato" w:hAnsi="Lato" w:cs="Arial"/>
          <w:bCs/>
          <w:iCs/>
          <w:spacing w:val="4"/>
          <w:lang w:bidi="pl-PL"/>
        </w:rPr>
        <w:t xml:space="preserve">z nieruchomości). Z kolei </w:t>
      </w:r>
      <w:r w:rsidRPr="00F50744">
        <w:rPr>
          <w:rFonts w:ascii="Lato" w:hAnsi="Lato" w:cs="Arial"/>
          <w:spacing w:val="4"/>
        </w:rPr>
        <w:t xml:space="preserve">z dyspozycji </w:t>
      </w:r>
      <w:r w:rsidRPr="00F50744">
        <w:rPr>
          <w:rFonts w:ascii="Lato" w:hAnsi="Lato" w:cs="Arial"/>
          <w:bCs/>
          <w:iCs/>
          <w:spacing w:val="4"/>
        </w:rPr>
        <w:t xml:space="preserve">art. 4 ust. 1 pkt 10a </w:t>
      </w:r>
      <w:r w:rsidR="000A35F7" w:rsidRPr="00F50744">
        <w:rPr>
          <w:rFonts w:ascii="Lato" w:hAnsi="Lato" w:cs="Arial"/>
          <w:bCs/>
          <w:iCs/>
          <w:spacing w:val="4"/>
        </w:rPr>
        <w:t>i 10b</w:t>
      </w:r>
      <w:r w:rsidR="000A35F7" w:rsidRPr="00F50744">
        <w:rPr>
          <w:rFonts w:ascii="Lato" w:hAnsi="Lato" w:cs="Arial"/>
          <w:bCs/>
          <w:i/>
          <w:spacing w:val="4"/>
        </w:rPr>
        <w:t xml:space="preserve"> s</w:t>
      </w:r>
      <w:r w:rsidRPr="00F50744">
        <w:rPr>
          <w:rFonts w:ascii="Lato" w:hAnsi="Lato" w:cs="Arial"/>
          <w:bCs/>
          <w:i/>
          <w:spacing w:val="4"/>
        </w:rPr>
        <w:t>pecustawy przesyłowej</w:t>
      </w:r>
      <w:r w:rsidRPr="00F50744">
        <w:rPr>
          <w:rFonts w:ascii="Lato" w:hAnsi="Lato" w:cs="Arial"/>
          <w:bCs/>
          <w:iCs/>
          <w:spacing w:val="4"/>
        </w:rPr>
        <w:t xml:space="preserve"> wynika, iż wniosek o wydanie decyzji</w:t>
      </w:r>
      <w:r w:rsidRPr="00F50744">
        <w:rPr>
          <w:rFonts w:ascii="Lato" w:hAnsi="Lato" w:cs="Arial"/>
          <w:bCs/>
          <w:spacing w:val="4"/>
          <w:lang w:bidi="pl-PL"/>
        </w:rPr>
        <w:t xml:space="preserve"> </w:t>
      </w:r>
      <w:r w:rsidRPr="00F50744">
        <w:rPr>
          <w:rFonts w:ascii="Lato" w:hAnsi="Lato" w:cs="Arial"/>
          <w:bCs/>
          <w:iCs/>
          <w:spacing w:val="4"/>
          <w:lang w:bidi="pl-PL"/>
        </w:rPr>
        <w:t xml:space="preserve">o ustalenie lokalizacji </w:t>
      </w:r>
      <w:r w:rsidR="00BB5561" w:rsidRPr="00F50744">
        <w:rPr>
          <w:rFonts w:ascii="Lato" w:hAnsi="Lato" w:cs="Arial"/>
          <w:bCs/>
          <w:iCs/>
          <w:spacing w:val="4"/>
          <w:lang w:bidi="pl-PL"/>
        </w:rPr>
        <w:t xml:space="preserve">strategicznej </w:t>
      </w:r>
      <w:r w:rsidRPr="00F50744">
        <w:rPr>
          <w:rFonts w:ascii="Lato" w:hAnsi="Lato" w:cs="Arial"/>
          <w:bCs/>
          <w:iCs/>
          <w:spacing w:val="4"/>
          <w:lang w:bidi="pl-PL"/>
        </w:rPr>
        <w:t xml:space="preserve">inwestycji </w:t>
      </w:r>
      <w:r w:rsidR="000A35F7" w:rsidRPr="00F50744">
        <w:rPr>
          <w:rFonts w:ascii="Lato" w:hAnsi="Lato" w:cs="Arial"/>
          <w:bCs/>
          <w:iCs/>
          <w:spacing w:val="4"/>
          <w:lang w:bidi="pl-PL"/>
        </w:rPr>
        <w:br/>
      </w:r>
      <w:r w:rsidRPr="00F50744">
        <w:rPr>
          <w:rFonts w:ascii="Lato" w:hAnsi="Lato" w:cs="Arial"/>
          <w:bCs/>
          <w:iCs/>
          <w:spacing w:val="4"/>
          <w:lang w:bidi="pl-PL"/>
        </w:rPr>
        <w:t xml:space="preserve">w </w:t>
      </w:r>
      <w:r w:rsidR="00E04C68" w:rsidRPr="00F50744">
        <w:rPr>
          <w:rFonts w:ascii="Lato" w:hAnsi="Lato" w:cs="Arial"/>
          <w:bCs/>
          <w:iCs/>
          <w:spacing w:val="4"/>
          <w:lang w:bidi="pl-PL"/>
        </w:rPr>
        <w:t>zakresie sieci przesyłowej zawiera</w:t>
      </w:r>
      <w:r w:rsidRPr="00F50744">
        <w:rPr>
          <w:rFonts w:ascii="Lato" w:eastAsia="Times New Roman" w:hAnsi="Lato" w:cs="Times New Roman"/>
          <w:spacing w:val="4"/>
          <w:lang w:eastAsia="pl-PL"/>
        </w:rPr>
        <w:t xml:space="preserve"> </w:t>
      </w:r>
      <w:bookmarkStart w:id="12" w:name="_Hlk153270400"/>
      <w:r w:rsidRPr="00F50744">
        <w:rPr>
          <w:rFonts w:ascii="Lato" w:hAnsi="Lato" w:cs="Arial"/>
          <w:bCs/>
          <w:iCs/>
          <w:spacing w:val="4"/>
          <w:lang w:bidi="pl-PL"/>
        </w:rPr>
        <w:t xml:space="preserve">wskazanie </w:t>
      </w:r>
      <w:bookmarkStart w:id="13" w:name="_Hlk153189486"/>
      <w:r w:rsidRPr="00F50744">
        <w:rPr>
          <w:rFonts w:ascii="Lato" w:hAnsi="Lato" w:cs="Arial"/>
          <w:bCs/>
          <w:iCs/>
          <w:spacing w:val="4"/>
          <w:lang w:bidi="pl-PL"/>
        </w:rPr>
        <w:t xml:space="preserve">podmiotów innych niż inwestor, na rzecz których ograniczenie sposobu korzystania z </w:t>
      </w:r>
      <w:bookmarkEnd w:id="13"/>
      <w:r w:rsidRPr="00F50744">
        <w:rPr>
          <w:rFonts w:ascii="Lato" w:hAnsi="Lato" w:cs="Arial"/>
          <w:bCs/>
          <w:iCs/>
          <w:spacing w:val="4"/>
          <w:lang w:bidi="pl-PL"/>
        </w:rPr>
        <w:t xml:space="preserve">nieruchomości ma nastąpić zgodnie z </w:t>
      </w:r>
      <w:hyperlink r:id="rId13" w:history="1">
        <w:r w:rsidRPr="00F50744">
          <w:rPr>
            <w:rFonts w:ascii="Lato" w:hAnsi="Lato" w:cs="Arial"/>
            <w:bCs/>
            <w:iCs/>
            <w:spacing w:val="4"/>
            <w:lang w:bidi="pl-PL"/>
          </w:rPr>
          <w:t xml:space="preserve">art. 22 </w:t>
        </w:r>
        <w:r w:rsidRPr="00F50744">
          <w:rPr>
            <w:rFonts w:ascii="Lato" w:hAnsi="Lato" w:cs="Arial"/>
            <w:bCs/>
            <w:iCs/>
            <w:spacing w:val="4"/>
            <w:lang w:bidi="pl-PL"/>
          </w:rPr>
          <w:lastRenderedPageBreak/>
          <w:t>ust. 4</w:t>
        </w:r>
      </w:hyperlink>
      <w:r w:rsidRPr="00F50744">
        <w:rPr>
          <w:rFonts w:ascii="Lato" w:hAnsi="Lato" w:cs="Arial"/>
          <w:bCs/>
          <w:iCs/>
          <w:spacing w:val="4"/>
          <w:lang w:bidi="pl-PL"/>
        </w:rPr>
        <w:t>, oraz zgodę tych podmiotów na takie ograniczenie (pkt 10a)</w:t>
      </w:r>
      <w:bookmarkStart w:id="14" w:name="_Hlk160185280"/>
      <w:r w:rsidR="00DD7186" w:rsidRPr="00F50744">
        <w:rPr>
          <w:rFonts w:ascii="Lato" w:hAnsi="Lato" w:cs="Arial"/>
          <w:bCs/>
          <w:iCs/>
          <w:spacing w:val="4"/>
          <w:lang w:bidi="pl-PL"/>
        </w:rPr>
        <w:t xml:space="preserve"> a także </w:t>
      </w:r>
      <w:r w:rsidR="00BF07D9" w:rsidRPr="00F50744">
        <w:rPr>
          <w:rFonts w:ascii="Lato" w:hAnsi="Lato" w:cs="Arial"/>
          <w:bCs/>
          <w:iCs/>
          <w:spacing w:val="4"/>
          <w:lang w:bidi="pl-PL"/>
        </w:rPr>
        <w:t xml:space="preserve">wskazanie okresu, w jakim decyzja o ustaleniu lokalizacji strategicznej inwestycji w zakresie </w:t>
      </w:r>
      <w:bookmarkStart w:id="15" w:name="highlightHit_73"/>
      <w:bookmarkEnd w:id="15"/>
      <w:r w:rsidR="00BF07D9" w:rsidRPr="00F50744">
        <w:rPr>
          <w:rFonts w:ascii="Lato" w:hAnsi="Lato" w:cs="Arial"/>
          <w:bCs/>
          <w:iCs/>
          <w:spacing w:val="4"/>
          <w:lang w:bidi="pl-PL"/>
        </w:rPr>
        <w:t xml:space="preserve">sieci </w:t>
      </w:r>
      <w:bookmarkStart w:id="16" w:name="highlightHit_74"/>
      <w:bookmarkEnd w:id="16"/>
      <w:r w:rsidR="00BF07D9" w:rsidRPr="00F50744">
        <w:rPr>
          <w:rFonts w:ascii="Lato" w:hAnsi="Lato" w:cs="Arial"/>
          <w:bCs/>
          <w:iCs/>
          <w:spacing w:val="4"/>
          <w:lang w:bidi="pl-PL"/>
        </w:rPr>
        <w:t xml:space="preserve">przesyłowej ma wywoływać skutek, o którym mowa w </w:t>
      </w:r>
      <w:hyperlink r:id="rId14" w:history="1">
        <w:r w:rsidR="00BF07D9" w:rsidRPr="00F50744">
          <w:rPr>
            <w:rStyle w:val="Hipercze"/>
            <w:rFonts w:ascii="Lato" w:hAnsi="Lato" w:cs="Arial"/>
            <w:bCs/>
            <w:iCs/>
            <w:color w:val="auto"/>
            <w:spacing w:val="4"/>
            <w:u w:val="none"/>
            <w:lang w:bidi="pl-PL"/>
          </w:rPr>
          <w:t>art. 22 ust. 1</w:t>
        </w:r>
      </w:hyperlink>
      <w:r w:rsidR="00BF07D9" w:rsidRPr="00F50744">
        <w:rPr>
          <w:rFonts w:ascii="Lato" w:hAnsi="Lato" w:cs="Arial"/>
          <w:bCs/>
          <w:iCs/>
          <w:spacing w:val="4"/>
          <w:lang w:bidi="pl-PL"/>
        </w:rPr>
        <w:t xml:space="preserve">, w przypadku gdy ograniczenie sposobu korzystania z nieruchomości ma nastąpić na czas określony </w:t>
      </w:r>
      <w:r w:rsidR="007A4C51">
        <w:rPr>
          <w:rFonts w:ascii="Lato" w:hAnsi="Lato" w:cs="Arial"/>
          <w:bCs/>
          <w:iCs/>
          <w:spacing w:val="4"/>
          <w:lang w:bidi="pl-PL"/>
        </w:rPr>
        <w:br/>
      </w:r>
      <w:r w:rsidR="00BF07D9" w:rsidRPr="00F50744">
        <w:rPr>
          <w:rFonts w:ascii="Lato" w:hAnsi="Lato" w:cs="Arial"/>
          <w:bCs/>
          <w:iCs/>
          <w:spacing w:val="4"/>
          <w:lang w:bidi="pl-PL"/>
        </w:rPr>
        <w:t>(pkt 10b).</w:t>
      </w:r>
      <w:r w:rsidR="00876395" w:rsidRPr="00F50744">
        <w:rPr>
          <w:rFonts w:ascii="Lato" w:hAnsi="Lato" w:cs="Arial"/>
          <w:spacing w:val="4"/>
        </w:rPr>
        <w:t xml:space="preserve"> </w:t>
      </w:r>
    </w:p>
    <w:bookmarkEnd w:id="14"/>
    <w:p w14:paraId="3DF8EE61" w14:textId="7F5A56E4" w:rsidR="00F96E3C" w:rsidRPr="00F50744" w:rsidRDefault="00F96E3C" w:rsidP="00F96E3C">
      <w:pPr>
        <w:autoSpaceDE w:val="0"/>
        <w:autoSpaceDN w:val="0"/>
        <w:adjustRightInd w:val="0"/>
        <w:spacing w:after="240" w:line="240" w:lineRule="exact"/>
        <w:jc w:val="both"/>
        <w:rPr>
          <w:rFonts w:ascii="Lato" w:hAnsi="Lato" w:cs="Arial"/>
          <w:bCs/>
          <w:iCs/>
          <w:spacing w:val="4"/>
          <w:lang w:bidi="pl-PL"/>
        </w:rPr>
      </w:pPr>
      <w:r w:rsidRPr="00F50744">
        <w:rPr>
          <w:rFonts w:ascii="Lato" w:hAnsi="Lato" w:cs="Arial"/>
          <w:bCs/>
          <w:iCs/>
          <w:spacing w:val="4"/>
          <w:lang w:bidi="pl-PL"/>
        </w:rPr>
        <w:t xml:space="preserve">Mając na uwadze wymienione w art. 27a ust. 2 </w:t>
      </w:r>
      <w:r w:rsidRPr="00F50744">
        <w:rPr>
          <w:rFonts w:ascii="Lato" w:hAnsi="Lato" w:cs="Arial"/>
          <w:bCs/>
          <w:i/>
          <w:iCs/>
          <w:spacing w:val="4"/>
          <w:lang w:bidi="pl-PL"/>
        </w:rPr>
        <w:t>specustawy przesyłowej</w:t>
      </w:r>
      <w:r w:rsidRPr="00F50744">
        <w:rPr>
          <w:rFonts w:ascii="Lato" w:hAnsi="Lato" w:cs="Arial"/>
          <w:bCs/>
          <w:iCs/>
          <w:spacing w:val="4"/>
          <w:lang w:bidi="pl-PL"/>
        </w:rPr>
        <w:t xml:space="preserve"> elementy, jakie powinien zawierać wniosek o zmianę decyzji o ustaleniu lokalizacji inwestycji, uznać należy, iż ustawodawca dopuścił możliwość dokonania zmiany decyzji </w:t>
      </w:r>
      <w:bookmarkStart w:id="17" w:name="_Hlk160188517"/>
      <w:r w:rsidRPr="00F50744">
        <w:rPr>
          <w:rFonts w:ascii="Lato" w:hAnsi="Lato" w:cs="Arial"/>
          <w:bCs/>
          <w:iCs/>
          <w:spacing w:val="4"/>
          <w:lang w:bidi="pl-PL"/>
        </w:rPr>
        <w:t xml:space="preserve">o ustaleniu lokalizacji inwestycji </w:t>
      </w:r>
      <w:bookmarkEnd w:id="17"/>
      <w:r w:rsidRPr="00F50744">
        <w:rPr>
          <w:rFonts w:ascii="Lato" w:hAnsi="Lato" w:cs="Arial"/>
          <w:bCs/>
          <w:iCs/>
          <w:spacing w:val="4"/>
          <w:lang w:bidi="pl-PL"/>
        </w:rPr>
        <w:t xml:space="preserve">poprzez wskazanie podmiotów innych niż </w:t>
      </w:r>
      <w:r w:rsidRPr="00F50744">
        <w:rPr>
          <w:rFonts w:ascii="Lato" w:hAnsi="Lato" w:cs="Arial"/>
          <w:bCs/>
          <w:i/>
          <w:spacing w:val="4"/>
          <w:lang w:bidi="pl-PL"/>
        </w:rPr>
        <w:t>inwestor</w:t>
      </w:r>
      <w:r w:rsidRPr="00F50744">
        <w:rPr>
          <w:rFonts w:ascii="Lato" w:hAnsi="Lato" w:cs="Arial"/>
          <w:bCs/>
          <w:iCs/>
          <w:spacing w:val="4"/>
          <w:lang w:bidi="pl-PL"/>
        </w:rPr>
        <w:t xml:space="preserve">, na rzecz których ograniczenie sposobu korzystania z nieruchomości ma nastąpić zgodnie z art. 22 ust. 4 </w:t>
      </w:r>
      <w:r w:rsidRPr="00F50744">
        <w:rPr>
          <w:rFonts w:ascii="Lato" w:hAnsi="Lato" w:cs="Arial"/>
          <w:bCs/>
          <w:i/>
          <w:spacing w:val="4"/>
          <w:lang w:bidi="pl-PL"/>
        </w:rPr>
        <w:t>specustawy przesyłowej</w:t>
      </w:r>
      <w:r w:rsidR="00876395" w:rsidRPr="00F50744">
        <w:rPr>
          <w:rFonts w:ascii="Lato" w:hAnsi="Lato" w:cs="Arial"/>
          <w:bCs/>
          <w:iCs/>
          <w:spacing w:val="4"/>
          <w:lang w:bidi="pl-PL"/>
        </w:rPr>
        <w:t>.</w:t>
      </w:r>
    </w:p>
    <w:bookmarkEnd w:id="12"/>
    <w:p w14:paraId="25B7A36A" w14:textId="18E605FE" w:rsidR="00876395" w:rsidRPr="00F50744" w:rsidRDefault="00876395" w:rsidP="00876395">
      <w:pPr>
        <w:autoSpaceDE w:val="0"/>
        <w:autoSpaceDN w:val="0"/>
        <w:adjustRightInd w:val="0"/>
        <w:spacing w:after="240" w:line="240" w:lineRule="exact"/>
        <w:jc w:val="both"/>
        <w:rPr>
          <w:rFonts w:ascii="Lato" w:eastAsia="Calibri" w:hAnsi="Lato" w:cs="Arial"/>
          <w:bCs/>
          <w:iCs/>
          <w:spacing w:val="4"/>
        </w:rPr>
      </w:pPr>
      <w:r w:rsidRPr="00F50744">
        <w:rPr>
          <w:rFonts w:ascii="Lato" w:eastAsia="Calibri" w:hAnsi="Lato" w:cs="Arial"/>
          <w:bCs/>
          <w:iCs/>
          <w:spacing w:val="4"/>
        </w:rPr>
        <w:t xml:space="preserve">Jak wynika natomiast z treści art. 22 ust. 1 </w:t>
      </w:r>
      <w:r w:rsidRPr="00F50744">
        <w:rPr>
          <w:rFonts w:ascii="Lato" w:eastAsia="Calibri" w:hAnsi="Lato" w:cs="Arial"/>
          <w:bCs/>
          <w:i/>
          <w:iCs/>
          <w:spacing w:val="4"/>
        </w:rPr>
        <w:t xml:space="preserve">specustawy przesyłowej, </w:t>
      </w:r>
      <w:r w:rsidRPr="00F50744">
        <w:rPr>
          <w:rFonts w:ascii="Lato" w:eastAsia="Calibri" w:hAnsi="Lato" w:cs="Arial"/>
          <w:bCs/>
          <w:iCs/>
          <w:spacing w:val="4"/>
        </w:rPr>
        <w:t xml:space="preserve">w odniesieniu </w:t>
      </w:r>
      <w:r w:rsidR="00776E24" w:rsidRPr="00F50744">
        <w:rPr>
          <w:rFonts w:ascii="Lato" w:eastAsia="Calibri" w:hAnsi="Lato" w:cs="Arial"/>
          <w:bCs/>
          <w:iCs/>
          <w:spacing w:val="4"/>
        </w:rPr>
        <w:br/>
      </w:r>
      <w:r w:rsidRPr="00F50744">
        <w:rPr>
          <w:rFonts w:ascii="Lato" w:eastAsia="Calibri" w:hAnsi="Lato" w:cs="Arial"/>
          <w:bCs/>
          <w:iCs/>
          <w:spacing w:val="4"/>
        </w:rPr>
        <w:t xml:space="preserve">do nieruchomości objętych decyzją o ustaleniu lokalizacji inwestycji w zakresie sieci przesyłowych, oznaczonych zgodnie z art. 8 ust. 1 pkt </w:t>
      </w:r>
      <w:r w:rsidR="00776E24" w:rsidRPr="00F50744">
        <w:rPr>
          <w:rFonts w:ascii="Lato" w:eastAsia="Calibri" w:hAnsi="Lato" w:cs="Arial"/>
          <w:bCs/>
          <w:iCs/>
          <w:spacing w:val="4"/>
        </w:rPr>
        <w:t>8,</w:t>
      </w:r>
      <w:r w:rsidRPr="00F50744">
        <w:rPr>
          <w:rFonts w:ascii="Lato" w:eastAsia="Calibri" w:hAnsi="Lato" w:cs="Arial"/>
          <w:bCs/>
          <w:iCs/>
          <w:spacing w:val="4"/>
        </w:rPr>
        <w:t xml:space="preserve"> w celu zapewnienia prawa </w:t>
      </w:r>
      <w:r w:rsidR="00776E24" w:rsidRPr="00F50744">
        <w:rPr>
          <w:rFonts w:ascii="Lato" w:eastAsia="Calibri" w:hAnsi="Lato" w:cs="Arial"/>
          <w:bCs/>
          <w:iCs/>
          <w:spacing w:val="4"/>
        </w:rPr>
        <w:br/>
      </w:r>
      <w:r w:rsidRPr="00F50744">
        <w:rPr>
          <w:rFonts w:ascii="Lato" w:eastAsia="Calibri" w:hAnsi="Lato" w:cs="Arial"/>
          <w:bCs/>
          <w:iCs/>
          <w:spacing w:val="4"/>
        </w:rPr>
        <w:t xml:space="preserve">do wejścia na teren nieruchomości dla prowadzenia budowy inwestycji, a także prac związanych z rozbiórką, przebudową, zmianą sposobu użytkowania, utrzymaniem, eksploatacją, użytkowaniem, remontami oraz usuwaniem awarii, </w:t>
      </w:r>
      <w:r w:rsidR="00DD7186" w:rsidRPr="00F50744">
        <w:rPr>
          <w:rFonts w:ascii="Lato" w:eastAsia="Calibri" w:hAnsi="Lato" w:cs="Arial"/>
          <w:bCs/>
          <w:iCs/>
          <w:spacing w:val="4"/>
        </w:rPr>
        <w:t xml:space="preserve">organ </w:t>
      </w:r>
      <w:r w:rsidRPr="00F50744">
        <w:rPr>
          <w:rFonts w:ascii="Lato" w:eastAsia="Calibri" w:hAnsi="Lato" w:cs="Arial"/>
          <w:bCs/>
          <w:iCs/>
          <w:spacing w:val="4"/>
        </w:rPr>
        <w:t xml:space="preserve">w decyzji </w:t>
      </w:r>
      <w:r w:rsidR="00776E24" w:rsidRPr="00F50744">
        <w:rPr>
          <w:rFonts w:ascii="Lato" w:eastAsia="Calibri" w:hAnsi="Lato" w:cs="Arial"/>
          <w:bCs/>
          <w:iCs/>
          <w:spacing w:val="4"/>
        </w:rPr>
        <w:br/>
      </w:r>
      <w:r w:rsidRPr="00F50744">
        <w:rPr>
          <w:rFonts w:ascii="Lato" w:eastAsia="Calibri" w:hAnsi="Lato" w:cs="Arial"/>
          <w:bCs/>
          <w:iCs/>
          <w:spacing w:val="4"/>
        </w:rPr>
        <w:t xml:space="preserve">o ustaleniu lokalizacji inwestycji ograniczy, za odszkodowaniem, sposób korzystania </w:t>
      </w:r>
      <w:r w:rsidR="00776E24" w:rsidRPr="00F50744">
        <w:rPr>
          <w:rFonts w:ascii="Lato" w:eastAsia="Calibri" w:hAnsi="Lato" w:cs="Arial"/>
          <w:bCs/>
          <w:iCs/>
          <w:spacing w:val="4"/>
        </w:rPr>
        <w:br/>
      </w:r>
      <w:r w:rsidRPr="00F50744">
        <w:rPr>
          <w:rFonts w:ascii="Lato" w:eastAsia="Calibri" w:hAnsi="Lato" w:cs="Arial"/>
          <w:bCs/>
          <w:iCs/>
          <w:spacing w:val="4"/>
        </w:rPr>
        <w:t xml:space="preserve">z nieruchomości przez udzielenie zezwolenia w szczególności na zakładanie </w:t>
      </w:r>
      <w:r w:rsidR="00776E24" w:rsidRPr="00F50744">
        <w:rPr>
          <w:rFonts w:ascii="Lato" w:eastAsia="Calibri" w:hAnsi="Lato" w:cs="Arial"/>
          <w:bCs/>
          <w:iCs/>
          <w:spacing w:val="4"/>
        </w:rPr>
        <w:br/>
      </w:r>
      <w:r w:rsidRPr="00F50744">
        <w:rPr>
          <w:rFonts w:ascii="Lato" w:eastAsia="Calibri" w:hAnsi="Lato" w:cs="Arial"/>
          <w:bCs/>
          <w:iCs/>
          <w:spacing w:val="4"/>
        </w:rPr>
        <w:t>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w:t>
      </w:r>
    </w:p>
    <w:p w14:paraId="1104F346" w14:textId="55B27E64" w:rsidR="00876395" w:rsidRPr="00F50744" w:rsidRDefault="00876395" w:rsidP="00876395">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rPr>
        <w:t xml:space="preserve">Przepis art. 22 ust. 1 </w:t>
      </w:r>
      <w:r w:rsidRPr="00F50744">
        <w:rPr>
          <w:rFonts w:ascii="Lato" w:eastAsia="Calibri" w:hAnsi="Lato" w:cs="Arial"/>
          <w:bCs/>
          <w:i/>
          <w:iCs/>
          <w:spacing w:val="4"/>
        </w:rPr>
        <w:t>specustawy przesyłowej</w:t>
      </w:r>
      <w:r w:rsidRPr="00F50744">
        <w:rPr>
          <w:rFonts w:ascii="Lato" w:eastAsia="Calibri" w:hAnsi="Lato" w:cs="Arial"/>
          <w:bCs/>
          <w:iCs/>
          <w:spacing w:val="4"/>
        </w:rPr>
        <w:t xml:space="preserve">, podobnie jak m.in. art. 24 ustawy z dnia </w:t>
      </w:r>
      <w:r w:rsidRPr="00F50744">
        <w:rPr>
          <w:rFonts w:ascii="Lato" w:eastAsia="Calibri" w:hAnsi="Lato" w:cs="Arial"/>
          <w:bCs/>
          <w:iCs/>
          <w:spacing w:val="4"/>
        </w:rPr>
        <w:br/>
        <w:t xml:space="preserve">24 kwietnia 2009 r. o inwestycjach w zakresie terminalu regazyfikacyjnego skroplonego gazu ziemnego w Świnoujściu (t.j. Dz.U. z 2024 r. poz. 1286), oraz art. 30 ustawy z dnia 22 lutego 2019 r. o przygotowaniu i realizacji strategicznych inwestycji w sektorze naftowym (t.j. Dz.U. z 2024 r. poz. 1839), na zasadzie lex specialis przewiduje szczególny tryb ustanowienia i wykonywania służebności publicznej w stosunku do generalnego rozwiązania dotyczącego służebności publicznej zawartego w art. 124 </w:t>
      </w:r>
      <w:r w:rsidRPr="00F50744">
        <w:rPr>
          <w:rFonts w:ascii="Lato" w:eastAsia="Calibri" w:hAnsi="Lato" w:cs="Arial"/>
          <w:bCs/>
          <w:iCs/>
          <w:spacing w:val="4"/>
          <w:lang w:bidi="pl-PL"/>
        </w:rPr>
        <w:t xml:space="preserve">ustawy z dnia </w:t>
      </w:r>
      <w:r w:rsidR="00F03C9F" w:rsidRPr="00F50744">
        <w:rPr>
          <w:rFonts w:ascii="Lato" w:eastAsia="Calibri" w:hAnsi="Lato" w:cs="Arial"/>
          <w:bCs/>
          <w:iCs/>
          <w:spacing w:val="4"/>
          <w:lang w:bidi="pl-PL"/>
        </w:rPr>
        <w:br/>
      </w:r>
      <w:r w:rsidRPr="00F50744">
        <w:rPr>
          <w:rFonts w:ascii="Lato" w:eastAsia="Calibri" w:hAnsi="Lato" w:cs="Arial"/>
          <w:bCs/>
          <w:iCs/>
          <w:spacing w:val="4"/>
          <w:lang w:bidi="pl-PL"/>
        </w:rPr>
        <w:t>21 sierpnia 1997 r. o gospodarce nieruchomościami (t.j. Dz.U. z 2024 r. poz. 1145)</w:t>
      </w:r>
      <w:r w:rsidR="00F03C9F" w:rsidRPr="00F50744">
        <w:rPr>
          <w:rFonts w:ascii="Lato" w:eastAsia="Calibri" w:hAnsi="Lato" w:cs="Arial"/>
          <w:bCs/>
          <w:iCs/>
          <w:spacing w:val="4"/>
          <w:lang w:bidi="pl-PL"/>
        </w:rPr>
        <w:t xml:space="preserve">. </w:t>
      </w:r>
      <w:r w:rsidRPr="00F50744">
        <w:rPr>
          <w:rFonts w:ascii="Lato" w:eastAsia="Calibri" w:hAnsi="Lato" w:cs="Arial"/>
          <w:bCs/>
          <w:iCs/>
          <w:spacing w:val="4"/>
          <w:lang w:bidi="pl-PL"/>
        </w:rPr>
        <w:t xml:space="preserve">Zgodnie zaś z art. 22 ust. 4 </w:t>
      </w:r>
      <w:r w:rsidRPr="00F50744">
        <w:rPr>
          <w:rFonts w:ascii="Lato" w:eastAsia="Calibri" w:hAnsi="Lato" w:cs="Arial"/>
          <w:bCs/>
          <w:i/>
          <w:iCs/>
          <w:spacing w:val="4"/>
          <w:lang w:bidi="pl-PL"/>
        </w:rPr>
        <w:t>specustawy przesyłowej</w:t>
      </w:r>
      <w:r w:rsidRPr="00F50744">
        <w:rPr>
          <w:rFonts w:ascii="Lato" w:eastAsia="Calibri" w:hAnsi="Lato" w:cs="Arial"/>
          <w:bCs/>
          <w:iCs/>
          <w:spacing w:val="4"/>
          <w:lang w:bidi="pl-PL"/>
        </w:rPr>
        <w:t xml:space="preserve">, na wniosek inwestora ograniczenie sposobu korzystania z nieruchomości, o którym mowa w art. 22 ust. 1, może nastąpić </w:t>
      </w:r>
      <w:r w:rsidR="00F03C9F" w:rsidRPr="00F50744">
        <w:rPr>
          <w:rFonts w:ascii="Lato" w:eastAsia="Calibri" w:hAnsi="Lato" w:cs="Arial"/>
          <w:bCs/>
          <w:iCs/>
          <w:spacing w:val="4"/>
          <w:lang w:bidi="pl-PL"/>
        </w:rPr>
        <w:br/>
      </w:r>
      <w:r w:rsidRPr="00F50744">
        <w:rPr>
          <w:rFonts w:ascii="Lato" w:eastAsia="Calibri" w:hAnsi="Lato" w:cs="Arial"/>
          <w:bCs/>
          <w:iCs/>
          <w:spacing w:val="4"/>
          <w:lang w:bidi="pl-PL"/>
        </w:rPr>
        <w:t>na rzecz innego</w:t>
      </w:r>
      <w:r w:rsidR="00C14335">
        <w:rPr>
          <w:rFonts w:ascii="Lato" w:eastAsia="Calibri" w:hAnsi="Lato" w:cs="Arial"/>
          <w:bCs/>
          <w:iCs/>
          <w:spacing w:val="4"/>
          <w:lang w:bidi="pl-PL"/>
        </w:rPr>
        <w:t xml:space="preserve"> </w:t>
      </w:r>
      <w:r w:rsidRPr="00F50744">
        <w:rPr>
          <w:rFonts w:ascii="Lato" w:eastAsia="Calibri" w:hAnsi="Lato" w:cs="Arial"/>
          <w:bCs/>
          <w:iCs/>
          <w:spacing w:val="4"/>
          <w:lang w:bidi="pl-PL"/>
        </w:rPr>
        <w:t>niż inwestor podmiotu, w szczególności przedsiębiorstwa energetycznego, przedsiębiorstwa wodociągowo-kanalizacyjnego lub przedsiębiorcy</w:t>
      </w:r>
      <w:r w:rsidR="00F03C9F" w:rsidRPr="00F50744">
        <w:rPr>
          <w:rFonts w:ascii="Lato" w:eastAsia="Calibri" w:hAnsi="Lato" w:cs="Arial"/>
          <w:bCs/>
          <w:iCs/>
          <w:spacing w:val="4"/>
          <w:lang w:bidi="pl-PL"/>
        </w:rPr>
        <w:t xml:space="preserve"> </w:t>
      </w:r>
      <w:r w:rsidRPr="00F50744">
        <w:rPr>
          <w:rFonts w:ascii="Lato" w:eastAsia="Calibri" w:hAnsi="Lato" w:cs="Arial"/>
          <w:bCs/>
          <w:iCs/>
          <w:spacing w:val="4"/>
          <w:lang w:bidi="pl-PL"/>
        </w:rPr>
        <w:t>telekomunikacyjnego.</w:t>
      </w:r>
      <w:r w:rsidRPr="00F50744">
        <w:rPr>
          <w:rFonts w:ascii="Lato" w:eastAsia="Calibri" w:hAnsi="Lato" w:cs="Arial"/>
          <w:bCs/>
          <w:iCs/>
          <w:spacing w:val="4"/>
        </w:rPr>
        <w:t xml:space="preserve"> </w:t>
      </w:r>
    </w:p>
    <w:p w14:paraId="3880E8DD" w14:textId="07E6C65E" w:rsidR="00876395" w:rsidRPr="00F50744" w:rsidRDefault="00876395" w:rsidP="00BB40E3">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 xml:space="preserve">Z powyższego wynika, </w:t>
      </w:r>
      <w:r w:rsidR="00776E24" w:rsidRPr="00F50744">
        <w:rPr>
          <w:rFonts w:ascii="Lato" w:eastAsia="Calibri" w:hAnsi="Lato" w:cs="Arial"/>
          <w:bCs/>
          <w:iCs/>
          <w:spacing w:val="4"/>
          <w:lang w:bidi="pl-PL"/>
        </w:rPr>
        <w:t xml:space="preserve">iż </w:t>
      </w:r>
      <w:r w:rsidR="00212DC7" w:rsidRPr="00F50744">
        <w:rPr>
          <w:rFonts w:ascii="Lato" w:eastAsia="Calibri" w:hAnsi="Lato" w:cs="Arial"/>
          <w:bCs/>
          <w:iCs/>
          <w:spacing w:val="4"/>
          <w:lang w:bidi="pl-PL"/>
        </w:rPr>
        <w:t xml:space="preserve">to </w:t>
      </w:r>
      <w:r w:rsidRPr="00F50744">
        <w:rPr>
          <w:rFonts w:ascii="Lato" w:eastAsia="Calibri" w:hAnsi="Lato" w:cs="Arial"/>
          <w:bCs/>
          <w:i/>
          <w:iCs/>
          <w:spacing w:val="4"/>
          <w:lang w:bidi="pl-PL"/>
        </w:rPr>
        <w:t>inwestor</w:t>
      </w:r>
      <w:r w:rsidRPr="00F50744">
        <w:rPr>
          <w:rFonts w:ascii="Lato" w:eastAsia="Calibri" w:hAnsi="Lato" w:cs="Arial"/>
          <w:bCs/>
          <w:iCs/>
          <w:spacing w:val="4"/>
          <w:lang w:bidi="pl-PL"/>
        </w:rPr>
        <w:t xml:space="preserve"> wskazuje nieruchomości podlegające ograniczeniu w korzystaniu, w tym podlegające ograniczeniu na czas określony</w:t>
      </w:r>
      <w:r w:rsidR="00EA6529">
        <w:rPr>
          <w:rFonts w:ascii="Lato" w:eastAsia="Calibri" w:hAnsi="Lato" w:cs="Arial"/>
          <w:bCs/>
          <w:iCs/>
          <w:spacing w:val="4"/>
          <w:lang w:bidi="pl-PL"/>
        </w:rPr>
        <w:t>,</w:t>
      </w:r>
      <w:r w:rsidR="00E27B9A" w:rsidRPr="00F50744">
        <w:rPr>
          <w:rFonts w:ascii="Lato" w:eastAsia="Calibri" w:hAnsi="Lato" w:cs="Arial"/>
          <w:bCs/>
          <w:iCs/>
          <w:spacing w:val="4"/>
          <w:lang w:bidi="pl-PL"/>
        </w:rPr>
        <w:t xml:space="preserve"> a także </w:t>
      </w:r>
      <w:r w:rsidRPr="00F50744">
        <w:rPr>
          <w:rFonts w:ascii="Lato" w:eastAsia="Calibri" w:hAnsi="Lato" w:cs="Arial"/>
          <w:bCs/>
          <w:iCs/>
          <w:spacing w:val="4"/>
          <w:lang w:bidi="pl-PL"/>
        </w:rPr>
        <w:t xml:space="preserve">wskazuje podmioty (inne niż inwestor) na rzecz których konieczne jest ograniczenie sposobu korzystania z nieruchomości w decyzji o ustaleniu lokalizacji inwestycji, załączając jednocześnie zgodę tych podmiotów na takie ograniczenie. </w:t>
      </w:r>
    </w:p>
    <w:p w14:paraId="6FFC43F0" w14:textId="6FC4B527" w:rsidR="00F957F4" w:rsidRPr="00F50744" w:rsidRDefault="00212DC7" w:rsidP="00876395">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Biorąc pod uwagę</w:t>
      </w:r>
      <w:r w:rsidR="00F957F4" w:rsidRPr="00F50744">
        <w:rPr>
          <w:rFonts w:ascii="Lato" w:eastAsia="Calibri" w:hAnsi="Lato" w:cs="Arial"/>
          <w:bCs/>
          <w:iCs/>
          <w:spacing w:val="4"/>
          <w:lang w:bidi="pl-PL"/>
        </w:rPr>
        <w:t xml:space="preserve"> powyższe, </w:t>
      </w:r>
      <w:r w:rsidR="00F957F4" w:rsidRPr="00F50744">
        <w:rPr>
          <w:rFonts w:ascii="Lato" w:eastAsia="Calibri" w:hAnsi="Lato" w:cs="Arial"/>
          <w:bCs/>
          <w:i/>
          <w:spacing w:val="4"/>
          <w:lang w:bidi="pl-PL"/>
        </w:rPr>
        <w:t>Energa-Operator</w:t>
      </w:r>
      <w:r w:rsidR="00F957F4" w:rsidRPr="00F50744">
        <w:rPr>
          <w:rFonts w:ascii="Lato" w:eastAsia="Calibri" w:hAnsi="Lato" w:cs="Arial"/>
          <w:bCs/>
          <w:iCs/>
          <w:spacing w:val="4"/>
          <w:lang w:bidi="pl-PL"/>
        </w:rPr>
        <w:t xml:space="preserve"> została wskazana przez </w:t>
      </w:r>
      <w:r w:rsidR="00F957F4" w:rsidRPr="00F50744">
        <w:rPr>
          <w:rFonts w:ascii="Lato" w:eastAsia="Calibri" w:hAnsi="Lato" w:cs="Arial"/>
          <w:bCs/>
          <w:i/>
          <w:spacing w:val="4"/>
          <w:lang w:bidi="pl-PL"/>
        </w:rPr>
        <w:t>inwestora</w:t>
      </w:r>
      <w:r w:rsidR="00F957F4" w:rsidRPr="00F50744">
        <w:rPr>
          <w:rFonts w:ascii="Lato" w:eastAsia="Calibri" w:hAnsi="Lato" w:cs="Arial"/>
          <w:bCs/>
          <w:iCs/>
          <w:spacing w:val="4"/>
          <w:lang w:bidi="pl-PL"/>
        </w:rPr>
        <w:t xml:space="preserve"> </w:t>
      </w:r>
      <w:r w:rsidR="007A4C51">
        <w:rPr>
          <w:rFonts w:ascii="Lato" w:eastAsia="Calibri" w:hAnsi="Lato" w:cs="Arial"/>
          <w:bCs/>
          <w:iCs/>
          <w:spacing w:val="4"/>
          <w:lang w:bidi="pl-PL"/>
        </w:rPr>
        <w:br/>
      </w:r>
      <w:r w:rsidR="00F957F4" w:rsidRPr="00F50744">
        <w:rPr>
          <w:rFonts w:ascii="Lato" w:eastAsia="Calibri" w:hAnsi="Lato" w:cs="Arial"/>
          <w:bCs/>
          <w:iCs/>
          <w:spacing w:val="4"/>
          <w:lang w:bidi="pl-PL"/>
        </w:rPr>
        <w:t xml:space="preserve">we wniosku jako podmiot, o którym mowa w art. 22 ust. </w:t>
      </w:r>
      <w:r w:rsidR="00F957F4" w:rsidRPr="00F50744">
        <w:rPr>
          <w:rFonts w:ascii="Lato" w:eastAsia="Calibri" w:hAnsi="Lato" w:cs="Arial"/>
          <w:bCs/>
          <w:i/>
          <w:spacing w:val="4"/>
          <w:lang w:bidi="pl-PL"/>
        </w:rPr>
        <w:t>4 specustawy przesyłowej</w:t>
      </w:r>
      <w:r w:rsidR="00F957F4" w:rsidRPr="00F50744">
        <w:rPr>
          <w:rFonts w:ascii="Lato" w:eastAsia="Calibri" w:hAnsi="Lato" w:cs="Arial"/>
          <w:bCs/>
          <w:iCs/>
          <w:spacing w:val="4"/>
          <w:lang w:bidi="pl-PL"/>
        </w:rPr>
        <w:t xml:space="preserve">, </w:t>
      </w:r>
      <w:r w:rsidR="007A4C51">
        <w:rPr>
          <w:rFonts w:ascii="Lato" w:eastAsia="Calibri" w:hAnsi="Lato" w:cs="Arial"/>
          <w:bCs/>
          <w:iCs/>
          <w:spacing w:val="4"/>
          <w:lang w:bidi="pl-PL"/>
        </w:rPr>
        <w:br/>
      </w:r>
      <w:r w:rsidR="00F957F4" w:rsidRPr="00F50744">
        <w:rPr>
          <w:rFonts w:ascii="Lato" w:eastAsia="Calibri" w:hAnsi="Lato" w:cs="Arial"/>
          <w:bCs/>
          <w:iCs/>
          <w:spacing w:val="4"/>
          <w:lang w:bidi="pl-PL"/>
        </w:rPr>
        <w:t xml:space="preserve">i wyraziła stosowną zgodę w tym zakresie, wobec czego spełnione zostały przesłanki </w:t>
      </w:r>
      <w:r w:rsidR="007A4C51">
        <w:rPr>
          <w:rFonts w:ascii="Lato" w:eastAsia="Calibri" w:hAnsi="Lato" w:cs="Arial"/>
          <w:bCs/>
          <w:iCs/>
          <w:spacing w:val="4"/>
          <w:lang w:bidi="pl-PL"/>
        </w:rPr>
        <w:br/>
      </w:r>
      <w:r w:rsidR="00F957F4" w:rsidRPr="00F50744">
        <w:rPr>
          <w:rFonts w:ascii="Lato" w:eastAsia="Calibri" w:hAnsi="Lato" w:cs="Arial"/>
          <w:bCs/>
          <w:iCs/>
          <w:spacing w:val="4"/>
          <w:lang w:bidi="pl-PL"/>
        </w:rPr>
        <w:t>do ustanowienia na jej rzecz ograniczenia, o którym mowa w art. 22 ust. 1 tej ustawy.</w:t>
      </w:r>
    </w:p>
    <w:p w14:paraId="78BE577D" w14:textId="2B7A7417" w:rsidR="00876395" w:rsidRPr="00F50744" w:rsidRDefault="00876395" w:rsidP="00876395">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 xml:space="preserve">Z art. 22 ust. 4 </w:t>
      </w:r>
      <w:r w:rsidRPr="00F50744">
        <w:rPr>
          <w:rFonts w:ascii="Lato" w:eastAsia="Calibri" w:hAnsi="Lato" w:cs="Arial"/>
          <w:bCs/>
          <w:i/>
          <w:iCs/>
          <w:spacing w:val="4"/>
          <w:lang w:bidi="pl-PL"/>
        </w:rPr>
        <w:t>specustawy przesyłowej</w:t>
      </w:r>
      <w:r w:rsidRPr="00F50744">
        <w:rPr>
          <w:rFonts w:ascii="Lato" w:eastAsia="Calibri" w:hAnsi="Lato" w:cs="Arial"/>
          <w:bCs/>
          <w:iCs/>
          <w:spacing w:val="4"/>
          <w:lang w:bidi="pl-PL"/>
        </w:rPr>
        <w:t xml:space="preserve"> wynika, że zakres możliwego ograniczenia ustanawianego na rzecz innego podmiotu jest tożsamy z zakresem ograniczenia, które </w:t>
      </w:r>
      <w:r w:rsidRPr="00F50744">
        <w:rPr>
          <w:rFonts w:ascii="Lato" w:eastAsia="Calibri" w:hAnsi="Lato" w:cs="Arial"/>
          <w:bCs/>
          <w:iCs/>
          <w:spacing w:val="4"/>
          <w:lang w:bidi="pl-PL"/>
        </w:rPr>
        <w:lastRenderedPageBreak/>
        <w:t xml:space="preserve">można ustanowić na rzecz inwestora. Ustawodawca bowiem nie wprowadza w tym zakresie jakiegokolwiek </w:t>
      </w:r>
      <w:r w:rsidR="00F957F4" w:rsidRPr="00F50744">
        <w:rPr>
          <w:rFonts w:ascii="Lato" w:eastAsia="Calibri" w:hAnsi="Lato" w:cs="Arial"/>
          <w:bCs/>
          <w:iCs/>
          <w:spacing w:val="4"/>
          <w:lang w:bidi="pl-PL"/>
        </w:rPr>
        <w:t>rozróżnienia</w:t>
      </w:r>
      <w:r w:rsidRPr="00F50744">
        <w:rPr>
          <w:rFonts w:ascii="Lato" w:eastAsia="Calibri" w:hAnsi="Lato" w:cs="Arial"/>
          <w:bCs/>
          <w:iCs/>
          <w:spacing w:val="4"/>
          <w:lang w:bidi="pl-PL"/>
        </w:rPr>
        <w:t xml:space="preserve"> czy wyłączenia określonych uprawnień wynikających z</w:t>
      </w:r>
      <w:r w:rsidRPr="00F50744">
        <w:rPr>
          <w:rFonts w:ascii="Lato" w:eastAsia="Calibri" w:hAnsi="Lato" w:cs="Arial"/>
          <w:bCs/>
          <w:iCs/>
          <w:spacing w:val="4"/>
        </w:rPr>
        <w:t xml:space="preserve"> </w:t>
      </w:r>
      <w:r w:rsidRPr="00F50744">
        <w:rPr>
          <w:rFonts w:ascii="Lato" w:eastAsia="Calibri" w:hAnsi="Lato" w:cs="Arial"/>
          <w:bCs/>
          <w:iCs/>
          <w:spacing w:val="4"/>
          <w:lang w:bidi="pl-PL"/>
        </w:rPr>
        <w:t xml:space="preserve">ustanowienia i wykonywania służebności publicznej, określonej w art. 22 ust. 1 </w:t>
      </w:r>
      <w:r w:rsidRPr="00F50744">
        <w:rPr>
          <w:rFonts w:ascii="Lato" w:eastAsia="Calibri" w:hAnsi="Lato" w:cs="Arial"/>
          <w:bCs/>
          <w:i/>
          <w:iCs/>
          <w:spacing w:val="4"/>
          <w:lang w:bidi="pl-PL"/>
        </w:rPr>
        <w:t>specustawy przesyłowej</w:t>
      </w:r>
      <w:r w:rsidRPr="00F50744">
        <w:rPr>
          <w:rFonts w:ascii="Lato" w:eastAsia="Calibri" w:hAnsi="Lato" w:cs="Arial"/>
          <w:bCs/>
          <w:iCs/>
          <w:spacing w:val="4"/>
          <w:lang w:bidi="pl-PL"/>
        </w:rPr>
        <w:t xml:space="preserve">, przez inny podmiot niż inwestor. Zakres tych ograniczeń obejmuje zatem nie tylko budowę, ale również prace związane z rozbiórką, przebudową, zmianą sposobu użytkowania, utrzymaniem, eksploatacją, użytkowaniem, remontami oraz usuwaniem awarii infrastruktury. </w:t>
      </w:r>
    </w:p>
    <w:p w14:paraId="10392D8D" w14:textId="121854A9" w:rsidR="00F957F4" w:rsidRPr="00F50744" w:rsidRDefault="00B705CC" w:rsidP="00876395">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 xml:space="preserve">W niniejszym postępowaniu, wniosek o zmianę </w:t>
      </w:r>
      <w:r w:rsidRPr="00F50744">
        <w:rPr>
          <w:rFonts w:ascii="Lato" w:eastAsia="Calibri" w:hAnsi="Lato" w:cs="Arial"/>
          <w:bCs/>
          <w:i/>
          <w:spacing w:val="4"/>
          <w:lang w:bidi="pl-PL"/>
        </w:rPr>
        <w:t>decyzji Ministra</w:t>
      </w:r>
      <w:r w:rsidRPr="00F50744">
        <w:rPr>
          <w:rFonts w:ascii="Lato" w:eastAsia="Calibri" w:hAnsi="Lato" w:cs="Arial"/>
          <w:bCs/>
          <w:iCs/>
          <w:spacing w:val="4"/>
          <w:lang w:bidi="pl-PL"/>
        </w:rPr>
        <w:t xml:space="preserve"> miał na celu pozyskanie na czas nieokreślony tytułu prawnego w postaci ograniczenia sposobu korzystania </w:t>
      </w:r>
      <w:r w:rsidR="009910A6" w:rsidRPr="00F50744">
        <w:rPr>
          <w:rFonts w:ascii="Lato" w:eastAsia="Calibri" w:hAnsi="Lato" w:cs="Arial"/>
          <w:bCs/>
          <w:iCs/>
          <w:spacing w:val="4"/>
          <w:lang w:bidi="pl-PL"/>
        </w:rPr>
        <w:br/>
      </w:r>
      <w:r w:rsidRPr="00F50744">
        <w:rPr>
          <w:rFonts w:ascii="Lato" w:eastAsia="Calibri" w:hAnsi="Lato" w:cs="Arial"/>
          <w:bCs/>
          <w:iCs/>
          <w:spacing w:val="4"/>
          <w:lang w:bidi="pl-PL"/>
        </w:rPr>
        <w:t xml:space="preserve">z nieruchomości w trybie art. 22 art. 1 </w:t>
      </w:r>
      <w:r w:rsidRPr="00F50744">
        <w:rPr>
          <w:rFonts w:ascii="Lato" w:eastAsia="Calibri" w:hAnsi="Lato" w:cs="Arial"/>
          <w:bCs/>
          <w:i/>
          <w:spacing w:val="4"/>
          <w:lang w:bidi="pl-PL"/>
        </w:rPr>
        <w:t>specustawy przesyłowej</w:t>
      </w:r>
      <w:r w:rsidRPr="00F50744">
        <w:rPr>
          <w:rFonts w:ascii="Lato" w:eastAsia="Calibri" w:hAnsi="Lato" w:cs="Arial"/>
          <w:bCs/>
          <w:iCs/>
          <w:spacing w:val="4"/>
          <w:lang w:bidi="pl-PL"/>
        </w:rPr>
        <w:t xml:space="preserve"> na rzecz </w:t>
      </w:r>
      <w:r w:rsidRPr="00F50744">
        <w:rPr>
          <w:rFonts w:ascii="Lato" w:eastAsia="Calibri" w:hAnsi="Lato" w:cs="Arial"/>
          <w:bCs/>
          <w:i/>
          <w:spacing w:val="4"/>
          <w:lang w:bidi="pl-PL"/>
        </w:rPr>
        <w:t>E</w:t>
      </w:r>
      <w:r w:rsidR="009910A6" w:rsidRPr="00F50744">
        <w:rPr>
          <w:rFonts w:ascii="Lato" w:eastAsia="Calibri" w:hAnsi="Lato" w:cs="Arial"/>
          <w:bCs/>
          <w:i/>
          <w:spacing w:val="4"/>
          <w:lang w:bidi="pl-PL"/>
        </w:rPr>
        <w:t>nerga</w:t>
      </w:r>
      <w:r w:rsidRPr="00F50744">
        <w:rPr>
          <w:rFonts w:ascii="Lato" w:eastAsia="Calibri" w:hAnsi="Lato" w:cs="Arial"/>
          <w:bCs/>
          <w:i/>
          <w:spacing w:val="4"/>
          <w:lang w:bidi="pl-PL"/>
        </w:rPr>
        <w:t>-</w:t>
      </w:r>
      <w:r w:rsidR="009910A6" w:rsidRPr="00F50744">
        <w:rPr>
          <w:rFonts w:ascii="Lato" w:eastAsia="Calibri" w:hAnsi="Lato" w:cs="Arial"/>
          <w:bCs/>
          <w:i/>
          <w:spacing w:val="4"/>
          <w:lang w:bidi="pl-PL"/>
        </w:rPr>
        <w:t>Operator</w:t>
      </w:r>
      <w:r w:rsidR="00E27B9A" w:rsidRPr="00F50744">
        <w:rPr>
          <w:rFonts w:ascii="Lato" w:eastAsia="Calibri" w:hAnsi="Lato" w:cs="Arial"/>
          <w:bCs/>
          <w:i/>
          <w:spacing w:val="4"/>
          <w:lang w:bidi="pl-PL"/>
        </w:rPr>
        <w:t>.</w:t>
      </w:r>
    </w:p>
    <w:p w14:paraId="6DD30E0E" w14:textId="40AD17AF" w:rsidR="00F957F4" w:rsidRPr="00F50744" w:rsidRDefault="00F54706" w:rsidP="00876395">
      <w:pPr>
        <w:autoSpaceDE w:val="0"/>
        <w:autoSpaceDN w:val="0"/>
        <w:adjustRightInd w:val="0"/>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 xml:space="preserve">Zmiana </w:t>
      </w:r>
      <w:r w:rsidRPr="00F50744">
        <w:rPr>
          <w:rFonts w:ascii="Lato" w:eastAsia="Calibri" w:hAnsi="Lato" w:cs="Arial"/>
          <w:bCs/>
          <w:i/>
          <w:spacing w:val="4"/>
          <w:lang w:bidi="pl-PL"/>
        </w:rPr>
        <w:t>decyzji Ministra</w:t>
      </w:r>
      <w:r w:rsidRPr="00F50744">
        <w:rPr>
          <w:rFonts w:ascii="Lato" w:eastAsia="Calibri" w:hAnsi="Lato" w:cs="Arial"/>
          <w:bCs/>
          <w:iCs/>
          <w:spacing w:val="4"/>
          <w:lang w:bidi="pl-PL"/>
        </w:rPr>
        <w:t xml:space="preserve"> obejmuj</w:t>
      </w:r>
      <w:r w:rsidR="00634B0C" w:rsidRPr="00F50744">
        <w:rPr>
          <w:rFonts w:ascii="Lato" w:eastAsia="Calibri" w:hAnsi="Lato" w:cs="Arial"/>
          <w:bCs/>
          <w:iCs/>
          <w:spacing w:val="4"/>
          <w:lang w:bidi="pl-PL"/>
        </w:rPr>
        <w:t>e</w:t>
      </w:r>
      <w:r w:rsidRPr="00F50744">
        <w:rPr>
          <w:rFonts w:ascii="Lato" w:eastAsia="Calibri" w:hAnsi="Lato" w:cs="Arial"/>
          <w:bCs/>
          <w:iCs/>
          <w:spacing w:val="4"/>
          <w:lang w:bidi="pl-PL"/>
        </w:rPr>
        <w:t xml:space="preserve"> działki ewidencyjne </w:t>
      </w:r>
      <w:r w:rsidR="009910A6" w:rsidRPr="00F50744">
        <w:rPr>
          <w:rFonts w:ascii="Lato" w:eastAsia="Calibri" w:hAnsi="Lato" w:cs="Arial"/>
          <w:bCs/>
          <w:iCs/>
          <w:spacing w:val="4"/>
          <w:lang w:bidi="pl-PL"/>
        </w:rPr>
        <w:t xml:space="preserve">z </w:t>
      </w:r>
      <w:r w:rsidRPr="00F50744">
        <w:rPr>
          <w:rFonts w:ascii="Lato" w:eastAsia="Calibri" w:hAnsi="Lato" w:cs="Arial"/>
          <w:bCs/>
          <w:iCs/>
          <w:spacing w:val="4"/>
          <w:lang w:bidi="pl-PL"/>
        </w:rPr>
        <w:t>obręb</w:t>
      </w:r>
      <w:r w:rsidR="009910A6" w:rsidRPr="00F50744">
        <w:rPr>
          <w:rFonts w:ascii="Lato" w:eastAsia="Calibri" w:hAnsi="Lato" w:cs="Arial"/>
          <w:bCs/>
          <w:iCs/>
          <w:spacing w:val="4"/>
          <w:lang w:bidi="pl-PL"/>
        </w:rPr>
        <w:t>u</w:t>
      </w:r>
      <w:r w:rsidRPr="00F50744">
        <w:rPr>
          <w:rFonts w:ascii="Lato" w:eastAsia="Calibri" w:hAnsi="Lato" w:cs="Arial"/>
          <w:bCs/>
          <w:iCs/>
          <w:spacing w:val="4"/>
          <w:lang w:bidi="pl-PL"/>
        </w:rPr>
        <w:t xml:space="preserve"> 0012 Lublewo</w:t>
      </w:r>
      <w:r w:rsidR="009910A6" w:rsidRPr="00F50744">
        <w:rPr>
          <w:rFonts w:ascii="Lato" w:eastAsia="Calibri" w:hAnsi="Lato" w:cs="Arial"/>
          <w:bCs/>
          <w:iCs/>
          <w:spacing w:val="4"/>
          <w:lang w:bidi="pl-PL"/>
        </w:rPr>
        <w:t xml:space="preserve"> nr</w:t>
      </w:r>
      <w:r w:rsidRPr="00F50744">
        <w:rPr>
          <w:rFonts w:ascii="Lato" w:eastAsia="Calibri" w:hAnsi="Lato" w:cs="Arial"/>
          <w:bCs/>
          <w:iCs/>
          <w:spacing w:val="4"/>
          <w:lang w:bidi="pl-PL"/>
        </w:rPr>
        <w:t xml:space="preserve">: 105/1, 105/2, 105/4, 105/6, </w:t>
      </w:r>
      <w:r w:rsidR="009910A6" w:rsidRPr="00F50744">
        <w:rPr>
          <w:rFonts w:ascii="Lato" w:eastAsia="Calibri" w:hAnsi="Lato" w:cs="Arial"/>
          <w:bCs/>
          <w:iCs/>
          <w:spacing w:val="4"/>
          <w:lang w:bidi="pl-PL"/>
        </w:rPr>
        <w:t xml:space="preserve">i z </w:t>
      </w:r>
      <w:r w:rsidRPr="00F50744">
        <w:rPr>
          <w:rFonts w:ascii="Lato" w:eastAsia="Calibri" w:hAnsi="Lato" w:cs="Arial"/>
          <w:bCs/>
          <w:iCs/>
          <w:spacing w:val="4"/>
          <w:lang w:bidi="pl-PL"/>
        </w:rPr>
        <w:t>obręb</w:t>
      </w:r>
      <w:r w:rsidR="009910A6" w:rsidRPr="00F50744">
        <w:rPr>
          <w:rFonts w:ascii="Lato" w:eastAsia="Calibri" w:hAnsi="Lato" w:cs="Arial"/>
          <w:bCs/>
          <w:iCs/>
          <w:spacing w:val="4"/>
          <w:lang w:bidi="pl-PL"/>
        </w:rPr>
        <w:t>u</w:t>
      </w:r>
      <w:r w:rsidRPr="00F50744">
        <w:rPr>
          <w:rFonts w:ascii="Lato" w:eastAsia="Calibri" w:hAnsi="Lato" w:cs="Arial"/>
          <w:bCs/>
          <w:iCs/>
          <w:spacing w:val="4"/>
          <w:lang w:bidi="pl-PL"/>
        </w:rPr>
        <w:t xml:space="preserve"> 0016 Kierzkowo</w:t>
      </w:r>
      <w:r w:rsidR="009910A6" w:rsidRPr="00F50744">
        <w:rPr>
          <w:rFonts w:ascii="Lato" w:eastAsia="Calibri" w:hAnsi="Lato" w:cs="Arial"/>
          <w:bCs/>
          <w:iCs/>
          <w:spacing w:val="4"/>
          <w:lang w:bidi="pl-PL"/>
        </w:rPr>
        <w:t xml:space="preserve"> nr</w:t>
      </w:r>
      <w:r w:rsidRPr="00F50744">
        <w:rPr>
          <w:rFonts w:ascii="Lato" w:eastAsia="Calibri" w:hAnsi="Lato" w:cs="Arial"/>
          <w:bCs/>
          <w:iCs/>
          <w:spacing w:val="4"/>
          <w:lang w:bidi="pl-PL"/>
        </w:rPr>
        <w:t xml:space="preserve">: 24, 25/4, 25/6, 33/73, </w:t>
      </w:r>
      <w:r w:rsidR="009910A6" w:rsidRPr="00F50744">
        <w:rPr>
          <w:rFonts w:ascii="Lato" w:eastAsia="Calibri" w:hAnsi="Lato" w:cs="Arial"/>
          <w:bCs/>
          <w:iCs/>
          <w:spacing w:val="4"/>
          <w:lang w:bidi="pl-PL"/>
        </w:rPr>
        <w:br/>
      </w:r>
      <w:r w:rsidRPr="00F50744">
        <w:rPr>
          <w:rFonts w:ascii="Lato" w:eastAsia="Calibri" w:hAnsi="Lato" w:cs="Arial"/>
          <w:bCs/>
          <w:iCs/>
          <w:spacing w:val="4"/>
          <w:lang w:bidi="pl-PL"/>
        </w:rPr>
        <w:t xml:space="preserve">w zakresie skutków, o których mowa w art. 22 ust. 1 </w:t>
      </w:r>
      <w:r w:rsidRPr="00F50744">
        <w:rPr>
          <w:rFonts w:ascii="Lato" w:eastAsia="Calibri" w:hAnsi="Lato" w:cs="Arial"/>
          <w:bCs/>
          <w:i/>
          <w:spacing w:val="4"/>
          <w:lang w:bidi="pl-PL"/>
        </w:rPr>
        <w:t>specustawy przesyłowej</w:t>
      </w:r>
      <w:r w:rsidRPr="00F50744">
        <w:rPr>
          <w:rFonts w:ascii="Lato" w:eastAsia="Calibri" w:hAnsi="Lato" w:cs="Arial"/>
          <w:bCs/>
          <w:iCs/>
          <w:spacing w:val="4"/>
          <w:lang w:bidi="pl-PL"/>
        </w:rPr>
        <w:t xml:space="preserve"> i </w:t>
      </w:r>
      <w:r w:rsidR="00634B0C" w:rsidRPr="00F50744">
        <w:rPr>
          <w:rFonts w:ascii="Lato" w:eastAsia="Calibri" w:hAnsi="Lato" w:cs="Arial"/>
          <w:bCs/>
          <w:iCs/>
          <w:spacing w:val="4"/>
          <w:lang w:bidi="pl-PL"/>
        </w:rPr>
        <w:t xml:space="preserve">dotyczy </w:t>
      </w:r>
      <w:r w:rsidRPr="00F50744">
        <w:rPr>
          <w:rFonts w:ascii="Lato" w:eastAsia="Calibri" w:hAnsi="Lato" w:cs="Arial"/>
          <w:bCs/>
          <w:iCs/>
          <w:spacing w:val="4"/>
          <w:lang w:bidi="pl-PL"/>
        </w:rPr>
        <w:t>nowe</w:t>
      </w:r>
      <w:r w:rsidR="00634B0C" w:rsidRPr="00F50744">
        <w:rPr>
          <w:rFonts w:ascii="Lato" w:eastAsia="Calibri" w:hAnsi="Lato" w:cs="Arial"/>
          <w:bCs/>
          <w:iCs/>
          <w:spacing w:val="4"/>
          <w:lang w:bidi="pl-PL"/>
        </w:rPr>
        <w:t>go</w:t>
      </w:r>
      <w:r w:rsidRPr="00F50744">
        <w:rPr>
          <w:rFonts w:ascii="Lato" w:eastAsia="Calibri" w:hAnsi="Lato" w:cs="Arial"/>
          <w:bCs/>
          <w:iCs/>
          <w:spacing w:val="4"/>
          <w:lang w:bidi="pl-PL"/>
        </w:rPr>
        <w:t xml:space="preserve"> brzmieni</w:t>
      </w:r>
      <w:r w:rsidR="00634B0C" w:rsidRPr="00F50744">
        <w:rPr>
          <w:rFonts w:ascii="Lato" w:eastAsia="Calibri" w:hAnsi="Lato" w:cs="Arial"/>
          <w:bCs/>
          <w:iCs/>
          <w:spacing w:val="4"/>
          <w:lang w:bidi="pl-PL"/>
        </w:rPr>
        <w:t>a punktów</w:t>
      </w:r>
      <w:r w:rsidRPr="00F50744">
        <w:rPr>
          <w:rFonts w:ascii="Lato" w:eastAsia="Calibri" w:hAnsi="Lato" w:cs="Arial"/>
          <w:bCs/>
          <w:iCs/>
          <w:spacing w:val="4"/>
          <w:lang w:bidi="pl-PL"/>
        </w:rPr>
        <w:t xml:space="preserve"> </w:t>
      </w:r>
      <w:r w:rsidR="00634B0C" w:rsidRPr="00F50744">
        <w:rPr>
          <w:rFonts w:ascii="Lato" w:eastAsia="Calibri" w:hAnsi="Lato" w:cs="Arial"/>
          <w:bCs/>
          <w:iCs/>
          <w:spacing w:val="4"/>
          <w:lang w:bidi="pl-PL"/>
        </w:rPr>
        <w:t xml:space="preserve">I., IX., X. </w:t>
      </w:r>
      <w:r w:rsidR="00FF2460" w:rsidRPr="00F50744">
        <w:rPr>
          <w:rFonts w:ascii="Lato" w:eastAsia="Calibri" w:hAnsi="Lato" w:cs="Arial"/>
          <w:bCs/>
          <w:iCs/>
          <w:spacing w:val="4"/>
          <w:lang w:bidi="pl-PL"/>
        </w:rPr>
        <w:t xml:space="preserve">i XII. </w:t>
      </w:r>
      <w:r w:rsidR="00B65E9A" w:rsidRPr="00F50744">
        <w:rPr>
          <w:rFonts w:ascii="Lato" w:eastAsia="Calibri" w:hAnsi="Lato" w:cs="Arial"/>
          <w:bCs/>
          <w:i/>
          <w:spacing w:val="4"/>
          <w:lang w:bidi="pl-PL"/>
        </w:rPr>
        <w:t>d</w:t>
      </w:r>
      <w:r w:rsidR="00634B0C" w:rsidRPr="00F50744">
        <w:rPr>
          <w:rFonts w:ascii="Lato" w:eastAsia="Calibri" w:hAnsi="Lato" w:cs="Arial"/>
          <w:bCs/>
          <w:i/>
          <w:spacing w:val="4"/>
          <w:lang w:bidi="pl-PL"/>
        </w:rPr>
        <w:t>ecyzji</w:t>
      </w:r>
      <w:r w:rsidR="00B65E9A" w:rsidRPr="00F50744">
        <w:rPr>
          <w:rFonts w:ascii="Lato" w:eastAsia="Calibri" w:hAnsi="Lato" w:cs="Arial"/>
          <w:bCs/>
          <w:i/>
          <w:spacing w:val="4"/>
          <w:lang w:bidi="pl-PL"/>
        </w:rPr>
        <w:t xml:space="preserve"> Wojewody Pomorskiego</w:t>
      </w:r>
      <w:r w:rsidR="00B65E9A" w:rsidRPr="00F50744">
        <w:rPr>
          <w:rFonts w:ascii="Lato" w:eastAsia="Calibri" w:hAnsi="Lato" w:cs="Arial"/>
          <w:bCs/>
          <w:iCs/>
          <w:spacing w:val="4"/>
          <w:lang w:bidi="pl-PL"/>
        </w:rPr>
        <w:t>.</w:t>
      </w:r>
      <w:r w:rsidR="00634B0C" w:rsidRPr="00F50744">
        <w:rPr>
          <w:rFonts w:ascii="Lato" w:eastAsia="Calibri" w:hAnsi="Lato" w:cs="Arial"/>
          <w:bCs/>
          <w:iCs/>
          <w:spacing w:val="4"/>
          <w:lang w:bidi="pl-PL"/>
        </w:rPr>
        <w:t xml:space="preserve"> Ponadto zmiana wymaga </w:t>
      </w:r>
      <w:r w:rsidRPr="00F50744">
        <w:rPr>
          <w:rFonts w:ascii="Lato" w:eastAsia="Calibri" w:hAnsi="Lato" w:cs="Arial"/>
          <w:bCs/>
          <w:iCs/>
          <w:spacing w:val="4"/>
          <w:lang w:bidi="pl-PL"/>
        </w:rPr>
        <w:t>zastąpieni</w:t>
      </w:r>
      <w:r w:rsidR="00634B0C" w:rsidRPr="00F50744">
        <w:rPr>
          <w:rFonts w:ascii="Lato" w:eastAsia="Calibri" w:hAnsi="Lato" w:cs="Arial"/>
          <w:bCs/>
          <w:iCs/>
          <w:spacing w:val="4"/>
          <w:lang w:bidi="pl-PL"/>
        </w:rPr>
        <w:t>a</w:t>
      </w:r>
      <w:r w:rsidRPr="00F50744">
        <w:rPr>
          <w:rFonts w:ascii="Lato" w:eastAsia="Calibri" w:hAnsi="Lato" w:cs="Arial"/>
          <w:bCs/>
          <w:iCs/>
          <w:spacing w:val="4"/>
          <w:lang w:bidi="pl-PL"/>
        </w:rPr>
        <w:t xml:space="preserve"> załącznika graficznego nr 1 now</w:t>
      </w:r>
      <w:r w:rsidR="00634B0C" w:rsidRPr="00F50744">
        <w:rPr>
          <w:rFonts w:ascii="Lato" w:eastAsia="Calibri" w:hAnsi="Lato" w:cs="Arial"/>
          <w:bCs/>
          <w:iCs/>
          <w:spacing w:val="4"/>
          <w:lang w:bidi="pl-PL"/>
        </w:rPr>
        <w:t>ą</w:t>
      </w:r>
      <w:r w:rsidRPr="00F50744">
        <w:rPr>
          <w:rFonts w:ascii="Lato" w:eastAsia="Calibri" w:hAnsi="Lato" w:cs="Arial"/>
          <w:bCs/>
          <w:iCs/>
          <w:spacing w:val="4"/>
          <w:lang w:bidi="pl-PL"/>
        </w:rPr>
        <w:t xml:space="preserve"> kopią mapą w skali 1:1000, zgodn</w:t>
      </w:r>
      <w:r w:rsidR="00634B0C" w:rsidRPr="00F50744">
        <w:rPr>
          <w:rFonts w:ascii="Lato" w:eastAsia="Calibri" w:hAnsi="Lato" w:cs="Arial"/>
          <w:bCs/>
          <w:iCs/>
          <w:spacing w:val="4"/>
          <w:lang w:bidi="pl-PL"/>
        </w:rPr>
        <w:t>ie</w:t>
      </w:r>
      <w:r w:rsidRPr="00F50744">
        <w:rPr>
          <w:rFonts w:ascii="Lato" w:eastAsia="Calibri" w:hAnsi="Lato" w:cs="Arial"/>
          <w:bCs/>
          <w:iCs/>
          <w:spacing w:val="4"/>
          <w:lang w:bidi="pl-PL"/>
        </w:rPr>
        <w:t xml:space="preserve"> z proponowanymi </w:t>
      </w:r>
      <w:r w:rsidR="00634B0C" w:rsidRPr="00F50744">
        <w:rPr>
          <w:rFonts w:ascii="Lato" w:eastAsia="Calibri" w:hAnsi="Lato" w:cs="Arial"/>
          <w:bCs/>
          <w:iCs/>
          <w:spacing w:val="4"/>
          <w:lang w:bidi="pl-PL"/>
        </w:rPr>
        <w:t>korektami</w:t>
      </w:r>
      <w:r w:rsidRPr="00F50744">
        <w:rPr>
          <w:rFonts w:ascii="Lato" w:eastAsia="Calibri" w:hAnsi="Lato" w:cs="Arial"/>
          <w:bCs/>
          <w:iCs/>
          <w:spacing w:val="4"/>
          <w:lang w:bidi="pl-PL"/>
        </w:rPr>
        <w:t>.</w:t>
      </w:r>
    </w:p>
    <w:p w14:paraId="49FE7954" w14:textId="3044C762" w:rsidR="006A2D5B" w:rsidRPr="00F50744" w:rsidRDefault="006A2D5B" w:rsidP="00876395">
      <w:pPr>
        <w:spacing w:after="240" w:line="240" w:lineRule="exact"/>
        <w:jc w:val="both"/>
        <w:rPr>
          <w:rFonts w:ascii="Lato" w:eastAsia="Calibri" w:hAnsi="Lato" w:cs="Arial"/>
          <w:i/>
          <w:spacing w:val="4"/>
        </w:rPr>
      </w:pPr>
      <w:r w:rsidRPr="00F50744">
        <w:rPr>
          <w:rFonts w:ascii="Lato" w:eastAsia="Calibri" w:hAnsi="Lato" w:cs="Arial"/>
          <w:iCs/>
          <w:spacing w:val="4"/>
          <w:lang w:bidi="pl-PL"/>
        </w:rPr>
        <w:t xml:space="preserve">W punkcie I </w:t>
      </w:r>
      <w:r w:rsidRPr="00F50744">
        <w:rPr>
          <w:rFonts w:ascii="Lato" w:eastAsia="Calibri" w:hAnsi="Lato" w:cs="Arial"/>
          <w:i/>
          <w:spacing w:val="4"/>
          <w:lang w:bidi="pl-PL"/>
        </w:rPr>
        <w:t>decyzji Wojewody Pomorskiego</w:t>
      </w:r>
      <w:r w:rsidRPr="00F50744">
        <w:rPr>
          <w:rFonts w:ascii="Lato" w:eastAsia="Calibri" w:hAnsi="Lato" w:cs="Arial"/>
          <w:iCs/>
          <w:spacing w:val="4"/>
          <w:lang w:bidi="pl-PL"/>
        </w:rPr>
        <w:t xml:space="preserve"> zaktualizowano graficzny</w:t>
      </w:r>
      <w:r w:rsidR="00FF2460" w:rsidRPr="00F50744">
        <w:rPr>
          <w:rFonts w:ascii="Lato" w:eastAsia="Calibri" w:hAnsi="Lato" w:cs="Arial"/>
          <w:iCs/>
          <w:spacing w:val="4"/>
          <w:lang w:bidi="pl-PL"/>
        </w:rPr>
        <w:t xml:space="preserve"> </w:t>
      </w:r>
      <w:r w:rsidRPr="00F50744">
        <w:rPr>
          <w:rFonts w:ascii="Lato" w:eastAsia="Calibri" w:hAnsi="Lato" w:cs="Arial"/>
          <w:iCs/>
          <w:spacing w:val="4"/>
          <w:lang w:bidi="pl-PL"/>
        </w:rPr>
        <w:t xml:space="preserve">opis terenu inwestycji. W punkcie IX </w:t>
      </w:r>
      <w:r w:rsidR="00BB40E3">
        <w:rPr>
          <w:rFonts w:ascii="Lato" w:eastAsia="Calibri" w:hAnsi="Lato" w:cs="Arial"/>
          <w:iCs/>
          <w:spacing w:val="4"/>
          <w:lang w:bidi="pl-PL"/>
        </w:rPr>
        <w:t xml:space="preserve">wyszczególniono </w:t>
      </w:r>
      <w:r w:rsidRPr="00F50744">
        <w:rPr>
          <w:rFonts w:ascii="Lato" w:eastAsia="Calibri" w:hAnsi="Lato" w:cs="Arial"/>
          <w:iCs/>
          <w:spacing w:val="4"/>
          <w:lang w:bidi="pl-PL"/>
        </w:rPr>
        <w:t xml:space="preserve">działki, </w:t>
      </w:r>
      <w:r w:rsidR="00BB40E3">
        <w:rPr>
          <w:rFonts w:ascii="Lato" w:eastAsia="Calibri" w:hAnsi="Lato" w:cs="Arial"/>
          <w:iCs/>
          <w:spacing w:val="4"/>
          <w:lang w:bidi="pl-PL"/>
        </w:rPr>
        <w:t xml:space="preserve">objęte </w:t>
      </w:r>
      <w:r w:rsidRPr="00F50744">
        <w:rPr>
          <w:rFonts w:ascii="Lato" w:eastAsia="Calibri" w:hAnsi="Lato" w:cs="Arial"/>
          <w:iCs/>
          <w:spacing w:val="4"/>
          <w:lang w:bidi="pl-PL"/>
        </w:rPr>
        <w:t>ograniczenie</w:t>
      </w:r>
      <w:r w:rsidR="00BB40E3">
        <w:rPr>
          <w:rFonts w:ascii="Lato" w:eastAsia="Calibri" w:hAnsi="Lato" w:cs="Arial"/>
          <w:iCs/>
          <w:spacing w:val="4"/>
          <w:lang w:bidi="pl-PL"/>
        </w:rPr>
        <w:t>m</w:t>
      </w:r>
      <w:r w:rsidRPr="00F50744">
        <w:rPr>
          <w:rFonts w:ascii="Lato" w:eastAsia="Calibri" w:hAnsi="Lato" w:cs="Arial"/>
          <w:iCs/>
          <w:spacing w:val="4"/>
          <w:lang w:bidi="pl-PL"/>
        </w:rPr>
        <w:t xml:space="preserve"> w korzystaniu </w:t>
      </w:r>
      <w:r w:rsidR="00C14335">
        <w:rPr>
          <w:rFonts w:ascii="Lato" w:eastAsia="Calibri" w:hAnsi="Lato" w:cs="Arial"/>
          <w:iCs/>
          <w:spacing w:val="4"/>
          <w:lang w:bidi="pl-PL"/>
        </w:rPr>
        <w:br/>
      </w:r>
      <w:r w:rsidRPr="00F50744">
        <w:rPr>
          <w:rFonts w:ascii="Lato" w:eastAsia="Calibri" w:hAnsi="Lato" w:cs="Arial"/>
          <w:iCs/>
          <w:spacing w:val="4"/>
          <w:lang w:bidi="pl-PL"/>
        </w:rPr>
        <w:t>z nieruchomości, wraz z określeniem celów tych ograniczeń</w:t>
      </w:r>
      <w:r w:rsidR="00BB40E3">
        <w:rPr>
          <w:rFonts w:ascii="Lato" w:eastAsia="Calibri" w:hAnsi="Lato" w:cs="Arial"/>
          <w:iCs/>
          <w:spacing w:val="4"/>
          <w:lang w:bidi="pl-PL"/>
        </w:rPr>
        <w:t xml:space="preserve"> oraz podmiotów uprawnionych z tego tytułu</w:t>
      </w:r>
      <w:r w:rsidRPr="00F50744">
        <w:rPr>
          <w:rFonts w:ascii="Lato" w:eastAsia="Calibri" w:hAnsi="Lato" w:cs="Arial"/>
          <w:iCs/>
          <w:spacing w:val="4"/>
          <w:lang w:bidi="pl-PL"/>
        </w:rPr>
        <w:t>. Natomiast punk</w:t>
      </w:r>
      <w:r w:rsidR="00BB40E3">
        <w:rPr>
          <w:rFonts w:ascii="Lato" w:eastAsia="Calibri" w:hAnsi="Lato" w:cs="Arial"/>
          <w:iCs/>
          <w:spacing w:val="4"/>
          <w:lang w:bidi="pl-PL"/>
        </w:rPr>
        <w:t>t</w:t>
      </w:r>
      <w:r w:rsidRPr="00F50744">
        <w:rPr>
          <w:rFonts w:ascii="Lato" w:eastAsia="Calibri" w:hAnsi="Lato" w:cs="Arial"/>
          <w:iCs/>
          <w:spacing w:val="4"/>
          <w:lang w:bidi="pl-PL"/>
        </w:rPr>
        <w:t xml:space="preserve"> X </w:t>
      </w:r>
      <w:r w:rsidR="00BB40E3">
        <w:rPr>
          <w:rFonts w:ascii="Lato" w:eastAsia="Calibri" w:hAnsi="Lato" w:cs="Arial"/>
          <w:iCs/>
          <w:spacing w:val="4"/>
          <w:lang w:bidi="pl-PL"/>
        </w:rPr>
        <w:t xml:space="preserve">uzupełniono poprzez wskazanie </w:t>
      </w:r>
      <w:r w:rsidR="00D96517" w:rsidRPr="00F16221">
        <w:rPr>
          <w:rFonts w:ascii="Lato" w:eastAsia="Calibri" w:hAnsi="Lato" w:cs="Arial"/>
          <w:i/>
          <w:spacing w:val="4"/>
          <w:lang w:bidi="pl-PL"/>
        </w:rPr>
        <w:t>Energa</w:t>
      </w:r>
      <w:r w:rsidR="00C14335" w:rsidRPr="00D206E1">
        <w:rPr>
          <w:rFonts w:ascii="Lato" w:eastAsia="Calibri" w:hAnsi="Lato" w:cs="Arial"/>
          <w:i/>
          <w:spacing w:val="4"/>
          <w:lang w:bidi="pl-PL"/>
        </w:rPr>
        <w:t>-</w:t>
      </w:r>
      <w:r w:rsidR="00D96517" w:rsidRPr="00F16221">
        <w:rPr>
          <w:rFonts w:ascii="Lato" w:eastAsia="Calibri" w:hAnsi="Lato" w:cs="Arial"/>
          <w:i/>
          <w:spacing w:val="4"/>
          <w:lang w:bidi="pl-PL"/>
        </w:rPr>
        <w:t xml:space="preserve"> Operator</w:t>
      </w:r>
      <w:r w:rsidR="00D96517">
        <w:rPr>
          <w:rFonts w:ascii="Lato" w:eastAsia="Calibri" w:hAnsi="Lato" w:cs="Arial"/>
          <w:i/>
          <w:spacing w:val="4"/>
          <w:lang w:bidi="pl-PL"/>
        </w:rPr>
        <w:t xml:space="preserve">, </w:t>
      </w:r>
      <w:r w:rsidR="00D96517">
        <w:rPr>
          <w:rFonts w:ascii="Lato" w:eastAsia="Calibri" w:hAnsi="Lato" w:cs="Arial"/>
          <w:iCs/>
          <w:spacing w:val="4"/>
          <w:lang w:bidi="pl-PL"/>
        </w:rPr>
        <w:t xml:space="preserve">jako podmiotu innego niż </w:t>
      </w:r>
      <w:r w:rsidR="00D96517" w:rsidRPr="00D206E1">
        <w:rPr>
          <w:rFonts w:ascii="Lato" w:eastAsia="Calibri" w:hAnsi="Lato" w:cs="Arial"/>
          <w:i/>
          <w:spacing w:val="4"/>
          <w:lang w:bidi="pl-PL"/>
        </w:rPr>
        <w:t>inwestor</w:t>
      </w:r>
      <w:r w:rsidR="00D96517" w:rsidRPr="00D206E1">
        <w:rPr>
          <w:rFonts w:ascii="Lato" w:eastAsia="Calibri" w:hAnsi="Lato" w:cs="Arial"/>
          <w:iCs/>
          <w:spacing w:val="4"/>
          <w:lang w:bidi="pl-PL"/>
        </w:rPr>
        <w:t xml:space="preserve">, </w:t>
      </w:r>
      <w:r w:rsidR="00D206E1">
        <w:rPr>
          <w:rFonts w:ascii="Lato" w:eastAsia="Calibri" w:hAnsi="Lato" w:cs="Arial"/>
          <w:iCs/>
          <w:spacing w:val="4"/>
          <w:lang w:bidi="pl-PL"/>
        </w:rPr>
        <w:t xml:space="preserve">na rzecz którego ustanowiono </w:t>
      </w:r>
      <w:r w:rsidR="00D96517">
        <w:rPr>
          <w:rFonts w:ascii="Lato" w:eastAsia="Calibri" w:hAnsi="Lato" w:cs="Arial"/>
          <w:iCs/>
          <w:spacing w:val="4"/>
          <w:lang w:bidi="pl-PL"/>
        </w:rPr>
        <w:t>ogranicze</w:t>
      </w:r>
      <w:r w:rsidR="00D206E1">
        <w:rPr>
          <w:rFonts w:ascii="Lato" w:eastAsia="Calibri" w:hAnsi="Lato" w:cs="Arial"/>
          <w:iCs/>
          <w:spacing w:val="4"/>
          <w:lang w:bidi="pl-PL"/>
        </w:rPr>
        <w:t>nia</w:t>
      </w:r>
      <w:r w:rsidR="00D96517">
        <w:rPr>
          <w:rFonts w:ascii="Lato" w:eastAsia="Calibri" w:hAnsi="Lato" w:cs="Arial"/>
          <w:iCs/>
          <w:spacing w:val="4"/>
          <w:lang w:bidi="pl-PL"/>
        </w:rPr>
        <w:t xml:space="preserve"> w korzystaniu z nieruchomości, </w:t>
      </w:r>
      <w:r w:rsidRPr="00F50744">
        <w:rPr>
          <w:rFonts w:ascii="Lato" w:eastAsia="Calibri" w:hAnsi="Lato" w:cs="Arial"/>
          <w:iCs/>
          <w:spacing w:val="4"/>
          <w:lang w:bidi="pl-PL"/>
        </w:rPr>
        <w:t xml:space="preserve">zgodnie z art. 22 ust. 4 </w:t>
      </w:r>
      <w:r w:rsidRPr="00F50744">
        <w:rPr>
          <w:rFonts w:ascii="Lato" w:eastAsia="Calibri" w:hAnsi="Lato" w:cs="Arial"/>
          <w:i/>
          <w:spacing w:val="4"/>
          <w:lang w:bidi="pl-PL"/>
        </w:rPr>
        <w:t>specustawy przesyłowej.</w:t>
      </w:r>
      <w:bookmarkStart w:id="18" w:name="_Hlk160183964"/>
    </w:p>
    <w:bookmarkEnd w:id="18"/>
    <w:p w14:paraId="7F440DE7" w14:textId="59A1C54E" w:rsidR="00977F77" w:rsidRPr="00F50744" w:rsidRDefault="00FF2460" w:rsidP="00F5413B">
      <w:pPr>
        <w:spacing w:after="240" w:line="240" w:lineRule="exact"/>
        <w:jc w:val="both"/>
        <w:rPr>
          <w:rFonts w:ascii="Lato" w:eastAsia="Calibri" w:hAnsi="Lato" w:cs="Arial"/>
          <w:bCs/>
          <w:iCs/>
          <w:spacing w:val="4"/>
          <w:lang w:bidi="pl-PL"/>
        </w:rPr>
      </w:pPr>
      <w:r w:rsidRPr="00F50744">
        <w:rPr>
          <w:rFonts w:ascii="Lato" w:eastAsia="Calibri" w:hAnsi="Lato" w:cs="Arial"/>
          <w:bCs/>
          <w:iCs/>
          <w:spacing w:val="4"/>
          <w:lang w:bidi="pl-PL"/>
        </w:rPr>
        <w:t xml:space="preserve">W </w:t>
      </w:r>
      <w:r w:rsidR="00977F77" w:rsidRPr="00F50744">
        <w:rPr>
          <w:rFonts w:ascii="Lato" w:eastAsia="Calibri" w:hAnsi="Lato" w:cs="Arial"/>
          <w:bCs/>
          <w:iCs/>
          <w:spacing w:val="4"/>
          <w:lang w:bidi="pl-PL"/>
        </w:rPr>
        <w:t>punkcie XII</w:t>
      </w:r>
      <w:r w:rsidR="00F010AF" w:rsidRPr="00F50744">
        <w:rPr>
          <w:rFonts w:ascii="Lato" w:eastAsia="Calibri" w:hAnsi="Lato" w:cs="Arial"/>
          <w:bCs/>
          <w:iCs/>
          <w:spacing w:val="4"/>
          <w:lang w:bidi="pl-PL"/>
        </w:rPr>
        <w:t xml:space="preserve">, </w:t>
      </w:r>
      <w:r w:rsidR="0017712B" w:rsidRPr="00F50744">
        <w:rPr>
          <w:rFonts w:ascii="Lato" w:eastAsia="Calibri" w:hAnsi="Lato" w:cs="Arial"/>
          <w:bCs/>
          <w:i/>
          <w:spacing w:val="4"/>
          <w:lang w:bidi="pl-PL"/>
        </w:rPr>
        <w:t>M</w:t>
      </w:r>
      <w:r w:rsidRPr="00F50744">
        <w:rPr>
          <w:rFonts w:ascii="Lato" w:eastAsia="Calibri" w:hAnsi="Lato" w:cs="Arial"/>
          <w:bCs/>
          <w:i/>
          <w:spacing w:val="4"/>
          <w:lang w:bidi="pl-PL"/>
        </w:rPr>
        <w:t>inister</w:t>
      </w:r>
      <w:r w:rsidR="00977F77" w:rsidRPr="00F50744">
        <w:rPr>
          <w:rFonts w:ascii="Lato" w:eastAsia="Calibri" w:hAnsi="Lato" w:cs="Arial"/>
          <w:bCs/>
          <w:iCs/>
          <w:spacing w:val="4"/>
          <w:lang w:bidi="pl-PL"/>
        </w:rPr>
        <w:t xml:space="preserve"> </w:t>
      </w:r>
      <w:r w:rsidR="00D96517">
        <w:rPr>
          <w:rFonts w:ascii="Lato" w:eastAsia="Calibri" w:hAnsi="Lato" w:cs="Arial"/>
          <w:bCs/>
          <w:iCs/>
          <w:spacing w:val="4"/>
          <w:lang w:bidi="pl-PL"/>
        </w:rPr>
        <w:t xml:space="preserve">doprecyzował </w:t>
      </w:r>
      <w:r w:rsidR="00977F77" w:rsidRPr="00F50744">
        <w:rPr>
          <w:rFonts w:ascii="Lato" w:eastAsia="Calibri" w:hAnsi="Lato" w:cs="Arial"/>
          <w:bCs/>
          <w:iCs/>
          <w:spacing w:val="4"/>
          <w:lang w:bidi="pl-PL"/>
        </w:rPr>
        <w:t>zakres zakazów i nakazów dla poszczególnych podmiotów</w:t>
      </w:r>
      <w:r w:rsidR="0055579F" w:rsidRPr="00F50744">
        <w:rPr>
          <w:rFonts w:ascii="Lato" w:eastAsia="Calibri" w:hAnsi="Lato" w:cs="Arial"/>
          <w:bCs/>
          <w:iCs/>
          <w:spacing w:val="4"/>
          <w:lang w:bidi="pl-PL"/>
        </w:rPr>
        <w:t xml:space="preserve"> w</w:t>
      </w:r>
      <w:r w:rsidR="00977F77" w:rsidRPr="00F50744">
        <w:rPr>
          <w:rFonts w:ascii="Lato" w:eastAsia="Calibri" w:hAnsi="Lato" w:cs="Arial"/>
          <w:bCs/>
          <w:iCs/>
          <w:spacing w:val="4"/>
          <w:lang w:bidi="pl-PL"/>
        </w:rPr>
        <w:t>prowadz</w:t>
      </w:r>
      <w:r w:rsidRPr="00F50744">
        <w:rPr>
          <w:rFonts w:ascii="Lato" w:eastAsia="Calibri" w:hAnsi="Lato" w:cs="Arial"/>
          <w:bCs/>
          <w:iCs/>
          <w:spacing w:val="4"/>
          <w:lang w:bidi="pl-PL"/>
        </w:rPr>
        <w:t>ając</w:t>
      </w:r>
      <w:r w:rsidR="00977F77" w:rsidRPr="00F50744">
        <w:rPr>
          <w:rFonts w:ascii="Lato" w:eastAsia="Calibri" w:hAnsi="Lato" w:cs="Arial"/>
          <w:bCs/>
          <w:iCs/>
          <w:spacing w:val="4"/>
          <w:lang w:bidi="pl-PL"/>
        </w:rPr>
        <w:t xml:space="preserve"> nową treść, </w:t>
      </w:r>
      <w:r w:rsidR="0017712B" w:rsidRPr="00F50744">
        <w:rPr>
          <w:rFonts w:ascii="Lato" w:eastAsia="Calibri" w:hAnsi="Lato" w:cs="Arial"/>
          <w:bCs/>
          <w:iCs/>
          <w:spacing w:val="4"/>
          <w:lang w:bidi="pl-PL"/>
        </w:rPr>
        <w:t xml:space="preserve">zgodnie z </w:t>
      </w:r>
      <w:r w:rsidR="00977F77" w:rsidRPr="00F50744">
        <w:rPr>
          <w:rFonts w:ascii="Lato" w:eastAsia="Calibri" w:hAnsi="Lato" w:cs="Arial"/>
          <w:bCs/>
          <w:iCs/>
          <w:spacing w:val="4"/>
          <w:lang w:bidi="pl-PL"/>
        </w:rPr>
        <w:t xml:space="preserve">art. 22 ust. </w:t>
      </w:r>
      <w:r w:rsidRPr="00F50744">
        <w:rPr>
          <w:rFonts w:ascii="Lato" w:eastAsia="Calibri" w:hAnsi="Lato" w:cs="Arial"/>
          <w:bCs/>
          <w:iCs/>
          <w:spacing w:val="4"/>
          <w:lang w:bidi="pl-PL"/>
        </w:rPr>
        <w:t>2</w:t>
      </w:r>
      <w:r w:rsidR="00977F77" w:rsidRPr="00F50744">
        <w:rPr>
          <w:rFonts w:ascii="Lato" w:eastAsia="Calibri" w:hAnsi="Lato" w:cs="Arial"/>
          <w:bCs/>
          <w:iCs/>
          <w:spacing w:val="4"/>
          <w:lang w:bidi="pl-PL"/>
        </w:rPr>
        <w:t xml:space="preserve"> </w:t>
      </w:r>
      <w:r w:rsidR="00977F77" w:rsidRPr="00F50744">
        <w:rPr>
          <w:rFonts w:ascii="Lato" w:eastAsia="Calibri" w:hAnsi="Lato" w:cs="Arial"/>
          <w:bCs/>
          <w:i/>
          <w:spacing w:val="4"/>
          <w:lang w:bidi="pl-PL"/>
        </w:rPr>
        <w:t>specustawy przesyłowej,</w:t>
      </w:r>
      <w:r w:rsidR="00377141" w:rsidRPr="00F50744">
        <w:rPr>
          <w:rFonts w:ascii="Lato" w:eastAsia="Calibri" w:hAnsi="Lato" w:cs="Arial"/>
          <w:bCs/>
          <w:iCs/>
          <w:spacing w:val="4"/>
          <w:lang w:bidi="pl-PL"/>
        </w:rPr>
        <w:t xml:space="preserve"> </w:t>
      </w:r>
      <w:r w:rsidR="0017712B" w:rsidRPr="00F50744">
        <w:rPr>
          <w:rFonts w:ascii="Lato" w:eastAsia="Calibri" w:hAnsi="Lato" w:cs="Arial"/>
          <w:bCs/>
          <w:iCs/>
          <w:spacing w:val="4"/>
          <w:lang w:bidi="pl-PL"/>
        </w:rPr>
        <w:t>obejmując</w:t>
      </w:r>
      <w:r w:rsidR="00D206E1">
        <w:rPr>
          <w:rFonts w:ascii="Lato" w:eastAsia="Calibri" w:hAnsi="Lato" w:cs="Arial"/>
          <w:bCs/>
          <w:iCs/>
          <w:spacing w:val="4"/>
          <w:lang w:bidi="pl-PL"/>
        </w:rPr>
        <w:t>ą</w:t>
      </w:r>
      <w:r w:rsidR="00377141" w:rsidRPr="00F50744">
        <w:rPr>
          <w:rFonts w:ascii="Lato" w:eastAsia="Calibri" w:hAnsi="Lato" w:cs="Arial"/>
          <w:bCs/>
          <w:iCs/>
          <w:spacing w:val="4"/>
          <w:lang w:bidi="pl-PL"/>
        </w:rPr>
        <w:t xml:space="preserve"> </w:t>
      </w:r>
      <w:r w:rsidR="00377141" w:rsidRPr="00F50744">
        <w:rPr>
          <w:rFonts w:ascii="Lato" w:eastAsia="Calibri" w:hAnsi="Lato" w:cs="Arial"/>
          <w:bCs/>
          <w:spacing w:val="4"/>
          <w:lang w:bidi="pl-PL"/>
        </w:rPr>
        <w:t xml:space="preserve">nakaz uzgodnienia lokalizacji obiektów budowalnych </w:t>
      </w:r>
      <w:r w:rsidR="00977F77" w:rsidRPr="00F50744">
        <w:rPr>
          <w:rFonts w:ascii="Lato" w:eastAsia="Calibri" w:hAnsi="Lato" w:cs="Arial"/>
          <w:bCs/>
          <w:spacing w:val="4"/>
          <w:lang w:bidi="pl-PL"/>
        </w:rPr>
        <w:t xml:space="preserve">na rzecz </w:t>
      </w:r>
      <w:r w:rsidR="00B52C6D" w:rsidRPr="00D206E1">
        <w:rPr>
          <w:rFonts w:ascii="Lato" w:eastAsia="Calibri" w:hAnsi="Lato" w:cs="Arial"/>
          <w:bCs/>
          <w:i/>
          <w:iCs/>
          <w:spacing w:val="4"/>
          <w:lang w:bidi="pl-PL"/>
        </w:rPr>
        <w:t>inwestora</w:t>
      </w:r>
      <w:r w:rsidR="00B52C6D" w:rsidRPr="00D206E1">
        <w:rPr>
          <w:rFonts w:ascii="Lato" w:eastAsia="Calibri" w:hAnsi="Lato" w:cs="Arial"/>
          <w:bCs/>
          <w:spacing w:val="4"/>
          <w:lang w:bidi="pl-PL"/>
        </w:rPr>
        <w:t xml:space="preserve"> </w:t>
      </w:r>
      <w:r w:rsidR="00C14335">
        <w:rPr>
          <w:rFonts w:ascii="Lato" w:eastAsia="Calibri" w:hAnsi="Lato" w:cs="Arial"/>
          <w:bCs/>
          <w:color w:val="FF0000"/>
          <w:spacing w:val="4"/>
          <w:lang w:bidi="pl-PL"/>
        </w:rPr>
        <w:br/>
      </w:r>
      <w:r w:rsidR="00B52C6D" w:rsidRPr="00F50744">
        <w:rPr>
          <w:rFonts w:ascii="Lato" w:eastAsia="Calibri" w:hAnsi="Lato" w:cs="Arial"/>
          <w:bCs/>
          <w:spacing w:val="4"/>
          <w:lang w:bidi="pl-PL"/>
        </w:rPr>
        <w:t xml:space="preserve">i </w:t>
      </w:r>
      <w:r w:rsidR="00B52C6D" w:rsidRPr="00F50744">
        <w:rPr>
          <w:rFonts w:ascii="Lato" w:eastAsia="Calibri" w:hAnsi="Lato" w:cs="Arial"/>
          <w:bCs/>
          <w:i/>
          <w:iCs/>
          <w:spacing w:val="4"/>
          <w:lang w:bidi="pl-PL"/>
        </w:rPr>
        <w:t>Energa-Operator.</w:t>
      </w:r>
      <w:r w:rsidR="00B52C6D" w:rsidRPr="00F50744">
        <w:rPr>
          <w:rFonts w:ascii="Lato" w:eastAsia="Calibri" w:hAnsi="Lato" w:cs="Arial"/>
          <w:bCs/>
          <w:iCs/>
          <w:spacing w:val="4"/>
          <w:lang w:bidi="pl-PL"/>
        </w:rPr>
        <w:t xml:space="preserve"> </w:t>
      </w:r>
    </w:p>
    <w:p w14:paraId="0EBECE99" w14:textId="6C569906" w:rsidR="00B526BA" w:rsidRPr="00F50744" w:rsidRDefault="00D206E1" w:rsidP="00F5413B">
      <w:pPr>
        <w:spacing w:after="240" w:line="240" w:lineRule="exact"/>
        <w:jc w:val="both"/>
        <w:rPr>
          <w:rFonts w:ascii="Lato" w:eastAsia="Calibri" w:hAnsi="Lato" w:cs="Arial"/>
          <w:bCs/>
          <w:iCs/>
          <w:spacing w:val="4"/>
          <w:lang w:bidi="pl-PL"/>
        </w:rPr>
      </w:pPr>
      <w:r>
        <w:rPr>
          <w:rFonts w:ascii="Lato" w:eastAsia="Calibri" w:hAnsi="Lato" w:cs="Arial"/>
          <w:bCs/>
          <w:iCs/>
          <w:spacing w:val="4"/>
          <w:lang w:bidi="pl-PL"/>
        </w:rPr>
        <w:t xml:space="preserve">Wyżej opisane zmiany decyzji </w:t>
      </w:r>
      <w:r w:rsidR="00B526BA" w:rsidRPr="00F50744">
        <w:rPr>
          <w:rFonts w:ascii="Lato" w:eastAsia="Calibri" w:hAnsi="Lato" w:cs="Arial"/>
          <w:bCs/>
          <w:iCs/>
          <w:spacing w:val="4"/>
          <w:lang w:bidi="pl-PL"/>
        </w:rPr>
        <w:t>zapewnią</w:t>
      </w:r>
      <w:r w:rsidR="0063375B" w:rsidRPr="00F50744">
        <w:rPr>
          <w:rFonts w:ascii="Lato" w:eastAsia="Calibri" w:hAnsi="Lato" w:cs="Arial"/>
          <w:bCs/>
          <w:iCs/>
          <w:spacing w:val="4"/>
          <w:lang w:bidi="pl-PL"/>
        </w:rPr>
        <w:t xml:space="preserve"> </w:t>
      </w:r>
      <w:r w:rsidR="00B526BA" w:rsidRPr="00F50744">
        <w:rPr>
          <w:rFonts w:ascii="Lato" w:eastAsia="Calibri" w:hAnsi="Lato" w:cs="Arial"/>
          <w:bCs/>
          <w:iCs/>
          <w:spacing w:val="4"/>
          <w:lang w:bidi="pl-PL"/>
        </w:rPr>
        <w:t>właściwe funkcjonowanie sieci</w:t>
      </w:r>
      <w:r>
        <w:rPr>
          <w:rFonts w:ascii="Lato" w:eastAsia="Calibri" w:hAnsi="Lato" w:cs="Arial"/>
          <w:bCs/>
          <w:iCs/>
          <w:spacing w:val="4"/>
          <w:lang w:bidi="pl-PL"/>
        </w:rPr>
        <w:t xml:space="preserve"> </w:t>
      </w:r>
      <w:r w:rsidR="00B526BA" w:rsidRPr="00F50744">
        <w:rPr>
          <w:rFonts w:ascii="Lato" w:eastAsia="Calibri" w:hAnsi="Lato" w:cs="Arial"/>
          <w:bCs/>
          <w:iCs/>
          <w:spacing w:val="4"/>
          <w:lang w:bidi="pl-PL"/>
        </w:rPr>
        <w:t>elektroenergetycznej oraz umożliwi</w:t>
      </w:r>
      <w:r>
        <w:rPr>
          <w:rFonts w:ascii="Lato" w:eastAsia="Calibri" w:hAnsi="Lato" w:cs="Arial"/>
          <w:bCs/>
          <w:iCs/>
          <w:spacing w:val="4"/>
          <w:lang w:bidi="pl-PL"/>
        </w:rPr>
        <w:t>ą</w:t>
      </w:r>
      <w:r w:rsidR="00B526BA" w:rsidRPr="00F50744">
        <w:rPr>
          <w:rFonts w:ascii="Lato" w:eastAsia="Calibri" w:hAnsi="Lato" w:cs="Arial"/>
          <w:bCs/>
          <w:iCs/>
          <w:spacing w:val="4"/>
          <w:lang w:bidi="pl-PL"/>
        </w:rPr>
        <w:t xml:space="preserve"> </w:t>
      </w:r>
      <w:r w:rsidR="0063375B" w:rsidRPr="00F50744">
        <w:rPr>
          <w:rFonts w:ascii="Lato" w:eastAsia="Calibri" w:hAnsi="Lato" w:cs="Arial"/>
          <w:bCs/>
          <w:iCs/>
          <w:spacing w:val="4"/>
          <w:lang w:bidi="pl-PL"/>
        </w:rPr>
        <w:t xml:space="preserve">operatorowi </w:t>
      </w:r>
      <w:r w:rsidR="0063375B" w:rsidRPr="00F50744">
        <w:rPr>
          <w:rFonts w:ascii="Lato" w:eastAsia="Calibri" w:hAnsi="Lato" w:cs="Arial"/>
          <w:bCs/>
          <w:i/>
          <w:spacing w:val="4"/>
          <w:lang w:bidi="pl-PL"/>
        </w:rPr>
        <w:t>Energa</w:t>
      </w:r>
      <w:r w:rsidR="00E17DE7" w:rsidRPr="00F50744">
        <w:rPr>
          <w:rFonts w:ascii="Lato" w:eastAsia="Calibri" w:hAnsi="Lato" w:cs="Arial"/>
          <w:bCs/>
          <w:i/>
          <w:spacing w:val="4"/>
          <w:lang w:bidi="pl-PL"/>
        </w:rPr>
        <w:t>-Operator</w:t>
      </w:r>
      <w:r w:rsidR="0063375B" w:rsidRPr="00F50744">
        <w:rPr>
          <w:rFonts w:ascii="Lato" w:eastAsia="Calibri" w:hAnsi="Lato" w:cs="Arial"/>
          <w:bCs/>
          <w:iCs/>
          <w:spacing w:val="4"/>
          <w:lang w:bidi="pl-PL"/>
        </w:rPr>
        <w:t xml:space="preserve"> odpowiednią konserwacje sieci zgodnie z obowiązującymi standardami technicznymi i prawnymi.</w:t>
      </w:r>
    </w:p>
    <w:p w14:paraId="501656AD" w14:textId="4B34C6AC" w:rsidR="00F5413B" w:rsidRPr="00F50744" w:rsidRDefault="00F5413B" w:rsidP="00F5413B">
      <w:pPr>
        <w:spacing w:after="240" w:line="240" w:lineRule="exact"/>
        <w:jc w:val="both"/>
        <w:rPr>
          <w:rFonts w:ascii="Lato" w:hAnsi="Lato" w:cs="Arial"/>
          <w:bCs/>
          <w:iCs/>
          <w:spacing w:val="4"/>
          <w:lang w:bidi="pl-PL"/>
        </w:rPr>
      </w:pPr>
      <w:r w:rsidRPr="00F50744">
        <w:rPr>
          <w:rFonts w:ascii="Lato" w:hAnsi="Lato" w:cs="Arial"/>
          <w:bCs/>
          <w:iCs/>
          <w:spacing w:val="4"/>
          <w:lang w:bidi="pl-PL"/>
        </w:rPr>
        <w:t xml:space="preserve">Podkreślenia wymaga, iż uwzględnienie interesu społecznego przemawiającego </w:t>
      </w:r>
      <w:r w:rsidRPr="00F50744">
        <w:rPr>
          <w:rFonts w:ascii="Lato" w:hAnsi="Lato" w:cs="Arial"/>
          <w:bCs/>
          <w:iCs/>
          <w:spacing w:val="4"/>
          <w:lang w:bidi="pl-PL"/>
        </w:rPr>
        <w:br/>
        <w:t xml:space="preserve">za dokonaniem zmiany </w:t>
      </w:r>
      <w:r w:rsidRPr="00F50744">
        <w:rPr>
          <w:rFonts w:ascii="Lato" w:hAnsi="Lato" w:cs="Arial"/>
          <w:bCs/>
          <w:i/>
          <w:iCs/>
          <w:spacing w:val="4"/>
          <w:lang w:bidi="pl-PL"/>
        </w:rPr>
        <w:t xml:space="preserve">decyzji Ministra </w:t>
      </w:r>
      <w:r w:rsidRPr="00F50744">
        <w:rPr>
          <w:rFonts w:ascii="Lato" w:hAnsi="Lato" w:cs="Arial"/>
          <w:bCs/>
          <w:iCs/>
          <w:spacing w:val="4"/>
          <w:lang w:bidi="pl-PL"/>
        </w:rPr>
        <w:t xml:space="preserve">nie prowadzi do naruszenia </w:t>
      </w:r>
      <w:r w:rsidR="00F54706" w:rsidRPr="00F50744">
        <w:rPr>
          <w:rFonts w:ascii="Lato" w:hAnsi="Lato" w:cs="Arial"/>
          <w:bCs/>
          <w:iCs/>
          <w:spacing w:val="4"/>
          <w:lang w:bidi="pl-PL"/>
        </w:rPr>
        <w:t>prawa</w:t>
      </w:r>
      <w:r w:rsidRPr="00F50744">
        <w:rPr>
          <w:rFonts w:ascii="Lato" w:hAnsi="Lato" w:cs="Arial"/>
          <w:bCs/>
          <w:iCs/>
          <w:spacing w:val="4"/>
          <w:lang w:bidi="pl-PL"/>
        </w:rPr>
        <w:t xml:space="preserve"> ani nie sankcjonuje stanu niezgodnego z prawem, a tym samym możliwe jest dokonanie zmiany tej decyzji na podstawie art. 155 </w:t>
      </w:r>
      <w:r w:rsidRPr="00F50744">
        <w:rPr>
          <w:rFonts w:ascii="Lato" w:hAnsi="Lato" w:cs="Arial"/>
          <w:bCs/>
          <w:i/>
          <w:iCs/>
          <w:spacing w:val="4"/>
          <w:lang w:bidi="pl-PL"/>
        </w:rPr>
        <w:t>kpa</w:t>
      </w:r>
      <w:r w:rsidRPr="00F50744">
        <w:rPr>
          <w:rFonts w:ascii="Lato" w:hAnsi="Lato" w:cs="Arial"/>
          <w:bCs/>
          <w:iCs/>
          <w:spacing w:val="4"/>
          <w:lang w:bidi="pl-PL"/>
        </w:rPr>
        <w:t xml:space="preserve">, w zakresie wskazanym przez </w:t>
      </w:r>
      <w:r w:rsidRPr="00F50744">
        <w:rPr>
          <w:rFonts w:ascii="Lato" w:hAnsi="Lato" w:cs="Arial"/>
          <w:bCs/>
          <w:i/>
          <w:iCs/>
          <w:spacing w:val="4"/>
          <w:lang w:bidi="pl-PL"/>
        </w:rPr>
        <w:t>inwestora</w:t>
      </w:r>
      <w:r w:rsidRPr="00F50744">
        <w:rPr>
          <w:rFonts w:ascii="Lato" w:hAnsi="Lato" w:cs="Arial"/>
          <w:bCs/>
          <w:iCs/>
          <w:spacing w:val="4"/>
          <w:lang w:bidi="pl-PL"/>
        </w:rPr>
        <w:t>.</w:t>
      </w:r>
    </w:p>
    <w:p w14:paraId="0407F8B4" w14:textId="356D2713" w:rsidR="00F5413B" w:rsidRPr="00EA6529" w:rsidRDefault="00F5413B" w:rsidP="00F5413B">
      <w:pPr>
        <w:spacing w:after="240" w:line="240" w:lineRule="exact"/>
        <w:jc w:val="both"/>
        <w:rPr>
          <w:rFonts w:ascii="Lato" w:hAnsi="Lato" w:cs="Arial"/>
          <w:bCs/>
          <w:i/>
          <w:iCs/>
          <w:spacing w:val="4"/>
          <w:lang w:bidi="pl-PL"/>
        </w:rPr>
      </w:pPr>
      <w:r w:rsidRPr="00F50744">
        <w:rPr>
          <w:rFonts w:ascii="Lato" w:hAnsi="Lato" w:cs="Arial"/>
          <w:bCs/>
          <w:iCs/>
          <w:spacing w:val="4"/>
          <w:lang w:bidi="pl-PL"/>
        </w:rPr>
        <w:t xml:space="preserve">Brak jest również przepisów szczególnych, które sprzeciwiałyby się zmianie </w:t>
      </w:r>
      <w:r w:rsidRPr="00F50744">
        <w:rPr>
          <w:rFonts w:ascii="Lato" w:hAnsi="Lato" w:cs="Arial"/>
          <w:bCs/>
          <w:i/>
          <w:iCs/>
          <w:spacing w:val="4"/>
          <w:lang w:bidi="pl-PL"/>
        </w:rPr>
        <w:t>decyzji</w:t>
      </w:r>
      <w:r w:rsidR="00EA6529">
        <w:rPr>
          <w:rFonts w:ascii="Lato" w:hAnsi="Lato" w:cs="Arial"/>
          <w:bCs/>
          <w:i/>
          <w:iCs/>
          <w:spacing w:val="4"/>
          <w:lang w:bidi="pl-PL"/>
        </w:rPr>
        <w:t xml:space="preserve"> </w:t>
      </w:r>
      <w:r w:rsidRPr="00F50744">
        <w:rPr>
          <w:rFonts w:ascii="Lato" w:hAnsi="Lato" w:cs="Arial"/>
          <w:bCs/>
          <w:i/>
          <w:iCs/>
          <w:spacing w:val="4"/>
          <w:lang w:bidi="pl-PL"/>
        </w:rPr>
        <w:t xml:space="preserve">Ministra. </w:t>
      </w:r>
    </w:p>
    <w:p w14:paraId="40DCBA4D" w14:textId="30FB29F6" w:rsidR="00F5413B" w:rsidRPr="00F50744" w:rsidRDefault="00F5413B" w:rsidP="00F5413B">
      <w:pPr>
        <w:spacing w:after="240" w:line="240" w:lineRule="exact"/>
        <w:jc w:val="both"/>
        <w:rPr>
          <w:rFonts w:ascii="Lato" w:hAnsi="Lato" w:cs="Arial"/>
          <w:bCs/>
          <w:iCs/>
          <w:spacing w:val="4"/>
          <w:lang w:bidi="pl-PL"/>
        </w:rPr>
      </w:pPr>
      <w:r w:rsidRPr="00F50744">
        <w:rPr>
          <w:rFonts w:ascii="Lato" w:hAnsi="Lato" w:cs="Arial"/>
          <w:bCs/>
          <w:iCs/>
          <w:spacing w:val="4"/>
          <w:lang w:bidi="pl-PL"/>
        </w:rPr>
        <w:t xml:space="preserve">W związku z powyższym, organ nadzoru uznał, że przesłanki zmiany decyzji określone </w:t>
      </w:r>
      <w:r w:rsidRPr="00F50744">
        <w:rPr>
          <w:rFonts w:ascii="Lato" w:hAnsi="Lato" w:cs="Arial"/>
          <w:bCs/>
          <w:iCs/>
          <w:spacing w:val="4"/>
          <w:lang w:bidi="pl-PL"/>
        </w:rPr>
        <w:br/>
        <w:t xml:space="preserve">w art. 155 </w:t>
      </w:r>
      <w:r w:rsidRPr="00F50744">
        <w:rPr>
          <w:rFonts w:ascii="Lato" w:hAnsi="Lato" w:cs="Arial"/>
          <w:bCs/>
          <w:i/>
          <w:iCs/>
          <w:spacing w:val="4"/>
          <w:lang w:bidi="pl-PL"/>
        </w:rPr>
        <w:t>kpa</w:t>
      </w:r>
      <w:r w:rsidRPr="00F50744">
        <w:rPr>
          <w:rFonts w:ascii="Lato" w:hAnsi="Lato" w:cs="Arial"/>
          <w:bCs/>
          <w:iCs/>
          <w:spacing w:val="4"/>
          <w:lang w:bidi="pl-PL"/>
        </w:rPr>
        <w:t xml:space="preserve"> oraz w art. 27a ust. 1 </w:t>
      </w:r>
      <w:r w:rsidRPr="00F50744">
        <w:rPr>
          <w:rFonts w:ascii="Lato" w:hAnsi="Lato" w:cs="Arial"/>
          <w:bCs/>
          <w:i/>
          <w:iCs/>
          <w:spacing w:val="4"/>
          <w:lang w:bidi="pl-PL"/>
        </w:rPr>
        <w:t>specustawy przesyłowej</w:t>
      </w:r>
      <w:r w:rsidRPr="00F50744">
        <w:rPr>
          <w:rFonts w:ascii="Lato" w:hAnsi="Lato" w:cs="Arial"/>
          <w:bCs/>
          <w:iCs/>
          <w:spacing w:val="4"/>
          <w:lang w:bidi="pl-PL"/>
        </w:rPr>
        <w:t xml:space="preserve"> zostały w rozpatrywanej sprawie spełnione kumulatywnie. </w:t>
      </w:r>
    </w:p>
    <w:p w14:paraId="30B47894" w14:textId="0677D31F" w:rsidR="00DB0454" w:rsidRPr="00F50744" w:rsidRDefault="00DB0454" w:rsidP="00DB0454">
      <w:pPr>
        <w:spacing w:after="240" w:line="240" w:lineRule="exact"/>
        <w:jc w:val="both"/>
        <w:rPr>
          <w:rFonts w:ascii="Lato" w:hAnsi="Lato" w:cs="Arial"/>
          <w:bCs/>
          <w:iCs/>
          <w:spacing w:val="4"/>
          <w:lang w:bidi="pl-PL"/>
        </w:rPr>
      </w:pPr>
      <w:r w:rsidRPr="00F50744">
        <w:rPr>
          <w:rFonts w:ascii="Lato" w:hAnsi="Lato" w:cs="Arial"/>
          <w:bCs/>
          <w:iCs/>
          <w:spacing w:val="4"/>
          <w:lang w:bidi="pl-PL"/>
        </w:rPr>
        <w:t xml:space="preserve">Mając na uwadze powyższe, </w:t>
      </w:r>
      <w:r w:rsidRPr="00F50744">
        <w:rPr>
          <w:rFonts w:ascii="Lato" w:hAnsi="Lato" w:cs="Arial"/>
          <w:bCs/>
          <w:i/>
          <w:iCs/>
          <w:spacing w:val="4"/>
          <w:lang w:bidi="pl-PL"/>
        </w:rPr>
        <w:t>Minister</w:t>
      </w:r>
      <w:r w:rsidRPr="00F50744">
        <w:rPr>
          <w:rFonts w:ascii="Lato" w:hAnsi="Lato" w:cs="Arial"/>
          <w:bCs/>
          <w:iCs/>
          <w:spacing w:val="4"/>
          <w:lang w:bidi="pl-PL"/>
        </w:rPr>
        <w:t xml:space="preserve"> dokonał odpowiednich zmian w jednostkach redakcyjnych </w:t>
      </w:r>
      <w:r w:rsidRPr="00F50744">
        <w:rPr>
          <w:rFonts w:ascii="Lato" w:hAnsi="Lato" w:cs="Arial"/>
          <w:bCs/>
          <w:i/>
          <w:iCs/>
          <w:spacing w:val="4"/>
          <w:lang w:bidi="pl-PL"/>
        </w:rPr>
        <w:t xml:space="preserve">decyzji Ministra </w:t>
      </w:r>
      <w:r w:rsidRPr="00F50744">
        <w:rPr>
          <w:rFonts w:ascii="Lato" w:hAnsi="Lato" w:cs="Arial"/>
          <w:bCs/>
          <w:iCs/>
          <w:spacing w:val="4"/>
          <w:lang w:bidi="pl-PL"/>
        </w:rPr>
        <w:t xml:space="preserve">oraz </w:t>
      </w:r>
      <w:r w:rsidRPr="00F50744">
        <w:rPr>
          <w:rFonts w:ascii="Lato" w:hAnsi="Lato" w:cs="Arial"/>
          <w:bCs/>
          <w:i/>
          <w:iCs/>
          <w:spacing w:val="4"/>
          <w:lang w:bidi="pl-PL"/>
        </w:rPr>
        <w:t>decyzji</w:t>
      </w:r>
      <w:r w:rsidRPr="00F50744">
        <w:rPr>
          <w:rFonts w:ascii="Lato" w:hAnsi="Lato" w:cs="Arial"/>
          <w:bCs/>
          <w:iCs/>
          <w:spacing w:val="4"/>
          <w:lang w:bidi="pl-PL"/>
        </w:rPr>
        <w:t xml:space="preserve"> </w:t>
      </w:r>
      <w:r w:rsidRPr="00F50744">
        <w:rPr>
          <w:rFonts w:ascii="Lato" w:hAnsi="Lato" w:cs="Arial"/>
          <w:bCs/>
          <w:i/>
          <w:iCs/>
          <w:spacing w:val="4"/>
          <w:lang w:bidi="pl-PL"/>
        </w:rPr>
        <w:t>Wojewody Pomorskiego</w:t>
      </w:r>
      <w:r w:rsidRPr="00F50744">
        <w:rPr>
          <w:rFonts w:ascii="Lato" w:hAnsi="Lato" w:cs="Arial"/>
          <w:bCs/>
          <w:iCs/>
          <w:spacing w:val="4"/>
          <w:lang w:bidi="pl-PL"/>
        </w:rPr>
        <w:t xml:space="preserve">, co zostało szczegółowo opisane w rozstrzygnięciu niniejszej decyzji. </w:t>
      </w:r>
      <w:r w:rsidR="00E17DE7" w:rsidRPr="00F50744">
        <w:rPr>
          <w:rFonts w:ascii="Lato" w:hAnsi="Lato" w:cs="Arial"/>
          <w:bCs/>
          <w:iCs/>
          <w:spacing w:val="4"/>
          <w:lang w:bidi="pl-PL"/>
        </w:rPr>
        <w:t>W k</w:t>
      </w:r>
      <w:r w:rsidRPr="00F50744">
        <w:rPr>
          <w:rFonts w:ascii="Lato" w:hAnsi="Lato" w:cs="Arial"/>
          <w:bCs/>
          <w:iCs/>
          <w:spacing w:val="4"/>
          <w:lang w:bidi="pl-PL"/>
        </w:rPr>
        <w:t>onsekwencj</w:t>
      </w:r>
      <w:r w:rsidR="00E17DE7" w:rsidRPr="00F50744">
        <w:rPr>
          <w:rFonts w:ascii="Lato" w:hAnsi="Lato" w:cs="Arial"/>
          <w:bCs/>
          <w:iCs/>
          <w:spacing w:val="4"/>
          <w:lang w:bidi="pl-PL"/>
        </w:rPr>
        <w:t>i</w:t>
      </w:r>
      <w:r w:rsidRPr="00F50744">
        <w:rPr>
          <w:rFonts w:ascii="Lato" w:hAnsi="Lato" w:cs="Arial"/>
          <w:bCs/>
          <w:iCs/>
          <w:spacing w:val="4"/>
          <w:lang w:bidi="pl-PL"/>
        </w:rPr>
        <w:t xml:space="preserve"> </w:t>
      </w:r>
      <w:r w:rsidR="00E17DE7" w:rsidRPr="00F50744">
        <w:rPr>
          <w:rFonts w:ascii="Lato" w:hAnsi="Lato" w:cs="Arial"/>
          <w:bCs/>
          <w:iCs/>
          <w:spacing w:val="4"/>
          <w:lang w:bidi="pl-PL"/>
        </w:rPr>
        <w:t>zamieniono</w:t>
      </w:r>
      <w:r w:rsidRPr="00F50744">
        <w:rPr>
          <w:rFonts w:ascii="Lato" w:hAnsi="Lato" w:cs="Arial"/>
          <w:bCs/>
          <w:iCs/>
          <w:spacing w:val="4"/>
          <w:lang w:bidi="pl-PL"/>
        </w:rPr>
        <w:t xml:space="preserve"> również załącznik</w:t>
      </w:r>
      <w:r w:rsidR="00E17DE7" w:rsidRPr="00F50744">
        <w:rPr>
          <w:rFonts w:ascii="Lato" w:hAnsi="Lato" w:cs="Arial"/>
          <w:bCs/>
          <w:iCs/>
          <w:spacing w:val="4"/>
          <w:lang w:bidi="pl-PL"/>
        </w:rPr>
        <w:t>i</w:t>
      </w:r>
      <w:r w:rsidRPr="00F50744">
        <w:rPr>
          <w:rFonts w:ascii="Lato" w:hAnsi="Lato" w:cs="Arial"/>
          <w:bCs/>
          <w:iCs/>
          <w:spacing w:val="4"/>
          <w:lang w:bidi="pl-PL"/>
        </w:rPr>
        <w:t xml:space="preserve"> do </w:t>
      </w:r>
      <w:r w:rsidRPr="00F50744">
        <w:rPr>
          <w:rFonts w:ascii="Lato" w:hAnsi="Lato" w:cs="Arial"/>
          <w:bCs/>
          <w:i/>
          <w:iCs/>
          <w:spacing w:val="4"/>
          <w:lang w:bidi="pl-PL"/>
        </w:rPr>
        <w:t>decyzji Wojewody Pomorskiego</w:t>
      </w:r>
      <w:r w:rsidR="00E17DE7" w:rsidRPr="00F50744">
        <w:rPr>
          <w:rFonts w:ascii="Lato" w:hAnsi="Lato" w:cs="Arial"/>
          <w:bCs/>
          <w:i/>
          <w:iCs/>
          <w:spacing w:val="4"/>
          <w:lang w:bidi="pl-PL"/>
        </w:rPr>
        <w:t xml:space="preserve">, </w:t>
      </w:r>
      <w:r w:rsidRPr="00F50744">
        <w:rPr>
          <w:rFonts w:ascii="Lato" w:hAnsi="Lato" w:cs="Arial"/>
          <w:bCs/>
          <w:iCs/>
          <w:spacing w:val="4"/>
          <w:lang w:bidi="pl-PL"/>
        </w:rPr>
        <w:t>zatwierdz</w:t>
      </w:r>
      <w:r w:rsidR="00E17DE7" w:rsidRPr="00F50744">
        <w:rPr>
          <w:rFonts w:ascii="Lato" w:hAnsi="Lato" w:cs="Arial"/>
          <w:bCs/>
          <w:iCs/>
          <w:spacing w:val="4"/>
          <w:lang w:bidi="pl-PL"/>
        </w:rPr>
        <w:t>ając</w:t>
      </w:r>
      <w:r w:rsidRPr="00F50744">
        <w:rPr>
          <w:rFonts w:ascii="Lato" w:hAnsi="Lato" w:cs="Arial"/>
          <w:bCs/>
          <w:iCs/>
          <w:spacing w:val="4"/>
          <w:lang w:bidi="pl-PL"/>
        </w:rPr>
        <w:t xml:space="preserve"> now</w:t>
      </w:r>
      <w:r w:rsidR="00E17DE7" w:rsidRPr="00F50744">
        <w:rPr>
          <w:rFonts w:ascii="Lato" w:hAnsi="Lato" w:cs="Arial"/>
          <w:bCs/>
          <w:iCs/>
          <w:spacing w:val="4"/>
          <w:lang w:bidi="pl-PL"/>
        </w:rPr>
        <w:t>e</w:t>
      </w:r>
      <w:r w:rsidRPr="00F50744">
        <w:rPr>
          <w:rFonts w:ascii="Lato" w:hAnsi="Lato" w:cs="Arial"/>
          <w:bCs/>
          <w:iCs/>
          <w:spacing w:val="4"/>
          <w:lang w:bidi="pl-PL"/>
        </w:rPr>
        <w:t xml:space="preserve"> dokument</w:t>
      </w:r>
      <w:r w:rsidR="00E17DE7" w:rsidRPr="00F50744">
        <w:rPr>
          <w:rFonts w:ascii="Lato" w:hAnsi="Lato" w:cs="Arial"/>
          <w:bCs/>
          <w:iCs/>
          <w:spacing w:val="4"/>
          <w:lang w:bidi="pl-PL"/>
        </w:rPr>
        <w:t>y</w:t>
      </w:r>
      <w:r w:rsidRPr="00F50744">
        <w:rPr>
          <w:rFonts w:ascii="Lato" w:hAnsi="Lato" w:cs="Arial"/>
          <w:bCs/>
          <w:iCs/>
          <w:spacing w:val="4"/>
          <w:lang w:bidi="pl-PL"/>
        </w:rPr>
        <w:t xml:space="preserve"> przedłożon</w:t>
      </w:r>
      <w:r w:rsidR="00E17DE7" w:rsidRPr="00F50744">
        <w:rPr>
          <w:rFonts w:ascii="Lato" w:hAnsi="Lato" w:cs="Arial"/>
          <w:bCs/>
          <w:iCs/>
          <w:spacing w:val="4"/>
          <w:lang w:bidi="pl-PL"/>
        </w:rPr>
        <w:t>e</w:t>
      </w:r>
      <w:r w:rsidRPr="00F50744">
        <w:rPr>
          <w:rFonts w:ascii="Lato" w:hAnsi="Lato" w:cs="Arial"/>
          <w:bCs/>
          <w:iCs/>
          <w:spacing w:val="4"/>
          <w:lang w:bidi="pl-PL"/>
        </w:rPr>
        <w:t xml:space="preserve"> przez </w:t>
      </w:r>
      <w:r w:rsidRPr="00F50744">
        <w:rPr>
          <w:rFonts w:ascii="Lato" w:hAnsi="Lato" w:cs="Arial"/>
          <w:bCs/>
          <w:i/>
          <w:iCs/>
          <w:spacing w:val="4"/>
          <w:lang w:bidi="pl-PL"/>
        </w:rPr>
        <w:t>inwestora</w:t>
      </w:r>
      <w:r w:rsidRPr="00F50744">
        <w:rPr>
          <w:rFonts w:ascii="Lato" w:hAnsi="Lato" w:cs="Arial"/>
          <w:bCs/>
          <w:iCs/>
          <w:spacing w:val="4"/>
          <w:lang w:bidi="pl-PL"/>
        </w:rPr>
        <w:t xml:space="preserve"> przy wniosku o zmianę decyzji o ustaleniu lokalizacji strategicznych inwestycji w zakresie sieci przesyłowej, jak i jego uzupełnieniach.</w:t>
      </w:r>
    </w:p>
    <w:p w14:paraId="030F0C2F" w14:textId="746DC923" w:rsidR="00DB0454" w:rsidRPr="00F50744" w:rsidRDefault="004E321A" w:rsidP="004E321A">
      <w:pPr>
        <w:spacing w:after="240" w:line="240" w:lineRule="exact"/>
        <w:jc w:val="both"/>
        <w:rPr>
          <w:rFonts w:ascii="Lato" w:hAnsi="Lato" w:cs="Arial"/>
          <w:bCs/>
          <w:iCs/>
          <w:spacing w:val="4"/>
          <w:lang w:bidi="pl-PL"/>
        </w:rPr>
      </w:pPr>
      <w:r w:rsidRPr="00F50744">
        <w:rPr>
          <w:rFonts w:ascii="Lato" w:hAnsi="Lato" w:cs="Arial"/>
          <w:bCs/>
          <w:iCs/>
          <w:spacing w:val="4"/>
          <w:lang w:bidi="pl-PL"/>
        </w:rPr>
        <w:lastRenderedPageBreak/>
        <w:t>W związku z powyższym, orzeczono jak w rozstrzygnięciu.</w:t>
      </w:r>
    </w:p>
    <w:p w14:paraId="4E19E069" w14:textId="77777777" w:rsidR="000A6227" w:rsidRPr="00F50744" w:rsidRDefault="000A6227" w:rsidP="000A6227">
      <w:pPr>
        <w:autoSpaceDE w:val="0"/>
        <w:autoSpaceDN w:val="0"/>
        <w:adjustRightInd w:val="0"/>
        <w:spacing w:after="240" w:line="240" w:lineRule="exact"/>
        <w:jc w:val="center"/>
        <w:rPr>
          <w:rFonts w:ascii="Lato" w:hAnsi="Lato" w:cs="Arial"/>
          <w:spacing w:val="4"/>
        </w:rPr>
      </w:pPr>
      <w:r w:rsidRPr="00F50744">
        <w:rPr>
          <w:rFonts w:ascii="Lato" w:hAnsi="Lato" w:cs="Arial"/>
          <w:b/>
          <w:spacing w:val="4"/>
        </w:rPr>
        <w:t>POUCZENIE</w:t>
      </w:r>
    </w:p>
    <w:p w14:paraId="51C2F3BC" w14:textId="77777777" w:rsidR="000A6227" w:rsidRPr="00F50744" w:rsidRDefault="000A6227" w:rsidP="000A6227">
      <w:pPr>
        <w:spacing w:after="240" w:line="240" w:lineRule="exact"/>
        <w:jc w:val="both"/>
        <w:rPr>
          <w:rFonts w:ascii="Lato" w:hAnsi="Lato" w:cs="Arial"/>
          <w:spacing w:val="4"/>
        </w:rPr>
      </w:pPr>
      <w:r w:rsidRPr="00F50744">
        <w:rPr>
          <w:rFonts w:ascii="Lato" w:hAnsi="Lato" w:cs="Arial"/>
          <w:spacing w:val="4"/>
        </w:rPr>
        <w:t>Od niniejszej decyzji stronom przysługuje:</w:t>
      </w:r>
    </w:p>
    <w:p w14:paraId="3F0D5A19" w14:textId="70C5C6A0" w:rsidR="000A6227" w:rsidRPr="00F50744" w:rsidRDefault="000A6227" w:rsidP="009D3B8B">
      <w:pPr>
        <w:pStyle w:val="Akapitzlist"/>
        <w:numPr>
          <w:ilvl w:val="0"/>
          <w:numId w:val="1"/>
        </w:numPr>
        <w:spacing w:after="120" w:line="240" w:lineRule="exact"/>
        <w:ind w:left="284" w:hanging="284"/>
        <w:contextualSpacing w:val="0"/>
        <w:jc w:val="both"/>
        <w:rPr>
          <w:rFonts w:ascii="Lato" w:hAnsi="Lato" w:cs="Arial"/>
          <w:spacing w:val="4"/>
          <w:sz w:val="22"/>
          <w:szCs w:val="22"/>
        </w:rPr>
      </w:pPr>
      <w:r w:rsidRPr="00F50744">
        <w:rPr>
          <w:rFonts w:ascii="Lato" w:hAnsi="Lato" w:cs="Arial"/>
          <w:spacing w:val="4"/>
          <w:sz w:val="22"/>
          <w:szCs w:val="22"/>
        </w:rPr>
        <w:t xml:space="preserve">na podstawie art. 127 § 3 </w:t>
      </w:r>
      <w:r w:rsidRPr="00F50744">
        <w:rPr>
          <w:rFonts w:ascii="Lato" w:hAnsi="Lato" w:cs="Arial"/>
          <w:i/>
          <w:spacing w:val="4"/>
          <w:sz w:val="22"/>
          <w:szCs w:val="22"/>
        </w:rPr>
        <w:t>kpa</w:t>
      </w:r>
      <w:r w:rsidRPr="00F50744">
        <w:rPr>
          <w:rFonts w:ascii="Lato" w:hAnsi="Lato" w:cs="Arial"/>
          <w:spacing w:val="4"/>
          <w:sz w:val="22"/>
          <w:szCs w:val="22"/>
        </w:rPr>
        <w:t xml:space="preserve"> – w terminie 14 dni od dnia doręczenia niniejszej decyzji – wniosek o ponowne rozpatrzenie sprawy lub </w:t>
      </w:r>
    </w:p>
    <w:p w14:paraId="7E465303" w14:textId="031C30ED" w:rsidR="000A6227" w:rsidRPr="00F50744" w:rsidRDefault="000A6227" w:rsidP="009D3B8B">
      <w:pPr>
        <w:pStyle w:val="Akapitzlist"/>
        <w:numPr>
          <w:ilvl w:val="0"/>
          <w:numId w:val="1"/>
        </w:numPr>
        <w:spacing w:after="240" w:line="240" w:lineRule="exact"/>
        <w:ind w:left="284" w:hanging="284"/>
        <w:contextualSpacing w:val="0"/>
        <w:jc w:val="both"/>
        <w:rPr>
          <w:rFonts w:ascii="Lato" w:hAnsi="Lato"/>
          <w:sz w:val="22"/>
          <w:szCs w:val="22"/>
        </w:rPr>
      </w:pPr>
      <w:r w:rsidRPr="00F50744">
        <w:rPr>
          <w:rFonts w:ascii="Lato" w:hAnsi="Lato" w:cs="Arial"/>
          <w:spacing w:val="4"/>
          <w:sz w:val="22"/>
          <w:szCs w:val="22"/>
        </w:rPr>
        <w:t xml:space="preserve">na podstawie art. 52 § 3 i art. 54 § 1 ustawy z dnia 30 sierpnia 2002 r. – Prawo </w:t>
      </w:r>
      <w:r w:rsidR="00EF06C7" w:rsidRPr="00F50744">
        <w:rPr>
          <w:rFonts w:ascii="Lato" w:hAnsi="Lato" w:cs="Arial"/>
          <w:spacing w:val="4"/>
          <w:sz w:val="22"/>
          <w:szCs w:val="22"/>
        </w:rPr>
        <w:br/>
      </w:r>
      <w:r w:rsidRPr="00F50744">
        <w:rPr>
          <w:rFonts w:ascii="Lato" w:hAnsi="Lato" w:cs="Arial"/>
          <w:spacing w:val="4"/>
          <w:sz w:val="22"/>
          <w:szCs w:val="22"/>
        </w:rPr>
        <w:t>o postępowaniu przed sądami administracyjnymi (t.j. Dz. U. z 202</w:t>
      </w:r>
      <w:r w:rsidR="00962F18" w:rsidRPr="00F50744">
        <w:rPr>
          <w:rFonts w:ascii="Lato" w:hAnsi="Lato" w:cs="Arial"/>
          <w:spacing w:val="4"/>
          <w:sz w:val="22"/>
          <w:szCs w:val="22"/>
          <w:lang w:val="pl-PL"/>
        </w:rPr>
        <w:t>4</w:t>
      </w:r>
      <w:r w:rsidRPr="00F50744">
        <w:rPr>
          <w:rFonts w:ascii="Lato" w:hAnsi="Lato" w:cs="Arial"/>
          <w:spacing w:val="4"/>
          <w:sz w:val="22"/>
          <w:szCs w:val="22"/>
        </w:rPr>
        <w:t xml:space="preserve"> r. poz. </w:t>
      </w:r>
      <w:r w:rsidR="00962F18" w:rsidRPr="00F50744">
        <w:rPr>
          <w:rFonts w:ascii="Lato" w:hAnsi="Lato" w:cs="Arial"/>
          <w:spacing w:val="4"/>
          <w:sz w:val="22"/>
          <w:szCs w:val="22"/>
          <w:lang w:val="pl-PL"/>
        </w:rPr>
        <w:t>935</w:t>
      </w:r>
      <w:r w:rsidRPr="00F50744">
        <w:rPr>
          <w:rFonts w:ascii="Lato" w:hAnsi="Lato" w:cs="Arial"/>
          <w:spacing w:val="4"/>
          <w:sz w:val="22"/>
          <w:szCs w:val="22"/>
        </w:rPr>
        <w:t>), zwanej dalej „</w:t>
      </w:r>
      <w:r w:rsidRPr="00F50744">
        <w:rPr>
          <w:rFonts w:ascii="Lato" w:hAnsi="Lato" w:cs="Arial"/>
          <w:i/>
          <w:spacing w:val="4"/>
          <w:sz w:val="22"/>
          <w:szCs w:val="22"/>
        </w:rPr>
        <w:t>ppsa</w:t>
      </w:r>
      <w:r w:rsidRPr="00F50744">
        <w:rPr>
          <w:rFonts w:ascii="Lato" w:hAnsi="Lato" w:cs="Arial"/>
          <w:spacing w:val="4"/>
          <w:sz w:val="22"/>
          <w:szCs w:val="22"/>
        </w:rPr>
        <w:t xml:space="preserve">” – w terminie 30 dni od dnia doręczenia niniejszej decyzji – skarga </w:t>
      </w:r>
      <w:r w:rsidR="00E17DE7" w:rsidRPr="00F50744">
        <w:rPr>
          <w:rFonts w:ascii="Lato" w:hAnsi="Lato" w:cs="Arial"/>
          <w:spacing w:val="4"/>
          <w:sz w:val="22"/>
          <w:szCs w:val="22"/>
        </w:rPr>
        <w:br/>
      </w:r>
      <w:r w:rsidRPr="00F50744">
        <w:rPr>
          <w:rFonts w:ascii="Lato" w:hAnsi="Lato" w:cs="Arial"/>
          <w:spacing w:val="4"/>
          <w:sz w:val="22"/>
          <w:szCs w:val="22"/>
        </w:rPr>
        <w:t xml:space="preserve">do Wojewódzkiego Sądu Administracyjnego w Warszawie, wnoszona </w:t>
      </w:r>
      <w:r w:rsidR="007A4C51">
        <w:rPr>
          <w:rFonts w:ascii="Lato" w:hAnsi="Lato" w:cs="Arial"/>
          <w:spacing w:val="4"/>
          <w:sz w:val="22"/>
          <w:szCs w:val="22"/>
        </w:rPr>
        <w:br/>
      </w:r>
      <w:r w:rsidRPr="00F50744">
        <w:rPr>
          <w:rFonts w:ascii="Lato" w:hAnsi="Lato" w:cs="Arial"/>
          <w:spacing w:val="4"/>
          <w:sz w:val="22"/>
          <w:szCs w:val="22"/>
        </w:rPr>
        <w:t xml:space="preserve">za pośrednictwem Ministra Rozwoju i Technologii. </w:t>
      </w:r>
    </w:p>
    <w:p w14:paraId="6AEB8370" w14:textId="5C169D91" w:rsidR="000A6227" w:rsidRPr="00F50744" w:rsidRDefault="000A6227" w:rsidP="000A6227">
      <w:pPr>
        <w:spacing w:after="240" w:line="240" w:lineRule="exact"/>
        <w:jc w:val="both"/>
        <w:rPr>
          <w:rFonts w:ascii="Lato" w:hAnsi="Lato" w:cs="Arial"/>
          <w:spacing w:val="4"/>
        </w:rPr>
      </w:pPr>
      <w:r w:rsidRPr="00F50744">
        <w:rPr>
          <w:rFonts w:ascii="Lato" w:hAnsi="Lato" w:cs="Arial"/>
          <w:spacing w:val="4"/>
        </w:rPr>
        <w:t xml:space="preserve">Złożenie przez co najmniej jedną stronę wniosku o ponowne rozpatrzenie sprawy powoduje konieczność ponownego rozstrzygnięcia sprawy przez Ministra Rozwoju </w:t>
      </w:r>
      <w:r w:rsidR="00EF06C7" w:rsidRPr="00F50744">
        <w:rPr>
          <w:rFonts w:ascii="Lato" w:hAnsi="Lato" w:cs="Arial"/>
          <w:spacing w:val="4"/>
        </w:rPr>
        <w:br/>
      </w:r>
      <w:r w:rsidRPr="00F50744">
        <w:rPr>
          <w:rFonts w:ascii="Lato" w:hAnsi="Lato" w:cs="Arial"/>
          <w:spacing w:val="4"/>
        </w:rPr>
        <w:t xml:space="preserve">i Technologii. Wówczas skarga do sądu administracyjnego (złożona obok ww. wniosku) traktowana jest jako wniosek o ponowne rozpatrzenie sprawy. W trakcie biegu terminu do wniesienia wniosku o ponowne rozpatrzenie sprawy strona może zrzec się prawa </w:t>
      </w:r>
      <w:r w:rsidR="00093DEC" w:rsidRPr="00F50744">
        <w:rPr>
          <w:rFonts w:ascii="Lato" w:hAnsi="Lato" w:cs="Arial"/>
          <w:spacing w:val="4"/>
        </w:rPr>
        <w:br/>
      </w:r>
      <w:r w:rsidRPr="00F50744">
        <w:rPr>
          <w:rFonts w:ascii="Lato" w:hAnsi="Lato" w:cs="Arial"/>
          <w:spacing w:val="4"/>
        </w:rPr>
        <w:t xml:space="preserve">do wniesienia wniosku o ponowne rozpatrzenie sprawy wobec Ministra Rozwoju </w:t>
      </w:r>
      <w:r w:rsidR="00EF06C7" w:rsidRPr="00F50744">
        <w:rPr>
          <w:rFonts w:ascii="Lato" w:hAnsi="Lato" w:cs="Arial"/>
          <w:spacing w:val="4"/>
        </w:rPr>
        <w:br/>
      </w:r>
      <w:r w:rsidRPr="00F50744">
        <w:rPr>
          <w:rFonts w:ascii="Lato" w:hAnsi="Lato" w:cs="Arial"/>
          <w:spacing w:val="4"/>
        </w:rPr>
        <w:t xml:space="preserve">i Technologii. Z dniem doręczenia Ministrowi Rozwoju i Technologii oświadczenia </w:t>
      </w:r>
      <w:r w:rsidR="00EF06C7" w:rsidRPr="00F50744">
        <w:rPr>
          <w:rFonts w:ascii="Lato" w:hAnsi="Lato" w:cs="Arial"/>
          <w:spacing w:val="4"/>
        </w:rPr>
        <w:br/>
      </w:r>
      <w:r w:rsidRPr="00F50744">
        <w:rPr>
          <w:rFonts w:ascii="Lato" w:hAnsi="Lato" w:cs="Arial"/>
          <w:spacing w:val="4"/>
        </w:rPr>
        <w:t xml:space="preserve">o zrzeczeniu się prawa do wniesienia wniosku o ponowne rozpatrzenie sprawy przez ostatnią ze stron postępowania, decyzja staje się ostateczna i prawomocna. </w:t>
      </w:r>
    </w:p>
    <w:p w14:paraId="7A69E10F" w14:textId="6AA7B1BE" w:rsidR="00280754" w:rsidRPr="00F50744" w:rsidRDefault="000A6227" w:rsidP="00280754">
      <w:pPr>
        <w:spacing w:after="240" w:line="240" w:lineRule="exact"/>
        <w:jc w:val="both"/>
        <w:rPr>
          <w:rFonts w:ascii="Lato" w:hAnsi="Lato" w:cs="Arial"/>
          <w:i/>
          <w:spacing w:val="4"/>
        </w:rPr>
      </w:pPr>
      <w:r w:rsidRPr="00F50744">
        <w:rPr>
          <w:rFonts w:ascii="Lato" w:hAnsi="Lato" w:cs="Arial"/>
          <w:spacing w:val="4"/>
        </w:rPr>
        <w:t xml:space="preserve">Jednocześnie informuję, że do skargi należy załączyć dowód uiszczenia wpisu </w:t>
      </w:r>
      <w:r w:rsidR="00093DEC" w:rsidRPr="00F50744">
        <w:rPr>
          <w:rFonts w:ascii="Lato" w:hAnsi="Lato" w:cs="Arial"/>
          <w:spacing w:val="4"/>
        </w:rPr>
        <w:br/>
      </w:r>
      <w:r w:rsidRPr="00F50744">
        <w:rPr>
          <w:rFonts w:ascii="Lato" w:hAnsi="Lato" w:cs="Arial"/>
          <w:spacing w:val="4"/>
        </w:rPr>
        <w:t xml:space="preserve">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F50744">
        <w:rPr>
          <w:rFonts w:ascii="Lato" w:hAnsi="Lato" w:cs="Arial"/>
          <w:i/>
          <w:spacing w:val="4"/>
        </w:rPr>
        <w:t>ppsa.</w:t>
      </w:r>
    </w:p>
    <w:p w14:paraId="2959200F" w14:textId="614306F3" w:rsidR="006C215F" w:rsidRPr="00F50744" w:rsidRDefault="006C215F" w:rsidP="006C5485">
      <w:pPr>
        <w:spacing w:after="240" w:line="240" w:lineRule="exact"/>
        <w:jc w:val="both"/>
        <w:rPr>
          <w:rFonts w:ascii="Lato" w:eastAsia="Times New Roman" w:hAnsi="Lato" w:cs="Arial"/>
          <w:b/>
          <w:spacing w:val="4"/>
          <w:u w:val="single"/>
          <w:lang w:eastAsia="pl-PL"/>
        </w:rPr>
      </w:pPr>
      <w:r w:rsidRPr="00F50744">
        <w:rPr>
          <w:rFonts w:ascii="Lato" w:eastAsia="Times New Roman" w:hAnsi="Lato" w:cs="Arial"/>
          <w:b/>
          <w:spacing w:val="4"/>
          <w:u w:val="single"/>
          <w:lang w:eastAsia="pl-PL"/>
        </w:rPr>
        <w:t>Załącznik:</w:t>
      </w:r>
    </w:p>
    <w:p w14:paraId="5B2FA07C" w14:textId="62A985B2" w:rsidR="006C215F" w:rsidRPr="00F50744" w:rsidRDefault="006C215F" w:rsidP="006C5485">
      <w:pPr>
        <w:spacing w:after="240" w:line="240" w:lineRule="exact"/>
        <w:ind w:left="709" w:hanging="709"/>
        <w:jc w:val="both"/>
        <w:rPr>
          <w:rFonts w:ascii="Lato" w:eastAsia="Times New Roman" w:hAnsi="Lato" w:cs="Arial"/>
          <w:spacing w:val="4"/>
          <w:lang w:eastAsia="pl-PL"/>
        </w:rPr>
      </w:pPr>
      <w:bookmarkStart w:id="19" w:name="_Hlk122003746"/>
      <w:r w:rsidRPr="00F50744">
        <w:rPr>
          <w:rFonts w:ascii="Lato" w:eastAsia="Times New Roman" w:hAnsi="Lato" w:cs="Arial"/>
          <w:b/>
          <w:spacing w:val="4"/>
          <w:lang w:eastAsia="pl-PL"/>
        </w:rPr>
        <w:t>Nr 1</w:t>
      </w:r>
      <w:bookmarkEnd w:id="19"/>
      <w:r w:rsidRPr="00F50744">
        <w:rPr>
          <w:rFonts w:ascii="Lato" w:eastAsia="Times New Roman" w:hAnsi="Lato" w:cs="Arial"/>
          <w:b/>
          <w:spacing w:val="4"/>
          <w:lang w:eastAsia="pl-PL"/>
        </w:rPr>
        <w:t xml:space="preserve"> </w:t>
      </w:r>
      <w:r w:rsidRPr="00F50744">
        <w:rPr>
          <w:rFonts w:ascii="Lato" w:eastAsia="Times New Roman" w:hAnsi="Lato" w:cs="Arial"/>
          <w:bCs/>
          <w:spacing w:val="4"/>
          <w:lang w:eastAsia="pl-PL"/>
        </w:rPr>
        <w:t>-</w:t>
      </w:r>
      <w:r w:rsidRPr="00F50744">
        <w:rPr>
          <w:rFonts w:ascii="Lato" w:eastAsia="Times New Roman" w:hAnsi="Lato" w:cs="Arial"/>
          <w:b/>
          <w:spacing w:val="4"/>
          <w:lang w:eastAsia="pl-PL"/>
        </w:rPr>
        <w:t xml:space="preserve"> </w:t>
      </w:r>
      <w:r w:rsidRPr="00F50744">
        <w:rPr>
          <w:rFonts w:ascii="Lato" w:eastAsia="Times New Roman" w:hAnsi="Lato" w:cs="Arial"/>
          <w:spacing w:val="4"/>
          <w:lang w:eastAsia="pl-PL"/>
        </w:rPr>
        <w:t xml:space="preserve">mapa w skali 1:1000 </w:t>
      </w:r>
      <w:r w:rsidR="006C5485" w:rsidRPr="00F50744">
        <w:rPr>
          <w:rFonts w:ascii="Lato" w:eastAsia="Times New Roman" w:hAnsi="Lato" w:cs="Arial"/>
          <w:spacing w:val="4"/>
          <w:lang w:eastAsia="pl-PL"/>
        </w:rPr>
        <w:t xml:space="preserve">określająca granice terenu objętego </w:t>
      </w:r>
      <w:r w:rsidR="007F2D77">
        <w:rPr>
          <w:rFonts w:ascii="Lato" w:eastAsia="Times New Roman" w:hAnsi="Lato" w:cs="Arial"/>
          <w:spacing w:val="4"/>
          <w:lang w:eastAsia="pl-PL"/>
        </w:rPr>
        <w:t xml:space="preserve">inwestycją </w:t>
      </w:r>
    </w:p>
    <w:p w14:paraId="080C4EA7" w14:textId="77777777" w:rsidR="009F2790" w:rsidRPr="009F2790" w:rsidRDefault="009F2790" w:rsidP="009F2790">
      <w:pPr>
        <w:spacing w:after="120" w:line="240" w:lineRule="exact"/>
        <w:ind w:left="4253"/>
        <w:rPr>
          <w:rFonts w:ascii="Lato" w:eastAsia="Aptos" w:hAnsi="Lato" w:cs="Times New Roman"/>
          <w:b/>
          <w:bCs/>
        </w:rPr>
      </w:pPr>
      <w:r w:rsidRPr="009F2790">
        <w:rPr>
          <w:rFonts w:ascii="Lato" w:eastAsia="Aptos" w:hAnsi="Lato" w:cs="Times New Roman"/>
          <w:b/>
          <w:bCs/>
        </w:rPr>
        <w:t>Z upoważnienia</w:t>
      </w:r>
    </w:p>
    <w:p w14:paraId="5B321576" w14:textId="77777777" w:rsidR="009F2790" w:rsidRPr="009F2790" w:rsidRDefault="009F2790" w:rsidP="009F2790">
      <w:pPr>
        <w:spacing w:after="120" w:line="240" w:lineRule="exact"/>
        <w:ind w:left="4253"/>
        <w:rPr>
          <w:rFonts w:ascii="Lato" w:eastAsia="Aptos" w:hAnsi="Lato" w:cs="Times New Roman"/>
        </w:rPr>
      </w:pPr>
      <w:r w:rsidRPr="009F2790">
        <w:rPr>
          <w:rFonts w:ascii="Lato" w:eastAsia="Aptos" w:hAnsi="Lato" w:cs="Times New Roman"/>
        </w:rPr>
        <w:t>Edyta Lubaszewska</w:t>
      </w:r>
    </w:p>
    <w:p w14:paraId="2B6E43EF" w14:textId="77777777" w:rsidR="009F2790" w:rsidRPr="009F2790" w:rsidRDefault="009F2790" w:rsidP="009F2790">
      <w:pPr>
        <w:spacing w:after="120" w:line="240" w:lineRule="exact"/>
        <w:ind w:left="4253"/>
        <w:rPr>
          <w:rFonts w:ascii="Lato" w:eastAsia="Aptos" w:hAnsi="Lato" w:cs="Times New Roman"/>
        </w:rPr>
      </w:pPr>
      <w:r w:rsidRPr="009F2790">
        <w:rPr>
          <w:rFonts w:ascii="Lato" w:eastAsia="Aptos" w:hAnsi="Lato" w:cs="Times New Roman"/>
        </w:rPr>
        <w:t>dyrektor departamentu</w:t>
      </w:r>
    </w:p>
    <w:p w14:paraId="4030E929" w14:textId="77777777" w:rsidR="009F2790" w:rsidRPr="009F2790" w:rsidRDefault="009F2790" w:rsidP="009F2790">
      <w:pPr>
        <w:spacing w:after="120" w:line="240" w:lineRule="exact"/>
        <w:ind w:left="4253"/>
        <w:rPr>
          <w:rFonts w:ascii="Lato" w:eastAsia="Aptos" w:hAnsi="Lato" w:cs="Times New Roman"/>
        </w:rPr>
      </w:pPr>
      <w:r w:rsidRPr="009F2790">
        <w:rPr>
          <w:rFonts w:ascii="Lato" w:eastAsia="Aptos" w:hAnsi="Lato" w:cs="Times New Roman"/>
        </w:rPr>
        <w:t xml:space="preserve">/ kwalifikowany podpis elektroniczny / </w:t>
      </w:r>
    </w:p>
    <w:p w14:paraId="6496F27E" w14:textId="77777777" w:rsidR="00262683" w:rsidRDefault="00262683" w:rsidP="00232F4A">
      <w:pPr>
        <w:tabs>
          <w:tab w:val="center" w:pos="1470"/>
          <w:tab w:val="left" w:pos="5387"/>
        </w:tabs>
        <w:spacing w:after="240" w:line="240" w:lineRule="exact"/>
        <w:contextualSpacing/>
        <w:jc w:val="both"/>
        <w:outlineLvl w:val="0"/>
        <w:rPr>
          <w:rFonts w:ascii="Lato" w:hAnsi="Lato"/>
          <w:bCs/>
          <w:iCs/>
        </w:rPr>
      </w:pPr>
    </w:p>
    <w:p w14:paraId="5EAD366D" w14:textId="77777777" w:rsidR="00FC21EA" w:rsidRDefault="00FC21EA" w:rsidP="00232F4A">
      <w:pPr>
        <w:tabs>
          <w:tab w:val="center" w:pos="1470"/>
          <w:tab w:val="left" w:pos="5387"/>
        </w:tabs>
        <w:spacing w:after="240" w:line="240" w:lineRule="exact"/>
        <w:contextualSpacing/>
        <w:jc w:val="both"/>
        <w:outlineLvl w:val="0"/>
        <w:rPr>
          <w:rFonts w:ascii="Lato" w:hAnsi="Lato"/>
          <w:bCs/>
          <w:iCs/>
        </w:rPr>
      </w:pPr>
    </w:p>
    <w:p w14:paraId="4C2A20DE" w14:textId="77777777" w:rsidR="00FC21EA" w:rsidRPr="00F50744" w:rsidRDefault="00FC21EA" w:rsidP="00232F4A">
      <w:pPr>
        <w:tabs>
          <w:tab w:val="center" w:pos="1470"/>
          <w:tab w:val="left" w:pos="5387"/>
        </w:tabs>
        <w:spacing w:after="240" w:line="240" w:lineRule="exact"/>
        <w:contextualSpacing/>
        <w:jc w:val="both"/>
        <w:outlineLvl w:val="0"/>
        <w:rPr>
          <w:rFonts w:ascii="Lato" w:hAnsi="Lato"/>
          <w:bCs/>
          <w:iCs/>
        </w:rPr>
      </w:pPr>
    </w:p>
    <w:sectPr w:rsidR="00FC21EA" w:rsidRPr="00F50744" w:rsidSect="000630A7">
      <w:headerReference w:type="default" r:id="rId15"/>
      <w:footerReference w:type="default" r:id="rId16"/>
      <w:headerReference w:type="first" r:id="rId17"/>
      <w:footerReference w:type="first" r:id="rId18"/>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DF68" w14:textId="77777777" w:rsidR="003E778F" w:rsidRDefault="003E778F" w:rsidP="009276B2">
      <w:pPr>
        <w:spacing w:after="0" w:line="240" w:lineRule="auto"/>
      </w:pPr>
      <w:r>
        <w:separator/>
      </w:r>
    </w:p>
  </w:endnote>
  <w:endnote w:type="continuationSeparator" w:id="0">
    <w:p w14:paraId="00BA71D7" w14:textId="77777777" w:rsidR="003E778F" w:rsidRDefault="003E778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altName w:val="Segoe UI"/>
    <w:charset w:val="00"/>
    <w:family w:val="swiss"/>
    <w:pitch w:val="variable"/>
    <w:sig w:usb0="E10002FF" w:usb1="5000ECFF" w:usb2="00000021" w:usb3="00000000" w:csb0="0000019F" w:csb1="00000000"/>
    <w:embedRegular r:id="rId1" w:fontKey="{3305AEC0-CE67-4639-8EC4-FCC7A6B0EA99}"/>
    <w:embedBold r:id="rId2" w:fontKey="{71C7FC15-CD0D-430F-B1A5-A071A670740D}"/>
    <w:embedItalic r:id="rId3" w:fontKey="{88619C67-5064-44F8-98C6-7E5F9996C4B3}"/>
    <w:embedBoldItalic r:id="rId4" w:fontKey="{D0F6FC52-AF38-423C-A5AC-5B44F17E0A7A}"/>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5" w:fontKey="{6ED0FF22-8DC1-4CBB-B184-91DD89A00751}"/>
    <w:embedBold r:id="rId6" w:fontKey="{80DF77DB-CF38-4CC4-9E8C-8F2F3CEFEF85}"/>
    <w:embedItalic r:id="rId7" w:fontKey="{A2731E5E-05A9-48B6-933E-BD8B97D70BF6}"/>
  </w:font>
  <w:font w:name="Calibri Light">
    <w:panose1 w:val="020F0302020204030204"/>
    <w:charset w:val="EE"/>
    <w:family w:val="swiss"/>
    <w:pitch w:val="variable"/>
    <w:sig w:usb0="E4002EFF" w:usb1="C000247B" w:usb2="00000009" w:usb3="00000000" w:csb0="000001FF" w:csb1="00000000"/>
    <w:embedRegular r:id="rId8" w:fontKey="{371B980D-2A7C-450C-976E-906FCD7C68AA}"/>
    <w:embedBold r:id="rId9" w:fontKey="{DA7D73EA-BE91-4AE7-BF59-57FE44494207}"/>
  </w:font>
  <w:font w:name="Cambria">
    <w:panose1 w:val="02040503050406030204"/>
    <w:charset w:val="EE"/>
    <w:family w:val="roman"/>
    <w:pitch w:val="variable"/>
    <w:sig w:usb0="E00006FF" w:usb1="420024FF" w:usb2="02000000" w:usb3="00000000" w:csb0="0000019F" w:csb1="00000000"/>
    <w:embedBold r:id="rId10" w:fontKey="{77A7649B-33EA-43D9-9E18-BD2E1082A72C}"/>
  </w:font>
  <w:font w:name="Tahoma">
    <w:panose1 w:val="020B0604030504040204"/>
    <w:charset w:val="EE"/>
    <w:family w:val="swiss"/>
    <w:pitch w:val="variable"/>
    <w:sig w:usb0="E1002EFF" w:usb1="C000605B" w:usb2="00000029" w:usb3="00000000" w:csb0="000101FF" w:csb1="00000000"/>
    <w:embedRegular r:id="rId11" w:fontKey="{1F07770D-5634-4A4E-9A71-A44EC98F4556}"/>
  </w:font>
  <w:font w:name="Microsoft Sans Serif">
    <w:panose1 w:val="020B0604020202020204"/>
    <w:charset w:val="EE"/>
    <w:family w:val="swiss"/>
    <w:pitch w:val="variable"/>
    <w:sig w:usb0="E5002EFF" w:usb1="C000605B" w:usb2="00000029" w:usb3="00000000" w:csb0="000101FF" w:csb1="00000000"/>
    <w:embedBold r:id="rId12" w:fontKey="{834E4325-BC95-40B8-ADD8-C05196E1EE4F}"/>
  </w:font>
  <w:font w:name="Arial Narrow">
    <w:panose1 w:val="020B0606020202030204"/>
    <w:charset w:val="EE"/>
    <w:family w:val="swiss"/>
    <w:pitch w:val="variable"/>
    <w:sig w:usb0="00000287" w:usb1="00000800" w:usb2="00000000" w:usb3="00000000" w:csb0="0000009F" w:csb1="00000000"/>
    <w:embedItalic r:id="rId13" w:fontKey="{9F44ADC3-6E48-4064-8E30-094E7C0222E3}"/>
  </w:font>
  <w:font w:name="Segoe UI">
    <w:panose1 w:val="020B0502040204020203"/>
    <w:charset w:val="EE"/>
    <w:family w:val="swiss"/>
    <w:pitch w:val="variable"/>
    <w:sig w:usb0="E4002EFF" w:usb1="C000E47F" w:usb2="00000009" w:usb3="00000000" w:csb0="000001FF" w:csb1="00000000"/>
    <w:embedRegular r:id="rId14" w:fontKey="{CA780098-8CF3-4FAF-A928-13295F3AB860}"/>
    <w:embedItalic r:id="rId15" w:fontKey="{3F9D02CD-1E6D-4553-BC16-330D1785796B}"/>
  </w:font>
  <w:font w:name="Corbel">
    <w:panose1 w:val="020B0503020204020204"/>
    <w:charset w:val="EE"/>
    <w:family w:val="swiss"/>
    <w:pitch w:val="variable"/>
    <w:sig w:usb0="A00002EF" w:usb1="4000A44B" w:usb2="00000000" w:usb3="00000000" w:csb0="0000019F" w:csb1="00000000"/>
    <w:embedBold r:id="rId16" w:fontKey="{CF238DB7-8EBA-4268-8C24-D4450D0E8DC7}"/>
  </w:font>
  <w:font w:name="Trebuchet MS">
    <w:panose1 w:val="020B0603020202020204"/>
    <w:charset w:val="EE"/>
    <w:family w:val="swiss"/>
    <w:pitch w:val="variable"/>
    <w:sig w:usb0="00000687" w:usb1="00000000" w:usb2="00000000" w:usb3="00000000" w:csb0="0000009F" w:csb1="00000000"/>
    <w:embedItalic r:id="rId17" w:fontKey="{32D2A5D2-2EF8-4BBA-8D53-6DCD9B66AFFD}"/>
  </w:font>
  <w:font w:name="Aptos">
    <w:charset w:val="00"/>
    <w:family w:val="swiss"/>
    <w:pitch w:val="variable"/>
    <w:sig w:usb0="20000287" w:usb1="00000003" w:usb2="00000000" w:usb3="00000000" w:csb0="0000019F" w:csb1="00000000"/>
    <w:embedRegular r:id="rId18" w:fontKey="{CB9CBE8F-2DCB-4F50-8211-A205861F56A0}"/>
    <w:embedBold r:id="rId19" w:fontKey="{B504A9B4-78F6-461B-A0BB-B01811367C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1D661" w14:textId="77777777" w:rsidR="003E778F" w:rsidRDefault="003E778F" w:rsidP="009276B2">
      <w:pPr>
        <w:spacing w:after="0" w:line="240" w:lineRule="auto"/>
      </w:pPr>
      <w:r>
        <w:separator/>
      </w:r>
    </w:p>
  </w:footnote>
  <w:footnote w:type="continuationSeparator" w:id="0">
    <w:p w14:paraId="49800C03" w14:textId="77777777" w:rsidR="003E778F" w:rsidRDefault="003E778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1A37FB6"/>
    <w:multiLevelType w:val="hybridMultilevel"/>
    <w:tmpl w:val="861682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79F7F1D"/>
    <w:multiLevelType w:val="hybridMultilevel"/>
    <w:tmpl w:val="A2EE0A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C84BB3"/>
    <w:multiLevelType w:val="hybridMultilevel"/>
    <w:tmpl w:val="CD06F870"/>
    <w:lvl w:ilvl="0" w:tplc="04150001">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 w15:restartNumberingAfterBreak="0">
    <w:nsid w:val="16685BE1"/>
    <w:multiLevelType w:val="hybridMultilevel"/>
    <w:tmpl w:val="3D3A4D1E"/>
    <w:lvl w:ilvl="0" w:tplc="0415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99A55DD"/>
    <w:multiLevelType w:val="hybridMultilevel"/>
    <w:tmpl w:val="9CC6C1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9CB2EA9"/>
    <w:multiLevelType w:val="hybridMultilevel"/>
    <w:tmpl w:val="86DAF9B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 w15:restartNumberingAfterBreak="0">
    <w:nsid w:val="1FC6267F"/>
    <w:multiLevelType w:val="hybridMultilevel"/>
    <w:tmpl w:val="0038C4B0"/>
    <w:lvl w:ilvl="0" w:tplc="969A0A90">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9" w15:restartNumberingAfterBreak="0">
    <w:nsid w:val="22A54A51"/>
    <w:multiLevelType w:val="hybridMultilevel"/>
    <w:tmpl w:val="BB8A3840"/>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0A6847"/>
    <w:multiLevelType w:val="hybridMultilevel"/>
    <w:tmpl w:val="EB70A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0261A3"/>
    <w:multiLevelType w:val="hybridMultilevel"/>
    <w:tmpl w:val="0276D4D0"/>
    <w:lvl w:ilvl="0" w:tplc="B18A8554">
      <w:start w:val="2"/>
      <w:numFmt w:val="upperRoman"/>
      <w:lvlText w:val="%1."/>
      <w:lvlJc w:val="left"/>
      <w:pPr>
        <w:ind w:left="1080" w:hanging="72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232435"/>
    <w:multiLevelType w:val="hybridMultilevel"/>
    <w:tmpl w:val="972040BC"/>
    <w:lvl w:ilvl="0" w:tplc="21AE9228">
      <w:start w:val="1"/>
      <w:numFmt w:val="bullet"/>
      <w:lvlText w:val=""/>
      <w:lvlJc w:val="center"/>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330B5D9F"/>
    <w:multiLevelType w:val="hybridMultilevel"/>
    <w:tmpl w:val="F24AB12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34FC594D"/>
    <w:multiLevelType w:val="hybridMultilevel"/>
    <w:tmpl w:val="79CC1122"/>
    <w:lvl w:ilvl="0" w:tplc="902A3B3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5BD5EE3"/>
    <w:multiLevelType w:val="multilevel"/>
    <w:tmpl w:val="CE065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7" w15:restartNumberingAfterBreak="0">
    <w:nsid w:val="55BA139D"/>
    <w:multiLevelType w:val="hybridMultilevel"/>
    <w:tmpl w:val="5126A6CE"/>
    <w:lvl w:ilvl="0" w:tplc="6DD633F6">
      <w:start w:val="1"/>
      <w:numFmt w:val="bullet"/>
      <w:lvlText w:val=""/>
      <w:lvlJc w:val="left"/>
      <w:pPr>
        <w:ind w:left="1288" w:hanging="360"/>
      </w:pPr>
      <w:rPr>
        <w:rFonts w:ascii="Symbol" w:hAnsi="Symbol" w:hint="default"/>
      </w:rPr>
    </w:lvl>
    <w:lvl w:ilvl="1" w:tplc="04150003" w:tentative="1">
      <w:start w:val="1"/>
      <w:numFmt w:val="bullet"/>
      <w:lvlText w:val="o"/>
      <w:lvlJc w:val="left"/>
      <w:pPr>
        <w:ind w:left="2008" w:hanging="360"/>
      </w:pPr>
      <w:rPr>
        <w:rFonts w:ascii="Courier New" w:hAnsi="Courier New" w:cs="Courier New" w:hint="default"/>
      </w:rPr>
    </w:lvl>
    <w:lvl w:ilvl="2" w:tplc="04150005" w:tentative="1">
      <w:start w:val="1"/>
      <w:numFmt w:val="bullet"/>
      <w:lvlText w:val=""/>
      <w:lvlJc w:val="left"/>
      <w:pPr>
        <w:ind w:left="2728" w:hanging="360"/>
      </w:pPr>
      <w:rPr>
        <w:rFonts w:ascii="Wingdings" w:hAnsi="Wingdings" w:hint="default"/>
      </w:rPr>
    </w:lvl>
    <w:lvl w:ilvl="3" w:tplc="04150001" w:tentative="1">
      <w:start w:val="1"/>
      <w:numFmt w:val="bullet"/>
      <w:lvlText w:val=""/>
      <w:lvlJc w:val="left"/>
      <w:pPr>
        <w:ind w:left="3448" w:hanging="360"/>
      </w:pPr>
      <w:rPr>
        <w:rFonts w:ascii="Symbol" w:hAnsi="Symbol" w:hint="default"/>
      </w:rPr>
    </w:lvl>
    <w:lvl w:ilvl="4" w:tplc="04150003" w:tentative="1">
      <w:start w:val="1"/>
      <w:numFmt w:val="bullet"/>
      <w:lvlText w:val="o"/>
      <w:lvlJc w:val="left"/>
      <w:pPr>
        <w:ind w:left="4168" w:hanging="360"/>
      </w:pPr>
      <w:rPr>
        <w:rFonts w:ascii="Courier New" w:hAnsi="Courier New" w:cs="Courier New" w:hint="default"/>
      </w:rPr>
    </w:lvl>
    <w:lvl w:ilvl="5" w:tplc="04150005" w:tentative="1">
      <w:start w:val="1"/>
      <w:numFmt w:val="bullet"/>
      <w:lvlText w:val=""/>
      <w:lvlJc w:val="left"/>
      <w:pPr>
        <w:ind w:left="4888" w:hanging="360"/>
      </w:pPr>
      <w:rPr>
        <w:rFonts w:ascii="Wingdings" w:hAnsi="Wingdings" w:hint="default"/>
      </w:rPr>
    </w:lvl>
    <w:lvl w:ilvl="6" w:tplc="04150001" w:tentative="1">
      <w:start w:val="1"/>
      <w:numFmt w:val="bullet"/>
      <w:lvlText w:val=""/>
      <w:lvlJc w:val="left"/>
      <w:pPr>
        <w:ind w:left="5608" w:hanging="360"/>
      </w:pPr>
      <w:rPr>
        <w:rFonts w:ascii="Symbol" w:hAnsi="Symbol" w:hint="default"/>
      </w:rPr>
    </w:lvl>
    <w:lvl w:ilvl="7" w:tplc="04150003" w:tentative="1">
      <w:start w:val="1"/>
      <w:numFmt w:val="bullet"/>
      <w:lvlText w:val="o"/>
      <w:lvlJc w:val="left"/>
      <w:pPr>
        <w:ind w:left="6328" w:hanging="360"/>
      </w:pPr>
      <w:rPr>
        <w:rFonts w:ascii="Courier New" w:hAnsi="Courier New" w:cs="Courier New" w:hint="default"/>
      </w:rPr>
    </w:lvl>
    <w:lvl w:ilvl="8" w:tplc="04150005" w:tentative="1">
      <w:start w:val="1"/>
      <w:numFmt w:val="bullet"/>
      <w:lvlText w:val=""/>
      <w:lvlJc w:val="left"/>
      <w:pPr>
        <w:ind w:left="7048" w:hanging="360"/>
      </w:pPr>
      <w:rPr>
        <w:rFonts w:ascii="Wingdings" w:hAnsi="Wingdings" w:hint="default"/>
      </w:rPr>
    </w:lvl>
  </w:abstractNum>
  <w:abstractNum w:abstractNumId="18" w15:restartNumberingAfterBreak="0">
    <w:nsid w:val="591834A3"/>
    <w:multiLevelType w:val="hybridMultilevel"/>
    <w:tmpl w:val="E048E186"/>
    <w:lvl w:ilvl="0" w:tplc="69C89C6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61164EDB"/>
    <w:multiLevelType w:val="hybridMultilevel"/>
    <w:tmpl w:val="0E7E6B4A"/>
    <w:lvl w:ilvl="0" w:tplc="33D6F0B2">
      <w:start w:val="1"/>
      <w:numFmt w:val="decimal"/>
      <w:lvlText w:val="%1."/>
      <w:lvlJc w:val="left"/>
      <w:pPr>
        <w:ind w:left="360" w:hanging="360"/>
      </w:pPr>
      <w:rPr>
        <w:rFonts w:ascii="Arial" w:hAnsi="Arial" w:cs="Arial" w:hint="default"/>
        <w:b/>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15:restartNumberingAfterBreak="0">
    <w:nsid w:val="66B15C04"/>
    <w:multiLevelType w:val="hybridMultilevel"/>
    <w:tmpl w:val="A9F24654"/>
    <w:lvl w:ilvl="0" w:tplc="E3A25DC2">
      <w:start w:val="1"/>
      <w:numFmt w:val="bullet"/>
      <w:lvlText w:val="-"/>
      <w:lvlJc w:val="left"/>
      <w:pPr>
        <w:ind w:left="780" w:hanging="360"/>
      </w:pPr>
      <w:rPr>
        <w:rFonts w:ascii="Arial" w:hAnsi="Aria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 w15:restartNumberingAfterBreak="0">
    <w:nsid w:val="67A56039"/>
    <w:multiLevelType w:val="hybridMultilevel"/>
    <w:tmpl w:val="0868F8E8"/>
    <w:lvl w:ilvl="0" w:tplc="21AE9228">
      <w:start w:val="1"/>
      <w:numFmt w:val="bullet"/>
      <w:lvlText w:val=""/>
      <w:lvlJc w:val="center"/>
      <w:pPr>
        <w:ind w:left="6881" w:hanging="360"/>
      </w:pPr>
      <w:rPr>
        <w:rFonts w:ascii="Symbol" w:hAnsi="Symbol" w:hint="default"/>
      </w:rPr>
    </w:lvl>
    <w:lvl w:ilvl="1" w:tplc="04150003">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22" w15:restartNumberingAfterBreak="0">
    <w:nsid w:val="6B393B41"/>
    <w:multiLevelType w:val="hybridMultilevel"/>
    <w:tmpl w:val="9CB2E098"/>
    <w:lvl w:ilvl="0" w:tplc="A7CA944A">
      <w:start w:val="1"/>
      <w:numFmt w:val="bullet"/>
      <w:lvlText w:val=""/>
      <w:lvlJc w:val="left"/>
      <w:pPr>
        <w:ind w:left="4187" w:hanging="360"/>
      </w:pPr>
      <w:rPr>
        <w:rFonts w:ascii="Symbol" w:hAnsi="Symbol" w:hint="default"/>
      </w:rPr>
    </w:lvl>
    <w:lvl w:ilvl="1" w:tplc="04150003" w:tentative="1">
      <w:start w:val="1"/>
      <w:numFmt w:val="bullet"/>
      <w:lvlText w:val="o"/>
      <w:lvlJc w:val="left"/>
      <w:pPr>
        <w:ind w:left="4907" w:hanging="360"/>
      </w:pPr>
      <w:rPr>
        <w:rFonts w:ascii="Courier New" w:hAnsi="Courier New" w:cs="Courier New" w:hint="default"/>
      </w:rPr>
    </w:lvl>
    <w:lvl w:ilvl="2" w:tplc="04150005" w:tentative="1">
      <w:start w:val="1"/>
      <w:numFmt w:val="bullet"/>
      <w:lvlText w:val=""/>
      <w:lvlJc w:val="left"/>
      <w:pPr>
        <w:ind w:left="5627" w:hanging="360"/>
      </w:pPr>
      <w:rPr>
        <w:rFonts w:ascii="Wingdings" w:hAnsi="Wingdings" w:hint="default"/>
      </w:rPr>
    </w:lvl>
    <w:lvl w:ilvl="3" w:tplc="04150001" w:tentative="1">
      <w:start w:val="1"/>
      <w:numFmt w:val="bullet"/>
      <w:lvlText w:val=""/>
      <w:lvlJc w:val="left"/>
      <w:pPr>
        <w:ind w:left="6347" w:hanging="360"/>
      </w:pPr>
      <w:rPr>
        <w:rFonts w:ascii="Symbol" w:hAnsi="Symbol" w:hint="default"/>
      </w:rPr>
    </w:lvl>
    <w:lvl w:ilvl="4" w:tplc="04150003" w:tentative="1">
      <w:start w:val="1"/>
      <w:numFmt w:val="bullet"/>
      <w:lvlText w:val="o"/>
      <w:lvlJc w:val="left"/>
      <w:pPr>
        <w:ind w:left="7067" w:hanging="360"/>
      </w:pPr>
      <w:rPr>
        <w:rFonts w:ascii="Courier New" w:hAnsi="Courier New" w:cs="Courier New" w:hint="default"/>
      </w:rPr>
    </w:lvl>
    <w:lvl w:ilvl="5" w:tplc="04150005" w:tentative="1">
      <w:start w:val="1"/>
      <w:numFmt w:val="bullet"/>
      <w:lvlText w:val=""/>
      <w:lvlJc w:val="left"/>
      <w:pPr>
        <w:ind w:left="7787" w:hanging="360"/>
      </w:pPr>
      <w:rPr>
        <w:rFonts w:ascii="Wingdings" w:hAnsi="Wingdings" w:hint="default"/>
      </w:rPr>
    </w:lvl>
    <w:lvl w:ilvl="6" w:tplc="04150001" w:tentative="1">
      <w:start w:val="1"/>
      <w:numFmt w:val="bullet"/>
      <w:lvlText w:val=""/>
      <w:lvlJc w:val="left"/>
      <w:pPr>
        <w:ind w:left="8507" w:hanging="360"/>
      </w:pPr>
      <w:rPr>
        <w:rFonts w:ascii="Symbol" w:hAnsi="Symbol" w:hint="default"/>
      </w:rPr>
    </w:lvl>
    <w:lvl w:ilvl="7" w:tplc="04150003" w:tentative="1">
      <w:start w:val="1"/>
      <w:numFmt w:val="bullet"/>
      <w:lvlText w:val="o"/>
      <w:lvlJc w:val="left"/>
      <w:pPr>
        <w:ind w:left="9227" w:hanging="360"/>
      </w:pPr>
      <w:rPr>
        <w:rFonts w:ascii="Courier New" w:hAnsi="Courier New" w:cs="Courier New" w:hint="default"/>
      </w:rPr>
    </w:lvl>
    <w:lvl w:ilvl="8" w:tplc="04150005" w:tentative="1">
      <w:start w:val="1"/>
      <w:numFmt w:val="bullet"/>
      <w:lvlText w:val=""/>
      <w:lvlJc w:val="left"/>
      <w:pPr>
        <w:ind w:left="9947" w:hanging="360"/>
      </w:pPr>
      <w:rPr>
        <w:rFonts w:ascii="Wingdings" w:hAnsi="Wingdings" w:hint="default"/>
      </w:rPr>
    </w:lvl>
  </w:abstractNum>
  <w:abstractNum w:abstractNumId="23" w15:restartNumberingAfterBreak="0">
    <w:nsid w:val="6D7023AB"/>
    <w:multiLevelType w:val="hybridMultilevel"/>
    <w:tmpl w:val="07243E0A"/>
    <w:lvl w:ilvl="0" w:tplc="1B1ECFE2">
      <w:start w:val="1"/>
      <w:numFmt w:val="upperRoman"/>
      <w:lvlText w:val="%1."/>
      <w:lvlJc w:val="left"/>
      <w:pPr>
        <w:ind w:left="720" w:hanging="72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5" w15:restartNumberingAfterBreak="0">
    <w:nsid w:val="7242295B"/>
    <w:multiLevelType w:val="hybridMultilevel"/>
    <w:tmpl w:val="338A93CC"/>
    <w:lvl w:ilvl="0" w:tplc="E3A25DC2">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7DE4416"/>
    <w:multiLevelType w:val="hybridMultilevel"/>
    <w:tmpl w:val="9E2468E4"/>
    <w:lvl w:ilvl="0" w:tplc="04150001">
      <w:start w:val="1"/>
      <w:numFmt w:val="bullet"/>
      <w:lvlText w:val=""/>
      <w:lvlJc w:val="left"/>
      <w:pPr>
        <w:ind w:left="1290" w:hanging="360"/>
      </w:pPr>
      <w:rPr>
        <w:rFonts w:ascii="Symbol" w:hAnsi="Symbol" w:hint="default"/>
      </w:rPr>
    </w:lvl>
    <w:lvl w:ilvl="1" w:tplc="04150003" w:tentative="1">
      <w:start w:val="1"/>
      <w:numFmt w:val="bullet"/>
      <w:lvlText w:val="o"/>
      <w:lvlJc w:val="left"/>
      <w:pPr>
        <w:ind w:left="2010" w:hanging="360"/>
      </w:pPr>
      <w:rPr>
        <w:rFonts w:ascii="Courier New" w:hAnsi="Courier New" w:cs="Courier New" w:hint="default"/>
      </w:rPr>
    </w:lvl>
    <w:lvl w:ilvl="2" w:tplc="04150005" w:tentative="1">
      <w:start w:val="1"/>
      <w:numFmt w:val="bullet"/>
      <w:lvlText w:val=""/>
      <w:lvlJc w:val="left"/>
      <w:pPr>
        <w:ind w:left="2730" w:hanging="360"/>
      </w:pPr>
      <w:rPr>
        <w:rFonts w:ascii="Wingdings" w:hAnsi="Wingdings" w:hint="default"/>
      </w:rPr>
    </w:lvl>
    <w:lvl w:ilvl="3" w:tplc="04150001" w:tentative="1">
      <w:start w:val="1"/>
      <w:numFmt w:val="bullet"/>
      <w:lvlText w:val=""/>
      <w:lvlJc w:val="left"/>
      <w:pPr>
        <w:ind w:left="3450" w:hanging="360"/>
      </w:pPr>
      <w:rPr>
        <w:rFonts w:ascii="Symbol" w:hAnsi="Symbol" w:hint="default"/>
      </w:rPr>
    </w:lvl>
    <w:lvl w:ilvl="4" w:tplc="04150003" w:tentative="1">
      <w:start w:val="1"/>
      <w:numFmt w:val="bullet"/>
      <w:lvlText w:val="o"/>
      <w:lvlJc w:val="left"/>
      <w:pPr>
        <w:ind w:left="4170" w:hanging="360"/>
      </w:pPr>
      <w:rPr>
        <w:rFonts w:ascii="Courier New" w:hAnsi="Courier New" w:cs="Courier New" w:hint="default"/>
      </w:rPr>
    </w:lvl>
    <w:lvl w:ilvl="5" w:tplc="04150005" w:tentative="1">
      <w:start w:val="1"/>
      <w:numFmt w:val="bullet"/>
      <w:lvlText w:val=""/>
      <w:lvlJc w:val="left"/>
      <w:pPr>
        <w:ind w:left="4890" w:hanging="360"/>
      </w:pPr>
      <w:rPr>
        <w:rFonts w:ascii="Wingdings" w:hAnsi="Wingdings" w:hint="default"/>
      </w:rPr>
    </w:lvl>
    <w:lvl w:ilvl="6" w:tplc="04150001" w:tentative="1">
      <w:start w:val="1"/>
      <w:numFmt w:val="bullet"/>
      <w:lvlText w:val=""/>
      <w:lvlJc w:val="left"/>
      <w:pPr>
        <w:ind w:left="5610" w:hanging="360"/>
      </w:pPr>
      <w:rPr>
        <w:rFonts w:ascii="Symbol" w:hAnsi="Symbol" w:hint="default"/>
      </w:rPr>
    </w:lvl>
    <w:lvl w:ilvl="7" w:tplc="04150003" w:tentative="1">
      <w:start w:val="1"/>
      <w:numFmt w:val="bullet"/>
      <w:lvlText w:val="o"/>
      <w:lvlJc w:val="left"/>
      <w:pPr>
        <w:ind w:left="6330" w:hanging="360"/>
      </w:pPr>
      <w:rPr>
        <w:rFonts w:ascii="Courier New" w:hAnsi="Courier New" w:cs="Courier New" w:hint="default"/>
      </w:rPr>
    </w:lvl>
    <w:lvl w:ilvl="8" w:tplc="04150005" w:tentative="1">
      <w:start w:val="1"/>
      <w:numFmt w:val="bullet"/>
      <w:lvlText w:val=""/>
      <w:lvlJc w:val="left"/>
      <w:pPr>
        <w:ind w:left="7050" w:hanging="360"/>
      </w:pPr>
      <w:rPr>
        <w:rFonts w:ascii="Wingdings" w:hAnsi="Wingdings" w:hint="default"/>
      </w:rPr>
    </w:lvl>
  </w:abstractNum>
  <w:abstractNum w:abstractNumId="27" w15:restartNumberingAfterBreak="0">
    <w:nsid w:val="7A013912"/>
    <w:multiLevelType w:val="hybridMultilevel"/>
    <w:tmpl w:val="38905AF6"/>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A847E70"/>
    <w:multiLevelType w:val="hybridMultilevel"/>
    <w:tmpl w:val="340ACDF2"/>
    <w:lvl w:ilvl="0" w:tplc="28E8A388">
      <w:start w:val="3"/>
      <w:numFmt w:val="upperRoman"/>
      <w:lvlText w:val="%1."/>
      <w:lvlJc w:val="left"/>
      <w:pPr>
        <w:ind w:left="1571" w:hanging="72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9" w15:restartNumberingAfterBreak="0">
    <w:nsid w:val="7AFA244D"/>
    <w:multiLevelType w:val="hybridMultilevel"/>
    <w:tmpl w:val="B1A6B03A"/>
    <w:lvl w:ilvl="0" w:tplc="FFFFFFFF">
      <w:start w:val="1"/>
      <w:numFmt w:val="decimal"/>
      <w:lvlText w:val="%1."/>
      <w:lvlJc w:val="left"/>
      <w:pPr>
        <w:ind w:left="360" w:hanging="360"/>
      </w:pPr>
      <w:rPr>
        <w:rFonts w:ascii="Arial" w:hAnsi="Arial" w:cs="Arial" w:hint="default"/>
        <w:b/>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7D335AB8"/>
    <w:multiLevelType w:val="multilevel"/>
    <w:tmpl w:val="FECE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995B9F"/>
    <w:multiLevelType w:val="hybridMultilevel"/>
    <w:tmpl w:val="F3D84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7006599">
    <w:abstractNumId w:val="16"/>
  </w:num>
  <w:num w:numId="2" w16cid:durableId="171648390">
    <w:abstractNumId w:val="2"/>
  </w:num>
  <w:num w:numId="3" w16cid:durableId="10633321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23199659">
    <w:abstractNumId w:val="31"/>
  </w:num>
  <w:num w:numId="5" w16cid:durableId="449133138">
    <w:abstractNumId w:val="22"/>
  </w:num>
  <w:num w:numId="6" w16cid:durableId="14383174">
    <w:abstractNumId w:val="26"/>
  </w:num>
  <w:num w:numId="7" w16cid:durableId="1433939935">
    <w:abstractNumId w:val="11"/>
  </w:num>
  <w:num w:numId="8" w16cid:durableId="468548808">
    <w:abstractNumId w:val="3"/>
  </w:num>
  <w:num w:numId="9" w16cid:durableId="1651664961">
    <w:abstractNumId w:val="19"/>
  </w:num>
  <w:num w:numId="10" w16cid:durableId="1686207471">
    <w:abstractNumId w:val="19"/>
  </w:num>
  <w:num w:numId="11" w16cid:durableId="1765295634">
    <w:abstractNumId w:val="29"/>
  </w:num>
  <w:num w:numId="12" w16cid:durableId="1620599852">
    <w:abstractNumId w:val="2"/>
  </w:num>
  <w:num w:numId="13" w16cid:durableId="2095586940">
    <w:abstractNumId w:val="12"/>
  </w:num>
  <w:num w:numId="14" w16cid:durableId="834807531">
    <w:abstractNumId w:val="24"/>
  </w:num>
  <w:num w:numId="15" w16cid:durableId="1439983572">
    <w:abstractNumId w:val="23"/>
  </w:num>
  <w:num w:numId="16" w16cid:durableId="258755934">
    <w:abstractNumId w:val="18"/>
  </w:num>
  <w:num w:numId="17" w16cid:durableId="609358228">
    <w:abstractNumId w:val="4"/>
  </w:num>
  <w:num w:numId="18" w16cid:durableId="543636831">
    <w:abstractNumId w:val="5"/>
  </w:num>
  <w:num w:numId="19" w16cid:durableId="1741323609">
    <w:abstractNumId w:val="7"/>
  </w:num>
  <w:num w:numId="20" w16cid:durableId="12809154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3998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1152608">
    <w:abstractNumId w:val="10"/>
  </w:num>
  <w:num w:numId="23" w16cid:durableId="160387827">
    <w:abstractNumId w:val="27"/>
  </w:num>
  <w:num w:numId="24" w16cid:durableId="766390397">
    <w:abstractNumId w:val="21"/>
  </w:num>
  <w:num w:numId="25" w16cid:durableId="1257984147">
    <w:abstractNumId w:val="20"/>
  </w:num>
  <w:num w:numId="26" w16cid:durableId="1602831667">
    <w:abstractNumId w:val="25"/>
  </w:num>
  <w:num w:numId="27" w16cid:durableId="1703630143">
    <w:abstractNumId w:val="28"/>
  </w:num>
  <w:num w:numId="28" w16cid:durableId="1252543477">
    <w:abstractNumId w:val="30"/>
  </w:num>
  <w:num w:numId="29" w16cid:durableId="1730104385">
    <w:abstractNumId w:val="15"/>
  </w:num>
  <w:num w:numId="30" w16cid:durableId="1762488494">
    <w:abstractNumId w:val="9"/>
  </w:num>
  <w:num w:numId="31" w16cid:durableId="263730474">
    <w:abstractNumId w:val="17"/>
  </w:num>
  <w:num w:numId="32" w16cid:durableId="14277755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4BE4"/>
    <w:rsid w:val="000053C3"/>
    <w:rsid w:val="00005DB9"/>
    <w:rsid w:val="0000715E"/>
    <w:rsid w:val="00007CCC"/>
    <w:rsid w:val="0001313E"/>
    <w:rsid w:val="00017CBA"/>
    <w:rsid w:val="00022FFB"/>
    <w:rsid w:val="00024D1A"/>
    <w:rsid w:val="00026D34"/>
    <w:rsid w:val="00027B72"/>
    <w:rsid w:val="00027B82"/>
    <w:rsid w:val="00032029"/>
    <w:rsid w:val="00032437"/>
    <w:rsid w:val="00032E8C"/>
    <w:rsid w:val="00033577"/>
    <w:rsid w:val="00034538"/>
    <w:rsid w:val="000358C4"/>
    <w:rsid w:val="000417BB"/>
    <w:rsid w:val="00043477"/>
    <w:rsid w:val="000437B0"/>
    <w:rsid w:val="00043B39"/>
    <w:rsid w:val="00044A4D"/>
    <w:rsid w:val="00044ABE"/>
    <w:rsid w:val="00045110"/>
    <w:rsid w:val="00046526"/>
    <w:rsid w:val="00047481"/>
    <w:rsid w:val="00050D2E"/>
    <w:rsid w:val="0005364F"/>
    <w:rsid w:val="000549A1"/>
    <w:rsid w:val="00055F10"/>
    <w:rsid w:val="00057A14"/>
    <w:rsid w:val="0006000D"/>
    <w:rsid w:val="0006043C"/>
    <w:rsid w:val="00060659"/>
    <w:rsid w:val="000626E1"/>
    <w:rsid w:val="000630A7"/>
    <w:rsid w:val="0006424C"/>
    <w:rsid w:val="000642CB"/>
    <w:rsid w:val="00065247"/>
    <w:rsid w:val="00065850"/>
    <w:rsid w:val="00065CD4"/>
    <w:rsid w:val="000678B8"/>
    <w:rsid w:val="00067961"/>
    <w:rsid w:val="00067BE7"/>
    <w:rsid w:val="00070EEE"/>
    <w:rsid w:val="0007498A"/>
    <w:rsid w:val="00074993"/>
    <w:rsid w:val="0008015E"/>
    <w:rsid w:val="000837C1"/>
    <w:rsid w:val="000850F8"/>
    <w:rsid w:val="00086D77"/>
    <w:rsid w:val="00093DEC"/>
    <w:rsid w:val="000951E0"/>
    <w:rsid w:val="000A2586"/>
    <w:rsid w:val="000A35F7"/>
    <w:rsid w:val="000A6227"/>
    <w:rsid w:val="000A7007"/>
    <w:rsid w:val="000B0964"/>
    <w:rsid w:val="000B17CE"/>
    <w:rsid w:val="000B2641"/>
    <w:rsid w:val="000B4715"/>
    <w:rsid w:val="000B5A5F"/>
    <w:rsid w:val="000C0D01"/>
    <w:rsid w:val="000C2AE5"/>
    <w:rsid w:val="000C34D6"/>
    <w:rsid w:val="000C45D2"/>
    <w:rsid w:val="000C4CC2"/>
    <w:rsid w:val="000C51A4"/>
    <w:rsid w:val="000C54CC"/>
    <w:rsid w:val="000D1D51"/>
    <w:rsid w:val="000D1EF0"/>
    <w:rsid w:val="000D2B34"/>
    <w:rsid w:val="000D5507"/>
    <w:rsid w:val="000D59D7"/>
    <w:rsid w:val="000D5B5D"/>
    <w:rsid w:val="000D6F4C"/>
    <w:rsid w:val="000E0415"/>
    <w:rsid w:val="000E0D56"/>
    <w:rsid w:val="000E1B19"/>
    <w:rsid w:val="000E1D8B"/>
    <w:rsid w:val="000E1EEB"/>
    <w:rsid w:val="000E1F53"/>
    <w:rsid w:val="000E4F5B"/>
    <w:rsid w:val="000E50DF"/>
    <w:rsid w:val="000E536B"/>
    <w:rsid w:val="000E5A6E"/>
    <w:rsid w:val="000E60AF"/>
    <w:rsid w:val="000F2329"/>
    <w:rsid w:val="000F4F79"/>
    <w:rsid w:val="000F52A2"/>
    <w:rsid w:val="000F5919"/>
    <w:rsid w:val="000F700A"/>
    <w:rsid w:val="00100315"/>
    <w:rsid w:val="00100AD1"/>
    <w:rsid w:val="00104BE3"/>
    <w:rsid w:val="00106748"/>
    <w:rsid w:val="00107343"/>
    <w:rsid w:val="001102F7"/>
    <w:rsid w:val="00113468"/>
    <w:rsid w:val="00113528"/>
    <w:rsid w:val="001135F3"/>
    <w:rsid w:val="00116FE3"/>
    <w:rsid w:val="001211AA"/>
    <w:rsid w:val="001214C8"/>
    <w:rsid w:val="00122126"/>
    <w:rsid w:val="00123427"/>
    <w:rsid w:val="001236B0"/>
    <w:rsid w:val="001236E8"/>
    <w:rsid w:val="00125E1F"/>
    <w:rsid w:val="00130444"/>
    <w:rsid w:val="00130E79"/>
    <w:rsid w:val="0013244D"/>
    <w:rsid w:val="00134DF1"/>
    <w:rsid w:val="00135684"/>
    <w:rsid w:val="00137254"/>
    <w:rsid w:val="001372BA"/>
    <w:rsid w:val="00140788"/>
    <w:rsid w:val="00144328"/>
    <w:rsid w:val="0014650A"/>
    <w:rsid w:val="001465D1"/>
    <w:rsid w:val="00151276"/>
    <w:rsid w:val="001523F8"/>
    <w:rsid w:val="00155444"/>
    <w:rsid w:val="00155669"/>
    <w:rsid w:val="00155902"/>
    <w:rsid w:val="00155FA7"/>
    <w:rsid w:val="00160920"/>
    <w:rsid w:val="001619C8"/>
    <w:rsid w:val="00166A88"/>
    <w:rsid w:val="00167190"/>
    <w:rsid w:val="00167193"/>
    <w:rsid w:val="00167324"/>
    <w:rsid w:val="00167E00"/>
    <w:rsid w:val="00172963"/>
    <w:rsid w:val="00173B4F"/>
    <w:rsid w:val="001765D4"/>
    <w:rsid w:val="0017712B"/>
    <w:rsid w:val="001812F6"/>
    <w:rsid w:val="0018157C"/>
    <w:rsid w:val="00181A69"/>
    <w:rsid w:val="00183B62"/>
    <w:rsid w:val="00192E96"/>
    <w:rsid w:val="00193282"/>
    <w:rsid w:val="00194016"/>
    <w:rsid w:val="001954A9"/>
    <w:rsid w:val="00196BFD"/>
    <w:rsid w:val="00197D3B"/>
    <w:rsid w:val="00197EAB"/>
    <w:rsid w:val="001A0A30"/>
    <w:rsid w:val="001A14FC"/>
    <w:rsid w:val="001A26BF"/>
    <w:rsid w:val="001A34C1"/>
    <w:rsid w:val="001A3F79"/>
    <w:rsid w:val="001A41E1"/>
    <w:rsid w:val="001A471C"/>
    <w:rsid w:val="001A6F82"/>
    <w:rsid w:val="001A7BBE"/>
    <w:rsid w:val="001B0B3A"/>
    <w:rsid w:val="001B1F44"/>
    <w:rsid w:val="001B216C"/>
    <w:rsid w:val="001B316E"/>
    <w:rsid w:val="001B4BBB"/>
    <w:rsid w:val="001B69B4"/>
    <w:rsid w:val="001B70EB"/>
    <w:rsid w:val="001C0DD9"/>
    <w:rsid w:val="001C10D3"/>
    <w:rsid w:val="001C27AB"/>
    <w:rsid w:val="001C3F18"/>
    <w:rsid w:val="001C45B3"/>
    <w:rsid w:val="001C7A2F"/>
    <w:rsid w:val="001D14CD"/>
    <w:rsid w:val="001D1D82"/>
    <w:rsid w:val="001D1E58"/>
    <w:rsid w:val="001D3129"/>
    <w:rsid w:val="001E4B21"/>
    <w:rsid w:val="001E5CEF"/>
    <w:rsid w:val="001E6A18"/>
    <w:rsid w:val="001E7D49"/>
    <w:rsid w:val="001F1DE0"/>
    <w:rsid w:val="001F2060"/>
    <w:rsid w:val="001F3108"/>
    <w:rsid w:val="001F43DC"/>
    <w:rsid w:val="002003BF"/>
    <w:rsid w:val="00202BEC"/>
    <w:rsid w:val="00203CD2"/>
    <w:rsid w:val="00204EFE"/>
    <w:rsid w:val="002066ED"/>
    <w:rsid w:val="00212DC7"/>
    <w:rsid w:val="002144B4"/>
    <w:rsid w:val="00216A25"/>
    <w:rsid w:val="0022330D"/>
    <w:rsid w:val="002236C6"/>
    <w:rsid w:val="00223C39"/>
    <w:rsid w:val="00230177"/>
    <w:rsid w:val="00230418"/>
    <w:rsid w:val="00232F4A"/>
    <w:rsid w:val="00234032"/>
    <w:rsid w:val="00234C9D"/>
    <w:rsid w:val="00235165"/>
    <w:rsid w:val="00237C1F"/>
    <w:rsid w:val="00240C15"/>
    <w:rsid w:val="002411FB"/>
    <w:rsid w:val="00242913"/>
    <w:rsid w:val="00245FE2"/>
    <w:rsid w:val="002469C8"/>
    <w:rsid w:val="002473C0"/>
    <w:rsid w:val="00247741"/>
    <w:rsid w:val="00250CEC"/>
    <w:rsid w:val="002526F4"/>
    <w:rsid w:val="00252C99"/>
    <w:rsid w:val="00252D7F"/>
    <w:rsid w:val="0025364B"/>
    <w:rsid w:val="00255BB2"/>
    <w:rsid w:val="00261606"/>
    <w:rsid w:val="00261D3C"/>
    <w:rsid w:val="00262683"/>
    <w:rsid w:val="002675EA"/>
    <w:rsid w:val="0026788D"/>
    <w:rsid w:val="002742BB"/>
    <w:rsid w:val="00274D44"/>
    <w:rsid w:val="002775F3"/>
    <w:rsid w:val="0028053B"/>
    <w:rsid w:val="002805BF"/>
    <w:rsid w:val="00280704"/>
    <w:rsid w:val="00280754"/>
    <w:rsid w:val="00282B92"/>
    <w:rsid w:val="002830CF"/>
    <w:rsid w:val="002845AB"/>
    <w:rsid w:val="00284CD0"/>
    <w:rsid w:val="00286FD0"/>
    <w:rsid w:val="00290F20"/>
    <w:rsid w:val="002947AF"/>
    <w:rsid w:val="00294F91"/>
    <w:rsid w:val="0029712D"/>
    <w:rsid w:val="002A0129"/>
    <w:rsid w:val="002A0292"/>
    <w:rsid w:val="002A27D3"/>
    <w:rsid w:val="002A62BA"/>
    <w:rsid w:val="002A749A"/>
    <w:rsid w:val="002B0E61"/>
    <w:rsid w:val="002B1A7E"/>
    <w:rsid w:val="002B1E30"/>
    <w:rsid w:val="002B3B74"/>
    <w:rsid w:val="002B4331"/>
    <w:rsid w:val="002B5753"/>
    <w:rsid w:val="002B59C0"/>
    <w:rsid w:val="002B5C23"/>
    <w:rsid w:val="002B6C70"/>
    <w:rsid w:val="002C02AD"/>
    <w:rsid w:val="002C2A66"/>
    <w:rsid w:val="002C2ED6"/>
    <w:rsid w:val="002C5DB5"/>
    <w:rsid w:val="002C6A1D"/>
    <w:rsid w:val="002D0E17"/>
    <w:rsid w:val="002D1C05"/>
    <w:rsid w:val="002D1DEF"/>
    <w:rsid w:val="002D28FD"/>
    <w:rsid w:val="002D3817"/>
    <w:rsid w:val="002D5943"/>
    <w:rsid w:val="002E0C9D"/>
    <w:rsid w:val="002E1129"/>
    <w:rsid w:val="002E3617"/>
    <w:rsid w:val="002E56C9"/>
    <w:rsid w:val="002E7264"/>
    <w:rsid w:val="002E7ABF"/>
    <w:rsid w:val="002F2289"/>
    <w:rsid w:val="002F553B"/>
    <w:rsid w:val="00302097"/>
    <w:rsid w:val="0030252A"/>
    <w:rsid w:val="00302650"/>
    <w:rsid w:val="003039CC"/>
    <w:rsid w:val="003042BA"/>
    <w:rsid w:val="003065F4"/>
    <w:rsid w:val="0030739B"/>
    <w:rsid w:val="00307636"/>
    <w:rsid w:val="00307786"/>
    <w:rsid w:val="0030798B"/>
    <w:rsid w:val="00310FC4"/>
    <w:rsid w:val="003133FC"/>
    <w:rsid w:val="0031412D"/>
    <w:rsid w:val="00320615"/>
    <w:rsid w:val="00320DFB"/>
    <w:rsid w:val="0032164A"/>
    <w:rsid w:val="00321AF9"/>
    <w:rsid w:val="00324215"/>
    <w:rsid w:val="00325E8E"/>
    <w:rsid w:val="003268E7"/>
    <w:rsid w:val="0032702F"/>
    <w:rsid w:val="003273F7"/>
    <w:rsid w:val="0033286C"/>
    <w:rsid w:val="003336C9"/>
    <w:rsid w:val="00333733"/>
    <w:rsid w:val="00335BE6"/>
    <w:rsid w:val="00335FAF"/>
    <w:rsid w:val="00340D59"/>
    <w:rsid w:val="00341023"/>
    <w:rsid w:val="003411CD"/>
    <w:rsid w:val="003419FD"/>
    <w:rsid w:val="00343A14"/>
    <w:rsid w:val="00351738"/>
    <w:rsid w:val="00353201"/>
    <w:rsid w:val="00353315"/>
    <w:rsid w:val="00354A6E"/>
    <w:rsid w:val="00354FA5"/>
    <w:rsid w:val="00356ECD"/>
    <w:rsid w:val="00357B1E"/>
    <w:rsid w:val="00362CAD"/>
    <w:rsid w:val="00366692"/>
    <w:rsid w:val="0036685C"/>
    <w:rsid w:val="00366BA6"/>
    <w:rsid w:val="00366C8F"/>
    <w:rsid w:val="00377141"/>
    <w:rsid w:val="003814D8"/>
    <w:rsid w:val="00385321"/>
    <w:rsid w:val="00386FBB"/>
    <w:rsid w:val="003873CF"/>
    <w:rsid w:val="00387ADF"/>
    <w:rsid w:val="00387E24"/>
    <w:rsid w:val="00392811"/>
    <w:rsid w:val="0039459F"/>
    <w:rsid w:val="0039498E"/>
    <w:rsid w:val="003A1043"/>
    <w:rsid w:val="003A1976"/>
    <w:rsid w:val="003A29C0"/>
    <w:rsid w:val="003A3292"/>
    <w:rsid w:val="003A37BA"/>
    <w:rsid w:val="003A6534"/>
    <w:rsid w:val="003A79A6"/>
    <w:rsid w:val="003B0D75"/>
    <w:rsid w:val="003B2BA2"/>
    <w:rsid w:val="003B302A"/>
    <w:rsid w:val="003B6B13"/>
    <w:rsid w:val="003B7930"/>
    <w:rsid w:val="003C0D3C"/>
    <w:rsid w:val="003C123B"/>
    <w:rsid w:val="003C22EC"/>
    <w:rsid w:val="003C27E8"/>
    <w:rsid w:val="003C4B3B"/>
    <w:rsid w:val="003C5BA2"/>
    <w:rsid w:val="003D283E"/>
    <w:rsid w:val="003D2AD6"/>
    <w:rsid w:val="003D447E"/>
    <w:rsid w:val="003E2892"/>
    <w:rsid w:val="003E3665"/>
    <w:rsid w:val="003E3D60"/>
    <w:rsid w:val="003E5029"/>
    <w:rsid w:val="003E57E4"/>
    <w:rsid w:val="003E5E20"/>
    <w:rsid w:val="003E778F"/>
    <w:rsid w:val="003F0446"/>
    <w:rsid w:val="003F3116"/>
    <w:rsid w:val="003F3A8E"/>
    <w:rsid w:val="003F5743"/>
    <w:rsid w:val="003F6934"/>
    <w:rsid w:val="003F7006"/>
    <w:rsid w:val="003F72B4"/>
    <w:rsid w:val="00400B4E"/>
    <w:rsid w:val="0040148F"/>
    <w:rsid w:val="0040170F"/>
    <w:rsid w:val="00402A26"/>
    <w:rsid w:val="004030A6"/>
    <w:rsid w:val="0040381B"/>
    <w:rsid w:val="00403FC9"/>
    <w:rsid w:val="004053F5"/>
    <w:rsid w:val="00407F80"/>
    <w:rsid w:val="004116FD"/>
    <w:rsid w:val="00414BCD"/>
    <w:rsid w:val="00415325"/>
    <w:rsid w:val="004168EA"/>
    <w:rsid w:val="0041783F"/>
    <w:rsid w:val="00417FE0"/>
    <w:rsid w:val="00421825"/>
    <w:rsid w:val="00421B61"/>
    <w:rsid w:val="0042286E"/>
    <w:rsid w:val="004252F8"/>
    <w:rsid w:val="0043364A"/>
    <w:rsid w:val="004408DB"/>
    <w:rsid w:val="00440F66"/>
    <w:rsid w:val="00444CD4"/>
    <w:rsid w:val="00444D52"/>
    <w:rsid w:val="00445338"/>
    <w:rsid w:val="00445AB9"/>
    <w:rsid w:val="004462EF"/>
    <w:rsid w:val="00447645"/>
    <w:rsid w:val="00447D37"/>
    <w:rsid w:val="00447D7D"/>
    <w:rsid w:val="00447F11"/>
    <w:rsid w:val="004523B1"/>
    <w:rsid w:val="00453084"/>
    <w:rsid w:val="0045495D"/>
    <w:rsid w:val="00460E3D"/>
    <w:rsid w:val="00463EBB"/>
    <w:rsid w:val="00465D6A"/>
    <w:rsid w:val="00466945"/>
    <w:rsid w:val="00471D4F"/>
    <w:rsid w:val="00472487"/>
    <w:rsid w:val="00472575"/>
    <w:rsid w:val="00473BF0"/>
    <w:rsid w:val="00474542"/>
    <w:rsid w:val="00475A9A"/>
    <w:rsid w:val="00481BC2"/>
    <w:rsid w:val="004822DA"/>
    <w:rsid w:val="00486250"/>
    <w:rsid w:val="00487DF2"/>
    <w:rsid w:val="004904F0"/>
    <w:rsid w:val="00490BDD"/>
    <w:rsid w:val="00491966"/>
    <w:rsid w:val="00493D44"/>
    <w:rsid w:val="004944F3"/>
    <w:rsid w:val="004972FF"/>
    <w:rsid w:val="004A13C5"/>
    <w:rsid w:val="004A2223"/>
    <w:rsid w:val="004A5560"/>
    <w:rsid w:val="004A741F"/>
    <w:rsid w:val="004A7706"/>
    <w:rsid w:val="004A7FB7"/>
    <w:rsid w:val="004B16C9"/>
    <w:rsid w:val="004B407C"/>
    <w:rsid w:val="004B764A"/>
    <w:rsid w:val="004B7987"/>
    <w:rsid w:val="004C24B0"/>
    <w:rsid w:val="004C2893"/>
    <w:rsid w:val="004C3BD3"/>
    <w:rsid w:val="004C615E"/>
    <w:rsid w:val="004C6625"/>
    <w:rsid w:val="004D71BD"/>
    <w:rsid w:val="004E100A"/>
    <w:rsid w:val="004E321A"/>
    <w:rsid w:val="004E3592"/>
    <w:rsid w:val="004E487B"/>
    <w:rsid w:val="004E664A"/>
    <w:rsid w:val="004E79E6"/>
    <w:rsid w:val="004F204D"/>
    <w:rsid w:val="004F25E9"/>
    <w:rsid w:val="004F32DE"/>
    <w:rsid w:val="004F5D02"/>
    <w:rsid w:val="004F6288"/>
    <w:rsid w:val="004F6F95"/>
    <w:rsid w:val="00500909"/>
    <w:rsid w:val="005039F0"/>
    <w:rsid w:val="00503CF9"/>
    <w:rsid w:val="0050602E"/>
    <w:rsid w:val="005066C5"/>
    <w:rsid w:val="005068F5"/>
    <w:rsid w:val="005119D3"/>
    <w:rsid w:val="00512B91"/>
    <w:rsid w:val="00514A2D"/>
    <w:rsid w:val="00515BFC"/>
    <w:rsid w:val="0051744B"/>
    <w:rsid w:val="00517C6B"/>
    <w:rsid w:val="00521CC5"/>
    <w:rsid w:val="00525B2D"/>
    <w:rsid w:val="00530DF2"/>
    <w:rsid w:val="0053134F"/>
    <w:rsid w:val="005334D1"/>
    <w:rsid w:val="005375C1"/>
    <w:rsid w:val="0054025A"/>
    <w:rsid w:val="00541B24"/>
    <w:rsid w:val="00552BA0"/>
    <w:rsid w:val="00552FB7"/>
    <w:rsid w:val="0055579F"/>
    <w:rsid w:val="005557A1"/>
    <w:rsid w:val="00555847"/>
    <w:rsid w:val="00555BEB"/>
    <w:rsid w:val="00556767"/>
    <w:rsid w:val="005571DA"/>
    <w:rsid w:val="005572AA"/>
    <w:rsid w:val="00557D28"/>
    <w:rsid w:val="00560CB3"/>
    <w:rsid w:val="00563CEE"/>
    <w:rsid w:val="0056512D"/>
    <w:rsid w:val="00565D32"/>
    <w:rsid w:val="00566FD4"/>
    <w:rsid w:val="0057178C"/>
    <w:rsid w:val="00573DD4"/>
    <w:rsid w:val="00574786"/>
    <w:rsid w:val="005748B1"/>
    <w:rsid w:val="00574F06"/>
    <w:rsid w:val="00575C12"/>
    <w:rsid w:val="00575F3B"/>
    <w:rsid w:val="00576447"/>
    <w:rsid w:val="00576B74"/>
    <w:rsid w:val="00584CC7"/>
    <w:rsid w:val="00585409"/>
    <w:rsid w:val="005872CB"/>
    <w:rsid w:val="00590C4E"/>
    <w:rsid w:val="0059434A"/>
    <w:rsid w:val="005954B9"/>
    <w:rsid w:val="00596220"/>
    <w:rsid w:val="00596CD0"/>
    <w:rsid w:val="00597D38"/>
    <w:rsid w:val="005A3052"/>
    <w:rsid w:val="005A6F39"/>
    <w:rsid w:val="005B0711"/>
    <w:rsid w:val="005B28D3"/>
    <w:rsid w:val="005B4286"/>
    <w:rsid w:val="005B791D"/>
    <w:rsid w:val="005C126E"/>
    <w:rsid w:val="005C1D53"/>
    <w:rsid w:val="005C36A3"/>
    <w:rsid w:val="005C465F"/>
    <w:rsid w:val="005C5528"/>
    <w:rsid w:val="005C5694"/>
    <w:rsid w:val="005D01A8"/>
    <w:rsid w:val="005D0C40"/>
    <w:rsid w:val="005D1166"/>
    <w:rsid w:val="005D31B5"/>
    <w:rsid w:val="005D4245"/>
    <w:rsid w:val="005D5508"/>
    <w:rsid w:val="005D6E7E"/>
    <w:rsid w:val="005D78AA"/>
    <w:rsid w:val="005E1D97"/>
    <w:rsid w:val="005E4360"/>
    <w:rsid w:val="005E4A72"/>
    <w:rsid w:val="005E56C6"/>
    <w:rsid w:val="005E661E"/>
    <w:rsid w:val="005F02CE"/>
    <w:rsid w:val="005F1323"/>
    <w:rsid w:val="005F332D"/>
    <w:rsid w:val="00601E07"/>
    <w:rsid w:val="00603C59"/>
    <w:rsid w:val="00603D3D"/>
    <w:rsid w:val="006048B3"/>
    <w:rsid w:val="00604D46"/>
    <w:rsid w:val="0061067D"/>
    <w:rsid w:val="00610770"/>
    <w:rsid w:val="00611819"/>
    <w:rsid w:val="00612230"/>
    <w:rsid w:val="00615BA0"/>
    <w:rsid w:val="006205C2"/>
    <w:rsid w:val="00622345"/>
    <w:rsid w:val="00625B62"/>
    <w:rsid w:val="00625FB6"/>
    <w:rsid w:val="00627637"/>
    <w:rsid w:val="0063187E"/>
    <w:rsid w:val="00633014"/>
    <w:rsid w:val="0063375B"/>
    <w:rsid w:val="00633B70"/>
    <w:rsid w:val="00634B0C"/>
    <w:rsid w:val="00634D46"/>
    <w:rsid w:val="006357F0"/>
    <w:rsid w:val="006373AC"/>
    <w:rsid w:val="00637CF3"/>
    <w:rsid w:val="006410DE"/>
    <w:rsid w:val="00641635"/>
    <w:rsid w:val="006416A9"/>
    <w:rsid w:val="00642083"/>
    <w:rsid w:val="006469D0"/>
    <w:rsid w:val="00647AF4"/>
    <w:rsid w:val="00651D2F"/>
    <w:rsid w:val="00653BB9"/>
    <w:rsid w:val="006567A6"/>
    <w:rsid w:val="00665DB5"/>
    <w:rsid w:val="00671C15"/>
    <w:rsid w:val="006725F1"/>
    <w:rsid w:val="00673E82"/>
    <w:rsid w:val="00673F98"/>
    <w:rsid w:val="00674251"/>
    <w:rsid w:val="00680BEB"/>
    <w:rsid w:val="006811F1"/>
    <w:rsid w:val="00685273"/>
    <w:rsid w:val="006875EE"/>
    <w:rsid w:val="00690994"/>
    <w:rsid w:val="0069283F"/>
    <w:rsid w:val="006931CD"/>
    <w:rsid w:val="0069514A"/>
    <w:rsid w:val="00695607"/>
    <w:rsid w:val="00697427"/>
    <w:rsid w:val="006A2D5B"/>
    <w:rsid w:val="006A45A5"/>
    <w:rsid w:val="006A4E38"/>
    <w:rsid w:val="006A5284"/>
    <w:rsid w:val="006A68F1"/>
    <w:rsid w:val="006A6A6D"/>
    <w:rsid w:val="006A6D95"/>
    <w:rsid w:val="006A7C21"/>
    <w:rsid w:val="006B02D6"/>
    <w:rsid w:val="006B54CA"/>
    <w:rsid w:val="006C182B"/>
    <w:rsid w:val="006C1960"/>
    <w:rsid w:val="006C215F"/>
    <w:rsid w:val="006C3296"/>
    <w:rsid w:val="006C492E"/>
    <w:rsid w:val="006C5485"/>
    <w:rsid w:val="006D154E"/>
    <w:rsid w:val="006D2157"/>
    <w:rsid w:val="006D27A6"/>
    <w:rsid w:val="006D6183"/>
    <w:rsid w:val="006D7650"/>
    <w:rsid w:val="006E275C"/>
    <w:rsid w:val="006E5D09"/>
    <w:rsid w:val="006E6210"/>
    <w:rsid w:val="006F0245"/>
    <w:rsid w:val="006F0521"/>
    <w:rsid w:val="006F28B2"/>
    <w:rsid w:val="006F2BED"/>
    <w:rsid w:val="006F2E8A"/>
    <w:rsid w:val="006F5277"/>
    <w:rsid w:val="006F67C5"/>
    <w:rsid w:val="006F6A73"/>
    <w:rsid w:val="0070077F"/>
    <w:rsid w:val="0070400B"/>
    <w:rsid w:val="00704724"/>
    <w:rsid w:val="00705A34"/>
    <w:rsid w:val="00705E38"/>
    <w:rsid w:val="0070631E"/>
    <w:rsid w:val="00706DF6"/>
    <w:rsid w:val="00707E32"/>
    <w:rsid w:val="00713E33"/>
    <w:rsid w:val="00716214"/>
    <w:rsid w:val="00725003"/>
    <w:rsid w:val="0072633B"/>
    <w:rsid w:val="007303D1"/>
    <w:rsid w:val="00730703"/>
    <w:rsid w:val="00730D0F"/>
    <w:rsid w:val="0073333B"/>
    <w:rsid w:val="00733409"/>
    <w:rsid w:val="00740E15"/>
    <w:rsid w:val="00741CD8"/>
    <w:rsid w:val="00742BD9"/>
    <w:rsid w:val="007430C6"/>
    <w:rsid w:val="00743BFD"/>
    <w:rsid w:val="007441FE"/>
    <w:rsid w:val="007475AB"/>
    <w:rsid w:val="00751A36"/>
    <w:rsid w:val="00753190"/>
    <w:rsid w:val="0075390B"/>
    <w:rsid w:val="00753A5D"/>
    <w:rsid w:val="00754887"/>
    <w:rsid w:val="007553CB"/>
    <w:rsid w:val="0076136F"/>
    <w:rsid w:val="007641F2"/>
    <w:rsid w:val="007649A0"/>
    <w:rsid w:val="00771477"/>
    <w:rsid w:val="0077271B"/>
    <w:rsid w:val="00774012"/>
    <w:rsid w:val="00776365"/>
    <w:rsid w:val="00776E24"/>
    <w:rsid w:val="00781979"/>
    <w:rsid w:val="007844B5"/>
    <w:rsid w:val="00787DE6"/>
    <w:rsid w:val="00790234"/>
    <w:rsid w:val="007902B4"/>
    <w:rsid w:val="007916C9"/>
    <w:rsid w:val="00793A09"/>
    <w:rsid w:val="007943CB"/>
    <w:rsid w:val="007959FB"/>
    <w:rsid w:val="007963A9"/>
    <w:rsid w:val="00796581"/>
    <w:rsid w:val="007966C3"/>
    <w:rsid w:val="00796996"/>
    <w:rsid w:val="007969D4"/>
    <w:rsid w:val="00796C7D"/>
    <w:rsid w:val="00797577"/>
    <w:rsid w:val="007A4C51"/>
    <w:rsid w:val="007A52BE"/>
    <w:rsid w:val="007A52D0"/>
    <w:rsid w:val="007A5DDB"/>
    <w:rsid w:val="007A6630"/>
    <w:rsid w:val="007A7747"/>
    <w:rsid w:val="007B3350"/>
    <w:rsid w:val="007B47CD"/>
    <w:rsid w:val="007B5C39"/>
    <w:rsid w:val="007B7790"/>
    <w:rsid w:val="007B7A8A"/>
    <w:rsid w:val="007B7C6A"/>
    <w:rsid w:val="007C0044"/>
    <w:rsid w:val="007C031D"/>
    <w:rsid w:val="007C06A6"/>
    <w:rsid w:val="007C18CD"/>
    <w:rsid w:val="007C3313"/>
    <w:rsid w:val="007C5E8B"/>
    <w:rsid w:val="007C6BC4"/>
    <w:rsid w:val="007D0110"/>
    <w:rsid w:val="007D1B13"/>
    <w:rsid w:val="007D3334"/>
    <w:rsid w:val="007D5B7C"/>
    <w:rsid w:val="007D6BB1"/>
    <w:rsid w:val="007D731C"/>
    <w:rsid w:val="007E0B92"/>
    <w:rsid w:val="007E1020"/>
    <w:rsid w:val="007E1714"/>
    <w:rsid w:val="007E23F3"/>
    <w:rsid w:val="007E729E"/>
    <w:rsid w:val="007F0403"/>
    <w:rsid w:val="007F0D0E"/>
    <w:rsid w:val="007F0DAE"/>
    <w:rsid w:val="007F113E"/>
    <w:rsid w:val="007F2D77"/>
    <w:rsid w:val="007F3FBE"/>
    <w:rsid w:val="007F5294"/>
    <w:rsid w:val="007F6D68"/>
    <w:rsid w:val="007F7FA6"/>
    <w:rsid w:val="008025BC"/>
    <w:rsid w:val="00803E32"/>
    <w:rsid w:val="00804C07"/>
    <w:rsid w:val="00812CBD"/>
    <w:rsid w:val="00812D13"/>
    <w:rsid w:val="00812FEA"/>
    <w:rsid w:val="0081692F"/>
    <w:rsid w:val="00823E45"/>
    <w:rsid w:val="008254C5"/>
    <w:rsid w:val="008319F4"/>
    <w:rsid w:val="00841749"/>
    <w:rsid w:val="00842031"/>
    <w:rsid w:val="00844C53"/>
    <w:rsid w:val="008451CC"/>
    <w:rsid w:val="0085016D"/>
    <w:rsid w:val="00850711"/>
    <w:rsid w:val="00851888"/>
    <w:rsid w:val="00856241"/>
    <w:rsid w:val="00861B51"/>
    <w:rsid w:val="0086373D"/>
    <w:rsid w:val="00867EFB"/>
    <w:rsid w:val="00876395"/>
    <w:rsid w:val="008774FA"/>
    <w:rsid w:val="008775B5"/>
    <w:rsid w:val="00881517"/>
    <w:rsid w:val="00882F8F"/>
    <w:rsid w:val="0088633D"/>
    <w:rsid w:val="008864E6"/>
    <w:rsid w:val="00886932"/>
    <w:rsid w:val="00887572"/>
    <w:rsid w:val="00887CD9"/>
    <w:rsid w:val="008917A6"/>
    <w:rsid w:val="00891E78"/>
    <w:rsid w:val="00892C24"/>
    <w:rsid w:val="00892FEB"/>
    <w:rsid w:val="00894896"/>
    <w:rsid w:val="00894D22"/>
    <w:rsid w:val="00894E05"/>
    <w:rsid w:val="00896762"/>
    <w:rsid w:val="00896BF4"/>
    <w:rsid w:val="008A01C4"/>
    <w:rsid w:val="008A2647"/>
    <w:rsid w:val="008A4F7F"/>
    <w:rsid w:val="008B10E0"/>
    <w:rsid w:val="008B1C67"/>
    <w:rsid w:val="008B1ECA"/>
    <w:rsid w:val="008B21CE"/>
    <w:rsid w:val="008B3C86"/>
    <w:rsid w:val="008B4558"/>
    <w:rsid w:val="008B5183"/>
    <w:rsid w:val="008B5614"/>
    <w:rsid w:val="008B5BA8"/>
    <w:rsid w:val="008C2CE5"/>
    <w:rsid w:val="008C4A67"/>
    <w:rsid w:val="008C542E"/>
    <w:rsid w:val="008C73FB"/>
    <w:rsid w:val="008C7B2A"/>
    <w:rsid w:val="008C7B47"/>
    <w:rsid w:val="008D1CB7"/>
    <w:rsid w:val="008D2457"/>
    <w:rsid w:val="008D3070"/>
    <w:rsid w:val="008D391F"/>
    <w:rsid w:val="008D3B49"/>
    <w:rsid w:val="008D5656"/>
    <w:rsid w:val="008D5992"/>
    <w:rsid w:val="008E07DE"/>
    <w:rsid w:val="008E115C"/>
    <w:rsid w:val="008F32DE"/>
    <w:rsid w:val="008F3782"/>
    <w:rsid w:val="008F3CB7"/>
    <w:rsid w:val="008F7FB6"/>
    <w:rsid w:val="00902D9F"/>
    <w:rsid w:val="0090438F"/>
    <w:rsid w:val="00904948"/>
    <w:rsid w:val="00906689"/>
    <w:rsid w:val="00912C3E"/>
    <w:rsid w:val="00913360"/>
    <w:rsid w:val="00914211"/>
    <w:rsid w:val="00917F1B"/>
    <w:rsid w:val="0092058C"/>
    <w:rsid w:val="00920DC6"/>
    <w:rsid w:val="00921BB7"/>
    <w:rsid w:val="009220E6"/>
    <w:rsid w:val="00922A6A"/>
    <w:rsid w:val="00923E3C"/>
    <w:rsid w:val="00924570"/>
    <w:rsid w:val="00925FBD"/>
    <w:rsid w:val="0092740E"/>
    <w:rsid w:val="009276B2"/>
    <w:rsid w:val="00934B73"/>
    <w:rsid w:val="00935140"/>
    <w:rsid w:val="0093525C"/>
    <w:rsid w:val="009352CF"/>
    <w:rsid w:val="009366EC"/>
    <w:rsid w:val="00937E83"/>
    <w:rsid w:val="00942A9F"/>
    <w:rsid w:val="009465E5"/>
    <w:rsid w:val="00947F4D"/>
    <w:rsid w:val="00950395"/>
    <w:rsid w:val="009503BE"/>
    <w:rsid w:val="009510A1"/>
    <w:rsid w:val="00952D3A"/>
    <w:rsid w:val="009534E2"/>
    <w:rsid w:val="00957A80"/>
    <w:rsid w:val="009628C5"/>
    <w:rsid w:val="00962F18"/>
    <w:rsid w:val="00962F79"/>
    <w:rsid w:val="0096546A"/>
    <w:rsid w:val="00966380"/>
    <w:rsid w:val="009673AD"/>
    <w:rsid w:val="009758AE"/>
    <w:rsid w:val="00975E1D"/>
    <w:rsid w:val="00977F77"/>
    <w:rsid w:val="00984E6A"/>
    <w:rsid w:val="00986E74"/>
    <w:rsid w:val="009910A6"/>
    <w:rsid w:val="00992661"/>
    <w:rsid w:val="00993ECB"/>
    <w:rsid w:val="00994B5D"/>
    <w:rsid w:val="009A020D"/>
    <w:rsid w:val="009A0DB5"/>
    <w:rsid w:val="009A3EC6"/>
    <w:rsid w:val="009A7675"/>
    <w:rsid w:val="009A7883"/>
    <w:rsid w:val="009B0CE5"/>
    <w:rsid w:val="009B3A5F"/>
    <w:rsid w:val="009B4BEA"/>
    <w:rsid w:val="009B6745"/>
    <w:rsid w:val="009C1AFD"/>
    <w:rsid w:val="009C4A78"/>
    <w:rsid w:val="009C500A"/>
    <w:rsid w:val="009C5A8F"/>
    <w:rsid w:val="009D0BD8"/>
    <w:rsid w:val="009D266E"/>
    <w:rsid w:val="009D2DDD"/>
    <w:rsid w:val="009D2FC6"/>
    <w:rsid w:val="009D3B8B"/>
    <w:rsid w:val="009D410F"/>
    <w:rsid w:val="009D73F0"/>
    <w:rsid w:val="009E1F2C"/>
    <w:rsid w:val="009E404E"/>
    <w:rsid w:val="009E4630"/>
    <w:rsid w:val="009E70D4"/>
    <w:rsid w:val="009F1C54"/>
    <w:rsid w:val="009F2790"/>
    <w:rsid w:val="009F2C54"/>
    <w:rsid w:val="009F34F4"/>
    <w:rsid w:val="009F5052"/>
    <w:rsid w:val="009F5389"/>
    <w:rsid w:val="009F77FF"/>
    <w:rsid w:val="00A00443"/>
    <w:rsid w:val="00A00A9E"/>
    <w:rsid w:val="00A00F74"/>
    <w:rsid w:val="00A01047"/>
    <w:rsid w:val="00A01070"/>
    <w:rsid w:val="00A04733"/>
    <w:rsid w:val="00A069F4"/>
    <w:rsid w:val="00A11026"/>
    <w:rsid w:val="00A13215"/>
    <w:rsid w:val="00A13527"/>
    <w:rsid w:val="00A17E75"/>
    <w:rsid w:val="00A20302"/>
    <w:rsid w:val="00A20677"/>
    <w:rsid w:val="00A208DA"/>
    <w:rsid w:val="00A20B5A"/>
    <w:rsid w:val="00A22304"/>
    <w:rsid w:val="00A22D3E"/>
    <w:rsid w:val="00A23DB8"/>
    <w:rsid w:val="00A25907"/>
    <w:rsid w:val="00A25EC7"/>
    <w:rsid w:val="00A26E63"/>
    <w:rsid w:val="00A27F62"/>
    <w:rsid w:val="00A3012D"/>
    <w:rsid w:val="00A30B81"/>
    <w:rsid w:val="00A30EBB"/>
    <w:rsid w:val="00A327CD"/>
    <w:rsid w:val="00A34017"/>
    <w:rsid w:val="00A36E7E"/>
    <w:rsid w:val="00A4057D"/>
    <w:rsid w:val="00A4096B"/>
    <w:rsid w:val="00A41FD8"/>
    <w:rsid w:val="00A45BF8"/>
    <w:rsid w:val="00A5013F"/>
    <w:rsid w:val="00A506AA"/>
    <w:rsid w:val="00A53F97"/>
    <w:rsid w:val="00A54D42"/>
    <w:rsid w:val="00A55C54"/>
    <w:rsid w:val="00A566AB"/>
    <w:rsid w:val="00A6004D"/>
    <w:rsid w:val="00A605A9"/>
    <w:rsid w:val="00A60C8A"/>
    <w:rsid w:val="00A61BE9"/>
    <w:rsid w:val="00A6579A"/>
    <w:rsid w:val="00A6783E"/>
    <w:rsid w:val="00A711C9"/>
    <w:rsid w:val="00A72CB4"/>
    <w:rsid w:val="00A74CBA"/>
    <w:rsid w:val="00A76E5F"/>
    <w:rsid w:val="00A8049C"/>
    <w:rsid w:val="00A8109E"/>
    <w:rsid w:val="00A819D4"/>
    <w:rsid w:val="00A81E5E"/>
    <w:rsid w:val="00A833D6"/>
    <w:rsid w:val="00A83D44"/>
    <w:rsid w:val="00A841CF"/>
    <w:rsid w:val="00A8751B"/>
    <w:rsid w:val="00A933B5"/>
    <w:rsid w:val="00A9358C"/>
    <w:rsid w:val="00A936D6"/>
    <w:rsid w:val="00A96944"/>
    <w:rsid w:val="00A979B3"/>
    <w:rsid w:val="00AA1155"/>
    <w:rsid w:val="00AA2F5D"/>
    <w:rsid w:val="00AA375F"/>
    <w:rsid w:val="00AA440A"/>
    <w:rsid w:val="00AA5432"/>
    <w:rsid w:val="00AA5BCC"/>
    <w:rsid w:val="00AA7ED6"/>
    <w:rsid w:val="00AB276F"/>
    <w:rsid w:val="00AB4178"/>
    <w:rsid w:val="00AB41F9"/>
    <w:rsid w:val="00AB6775"/>
    <w:rsid w:val="00AC0413"/>
    <w:rsid w:val="00AC1533"/>
    <w:rsid w:val="00AC2927"/>
    <w:rsid w:val="00AC495C"/>
    <w:rsid w:val="00AC4C36"/>
    <w:rsid w:val="00AC5851"/>
    <w:rsid w:val="00AC63BD"/>
    <w:rsid w:val="00AC63CA"/>
    <w:rsid w:val="00AD13BF"/>
    <w:rsid w:val="00AD3DDB"/>
    <w:rsid w:val="00AD431F"/>
    <w:rsid w:val="00AD62B5"/>
    <w:rsid w:val="00AD6984"/>
    <w:rsid w:val="00AE08A1"/>
    <w:rsid w:val="00AE5A8D"/>
    <w:rsid w:val="00AE6415"/>
    <w:rsid w:val="00AE76A8"/>
    <w:rsid w:val="00AF08A5"/>
    <w:rsid w:val="00AF21AE"/>
    <w:rsid w:val="00AF3DCD"/>
    <w:rsid w:val="00AF5C36"/>
    <w:rsid w:val="00AF768F"/>
    <w:rsid w:val="00B01671"/>
    <w:rsid w:val="00B01699"/>
    <w:rsid w:val="00B01EC8"/>
    <w:rsid w:val="00B034D9"/>
    <w:rsid w:val="00B03A93"/>
    <w:rsid w:val="00B06E81"/>
    <w:rsid w:val="00B07434"/>
    <w:rsid w:val="00B07F1D"/>
    <w:rsid w:val="00B153AE"/>
    <w:rsid w:val="00B20AD8"/>
    <w:rsid w:val="00B20CEA"/>
    <w:rsid w:val="00B22B14"/>
    <w:rsid w:val="00B22E14"/>
    <w:rsid w:val="00B22EF1"/>
    <w:rsid w:val="00B25B20"/>
    <w:rsid w:val="00B26C94"/>
    <w:rsid w:val="00B32699"/>
    <w:rsid w:val="00B36104"/>
    <w:rsid w:val="00B36262"/>
    <w:rsid w:val="00B3630B"/>
    <w:rsid w:val="00B37605"/>
    <w:rsid w:val="00B40527"/>
    <w:rsid w:val="00B41C25"/>
    <w:rsid w:val="00B424A5"/>
    <w:rsid w:val="00B435F6"/>
    <w:rsid w:val="00B43AFF"/>
    <w:rsid w:val="00B44FDB"/>
    <w:rsid w:val="00B466CE"/>
    <w:rsid w:val="00B47CF6"/>
    <w:rsid w:val="00B50272"/>
    <w:rsid w:val="00B50795"/>
    <w:rsid w:val="00B523C3"/>
    <w:rsid w:val="00B526BA"/>
    <w:rsid w:val="00B52C6D"/>
    <w:rsid w:val="00B53B8F"/>
    <w:rsid w:val="00B559BB"/>
    <w:rsid w:val="00B603F2"/>
    <w:rsid w:val="00B608A9"/>
    <w:rsid w:val="00B60E74"/>
    <w:rsid w:val="00B63F44"/>
    <w:rsid w:val="00B652C2"/>
    <w:rsid w:val="00B65E9A"/>
    <w:rsid w:val="00B66AC2"/>
    <w:rsid w:val="00B670EC"/>
    <w:rsid w:val="00B67630"/>
    <w:rsid w:val="00B705CC"/>
    <w:rsid w:val="00B733A5"/>
    <w:rsid w:val="00B75D22"/>
    <w:rsid w:val="00B76EF3"/>
    <w:rsid w:val="00B81244"/>
    <w:rsid w:val="00B8310F"/>
    <w:rsid w:val="00B8466C"/>
    <w:rsid w:val="00B84D3E"/>
    <w:rsid w:val="00B87744"/>
    <w:rsid w:val="00B9053B"/>
    <w:rsid w:val="00B91B79"/>
    <w:rsid w:val="00B92B52"/>
    <w:rsid w:val="00B945BA"/>
    <w:rsid w:val="00BA0500"/>
    <w:rsid w:val="00BA0BEF"/>
    <w:rsid w:val="00BA1EF3"/>
    <w:rsid w:val="00BA3423"/>
    <w:rsid w:val="00BA4996"/>
    <w:rsid w:val="00BA725C"/>
    <w:rsid w:val="00BB1190"/>
    <w:rsid w:val="00BB1B78"/>
    <w:rsid w:val="00BB2328"/>
    <w:rsid w:val="00BB4071"/>
    <w:rsid w:val="00BB40E3"/>
    <w:rsid w:val="00BB4531"/>
    <w:rsid w:val="00BB4695"/>
    <w:rsid w:val="00BB5139"/>
    <w:rsid w:val="00BB5561"/>
    <w:rsid w:val="00BB6439"/>
    <w:rsid w:val="00BC1528"/>
    <w:rsid w:val="00BC1ECB"/>
    <w:rsid w:val="00BC3467"/>
    <w:rsid w:val="00BC4DF6"/>
    <w:rsid w:val="00BC640B"/>
    <w:rsid w:val="00BD1152"/>
    <w:rsid w:val="00BD2508"/>
    <w:rsid w:val="00BD6A50"/>
    <w:rsid w:val="00BE049F"/>
    <w:rsid w:val="00BE05B6"/>
    <w:rsid w:val="00BE5D1D"/>
    <w:rsid w:val="00BE6444"/>
    <w:rsid w:val="00BE6B91"/>
    <w:rsid w:val="00BF07D9"/>
    <w:rsid w:val="00BF0CFC"/>
    <w:rsid w:val="00BF138A"/>
    <w:rsid w:val="00BF18E3"/>
    <w:rsid w:val="00BF3353"/>
    <w:rsid w:val="00BF54B7"/>
    <w:rsid w:val="00C00B0B"/>
    <w:rsid w:val="00C00F83"/>
    <w:rsid w:val="00C01903"/>
    <w:rsid w:val="00C02AE9"/>
    <w:rsid w:val="00C05AB3"/>
    <w:rsid w:val="00C05B12"/>
    <w:rsid w:val="00C05CD3"/>
    <w:rsid w:val="00C05E2A"/>
    <w:rsid w:val="00C0792D"/>
    <w:rsid w:val="00C10AD7"/>
    <w:rsid w:val="00C10E56"/>
    <w:rsid w:val="00C14335"/>
    <w:rsid w:val="00C213BF"/>
    <w:rsid w:val="00C233F2"/>
    <w:rsid w:val="00C23AD9"/>
    <w:rsid w:val="00C31165"/>
    <w:rsid w:val="00C32EEB"/>
    <w:rsid w:val="00C36991"/>
    <w:rsid w:val="00C37C10"/>
    <w:rsid w:val="00C4136B"/>
    <w:rsid w:val="00C41CAA"/>
    <w:rsid w:val="00C42E6F"/>
    <w:rsid w:val="00C437B9"/>
    <w:rsid w:val="00C441BD"/>
    <w:rsid w:val="00C44D37"/>
    <w:rsid w:val="00C44F50"/>
    <w:rsid w:val="00C45C5C"/>
    <w:rsid w:val="00C51370"/>
    <w:rsid w:val="00C52239"/>
    <w:rsid w:val="00C53987"/>
    <w:rsid w:val="00C56316"/>
    <w:rsid w:val="00C609D7"/>
    <w:rsid w:val="00C61587"/>
    <w:rsid w:val="00C61C7E"/>
    <w:rsid w:val="00C621B5"/>
    <w:rsid w:val="00C65CB9"/>
    <w:rsid w:val="00C65E16"/>
    <w:rsid w:val="00C661E9"/>
    <w:rsid w:val="00C70574"/>
    <w:rsid w:val="00C70A24"/>
    <w:rsid w:val="00C71FA9"/>
    <w:rsid w:val="00C722AD"/>
    <w:rsid w:val="00C76331"/>
    <w:rsid w:val="00C76F1B"/>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2ADF"/>
    <w:rsid w:val="00CA4682"/>
    <w:rsid w:val="00CA4E9D"/>
    <w:rsid w:val="00CA63B3"/>
    <w:rsid w:val="00CA7F7D"/>
    <w:rsid w:val="00CB09B0"/>
    <w:rsid w:val="00CB184B"/>
    <w:rsid w:val="00CB1FF7"/>
    <w:rsid w:val="00CB3384"/>
    <w:rsid w:val="00CB6718"/>
    <w:rsid w:val="00CB69A9"/>
    <w:rsid w:val="00CC061B"/>
    <w:rsid w:val="00CC26FE"/>
    <w:rsid w:val="00CC6409"/>
    <w:rsid w:val="00CC6A1C"/>
    <w:rsid w:val="00CD0073"/>
    <w:rsid w:val="00CD04FA"/>
    <w:rsid w:val="00CD06A9"/>
    <w:rsid w:val="00CD5243"/>
    <w:rsid w:val="00CD6FB6"/>
    <w:rsid w:val="00CF1D4C"/>
    <w:rsid w:val="00CF21C3"/>
    <w:rsid w:val="00CF4436"/>
    <w:rsid w:val="00D001E7"/>
    <w:rsid w:val="00D01970"/>
    <w:rsid w:val="00D02235"/>
    <w:rsid w:val="00D02487"/>
    <w:rsid w:val="00D03B77"/>
    <w:rsid w:val="00D04AA9"/>
    <w:rsid w:val="00D056E1"/>
    <w:rsid w:val="00D05A0F"/>
    <w:rsid w:val="00D063EF"/>
    <w:rsid w:val="00D077AA"/>
    <w:rsid w:val="00D11E66"/>
    <w:rsid w:val="00D12B06"/>
    <w:rsid w:val="00D132C0"/>
    <w:rsid w:val="00D14245"/>
    <w:rsid w:val="00D206E1"/>
    <w:rsid w:val="00D22737"/>
    <w:rsid w:val="00D2274C"/>
    <w:rsid w:val="00D23CBB"/>
    <w:rsid w:val="00D34CAE"/>
    <w:rsid w:val="00D36837"/>
    <w:rsid w:val="00D36B6E"/>
    <w:rsid w:val="00D40134"/>
    <w:rsid w:val="00D40705"/>
    <w:rsid w:val="00D40B87"/>
    <w:rsid w:val="00D40FEE"/>
    <w:rsid w:val="00D439DD"/>
    <w:rsid w:val="00D43D81"/>
    <w:rsid w:val="00D4439C"/>
    <w:rsid w:val="00D466CF"/>
    <w:rsid w:val="00D50422"/>
    <w:rsid w:val="00D53934"/>
    <w:rsid w:val="00D5410A"/>
    <w:rsid w:val="00D553E7"/>
    <w:rsid w:val="00D61726"/>
    <w:rsid w:val="00D62761"/>
    <w:rsid w:val="00D63ED3"/>
    <w:rsid w:val="00D63F92"/>
    <w:rsid w:val="00D64627"/>
    <w:rsid w:val="00D66BF9"/>
    <w:rsid w:val="00D71BEA"/>
    <w:rsid w:val="00D7201C"/>
    <w:rsid w:val="00D723B5"/>
    <w:rsid w:val="00D72743"/>
    <w:rsid w:val="00D73437"/>
    <w:rsid w:val="00D75EA6"/>
    <w:rsid w:val="00D762D5"/>
    <w:rsid w:val="00D76DDD"/>
    <w:rsid w:val="00D8058C"/>
    <w:rsid w:val="00D805CE"/>
    <w:rsid w:val="00D80705"/>
    <w:rsid w:val="00D80BAF"/>
    <w:rsid w:val="00D81670"/>
    <w:rsid w:val="00D82676"/>
    <w:rsid w:val="00D855D0"/>
    <w:rsid w:val="00D86660"/>
    <w:rsid w:val="00D903F1"/>
    <w:rsid w:val="00D93003"/>
    <w:rsid w:val="00D960FA"/>
    <w:rsid w:val="00D96517"/>
    <w:rsid w:val="00D96AEA"/>
    <w:rsid w:val="00DA02DC"/>
    <w:rsid w:val="00DA46CC"/>
    <w:rsid w:val="00DA49D7"/>
    <w:rsid w:val="00DA5F6D"/>
    <w:rsid w:val="00DA6115"/>
    <w:rsid w:val="00DA62CE"/>
    <w:rsid w:val="00DA7198"/>
    <w:rsid w:val="00DA71B3"/>
    <w:rsid w:val="00DB0454"/>
    <w:rsid w:val="00DB21C8"/>
    <w:rsid w:val="00DB2A33"/>
    <w:rsid w:val="00DB2AAB"/>
    <w:rsid w:val="00DB474E"/>
    <w:rsid w:val="00DB4BFE"/>
    <w:rsid w:val="00DB51B2"/>
    <w:rsid w:val="00DB59D5"/>
    <w:rsid w:val="00DB5B97"/>
    <w:rsid w:val="00DB68E1"/>
    <w:rsid w:val="00DB7445"/>
    <w:rsid w:val="00DC0545"/>
    <w:rsid w:val="00DC0759"/>
    <w:rsid w:val="00DC085B"/>
    <w:rsid w:val="00DC15BA"/>
    <w:rsid w:val="00DC422D"/>
    <w:rsid w:val="00DC4C4A"/>
    <w:rsid w:val="00DC54DF"/>
    <w:rsid w:val="00DC6938"/>
    <w:rsid w:val="00DD016E"/>
    <w:rsid w:val="00DD13D6"/>
    <w:rsid w:val="00DD40CD"/>
    <w:rsid w:val="00DD5305"/>
    <w:rsid w:val="00DD58E7"/>
    <w:rsid w:val="00DD6FD0"/>
    <w:rsid w:val="00DD7186"/>
    <w:rsid w:val="00DE0217"/>
    <w:rsid w:val="00DE4558"/>
    <w:rsid w:val="00DE64C0"/>
    <w:rsid w:val="00DE74BE"/>
    <w:rsid w:val="00DE7614"/>
    <w:rsid w:val="00DE79DE"/>
    <w:rsid w:val="00DE7EC9"/>
    <w:rsid w:val="00DF1194"/>
    <w:rsid w:val="00DF1319"/>
    <w:rsid w:val="00DF2889"/>
    <w:rsid w:val="00DF5E20"/>
    <w:rsid w:val="00DF7578"/>
    <w:rsid w:val="00E0277F"/>
    <w:rsid w:val="00E02BAC"/>
    <w:rsid w:val="00E03E5C"/>
    <w:rsid w:val="00E04C68"/>
    <w:rsid w:val="00E05CD0"/>
    <w:rsid w:val="00E11FEB"/>
    <w:rsid w:val="00E1422A"/>
    <w:rsid w:val="00E143B1"/>
    <w:rsid w:val="00E14BA6"/>
    <w:rsid w:val="00E1601F"/>
    <w:rsid w:val="00E174A0"/>
    <w:rsid w:val="00E17D35"/>
    <w:rsid w:val="00E17DE7"/>
    <w:rsid w:val="00E206FD"/>
    <w:rsid w:val="00E21149"/>
    <w:rsid w:val="00E21BD6"/>
    <w:rsid w:val="00E2220E"/>
    <w:rsid w:val="00E27B9A"/>
    <w:rsid w:val="00E3400A"/>
    <w:rsid w:val="00E3524A"/>
    <w:rsid w:val="00E41F87"/>
    <w:rsid w:val="00E46246"/>
    <w:rsid w:val="00E467D0"/>
    <w:rsid w:val="00E47075"/>
    <w:rsid w:val="00E47919"/>
    <w:rsid w:val="00E504DE"/>
    <w:rsid w:val="00E51B64"/>
    <w:rsid w:val="00E57D88"/>
    <w:rsid w:val="00E602EE"/>
    <w:rsid w:val="00E63EB7"/>
    <w:rsid w:val="00E6520D"/>
    <w:rsid w:val="00E714D7"/>
    <w:rsid w:val="00E71CB5"/>
    <w:rsid w:val="00E72B50"/>
    <w:rsid w:val="00E738A6"/>
    <w:rsid w:val="00E75BE2"/>
    <w:rsid w:val="00E76E72"/>
    <w:rsid w:val="00E770ED"/>
    <w:rsid w:val="00E777B8"/>
    <w:rsid w:val="00E77C25"/>
    <w:rsid w:val="00E804AE"/>
    <w:rsid w:val="00E81C57"/>
    <w:rsid w:val="00E82D5F"/>
    <w:rsid w:val="00E85D39"/>
    <w:rsid w:val="00E86847"/>
    <w:rsid w:val="00E91F19"/>
    <w:rsid w:val="00E93790"/>
    <w:rsid w:val="00E96742"/>
    <w:rsid w:val="00E96AA1"/>
    <w:rsid w:val="00E97E78"/>
    <w:rsid w:val="00EA1BB1"/>
    <w:rsid w:val="00EA2136"/>
    <w:rsid w:val="00EA3189"/>
    <w:rsid w:val="00EA4B64"/>
    <w:rsid w:val="00EA6529"/>
    <w:rsid w:val="00EA697F"/>
    <w:rsid w:val="00EB1101"/>
    <w:rsid w:val="00EB2431"/>
    <w:rsid w:val="00EB2719"/>
    <w:rsid w:val="00EB472D"/>
    <w:rsid w:val="00EB4EA7"/>
    <w:rsid w:val="00EB5D8A"/>
    <w:rsid w:val="00EB6652"/>
    <w:rsid w:val="00EB7C9C"/>
    <w:rsid w:val="00EC0BE0"/>
    <w:rsid w:val="00EC23E8"/>
    <w:rsid w:val="00EC4C19"/>
    <w:rsid w:val="00EC57E7"/>
    <w:rsid w:val="00ED0BE4"/>
    <w:rsid w:val="00ED19B5"/>
    <w:rsid w:val="00ED1DDC"/>
    <w:rsid w:val="00ED1E06"/>
    <w:rsid w:val="00ED462C"/>
    <w:rsid w:val="00EE34A9"/>
    <w:rsid w:val="00EE3B23"/>
    <w:rsid w:val="00EE70D1"/>
    <w:rsid w:val="00EE7C15"/>
    <w:rsid w:val="00EF06C7"/>
    <w:rsid w:val="00EF41C2"/>
    <w:rsid w:val="00EF4BF2"/>
    <w:rsid w:val="00EF7594"/>
    <w:rsid w:val="00F0072B"/>
    <w:rsid w:val="00F010AF"/>
    <w:rsid w:val="00F01BFF"/>
    <w:rsid w:val="00F034AC"/>
    <w:rsid w:val="00F03C9F"/>
    <w:rsid w:val="00F05F16"/>
    <w:rsid w:val="00F06C47"/>
    <w:rsid w:val="00F06CEB"/>
    <w:rsid w:val="00F10CAD"/>
    <w:rsid w:val="00F13890"/>
    <w:rsid w:val="00F152EA"/>
    <w:rsid w:val="00F159DD"/>
    <w:rsid w:val="00F16221"/>
    <w:rsid w:val="00F163C7"/>
    <w:rsid w:val="00F16826"/>
    <w:rsid w:val="00F176C1"/>
    <w:rsid w:val="00F17886"/>
    <w:rsid w:val="00F2002E"/>
    <w:rsid w:val="00F2132C"/>
    <w:rsid w:val="00F2337F"/>
    <w:rsid w:val="00F23F97"/>
    <w:rsid w:val="00F24F99"/>
    <w:rsid w:val="00F25DFB"/>
    <w:rsid w:val="00F26374"/>
    <w:rsid w:val="00F27591"/>
    <w:rsid w:val="00F321F5"/>
    <w:rsid w:val="00F33D9B"/>
    <w:rsid w:val="00F33FE5"/>
    <w:rsid w:val="00F341B5"/>
    <w:rsid w:val="00F34DC3"/>
    <w:rsid w:val="00F3758F"/>
    <w:rsid w:val="00F40743"/>
    <w:rsid w:val="00F41A1F"/>
    <w:rsid w:val="00F42CA2"/>
    <w:rsid w:val="00F47F6B"/>
    <w:rsid w:val="00F504C0"/>
    <w:rsid w:val="00F50744"/>
    <w:rsid w:val="00F50FEA"/>
    <w:rsid w:val="00F51819"/>
    <w:rsid w:val="00F52CA6"/>
    <w:rsid w:val="00F52E06"/>
    <w:rsid w:val="00F5413B"/>
    <w:rsid w:val="00F544E4"/>
    <w:rsid w:val="00F54706"/>
    <w:rsid w:val="00F61407"/>
    <w:rsid w:val="00F619E5"/>
    <w:rsid w:val="00F61CFA"/>
    <w:rsid w:val="00F61F5B"/>
    <w:rsid w:val="00F62D92"/>
    <w:rsid w:val="00F63273"/>
    <w:rsid w:val="00F63CF6"/>
    <w:rsid w:val="00F66AC8"/>
    <w:rsid w:val="00F67761"/>
    <w:rsid w:val="00F7156A"/>
    <w:rsid w:val="00F7166F"/>
    <w:rsid w:val="00F71BBB"/>
    <w:rsid w:val="00F723A7"/>
    <w:rsid w:val="00F80AC2"/>
    <w:rsid w:val="00F8137A"/>
    <w:rsid w:val="00F82286"/>
    <w:rsid w:val="00F8371E"/>
    <w:rsid w:val="00F847AF"/>
    <w:rsid w:val="00F8553B"/>
    <w:rsid w:val="00F85589"/>
    <w:rsid w:val="00F87882"/>
    <w:rsid w:val="00F87AED"/>
    <w:rsid w:val="00F87DF2"/>
    <w:rsid w:val="00F94609"/>
    <w:rsid w:val="00F953ED"/>
    <w:rsid w:val="00F957F4"/>
    <w:rsid w:val="00F96E3C"/>
    <w:rsid w:val="00F97C3E"/>
    <w:rsid w:val="00FA0550"/>
    <w:rsid w:val="00FA0A60"/>
    <w:rsid w:val="00FA1AE1"/>
    <w:rsid w:val="00FA4A58"/>
    <w:rsid w:val="00FA6BD4"/>
    <w:rsid w:val="00FA7178"/>
    <w:rsid w:val="00FA76E5"/>
    <w:rsid w:val="00FA7973"/>
    <w:rsid w:val="00FB19A5"/>
    <w:rsid w:val="00FB2241"/>
    <w:rsid w:val="00FB30C9"/>
    <w:rsid w:val="00FB41AE"/>
    <w:rsid w:val="00FB4787"/>
    <w:rsid w:val="00FB77ED"/>
    <w:rsid w:val="00FC1211"/>
    <w:rsid w:val="00FC21EA"/>
    <w:rsid w:val="00FC250D"/>
    <w:rsid w:val="00FC5F03"/>
    <w:rsid w:val="00FC62BA"/>
    <w:rsid w:val="00FD2942"/>
    <w:rsid w:val="00FD2D53"/>
    <w:rsid w:val="00FD3182"/>
    <w:rsid w:val="00FD4C00"/>
    <w:rsid w:val="00FD75EB"/>
    <w:rsid w:val="00FE06DD"/>
    <w:rsid w:val="00FE0DF0"/>
    <w:rsid w:val="00FE118A"/>
    <w:rsid w:val="00FE21FE"/>
    <w:rsid w:val="00FE2576"/>
    <w:rsid w:val="00FE3214"/>
    <w:rsid w:val="00FE6A55"/>
    <w:rsid w:val="00FE72BC"/>
    <w:rsid w:val="00FE7646"/>
    <w:rsid w:val="00FF1046"/>
    <w:rsid w:val="00FF2460"/>
    <w:rsid w:val="00FF6524"/>
    <w:rsid w:val="00FF7C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7E78"/>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paragraph" w:customStyle="1" w:styleId="pf0">
    <w:name w:val="pf0"/>
    <w:basedOn w:val="Normalny"/>
    <w:rsid w:val="002805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1691033">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17196590">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239365">
      <w:bodyDiv w:val="1"/>
      <w:marLeft w:val="0"/>
      <w:marRight w:val="0"/>
      <w:marTop w:val="0"/>
      <w:marBottom w:val="0"/>
      <w:divBdr>
        <w:top w:val="none" w:sz="0" w:space="0" w:color="auto"/>
        <w:left w:val="none" w:sz="0" w:space="0" w:color="auto"/>
        <w:bottom w:val="none" w:sz="0" w:space="0" w:color="auto"/>
        <w:right w:val="none" w:sz="0" w:space="0" w:color="auto"/>
      </w:divBdr>
    </w:div>
    <w:div w:id="382144092">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08887386">
      <w:bodyDiv w:val="1"/>
      <w:marLeft w:val="0"/>
      <w:marRight w:val="0"/>
      <w:marTop w:val="0"/>
      <w:marBottom w:val="0"/>
      <w:divBdr>
        <w:top w:val="none" w:sz="0" w:space="0" w:color="auto"/>
        <w:left w:val="none" w:sz="0" w:space="0" w:color="auto"/>
        <w:bottom w:val="none" w:sz="0" w:space="0" w:color="auto"/>
        <w:right w:val="none" w:sz="0" w:space="0" w:color="auto"/>
      </w:divBdr>
    </w:div>
    <w:div w:id="41274675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75414867">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29297028">
      <w:bodyDiv w:val="1"/>
      <w:marLeft w:val="0"/>
      <w:marRight w:val="0"/>
      <w:marTop w:val="0"/>
      <w:marBottom w:val="0"/>
      <w:divBdr>
        <w:top w:val="none" w:sz="0" w:space="0" w:color="auto"/>
        <w:left w:val="none" w:sz="0" w:space="0" w:color="auto"/>
        <w:bottom w:val="none" w:sz="0" w:space="0" w:color="auto"/>
        <w:right w:val="none" w:sz="0" w:space="0" w:color="auto"/>
      </w:divBdr>
    </w:div>
    <w:div w:id="537593870">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9465">
      <w:bodyDiv w:val="1"/>
      <w:marLeft w:val="0"/>
      <w:marRight w:val="0"/>
      <w:marTop w:val="0"/>
      <w:marBottom w:val="0"/>
      <w:divBdr>
        <w:top w:val="none" w:sz="0" w:space="0" w:color="auto"/>
        <w:left w:val="none" w:sz="0" w:space="0" w:color="auto"/>
        <w:bottom w:val="none" w:sz="0" w:space="0" w:color="auto"/>
        <w:right w:val="none" w:sz="0" w:space="0" w:color="auto"/>
      </w:divBdr>
    </w:div>
    <w:div w:id="657879006">
      <w:bodyDiv w:val="1"/>
      <w:marLeft w:val="0"/>
      <w:marRight w:val="0"/>
      <w:marTop w:val="0"/>
      <w:marBottom w:val="0"/>
      <w:divBdr>
        <w:top w:val="none" w:sz="0" w:space="0" w:color="auto"/>
        <w:left w:val="none" w:sz="0" w:space="0" w:color="auto"/>
        <w:bottom w:val="none" w:sz="0" w:space="0" w:color="auto"/>
        <w:right w:val="none" w:sz="0" w:space="0" w:color="auto"/>
      </w:divBdr>
    </w:div>
    <w:div w:id="675570551">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23866574">
      <w:bodyDiv w:val="1"/>
      <w:marLeft w:val="0"/>
      <w:marRight w:val="0"/>
      <w:marTop w:val="0"/>
      <w:marBottom w:val="0"/>
      <w:divBdr>
        <w:top w:val="none" w:sz="0" w:space="0" w:color="auto"/>
        <w:left w:val="none" w:sz="0" w:space="0" w:color="auto"/>
        <w:bottom w:val="none" w:sz="0" w:space="0" w:color="auto"/>
        <w:right w:val="none" w:sz="0" w:space="0" w:color="auto"/>
      </w:divBdr>
    </w:div>
    <w:div w:id="769088704">
      <w:bodyDiv w:val="1"/>
      <w:marLeft w:val="0"/>
      <w:marRight w:val="0"/>
      <w:marTop w:val="0"/>
      <w:marBottom w:val="0"/>
      <w:divBdr>
        <w:top w:val="none" w:sz="0" w:space="0" w:color="auto"/>
        <w:left w:val="none" w:sz="0" w:space="0" w:color="auto"/>
        <w:bottom w:val="none" w:sz="0" w:space="0" w:color="auto"/>
        <w:right w:val="none" w:sz="0" w:space="0" w:color="auto"/>
      </w:divBdr>
    </w:div>
    <w:div w:id="772438580">
      <w:bodyDiv w:val="1"/>
      <w:marLeft w:val="0"/>
      <w:marRight w:val="0"/>
      <w:marTop w:val="0"/>
      <w:marBottom w:val="0"/>
      <w:divBdr>
        <w:top w:val="none" w:sz="0" w:space="0" w:color="auto"/>
        <w:left w:val="none" w:sz="0" w:space="0" w:color="auto"/>
        <w:bottom w:val="none" w:sz="0" w:space="0" w:color="auto"/>
        <w:right w:val="none" w:sz="0" w:space="0" w:color="auto"/>
      </w:divBdr>
    </w:div>
    <w:div w:id="787704512">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2798640">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8650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41090405">
      <w:bodyDiv w:val="1"/>
      <w:marLeft w:val="0"/>
      <w:marRight w:val="0"/>
      <w:marTop w:val="0"/>
      <w:marBottom w:val="0"/>
      <w:divBdr>
        <w:top w:val="none" w:sz="0" w:space="0" w:color="auto"/>
        <w:left w:val="none" w:sz="0" w:space="0" w:color="auto"/>
        <w:bottom w:val="none" w:sz="0" w:space="0" w:color="auto"/>
        <w:right w:val="none" w:sz="0" w:space="0" w:color="auto"/>
      </w:divBdr>
    </w:div>
    <w:div w:id="898057393">
      <w:bodyDiv w:val="1"/>
      <w:marLeft w:val="0"/>
      <w:marRight w:val="0"/>
      <w:marTop w:val="0"/>
      <w:marBottom w:val="0"/>
      <w:divBdr>
        <w:top w:val="none" w:sz="0" w:space="0" w:color="auto"/>
        <w:left w:val="none" w:sz="0" w:space="0" w:color="auto"/>
        <w:bottom w:val="none" w:sz="0" w:space="0" w:color="auto"/>
        <w:right w:val="none" w:sz="0" w:space="0" w:color="auto"/>
      </w:divBdr>
    </w:div>
    <w:div w:id="907882402">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7201">
      <w:bodyDiv w:val="1"/>
      <w:marLeft w:val="0"/>
      <w:marRight w:val="0"/>
      <w:marTop w:val="0"/>
      <w:marBottom w:val="0"/>
      <w:divBdr>
        <w:top w:val="none" w:sz="0" w:space="0" w:color="auto"/>
        <w:left w:val="none" w:sz="0" w:space="0" w:color="auto"/>
        <w:bottom w:val="none" w:sz="0" w:space="0" w:color="auto"/>
        <w:right w:val="none" w:sz="0" w:space="0" w:color="auto"/>
      </w:divBdr>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38500384">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19628122">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46845962">
      <w:bodyDiv w:val="1"/>
      <w:marLeft w:val="0"/>
      <w:marRight w:val="0"/>
      <w:marTop w:val="0"/>
      <w:marBottom w:val="0"/>
      <w:divBdr>
        <w:top w:val="none" w:sz="0" w:space="0" w:color="auto"/>
        <w:left w:val="none" w:sz="0" w:space="0" w:color="auto"/>
        <w:bottom w:val="none" w:sz="0" w:space="0" w:color="auto"/>
        <w:right w:val="none" w:sz="0" w:space="0" w:color="auto"/>
      </w:divBdr>
    </w:div>
    <w:div w:id="1259871585">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14723920">
      <w:bodyDiv w:val="1"/>
      <w:marLeft w:val="0"/>
      <w:marRight w:val="0"/>
      <w:marTop w:val="0"/>
      <w:marBottom w:val="0"/>
      <w:divBdr>
        <w:top w:val="none" w:sz="0" w:space="0" w:color="auto"/>
        <w:left w:val="none" w:sz="0" w:space="0" w:color="auto"/>
        <w:bottom w:val="none" w:sz="0" w:space="0" w:color="auto"/>
        <w:right w:val="none" w:sz="0" w:space="0" w:color="auto"/>
      </w:divBdr>
    </w:div>
    <w:div w:id="1321422344">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03522369">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27071371">
      <w:bodyDiv w:val="1"/>
      <w:marLeft w:val="0"/>
      <w:marRight w:val="0"/>
      <w:marTop w:val="0"/>
      <w:marBottom w:val="0"/>
      <w:divBdr>
        <w:top w:val="none" w:sz="0" w:space="0" w:color="auto"/>
        <w:left w:val="none" w:sz="0" w:space="0" w:color="auto"/>
        <w:bottom w:val="none" w:sz="0" w:space="0" w:color="auto"/>
        <w:right w:val="none" w:sz="0" w:space="0" w:color="auto"/>
      </w:divBdr>
    </w:div>
    <w:div w:id="1439257898">
      <w:bodyDiv w:val="1"/>
      <w:marLeft w:val="0"/>
      <w:marRight w:val="0"/>
      <w:marTop w:val="0"/>
      <w:marBottom w:val="0"/>
      <w:divBdr>
        <w:top w:val="none" w:sz="0" w:space="0" w:color="auto"/>
        <w:left w:val="none" w:sz="0" w:space="0" w:color="auto"/>
        <w:bottom w:val="none" w:sz="0" w:space="0" w:color="auto"/>
        <w:right w:val="none" w:sz="0" w:space="0" w:color="auto"/>
      </w:divBdr>
    </w:div>
    <w:div w:id="1442067633">
      <w:bodyDiv w:val="1"/>
      <w:marLeft w:val="0"/>
      <w:marRight w:val="0"/>
      <w:marTop w:val="0"/>
      <w:marBottom w:val="0"/>
      <w:divBdr>
        <w:top w:val="none" w:sz="0" w:space="0" w:color="auto"/>
        <w:left w:val="none" w:sz="0" w:space="0" w:color="auto"/>
        <w:bottom w:val="none" w:sz="0" w:space="0" w:color="auto"/>
        <w:right w:val="none" w:sz="0" w:space="0" w:color="auto"/>
      </w:divBdr>
    </w:div>
    <w:div w:id="1499342228">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58397371">
      <w:bodyDiv w:val="1"/>
      <w:marLeft w:val="0"/>
      <w:marRight w:val="0"/>
      <w:marTop w:val="0"/>
      <w:marBottom w:val="0"/>
      <w:divBdr>
        <w:top w:val="none" w:sz="0" w:space="0" w:color="auto"/>
        <w:left w:val="none" w:sz="0" w:space="0" w:color="auto"/>
        <w:bottom w:val="none" w:sz="0" w:space="0" w:color="auto"/>
        <w:right w:val="none" w:sz="0" w:space="0" w:color="auto"/>
      </w:divBdr>
    </w:div>
    <w:div w:id="1562789494">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2683575">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0794860">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43017551">
      <w:bodyDiv w:val="1"/>
      <w:marLeft w:val="0"/>
      <w:marRight w:val="0"/>
      <w:marTop w:val="0"/>
      <w:marBottom w:val="0"/>
      <w:divBdr>
        <w:top w:val="none" w:sz="0" w:space="0" w:color="auto"/>
        <w:left w:val="none" w:sz="0" w:space="0" w:color="auto"/>
        <w:bottom w:val="none" w:sz="0" w:space="0" w:color="auto"/>
        <w:right w:val="none" w:sz="0" w:space="0" w:color="auto"/>
      </w:divBdr>
    </w:div>
    <w:div w:id="1743141340">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85688004">
      <w:bodyDiv w:val="1"/>
      <w:marLeft w:val="0"/>
      <w:marRight w:val="0"/>
      <w:marTop w:val="0"/>
      <w:marBottom w:val="0"/>
      <w:divBdr>
        <w:top w:val="none" w:sz="0" w:space="0" w:color="auto"/>
        <w:left w:val="none" w:sz="0" w:space="0" w:color="auto"/>
        <w:bottom w:val="none" w:sz="0" w:space="0" w:color="auto"/>
        <w:right w:val="none" w:sz="0" w:space="0" w:color="auto"/>
      </w:divBdr>
    </w:div>
    <w:div w:id="1796557138">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3196755">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06668926">
      <w:bodyDiv w:val="1"/>
      <w:marLeft w:val="0"/>
      <w:marRight w:val="0"/>
      <w:marTop w:val="0"/>
      <w:marBottom w:val="0"/>
      <w:divBdr>
        <w:top w:val="none" w:sz="0" w:space="0" w:color="auto"/>
        <w:left w:val="none" w:sz="0" w:space="0" w:color="auto"/>
        <w:bottom w:val="none" w:sz="0" w:space="0" w:color="auto"/>
        <w:right w:val="none" w:sz="0" w:space="0" w:color="auto"/>
      </w:divBdr>
    </w:div>
    <w:div w:id="2031955436">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bxge3doltqmfyc4nbvgy2tcmjqge" TargetMode="External"/><Relationship Id="rId13" Type="http://schemas.openxmlformats.org/officeDocument/2006/relationships/hyperlink" Target="https://sip.legalis.pl/document-view.seam?documentId=mfrxilrtg4ytmmbxgy3teltqmfyc4njyhe3dombzg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tg4ytmmbxgy3teltqmfyc4njxhe4tonrsg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mmbxgy3teltqmfyc4njyhe3dombzg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p.legalis.pl/document-view.seam?documentId=mfrxilrtg4ytcmrthaztcltqmfyc4mzzgezdcnzrh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p.legalis.pl/document-view.seam?documentId=mfrxilrtg4ytcnryga3doltqmfyc4nbqg4zdkmbygi" TargetMode="External"/><Relationship Id="rId14" Type="http://schemas.openxmlformats.org/officeDocument/2006/relationships/hyperlink" Target="https://sip.legalis.pl/document-view.seam?documentId=mfrxilrtg4ytmmbxgy3teltqmfyc4njxhe4tonrsg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4660</Words>
  <Characters>27960</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2025-05-22T12:29:00Z</cp:lastPrinted>
  <dcterms:created xsi:type="dcterms:W3CDTF">2025-07-16T13:36:00Z</dcterms:created>
  <dcterms:modified xsi:type="dcterms:W3CDTF">2025-07-16T13:36:00Z</dcterms:modified>
</cp:coreProperties>
</file>