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jc w:val="center"/>
        <w:tblLook w:val="04A0" w:firstRow="1" w:lastRow="0" w:firstColumn="1" w:lastColumn="0" w:noHBand="0" w:noVBand="1"/>
      </w:tblPr>
      <w:tblGrid>
        <w:gridCol w:w="562"/>
        <w:gridCol w:w="1843"/>
        <w:gridCol w:w="1843"/>
        <w:gridCol w:w="5670"/>
        <w:gridCol w:w="4076"/>
      </w:tblGrid>
      <w:tr w:rsidR="00E35677" w:rsidRPr="00047010" w14:paraId="56E089F6" w14:textId="77777777" w:rsidTr="00611EA2">
        <w:trPr>
          <w:trHeight w:val="592"/>
          <w:jc w:val="center"/>
        </w:trPr>
        <w:tc>
          <w:tcPr>
            <w:tcW w:w="13994" w:type="dxa"/>
            <w:gridSpan w:val="5"/>
            <w:shd w:val="clear" w:color="auto" w:fill="B8CCE4" w:themeFill="accent1" w:themeFillTint="66"/>
            <w:vAlign w:val="center"/>
          </w:tcPr>
          <w:p w14:paraId="262AE6AF" w14:textId="69E5C702" w:rsidR="00E35677" w:rsidRPr="00047010" w:rsidRDefault="003514BB" w:rsidP="00047010">
            <w:pPr>
              <w:spacing w:line="276" w:lineRule="auto"/>
              <w:jc w:val="center"/>
              <w:rPr>
                <w:rFonts w:cstheme="minorHAnsi"/>
                <w:b/>
                <w:sz w:val="20"/>
                <w:szCs w:val="20"/>
                <w:lang w:eastAsia="pl-PL"/>
              </w:rPr>
            </w:pPr>
            <w:r w:rsidRPr="00047010">
              <w:rPr>
                <w:rFonts w:cstheme="minorHAnsi"/>
                <w:b/>
                <w:sz w:val="20"/>
                <w:szCs w:val="20"/>
                <w:lang w:eastAsia="pl-PL"/>
              </w:rPr>
              <w:t>U</w:t>
            </w:r>
            <w:r w:rsidR="00E35677" w:rsidRPr="00047010">
              <w:rPr>
                <w:rFonts w:cstheme="minorHAnsi"/>
                <w:b/>
                <w:sz w:val="20"/>
                <w:szCs w:val="20"/>
                <w:lang w:eastAsia="pl-PL"/>
              </w:rPr>
              <w:t xml:space="preserve">wagi do projektu </w:t>
            </w:r>
            <w:r w:rsidR="00741A58" w:rsidRPr="00047010">
              <w:rPr>
                <w:rFonts w:cstheme="minorHAnsi"/>
                <w:b/>
                <w:sz w:val="20"/>
                <w:szCs w:val="20"/>
                <w:lang w:eastAsia="pl-PL"/>
              </w:rPr>
              <w:t xml:space="preserve">ustawy </w:t>
            </w:r>
            <w:r w:rsidR="006D0AE4" w:rsidRPr="00047010">
              <w:rPr>
                <w:rFonts w:cstheme="minorHAnsi"/>
                <w:b/>
                <w:sz w:val="20"/>
                <w:szCs w:val="20"/>
                <w:lang w:eastAsia="pl-PL"/>
              </w:rPr>
              <w:t>o zmianie ustawy – Kodeks cywilny</w:t>
            </w:r>
            <w:r w:rsidR="00C519CA" w:rsidRPr="00047010">
              <w:rPr>
                <w:rFonts w:cstheme="minorHAnsi"/>
                <w:b/>
                <w:sz w:val="20"/>
                <w:szCs w:val="20"/>
                <w:lang w:eastAsia="pl-PL"/>
              </w:rPr>
              <w:t xml:space="preserve"> oraz niektórych innych ustaw</w:t>
            </w:r>
            <w:r w:rsidR="006D0AE4" w:rsidRPr="00047010">
              <w:rPr>
                <w:rFonts w:cstheme="minorHAnsi"/>
                <w:b/>
                <w:sz w:val="20"/>
                <w:szCs w:val="20"/>
                <w:lang w:eastAsia="pl-PL"/>
              </w:rPr>
              <w:t xml:space="preserve"> </w:t>
            </w:r>
            <w:r w:rsidRPr="00047010">
              <w:rPr>
                <w:rFonts w:cstheme="minorHAnsi"/>
                <w:b/>
                <w:sz w:val="20"/>
                <w:szCs w:val="20"/>
                <w:lang w:eastAsia="pl-PL"/>
              </w:rPr>
              <w:t>(UD</w:t>
            </w:r>
            <w:r w:rsidR="00C519CA" w:rsidRPr="00047010">
              <w:rPr>
                <w:rFonts w:cstheme="minorHAnsi"/>
                <w:b/>
                <w:sz w:val="20"/>
                <w:szCs w:val="20"/>
                <w:lang w:eastAsia="pl-PL"/>
              </w:rPr>
              <w:t xml:space="preserve"> 30</w:t>
            </w:r>
            <w:r w:rsidRPr="00047010">
              <w:rPr>
                <w:rFonts w:cstheme="minorHAnsi"/>
                <w:b/>
                <w:sz w:val="20"/>
                <w:szCs w:val="20"/>
                <w:lang w:eastAsia="pl-PL"/>
              </w:rPr>
              <w:t>)</w:t>
            </w:r>
            <w:r w:rsidR="00E35677" w:rsidRPr="00047010">
              <w:rPr>
                <w:rFonts w:cstheme="minorHAnsi"/>
                <w:sz w:val="20"/>
                <w:szCs w:val="20"/>
                <w:lang w:eastAsia="pl-PL"/>
              </w:rPr>
              <w:br/>
            </w:r>
            <w:r w:rsidR="00E35677" w:rsidRPr="00047010">
              <w:rPr>
                <w:rFonts w:cstheme="minorHAnsi"/>
                <w:b/>
                <w:bCs/>
                <w:sz w:val="20"/>
                <w:szCs w:val="20"/>
                <w:lang w:eastAsia="pl-PL"/>
              </w:rPr>
              <w:t xml:space="preserve">(projekt z dnia </w:t>
            </w:r>
            <w:r w:rsidR="00C519CA" w:rsidRPr="00047010">
              <w:rPr>
                <w:rFonts w:cstheme="minorHAnsi"/>
                <w:b/>
                <w:bCs/>
                <w:sz w:val="20"/>
                <w:szCs w:val="20"/>
                <w:lang w:eastAsia="pl-PL"/>
              </w:rPr>
              <w:t>2</w:t>
            </w:r>
            <w:r w:rsidR="003C5142" w:rsidRPr="00047010">
              <w:rPr>
                <w:rFonts w:cstheme="minorHAnsi"/>
                <w:b/>
                <w:bCs/>
                <w:sz w:val="20"/>
                <w:szCs w:val="20"/>
                <w:lang w:eastAsia="pl-PL"/>
              </w:rPr>
              <w:t>8</w:t>
            </w:r>
            <w:r w:rsidR="003D2B9E" w:rsidRPr="00047010">
              <w:rPr>
                <w:rFonts w:cstheme="minorHAnsi"/>
                <w:b/>
                <w:bCs/>
                <w:sz w:val="20"/>
                <w:szCs w:val="20"/>
                <w:lang w:eastAsia="pl-PL"/>
              </w:rPr>
              <w:t xml:space="preserve"> października </w:t>
            </w:r>
            <w:r w:rsidR="00E23A7D" w:rsidRPr="00047010">
              <w:rPr>
                <w:rFonts w:cstheme="minorHAnsi"/>
                <w:b/>
                <w:bCs/>
                <w:sz w:val="20"/>
                <w:szCs w:val="20"/>
                <w:lang w:eastAsia="pl-PL"/>
              </w:rPr>
              <w:t>202</w:t>
            </w:r>
            <w:r w:rsidR="00C519CA" w:rsidRPr="00047010">
              <w:rPr>
                <w:rFonts w:cstheme="minorHAnsi"/>
                <w:b/>
                <w:bCs/>
                <w:sz w:val="20"/>
                <w:szCs w:val="20"/>
                <w:lang w:eastAsia="pl-PL"/>
              </w:rPr>
              <w:t>5</w:t>
            </w:r>
            <w:r w:rsidR="00E35677" w:rsidRPr="00047010">
              <w:rPr>
                <w:rFonts w:cstheme="minorHAnsi"/>
                <w:b/>
                <w:bCs/>
                <w:sz w:val="20"/>
                <w:szCs w:val="20"/>
                <w:lang w:eastAsia="pl-PL"/>
              </w:rPr>
              <w:t xml:space="preserve"> r.)</w:t>
            </w:r>
            <w:r w:rsidR="00047010">
              <w:rPr>
                <w:rFonts w:cstheme="minorHAnsi"/>
                <w:b/>
                <w:bCs/>
                <w:sz w:val="20"/>
                <w:szCs w:val="20"/>
                <w:lang w:eastAsia="pl-PL"/>
              </w:rPr>
              <w:t xml:space="preserve"> – uzgodnienia międzyresortowe</w:t>
            </w:r>
          </w:p>
        </w:tc>
      </w:tr>
      <w:tr w:rsidR="008842F2" w:rsidRPr="00047010" w14:paraId="0F5D1353" w14:textId="77777777" w:rsidTr="00047010">
        <w:trPr>
          <w:jc w:val="center"/>
        </w:trPr>
        <w:tc>
          <w:tcPr>
            <w:tcW w:w="13994" w:type="dxa"/>
            <w:gridSpan w:val="5"/>
            <w:shd w:val="clear" w:color="auto" w:fill="DBE5F1" w:themeFill="accent1" w:themeFillTint="33"/>
          </w:tcPr>
          <w:p w14:paraId="7F1979A8" w14:textId="750782F5" w:rsidR="008842F2" w:rsidRPr="00047010" w:rsidRDefault="008842F2" w:rsidP="00047010">
            <w:pPr>
              <w:spacing w:before="120" w:after="120" w:line="276" w:lineRule="auto"/>
              <w:jc w:val="center"/>
              <w:rPr>
                <w:rFonts w:cstheme="minorHAnsi"/>
                <w:b/>
                <w:bCs/>
                <w:color w:val="365F91" w:themeColor="accent1" w:themeShade="BF"/>
                <w:sz w:val="20"/>
                <w:szCs w:val="20"/>
              </w:rPr>
            </w:pPr>
            <w:r w:rsidRPr="00047010">
              <w:rPr>
                <w:rFonts w:cstheme="minorHAnsi"/>
                <w:b/>
                <w:bCs/>
                <w:color w:val="000000" w:themeColor="text1"/>
                <w:sz w:val="20"/>
                <w:szCs w:val="20"/>
              </w:rPr>
              <w:t xml:space="preserve">Uwagi </w:t>
            </w:r>
            <w:r w:rsidR="00865AF4" w:rsidRPr="00047010">
              <w:rPr>
                <w:rFonts w:cstheme="minorHAnsi"/>
                <w:b/>
                <w:bCs/>
                <w:color w:val="000000" w:themeColor="text1"/>
                <w:sz w:val="20"/>
                <w:szCs w:val="20"/>
              </w:rPr>
              <w:t>ogólne</w:t>
            </w:r>
          </w:p>
        </w:tc>
      </w:tr>
      <w:tr w:rsidR="00252F32" w:rsidRPr="00047010" w14:paraId="2746B0BC" w14:textId="77777777" w:rsidTr="00B241C8">
        <w:trPr>
          <w:jc w:val="center"/>
        </w:trPr>
        <w:tc>
          <w:tcPr>
            <w:tcW w:w="562" w:type="dxa"/>
          </w:tcPr>
          <w:p w14:paraId="65537CAC" w14:textId="4511823A" w:rsidR="003E5D74" w:rsidRPr="00047010" w:rsidRDefault="00252F32" w:rsidP="00047010">
            <w:pPr>
              <w:spacing w:before="120" w:line="276" w:lineRule="auto"/>
              <w:ind w:right="-534"/>
              <w:rPr>
                <w:rFonts w:cstheme="minorHAnsi"/>
                <w:b/>
                <w:sz w:val="20"/>
                <w:szCs w:val="20"/>
              </w:rPr>
            </w:pPr>
            <w:r w:rsidRPr="00047010">
              <w:rPr>
                <w:rFonts w:cstheme="minorHAnsi"/>
                <w:b/>
                <w:sz w:val="20"/>
                <w:szCs w:val="20"/>
              </w:rPr>
              <w:t>1.</w:t>
            </w:r>
          </w:p>
        </w:tc>
        <w:tc>
          <w:tcPr>
            <w:tcW w:w="1843" w:type="dxa"/>
            <w:vAlign w:val="center"/>
          </w:tcPr>
          <w:p w14:paraId="3B61D4DB" w14:textId="77777777" w:rsidR="003E5D74" w:rsidRPr="00047010" w:rsidRDefault="00FB2DB7" w:rsidP="00047010">
            <w:pPr>
              <w:spacing w:before="120" w:after="120" w:line="276" w:lineRule="auto"/>
              <w:jc w:val="center"/>
              <w:rPr>
                <w:rFonts w:cstheme="minorHAnsi"/>
                <w:b/>
                <w:bCs/>
                <w:sz w:val="20"/>
                <w:szCs w:val="20"/>
              </w:rPr>
            </w:pPr>
            <w:r w:rsidRPr="00047010">
              <w:rPr>
                <w:rFonts w:cstheme="minorHAnsi"/>
                <w:b/>
                <w:bCs/>
                <w:sz w:val="20"/>
                <w:szCs w:val="20"/>
              </w:rPr>
              <w:t>Rządowe Centrum Legislacji</w:t>
            </w:r>
          </w:p>
          <w:p w14:paraId="4EE2AD99" w14:textId="78B8107C" w:rsidR="00047010" w:rsidRPr="00047010" w:rsidRDefault="00047010" w:rsidP="00047010">
            <w:pPr>
              <w:spacing w:before="120" w:after="120" w:line="276" w:lineRule="auto"/>
              <w:jc w:val="center"/>
              <w:rPr>
                <w:rFonts w:cstheme="minorHAnsi"/>
                <w:sz w:val="20"/>
                <w:szCs w:val="20"/>
              </w:rPr>
            </w:pPr>
            <w:r w:rsidRPr="00047010">
              <w:rPr>
                <w:rFonts w:cstheme="minorHAnsi"/>
                <w:sz w:val="20"/>
                <w:szCs w:val="20"/>
              </w:rPr>
              <w:t>(RCL)</w:t>
            </w:r>
          </w:p>
        </w:tc>
        <w:tc>
          <w:tcPr>
            <w:tcW w:w="1843" w:type="dxa"/>
            <w:vAlign w:val="center"/>
          </w:tcPr>
          <w:p w14:paraId="692A9BA0" w14:textId="7164E122" w:rsidR="003E5D74" w:rsidRPr="00047010" w:rsidRDefault="00FB2DB7" w:rsidP="00047010">
            <w:pPr>
              <w:spacing w:before="120" w:after="120" w:line="276" w:lineRule="auto"/>
              <w:jc w:val="center"/>
              <w:rPr>
                <w:rFonts w:cstheme="minorHAnsi"/>
                <w:sz w:val="20"/>
                <w:szCs w:val="20"/>
              </w:rPr>
            </w:pPr>
            <w:r w:rsidRPr="00047010">
              <w:rPr>
                <w:rFonts w:cstheme="minorHAnsi"/>
                <w:sz w:val="20"/>
                <w:szCs w:val="20"/>
              </w:rPr>
              <w:t>Uwaga ogólna</w:t>
            </w:r>
          </w:p>
        </w:tc>
        <w:tc>
          <w:tcPr>
            <w:tcW w:w="5670" w:type="dxa"/>
            <w:vAlign w:val="center"/>
          </w:tcPr>
          <w:p w14:paraId="22A1292F" w14:textId="68C5C469" w:rsidR="003E5D74" w:rsidRPr="00047010" w:rsidRDefault="00FB2DB7" w:rsidP="00603A6B">
            <w:pPr>
              <w:spacing w:line="276" w:lineRule="auto"/>
              <w:jc w:val="both"/>
              <w:rPr>
                <w:rFonts w:cstheme="minorHAnsi"/>
                <w:sz w:val="20"/>
                <w:szCs w:val="20"/>
              </w:rPr>
            </w:pPr>
            <w:r w:rsidRPr="00047010">
              <w:rPr>
                <w:rFonts w:cstheme="minorHAnsi"/>
                <w:sz w:val="20"/>
                <w:szCs w:val="20"/>
              </w:rPr>
              <w:t>Projekt ustawy wymaga dopracowania pod względem legislacyjno-redakcyjnym, na etapie komisji prawniczej. Dopracowania wymaga także uzasadnienie – przykładowo na str. 20 zbędny jest zapis, iż „w § 194 rozporządzenia Ministra Sprawiedliwości z dnia 18 czerwca 2019 r. – Regulamin urzędowania sądów powszechnych zdecydowano się uregulować kwestię przechowywania protokołu z zeznań świadków.”.</w:t>
            </w:r>
          </w:p>
        </w:tc>
        <w:tc>
          <w:tcPr>
            <w:tcW w:w="4076" w:type="dxa"/>
          </w:tcPr>
          <w:p w14:paraId="75FBB9B5" w14:textId="77777777" w:rsidR="00603A6B" w:rsidRDefault="00B50BE7" w:rsidP="00603A6B">
            <w:pPr>
              <w:spacing w:line="276" w:lineRule="auto"/>
              <w:rPr>
                <w:rFonts w:cstheme="minorHAnsi"/>
                <w:b/>
                <w:bCs/>
                <w:sz w:val="20"/>
                <w:szCs w:val="20"/>
              </w:rPr>
            </w:pPr>
            <w:r w:rsidRPr="00B50BE7">
              <w:rPr>
                <w:rFonts w:cstheme="minorHAnsi"/>
                <w:b/>
                <w:bCs/>
                <w:sz w:val="20"/>
                <w:szCs w:val="20"/>
              </w:rPr>
              <w:t>Uwaga uwzględniona</w:t>
            </w:r>
          </w:p>
          <w:p w14:paraId="1BB5C4AC" w14:textId="42C0B565" w:rsidR="00B50BE7" w:rsidRPr="00603A6B" w:rsidRDefault="00B50BE7" w:rsidP="00603A6B">
            <w:pPr>
              <w:spacing w:after="120" w:line="276" w:lineRule="auto"/>
              <w:rPr>
                <w:rFonts w:cstheme="minorHAnsi"/>
                <w:b/>
                <w:bCs/>
                <w:sz w:val="20"/>
                <w:szCs w:val="20"/>
              </w:rPr>
            </w:pPr>
            <w:r>
              <w:rPr>
                <w:rFonts w:cstheme="minorHAnsi"/>
                <w:sz w:val="20"/>
                <w:szCs w:val="20"/>
              </w:rPr>
              <w:t xml:space="preserve">Usunięto wskazany zbędny fragment uzasadnienia. </w:t>
            </w:r>
          </w:p>
        </w:tc>
      </w:tr>
      <w:tr w:rsidR="00865AF4" w:rsidRPr="00047010" w14:paraId="4E9A7412" w14:textId="77777777" w:rsidTr="00047010">
        <w:trPr>
          <w:jc w:val="center"/>
        </w:trPr>
        <w:tc>
          <w:tcPr>
            <w:tcW w:w="13994" w:type="dxa"/>
            <w:gridSpan w:val="5"/>
            <w:shd w:val="clear" w:color="auto" w:fill="DBE5F1" w:themeFill="accent1" w:themeFillTint="33"/>
          </w:tcPr>
          <w:p w14:paraId="14DF1E4F" w14:textId="77777777" w:rsidR="00865AF4" w:rsidRPr="00047010" w:rsidRDefault="00865AF4" w:rsidP="00047010">
            <w:pPr>
              <w:spacing w:before="120" w:after="120" w:line="276" w:lineRule="auto"/>
              <w:jc w:val="center"/>
              <w:rPr>
                <w:rFonts w:cstheme="minorHAnsi"/>
                <w:i/>
                <w:sz w:val="20"/>
                <w:szCs w:val="20"/>
              </w:rPr>
            </w:pPr>
            <w:r w:rsidRPr="00047010">
              <w:rPr>
                <w:rFonts w:cstheme="minorHAnsi"/>
                <w:b/>
                <w:bCs/>
                <w:color w:val="000000" w:themeColor="text1"/>
                <w:sz w:val="20"/>
                <w:szCs w:val="20"/>
              </w:rPr>
              <w:t>Uwagi do projektu ustawy</w:t>
            </w:r>
          </w:p>
        </w:tc>
      </w:tr>
      <w:tr w:rsidR="00B6180E" w:rsidRPr="00047010" w14:paraId="6A3C594F" w14:textId="77777777" w:rsidTr="00B241C8">
        <w:trPr>
          <w:jc w:val="center"/>
        </w:trPr>
        <w:tc>
          <w:tcPr>
            <w:tcW w:w="562" w:type="dxa"/>
          </w:tcPr>
          <w:p w14:paraId="2F1B18A0" w14:textId="49CC35AE" w:rsidR="00B6180E" w:rsidRPr="00047010" w:rsidRDefault="008209E0" w:rsidP="00047010">
            <w:pPr>
              <w:spacing w:before="120" w:line="276" w:lineRule="auto"/>
              <w:ind w:right="-534"/>
              <w:rPr>
                <w:rFonts w:cstheme="minorHAnsi"/>
                <w:b/>
                <w:sz w:val="20"/>
                <w:szCs w:val="20"/>
              </w:rPr>
            </w:pPr>
            <w:r>
              <w:rPr>
                <w:rFonts w:cstheme="minorHAnsi"/>
                <w:b/>
                <w:sz w:val="20"/>
                <w:szCs w:val="20"/>
              </w:rPr>
              <w:t>1</w:t>
            </w:r>
            <w:r w:rsidR="00B51C90" w:rsidRPr="00047010">
              <w:rPr>
                <w:rFonts w:cstheme="minorHAnsi"/>
                <w:b/>
                <w:sz w:val="20"/>
                <w:szCs w:val="20"/>
              </w:rPr>
              <w:t>.</w:t>
            </w:r>
          </w:p>
        </w:tc>
        <w:tc>
          <w:tcPr>
            <w:tcW w:w="1843" w:type="dxa"/>
            <w:vAlign w:val="center"/>
          </w:tcPr>
          <w:p w14:paraId="41754069" w14:textId="77777777" w:rsidR="00B6180E" w:rsidRPr="00047010" w:rsidRDefault="00611EA2" w:rsidP="00047010">
            <w:pPr>
              <w:spacing w:before="120" w:after="120" w:line="276" w:lineRule="auto"/>
              <w:jc w:val="center"/>
              <w:rPr>
                <w:rFonts w:cstheme="minorHAnsi"/>
                <w:b/>
                <w:bCs/>
                <w:sz w:val="20"/>
                <w:szCs w:val="20"/>
              </w:rPr>
            </w:pPr>
            <w:r w:rsidRPr="00047010">
              <w:rPr>
                <w:rFonts w:cstheme="minorHAnsi"/>
                <w:b/>
                <w:bCs/>
                <w:sz w:val="20"/>
                <w:szCs w:val="20"/>
              </w:rPr>
              <w:t xml:space="preserve">Minister Rodziny, Pracy i Polityki Społecznej </w:t>
            </w:r>
          </w:p>
          <w:p w14:paraId="3D8C7FFA" w14:textId="553E6D3A" w:rsidR="00047010" w:rsidRPr="00047010" w:rsidRDefault="00047010" w:rsidP="00047010">
            <w:pPr>
              <w:spacing w:before="120" w:after="120" w:line="276" w:lineRule="auto"/>
              <w:jc w:val="center"/>
              <w:rPr>
                <w:rFonts w:cstheme="minorHAnsi"/>
                <w:sz w:val="20"/>
                <w:szCs w:val="20"/>
              </w:rPr>
            </w:pPr>
            <w:r w:rsidRPr="00047010">
              <w:rPr>
                <w:rFonts w:cstheme="minorHAnsi"/>
                <w:sz w:val="20"/>
                <w:szCs w:val="20"/>
              </w:rPr>
              <w:t>(</w:t>
            </w:r>
            <w:proofErr w:type="spellStart"/>
            <w:r w:rsidRPr="00047010">
              <w:rPr>
                <w:rFonts w:cstheme="minorHAnsi"/>
                <w:sz w:val="20"/>
                <w:szCs w:val="20"/>
              </w:rPr>
              <w:t>MRPiPS</w:t>
            </w:r>
            <w:proofErr w:type="spellEnd"/>
            <w:r w:rsidRPr="00047010">
              <w:rPr>
                <w:rFonts w:cstheme="minorHAnsi"/>
                <w:sz w:val="20"/>
                <w:szCs w:val="20"/>
              </w:rPr>
              <w:t>)</w:t>
            </w:r>
          </w:p>
        </w:tc>
        <w:tc>
          <w:tcPr>
            <w:tcW w:w="1843" w:type="dxa"/>
            <w:vAlign w:val="center"/>
          </w:tcPr>
          <w:p w14:paraId="04C634F4" w14:textId="246D183C" w:rsidR="00611EA2" w:rsidRPr="00047010" w:rsidRDefault="00611EA2" w:rsidP="00047010">
            <w:pPr>
              <w:spacing w:before="120" w:after="120" w:line="276" w:lineRule="auto"/>
              <w:jc w:val="center"/>
              <w:rPr>
                <w:rFonts w:cstheme="minorHAnsi"/>
                <w:sz w:val="20"/>
                <w:szCs w:val="20"/>
              </w:rPr>
            </w:pPr>
            <w:r w:rsidRPr="00047010">
              <w:rPr>
                <w:rFonts w:cstheme="minorHAnsi"/>
                <w:sz w:val="20"/>
                <w:szCs w:val="20"/>
              </w:rPr>
              <w:t xml:space="preserve">Art. 1 pkt 8 projektu </w:t>
            </w:r>
          </w:p>
          <w:p w14:paraId="52166918" w14:textId="293FD632" w:rsidR="00B6180E" w:rsidRPr="00047010" w:rsidRDefault="00611EA2" w:rsidP="00047010">
            <w:pPr>
              <w:spacing w:before="120" w:after="120" w:line="276" w:lineRule="auto"/>
              <w:jc w:val="center"/>
              <w:rPr>
                <w:rFonts w:cstheme="minorHAnsi"/>
                <w:sz w:val="20"/>
                <w:szCs w:val="20"/>
              </w:rPr>
            </w:pPr>
            <w:r w:rsidRPr="00047010">
              <w:rPr>
                <w:rFonts w:cstheme="minorHAnsi"/>
                <w:sz w:val="20"/>
                <w:szCs w:val="20"/>
              </w:rPr>
              <w:t>(art. 956 § 2 p. 2 k.c.)</w:t>
            </w:r>
          </w:p>
        </w:tc>
        <w:tc>
          <w:tcPr>
            <w:tcW w:w="5670" w:type="dxa"/>
            <w:vAlign w:val="center"/>
          </w:tcPr>
          <w:p w14:paraId="16A4B836" w14:textId="698470B7" w:rsidR="00611EA2" w:rsidRPr="00047010" w:rsidRDefault="00611EA2" w:rsidP="00047010">
            <w:pPr>
              <w:tabs>
                <w:tab w:val="center" w:pos="431"/>
                <w:tab w:val="center" w:pos="2651"/>
              </w:tabs>
              <w:spacing w:line="276" w:lineRule="auto"/>
              <w:jc w:val="both"/>
              <w:rPr>
                <w:rFonts w:cstheme="minorHAnsi"/>
                <w:sz w:val="20"/>
                <w:szCs w:val="20"/>
              </w:rPr>
            </w:pPr>
            <w:r w:rsidRPr="00047010">
              <w:rPr>
                <w:rFonts w:cstheme="minorHAnsi"/>
                <w:sz w:val="20"/>
                <w:szCs w:val="20"/>
              </w:rPr>
              <w:t xml:space="preserve">W odpowiedzi na pismo z dnia 5 listopada 2025 r., znak: DPCiG-I.414.1.2024, przekazujące, do ponownych uzgodnień, projekt ustawy o zmianie ustawy – Kodeks cywilny oraz niektórych innych ustaw, uprzejmie informuję, że zgłaszam uwagę do projektowanego art. 956 § 2 pkt 2 k.c., zgodnie z którym świadkiem testamentu nie może być osoba, „która nie widzi lub nie słyszy”. </w:t>
            </w:r>
          </w:p>
          <w:p w14:paraId="483BBC40" w14:textId="77777777" w:rsidR="00611EA2" w:rsidRPr="00047010" w:rsidRDefault="00611EA2" w:rsidP="00047010">
            <w:pPr>
              <w:tabs>
                <w:tab w:val="center" w:pos="431"/>
                <w:tab w:val="center" w:pos="2651"/>
              </w:tabs>
              <w:spacing w:line="276" w:lineRule="auto"/>
              <w:jc w:val="both"/>
              <w:rPr>
                <w:rFonts w:cstheme="minorHAnsi"/>
                <w:sz w:val="20"/>
                <w:szCs w:val="20"/>
              </w:rPr>
            </w:pPr>
            <w:r w:rsidRPr="00047010">
              <w:rPr>
                <w:rFonts w:cstheme="minorHAnsi"/>
                <w:sz w:val="20"/>
                <w:szCs w:val="20"/>
              </w:rPr>
              <w:t xml:space="preserve">Proponowane w tym przepisie zmiany odzwierciedlają przyjęcie przez projektodawcę, że osoby nieme lub niemogące pisać mogą pełnić funkcję świadka testamentu, ponieważ – jak wynika z uzasadnienia projektu - są w stanie podpisać się pod treścią oświadczenia spadkodawcy lub utrwalić je na trwałym nośniku. Nieuwzględnione natomiast zostały w tym kontekście osoby głuche i niewidome, choć osoba niewidząca może w pełni odebrać wypowiedź spadkodawcy słuchowo i ocenić jej treść, natomiast osoba niesłysząca może obserwować zachowanie spadkodawcy </w:t>
            </w:r>
            <w:r w:rsidRPr="00047010">
              <w:rPr>
                <w:rFonts w:cstheme="minorHAnsi"/>
                <w:sz w:val="20"/>
                <w:szCs w:val="20"/>
              </w:rPr>
              <w:lastRenderedPageBreak/>
              <w:t xml:space="preserve">oraz – co dopuszcza projekt – zarejestrować przebieg czynności na trwałym nośniku. W świetle takiego modelu świadek nie musi posiadać pełnej sprawności zmysłów, aby prawidłowo spełnić swoją rolę. </w:t>
            </w:r>
          </w:p>
          <w:p w14:paraId="36B1BDF8" w14:textId="57E7186C" w:rsidR="00611EA2" w:rsidRPr="00047010" w:rsidRDefault="00611EA2" w:rsidP="00047010">
            <w:pPr>
              <w:tabs>
                <w:tab w:val="center" w:pos="431"/>
                <w:tab w:val="center" w:pos="2651"/>
              </w:tabs>
              <w:spacing w:line="276" w:lineRule="auto"/>
              <w:jc w:val="both"/>
              <w:rPr>
                <w:rFonts w:cstheme="minorHAnsi"/>
                <w:sz w:val="20"/>
                <w:szCs w:val="20"/>
              </w:rPr>
            </w:pPr>
            <w:r w:rsidRPr="00047010">
              <w:rPr>
                <w:rFonts w:cstheme="minorHAnsi"/>
                <w:sz w:val="20"/>
                <w:szCs w:val="20"/>
              </w:rPr>
              <w:t>Wykluczenie osób niewidzących i niesłyszących prowadzi więc do nieuzasadnionego różnicowania sytuacji prawnej pomiędzy poszczególnymi kategoriami osób z niepełnosprawnościami. Proponowane rozwiązanie może zatem budzić wątpliwości na tle zasady równości wyrażonej w art. 32 Konstytucji oraz obowiązku wspierania osób z niepełnosprawnościami wynikającego z art. 69. Automatyczne wyłączenie całej grupy osób, bez względu na ich rzeczywistą zdolność do percepcji przebiegu czynności, nie została przez projektodawcę wystarczająco uzasadniona.</w:t>
            </w:r>
          </w:p>
          <w:p w14:paraId="5BD1B386" w14:textId="77777777" w:rsidR="00611EA2" w:rsidRPr="00047010" w:rsidRDefault="00611EA2" w:rsidP="00047010">
            <w:pPr>
              <w:tabs>
                <w:tab w:val="center" w:pos="431"/>
                <w:tab w:val="center" w:pos="2651"/>
              </w:tabs>
              <w:spacing w:line="276" w:lineRule="auto"/>
              <w:jc w:val="both"/>
              <w:rPr>
                <w:rFonts w:cstheme="minorHAnsi"/>
                <w:sz w:val="20"/>
                <w:szCs w:val="20"/>
              </w:rPr>
            </w:pPr>
            <w:r w:rsidRPr="00047010">
              <w:rPr>
                <w:rFonts w:cstheme="minorHAnsi"/>
                <w:b/>
                <w:bCs/>
                <w:sz w:val="20"/>
                <w:szCs w:val="20"/>
              </w:rPr>
              <w:t>Przepis § 2 wydaje się niespójny z treścią § 1</w:t>
            </w:r>
            <w:r w:rsidRPr="00047010">
              <w:rPr>
                <w:rFonts w:cstheme="minorHAnsi"/>
                <w:sz w:val="20"/>
                <w:szCs w:val="20"/>
              </w:rPr>
              <w:t xml:space="preserve">, zgodnie z którym „Świadkiem testamentu jest osoba, </w:t>
            </w:r>
            <w:r w:rsidRPr="00047010">
              <w:rPr>
                <w:rFonts w:cstheme="minorHAnsi"/>
                <w:sz w:val="20"/>
                <w:szCs w:val="20"/>
              </w:rPr>
              <w:br/>
              <w:t>w obecności której spadkodawca składa swoje oświadczenie woli, mająca świadomość sporządzania przez spadkodawcę testamentu i rozumiejąca treść oświadczenia spadkodawcy.”.</w:t>
            </w:r>
          </w:p>
          <w:p w14:paraId="16E1131E" w14:textId="1655AB59" w:rsidR="00611EA2" w:rsidRPr="00047010" w:rsidRDefault="00611EA2" w:rsidP="00047010">
            <w:pPr>
              <w:tabs>
                <w:tab w:val="center" w:pos="431"/>
                <w:tab w:val="center" w:pos="2651"/>
              </w:tabs>
              <w:spacing w:line="276" w:lineRule="auto"/>
              <w:jc w:val="both"/>
              <w:rPr>
                <w:rFonts w:cstheme="minorHAnsi"/>
                <w:sz w:val="20"/>
                <w:szCs w:val="20"/>
              </w:rPr>
            </w:pPr>
            <w:r w:rsidRPr="00047010">
              <w:rPr>
                <w:rFonts w:cstheme="minorHAnsi"/>
                <w:sz w:val="20"/>
                <w:szCs w:val="20"/>
              </w:rPr>
              <w:t xml:space="preserve">Proponuje się wobec powyższego rozważyć odejście od </w:t>
            </w:r>
            <w:proofErr w:type="spellStart"/>
            <w:r w:rsidR="00BA1E39">
              <w:rPr>
                <w:rFonts w:cstheme="minorHAnsi"/>
                <w:sz w:val="20"/>
                <w:szCs w:val="20"/>
              </w:rPr>
              <w:t>wykluczeń</w:t>
            </w:r>
            <w:proofErr w:type="spellEnd"/>
            <w:r w:rsidRPr="00047010">
              <w:rPr>
                <w:rFonts w:cstheme="minorHAnsi"/>
                <w:sz w:val="20"/>
                <w:szCs w:val="20"/>
              </w:rPr>
              <w:t xml:space="preserve"> opartych na określonych brakach sensorycznych i pozostawić oprócz § 1, zaproponowane w § 2 przesłanki określone w projektowanym pkt 1 i 4 tego przepisu. </w:t>
            </w:r>
          </w:p>
          <w:p w14:paraId="40CA9E4D" w14:textId="11443627" w:rsidR="00C66935" w:rsidRPr="00047010" w:rsidRDefault="00C66935" w:rsidP="00047010">
            <w:pPr>
              <w:autoSpaceDE w:val="0"/>
              <w:autoSpaceDN w:val="0"/>
              <w:adjustRightInd w:val="0"/>
              <w:spacing w:line="276" w:lineRule="auto"/>
              <w:jc w:val="both"/>
              <w:rPr>
                <w:rFonts w:cstheme="minorHAnsi"/>
                <w:color w:val="000000"/>
                <w:sz w:val="20"/>
                <w:szCs w:val="20"/>
              </w:rPr>
            </w:pPr>
          </w:p>
        </w:tc>
        <w:tc>
          <w:tcPr>
            <w:tcW w:w="4076" w:type="dxa"/>
          </w:tcPr>
          <w:p w14:paraId="73073927" w14:textId="77777777" w:rsidR="00B6180E" w:rsidRDefault="00B50BE7" w:rsidP="00047010">
            <w:pPr>
              <w:spacing w:line="276" w:lineRule="auto"/>
              <w:jc w:val="both"/>
              <w:rPr>
                <w:rFonts w:cstheme="minorHAnsi"/>
                <w:b/>
                <w:bCs/>
                <w:sz w:val="20"/>
                <w:szCs w:val="20"/>
              </w:rPr>
            </w:pPr>
            <w:r w:rsidRPr="00B50BE7">
              <w:rPr>
                <w:rFonts w:cstheme="minorHAnsi"/>
                <w:b/>
                <w:bCs/>
                <w:sz w:val="20"/>
                <w:szCs w:val="20"/>
              </w:rPr>
              <w:lastRenderedPageBreak/>
              <w:t>Uwaga nieuwzględniona</w:t>
            </w:r>
          </w:p>
          <w:p w14:paraId="3647C718" w14:textId="77777777" w:rsidR="00B50BE7" w:rsidRPr="00D70344" w:rsidRDefault="001F6A20" w:rsidP="00047010">
            <w:pPr>
              <w:spacing w:line="276" w:lineRule="auto"/>
              <w:jc w:val="both"/>
              <w:rPr>
                <w:rFonts w:cstheme="minorHAnsi"/>
                <w:sz w:val="20"/>
                <w:szCs w:val="20"/>
              </w:rPr>
            </w:pPr>
            <w:r>
              <w:rPr>
                <w:rFonts w:cstheme="minorHAnsi"/>
                <w:sz w:val="20"/>
                <w:szCs w:val="20"/>
              </w:rPr>
              <w:t xml:space="preserve">Projektodawca zdecydował </w:t>
            </w:r>
            <w:r w:rsidR="0037396C">
              <w:rPr>
                <w:rFonts w:cstheme="minorHAnsi"/>
                <w:sz w:val="20"/>
                <w:szCs w:val="20"/>
              </w:rPr>
              <w:t xml:space="preserve">o zmianie </w:t>
            </w:r>
            <w:r>
              <w:rPr>
                <w:rFonts w:cstheme="minorHAnsi"/>
                <w:sz w:val="20"/>
                <w:szCs w:val="20"/>
              </w:rPr>
              <w:t>przepisu art. 956 k.c. w kontekście przesłanek dotyczących zdolności do bycia świadkiem testament</w:t>
            </w:r>
            <w:r w:rsidR="0037396C">
              <w:rPr>
                <w:rFonts w:cstheme="minorHAnsi"/>
                <w:sz w:val="20"/>
                <w:szCs w:val="20"/>
              </w:rPr>
              <w:t>u. Założeniem zmiany była chęć doprecyzowania cech osoby, która może być świadkiem testamentu. Jako przesłankę pozytywną wskazano (</w:t>
            </w:r>
            <w:r w:rsidR="0037396C" w:rsidRPr="0037396C">
              <w:rPr>
                <w:rFonts w:ascii="Times New Roman" w:hAnsi="Times New Roman" w:cs="Times New Roman"/>
                <w:sz w:val="20"/>
                <w:szCs w:val="20"/>
              </w:rPr>
              <w:t>§</w:t>
            </w:r>
            <w:r w:rsidR="0037396C">
              <w:rPr>
                <w:rFonts w:cstheme="minorHAnsi"/>
                <w:sz w:val="20"/>
                <w:szCs w:val="20"/>
              </w:rPr>
              <w:t xml:space="preserve"> 1), że świadkiem testamentu może być jedynie osoba, w obecności której spadkodawca składa oświadczenie woli i mająca świadomość dokonywanej przez spadkodawcę czynności, to jest rozumiejąca, że oto w danym miejscu i czasie </w:t>
            </w:r>
            <w:r w:rsidR="0037396C" w:rsidRPr="0037396C">
              <w:rPr>
                <w:rFonts w:cstheme="minorHAnsi"/>
                <w:sz w:val="20"/>
                <w:szCs w:val="20"/>
              </w:rPr>
              <w:t>spadkodawc</w:t>
            </w:r>
            <w:r w:rsidR="0037396C">
              <w:rPr>
                <w:rFonts w:cstheme="minorHAnsi"/>
                <w:sz w:val="20"/>
                <w:szCs w:val="20"/>
              </w:rPr>
              <w:t xml:space="preserve">a sporządza </w:t>
            </w:r>
            <w:r w:rsidR="0037396C" w:rsidRPr="0037396C">
              <w:rPr>
                <w:rFonts w:cstheme="minorHAnsi"/>
                <w:sz w:val="20"/>
                <w:szCs w:val="20"/>
              </w:rPr>
              <w:t>testament i rozumiejąca treść oświadczenia spadkodawc</w:t>
            </w:r>
            <w:r w:rsidR="0037396C">
              <w:rPr>
                <w:rFonts w:cstheme="minorHAnsi"/>
                <w:sz w:val="20"/>
                <w:szCs w:val="20"/>
              </w:rPr>
              <w:t xml:space="preserve">y. </w:t>
            </w:r>
            <w:r w:rsidR="0037396C">
              <w:rPr>
                <w:rFonts w:cstheme="minorHAnsi"/>
                <w:sz w:val="20"/>
                <w:szCs w:val="20"/>
              </w:rPr>
              <w:lastRenderedPageBreak/>
              <w:t xml:space="preserve">Jednocześnie dokonano modyfikacji art. 956 w kontekście przesłanek negatywnych bycia </w:t>
            </w:r>
            <w:r w:rsidR="0037396C" w:rsidRPr="00D70344">
              <w:rPr>
                <w:rFonts w:cstheme="minorHAnsi"/>
                <w:sz w:val="20"/>
                <w:szCs w:val="20"/>
              </w:rPr>
              <w:t xml:space="preserve">świadkiem testamentu. </w:t>
            </w:r>
          </w:p>
          <w:p w14:paraId="5ACB6667" w14:textId="77777777" w:rsidR="00AB5DE9" w:rsidRDefault="00D70344" w:rsidP="00E40997">
            <w:pPr>
              <w:spacing w:line="276" w:lineRule="auto"/>
              <w:jc w:val="both"/>
              <w:rPr>
                <w:rFonts w:cstheme="minorHAnsi"/>
                <w:bCs/>
                <w:sz w:val="20"/>
                <w:szCs w:val="20"/>
              </w:rPr>
            </w:pPr>
            <w:r w:rsidRPr="00D70344">
              <w:rPr>
                <w:rFonts w:cstheme="minorHAnsi"/>
                <w:sz w:val="20"/>
                <w:szCs w:val="20"/>
              </w:rPr>
              <w:t xml:space="preserve">Odstąpiono od tego, aby świadkiem testamentu nie mogła być osoba niema, gdyż taka osoba może być w stanie podpisać się pod pismem z oświadczeniem spadkodawcy lub dokonać nagrania jego oświadczenia. Jednocześnie doprecyzowano także dotychczasowe sformułowanie art. 956 § 2 pkt 2 k.c., aby podkreślić, że świadkiem testamentu nie może być osoba, która „nie widzi lub nie słyszy”. Pojęcie to jest szerzej zakreślone niż obecne brzmienie przepisu wyłączające od bycia świadkiem osobę „niewidomą lub głuchą” i które to sformułowanie może być uznane za dyskryminujące. </w:t>
            </w:r>
            <w:r w:rsidR="00EB0EF0">
              <w:rPr>
                <w:rFonts w:cstheme="minorHAnsi"/>
                <w:sz w:val="20"/>
                <w:szCs w:val="20"/>
              </w:rPr>
              <w:t>N</w:t>
            </w:r>
            <w:r w:rsidR="00177907">
              <w:rPr>
                <w:rFonts w:cstheme="minorHAnsi"/>
                <w:sz w:val="20"/>
                <w:szCs w:val="20"/>
              </w:rPr>
              <w:t xml:space="preserve">ależy wskazać, że rolą świadka </w:t>
            </w:r>
            <w:r w:rsidR="00E40997" w:rsidRPr="00E40997">
              <w:rPr>
                <w:rFonts w:cstheme="minorHAnsi"/>
                <w:bCs/>
                <w:sz w:val="20"/>
                <w:szCs w:val="20"/>
              </w:rPr>
              <w:t>jest zarejestrowanie</w:t>
            </w:r>
            <w:r w:rsidR="00AB5DE9">
              <w:rPr>
                <w:rFonts w:cstheme="minorHAnsi"/>
                <w:bCs/>
                <w:sz w:val="20"/>
                <w:szCs w:val="20"/>
              </w:rPr>
              <w:t>,</w:t>
            </w:r>
            <w:r w:rsidR="00E40997" w:rsidRPr="00E40997">
              <w:rPr>
                <w:rFonts w:cstheme="minorHAnsi"/>
                <w:bCs/>
                <w:sz w:val="20"/>
                <w:szCs w:val="20"/>
              </w:rPr>
              <w:t xml:space="preserve"> a następnie przekazanie i utrwalenie treści oświadczenia woli testatora. Ma to na celu zapewnienie bezpieczeństw</w:t>
            </w:r>
            <w:r w:rsidR="00B32D7E">
              <w:rPr>
                <w:rFonts w:cstheme="minorHAnsi"/>
                <w:bCs/>
                <w:sz w:val="20"/>
                <w:szCs w:val="20"/>
              </w:rPr>
              <w:t>a</w:t>
            </w:r>
            <w:r w:rsidR="00E40997" w:rsidRPr="00E40997">
              <w:rPr>
                <w:rFonts w:cstheme="minorHAnsi"/>
                <w:bCs/>
                <w:sz w:val="20"/>
                <w:szCs w:val="20"/>
              </w:rPr>
              <w:t xml:space="preserve"> obrotu i spełnia funkcję ochronną wobec testatora. </w:t>
            </w:r>
          </w:p>
          <w:p w14:paraId="37F490F7" w14:textId="080A658A" w:rsidR="00AB5DE9" w:rsidRDefault="00AB5DE9" w:rsidP="00E40997">
            <w:pPr>
              <w:spacing w:line="276" w:lineRule="auto"/>
              <w:jc w:val="both"/>
              <w:rPr>
                <w:rFonts w:cstheme="minorHAnsi"/>
                <w:bCs/>
                <w:sz w:val="20"/>
                <w:szCs w:val="20"/>
              </w:rPr>
            </w:pPr>
            <w:r w:rsidRPr="00AB5DE9">
              <w:rPr>
                <w:rFonts w:cstheme="minorHAnsi"/>
                <w:bCs/>
                <w:sz w:val="20"/>
                <w:szCs w:val="20"/>
              </w:rPr>
              <w:t xml:space="preserve">Odnosząc się do zarzutu „wykluczenia osób niewidzących i niesłyszących” i „nieuzasadnionego różnicowania sytuacji prawnej pomiędzy poszczególnymi kategoriami osób z niepełnosprawnościami” należy wskazać, że intencją kwestionowanego przepisu nie jest </w:t>
            </w:r>
            <w:r w:rsidRPr="00AB5DE9">
              <w:rPr>
                <w:rFonts w:cstheme="minorHAnsi"/>
                <w:bCs/>
                <w:sz w:val="20"/>
                <w:szCs w:val="20"/>
              </w:rPr>
              <w:lastRenderedPageBreak/>
              <w:t>jakiekolwiek wykluczenie pewnych kategorii osób od możliwości bycia świadkiem testamentu, ale szczególna ochrona treści ostatniego oświadczenia woli spadkodawcy. Świadek powinien mieć zdolność zarówno rozumienia oświadczenia woli testatora jak i zdolność odbioru okoliczności towarzyszących złożeniu tego oświadczenia.</w:t>
            </w:r>
          </w:p>
          <w:p w14:paraId="17051E1E" w14:textId="63436A2B" w:rsidR="00EB6C12" w:rsidRPr="00E40997" w:rsidRDefault="00EB6C12" w:rsidP="00E40997">
            <w:pPr>
              <w:spacing w:line="276" w:lineRule="auto"/>
              <w:jc w:val="both"/>
              <w:rPr>
                <w:rFonts w:cstheme="minorHAnsi"/>
                <w:bCs/>
                <w:sz w:val="20"/>
                <w:szCs w:val="20"/>
              </w:rPr>
            </w:pPr>
            <w:r w:rsidRPr="00EB6C12">
              <w:rPr>
                <w:rFonts w:cstheme="minorHAnsi"/>
                <w:bCs/>
                <w:sz w:val="20"/>
                <w:szCs w:val="20"/>
              </w:rPr>
              <w:t>Przykładowo</w:t>
            </w:r>
            <w:r w:rsidRPr="00E40997" w:rsidDel="00EB6C12">
              <w:rPr>
                <w:rFonts w:cstheme="minorHAnsi"/>
                <w:bCs/>
                <w:sz w:val="20"/>
                <w:szCs w:val="20"/>
              </w:rPr>
              <w:t xml:space="preserve"> </w:t>
            </w:r>
            <w:r>
              <w:rPr>
                <w:rFonts w:cstheme="minorHAnsi"/>
                <w:bCs/>
                <w:sz w:val="20"/>
                <w:szCs w:val="20"/>
              </w:rPr>
              <w:t>o</w:t>
            </w:r>
            <w:r w:rsidR="00E40997" w:rsidRPr="00E40997">
              <w:rPr>
                <w:rFonts w:cstheme="minorHAnsi"/>
                <w:bCs/>
                <w:sz w:val="20"/>
                <w:szCs w:val="20"/>
              </w:rPr>
              <w:t xml:space="preserve">soba pozbawiona możliwości słyszenia nie będzie mogła usłyszeć jego ustnego oświadczenia, a następnie przykładowo potwierdzić w piśmie stwierdzającym tę treść, że określona wola tej treści rzeczywiście została wyrażona. </w:t>
            </w:r>
            <w:r w:rsidRPr="00EB6C12">
              <w:rPr>
                <w:rFonts w:cstheme="minorHAnsi"/>
                <w:bCs/>
                <w:sz w:val="20"/>
                <w:szCs w:val="20"/>
              </w:rPr>
              <w:t>Osoba zaś, któr</w:t>
            </w:r>
            <w:r w:rsidR="00E15BCC">
              <w:rPr>
                <w:rFonts w:cstheme="minorHAnsi"/>
                <w:bCs/>
                <w:sz w:val="20"/>
                <w:szCs w:val="20"/>
              </w:rPr>
              <w:t>a</w:t>
            </w:r>
            <w:r w:rsidRPr="00EB6C12">
              <w:rPr>
                <w:rFonts w:cstheme="minorHAnsi"/>
                <w:bCs/>
                <w:sz w:val="20"/>
                <w:szCs w:val="20"/>
              </w:rPr>
              <w:t xml:space="preserve"> nie widzi, nie będzie mogła np. samodzielnie przeczytać przedstawionego jej pisma z podpisem spadkodawcy. </w:t>
            </w:r>
            <w:r w:rsidR="00E40997" w:rsidRPr="00E40997">
              <w:rPr>
                <w:rFonts w:cstheme="minorHAnsi"/>
                <w:bCs/>
                <w:sz w:val="20"/>
                <w:szCs w:val="20"/>
              </w:rPr>
              <w:t xml:space="preserve">Wyłączenie osoby </w:t>
            </w:r>
            <w:r w:rsidRPr="00EB6C12">
              <w:rPr>
                <w:rFonts w:cstheme="minorHAnsi"/>
                <w:bCs/>
                <w:sz w:val="20"/>
                <w:szCs w:val="20"/>
              </w:rPr>
              <w:t xml:space="preserve">niewidzącej lub </w:t>
            </w:r>
            <w:r w:rsidR="00E40997" w:rsidRPr="00E40997">
              <w:rPr>
                <w:rFonts w:cstheme="minorHAnsi"/>
                <w:bCs/>
                <w:sz w:val="20"/>
                <w:szCs w:val="20"/>
              </w:rPr>
              <w:t xml:space="preserve">niesłyszącej oświadczenia testatora od bycia świadkiem wynika także stąd, że osoba taka powinna mieć możliwość odtworzenia okoliczności, w których dany testament był sporządzany, a więc np. tego, czy względem osoby testatora nie kierowano gróźb lub innego wpływu ze strony świadków lub osób trzecich. Powinno być tak nawet wówczas, gdy samo oświadczenie spadkodawcy złożone zostanie następnie w obecności świadków i zostanie </w:t>
            </w:r>
            <w:r w:rsidR="00E40997" w:rsidRPr="00E40997">
              <w:rPr>
                <w:rFonts w:cstheme="minorHAnsi"/>
                <w:bCs/>
                <w:sz w:val="20"/>
                <w:szCs w:val="20"/>
              </w:rPr>
              <w:lastRenderedPageBreak/>
              <w:t>utrwalone za pomocą urządzenia rejestrującego obraz i dźwięk na trwałym nośniku danych.</w:t>
            </w:r>
          </w:p>
          <w:p w14:paraId="591A526D" w14:textId="2DA63066" w:rsidR="00E40997" w:rsidRPr="00E40997" w:rsidRDefault="00E40997" w:rsidP="00E40997">
            <w:pPr>
              <w:spacing w:line="276" w:lineRule="auto"/>
              <w:jc w:val="both"/>
              <w:rPr>
                <w:rFonts w:cstheme="minorHAnsi"/>
                <w:bCs/>
                <w:sz w:val="20"/>
                <w:szCs w:val="20"/>
              </w:rPr>
            </w:pPr>
            <w:r w:rsidRPr="00E40997">
              <w:rPr>
                <w:rFonts w:cstheme="minorHAnsi"/>
                <w:bCs/>
                <w:sz w:val="20"/>
                <w:szCs w:val="20"/>
              </w:rPr>
              <w:t xml:space="preserve">Rozwiązanie proponowanego art. 956 § 2 pkt 2 </w:t>
            </w:r>
            <w:r w:rsidRPr="00E40997">
              <w:rPr>
                <w:rFonts w:cstheme="minorHAnsi"/>
                <w:sz w:val="20"/>
                <w:szCs w:val="20"/>
              </w:rPr>
              <w:t>Kodeksu cywilnego</w:t>
            </w:r>
            <w:r w:rsidRPr="00E40997">
              <w:rPr>
                <w:rFonts w:cstheme="minorHAnsi"/>
                <w:bCs/>
                <w:sz w:val="20"/>
                <w:szCs w:val="20"/>
              </w:rPr>
              <w:t xml:space="preserve"> jest też bezpośrednio powiązane z </w:t>
            </w:r>
            <w:r w:rsidRPr="00E40997">
              <w:rPr>
                <w:rFonts w:cstheme="minorHAnsi"/>
                <w:sz w:val="20"/>
                <w:szCs w:val="20"/>
              </w:rPr>
              <w:t>proponowanym § 1 art. 956 Kodeksu cywilnego</w:t>
            </w:r>
            <w:r w:rsidR="00A52906">
              <w:rPr>
                <w:rFonts w:cstheme="minorHAnsi"/>
                <w:sz w:val="20"/>
                <w:szCs w:val="20"/>
              </w:rPr>
              <w:t>, a nie jest niespójne</w:t>
            </w:r>
            <w:r w:rsidRPr="00E40997">
              <w:rPr>
                <w:rFonts w:cstheme="minorHAnsi"/>
                <w:sz w:val="20"/>
                <w:szCs w:val="20"/>
              </w:rPr>
              <w:t xml:space="preserve">. Jeżeli </w:t>
            </w:r>
            <w:r w:rsidR="00A52906" w:rsidRPr="00A52906">
              <w:rPr>
                <w:rFonts w:ascii="Times New Roman" w:hAnsi="Times New Roman" w:cs="Times New Roman"/>
                <w:sz w:val="20"/>
                <w:szCs w:val="20"/>
              </w:rPr>
              <w:t>§</w:t>
            </w:r>
            <w:r w:rsidR="00A52906">
              <w:rPr>
                <w:rFonts w:cstheme="minorHAnsi"/>
                <w:sz w:val="20"/>
                <w:szCs w:val="20"/>
              </w:rPr>
              <w:t xml:space="preserve"> 1</w:t>
            </w:r>
            <w:r w:rsidRPr="00E40997">
              <w:rPr>
                <w:rFonts w:cstheme="minorHAnsi"/>
                <w:sz w:val="20"/>
                <w:szCs w:val="20"/>
              </w:rPr>
              <w:t xml:space="preserve"> zakłada, że świadkiem testamentu nie może być osoba, która „nie rozumie treści oświadczenia woli spadkodawcy” to </w:t>
            </w:r>
            <w:r w:rsidR="004C4054">
              <w:rPr>
                <w:rFonts w:cstheme="minorHAnsi"/>
                <w:sz w:val="20"/>
                <w:szCs w:val="20"/>
              </w:rPr>
              <w:t xml:space="preserve">np. </w:t>
            </w:r>
            <w:r w:rsidRPr="00E40997">
              <w:rPr>
                <w:rFonts w:cstheme="minorHAnsi"/>
                <w:sz w:val="20"/>
                <w:szCs w:val="20"/>
              </w:rPr>
              <w:t>osoba głucha lub głuchoniema, która z przyczyn faktycznych nie będzie słyszała tego oświadczenia, nie będzie mogła go też zrozumieć. Oznacza to, że nie będzie mogła we właściwy sposób spełnić funkcji świadka testamentu.</w:t>
            </w:r>
          </w:p>
          <w:p w14:paraId="1E9F6D75" w14:textId="27177869" w:rsidR="00887985" w:rsidRDefault="004C4054" w:rsidP="00047010">
            <w:pPr>
              <w:spacing w:line="276" w:lineRule="auto"/>
              <w:jc w:val="both"/>
              <w:rPr>
                <w:rFonts w:cstheme="minorHAnsi"/>
                <w:bCs/>
                <w:sz w:val="20"/>
                <w:szCs w:val="20"/>
              </w:rPr>
            </w:pPr>
            <w:r>
              <w:rPr>
                <w:rFonts w:cstheme="minorHAnsi"/>
                <w:bCs/>
                <w:sz w:val="20"/>
                <w:szCs w:val="20"/>
              </w:rPr>
              <w:t xml:space="preserve">Jedynie na marginesie zauważyć należy, że </w:t>
            </w:r>
            <w:r w:rsidR="00E40997" w:rsidRPr="00E40997">
              <w:rPr>
                <w:rFonts w:cstheme="minorHAnsi"/>
                <w:sz w:val="20"/>
                <w:szCs w:val="20"/>
              </w:rPr>
              <w:t>Zespół problemowy do spraw prawa spadkowego Komisji Kodyfikacyjnej Prawa Cywilnego w dyskusji uznał</w:t>
            </w:r>
            <w:r w:rsidR="00EC357D">
              <w:rPr>
                <w:rFonts w:cstheme="minorHAnsi"/>
                <w:sz w:val="20"/>
                <w:szCs w:val="20"/>
              </w:rPr>
              <w:t xml:space="preserve"> zarazem</w:t>
            </w:r>
            <w:r w:rsidR="00E40997" w:rsidRPr="00E40997">
              <w:rPr>
                <w:rFonts w:cstheme="minorHAnsi"/>
                <w:sz w:val="20"/>
                <w:szCs w:val="20"/>
              </w:rPr>
              <w:t xml:space="preserve">, że wyraźne przesądzanie w treści przepisu skutków sytuacji, w której </w:t>
            </w:r>
            <w:r w:rsidR="00E40997" w:rsidRPr="00E40997">
              <w:rPr>
                <w:rFonts w:cstheme="minorHAnsi"/>
                <w:bCs/>
                <w:sz w:val="20"/>
                <w:szCs w:val="20"/>
              </w:rPr>
              <w:t>oświadczenie woli testatora jest przekazywane językiem migowym, a świadkowie język ten rozumieją, jest zbędne</w:t>
            </w:r>
            <w:r w:rsidR="00E40997" w:rsidRPr="00E40997">
              <w:rPr>
                <w:rFonts w:cstheme="minorHAnsi"/>
                <w:sz w:val="20"/>
                <w:szCs w:val="20"/>
              </w:rPr>
              <w:t xml:space="preserve">. Ze względu na bardzo znaczące zawężenie sytuacji, w których możliwe będzie w przyszłości sporządzenie testamentu ustnego oraz wojskowego i stąd niezwykle rzadką możliwość wystąpienia w praktyce takiej sytuacji, Zespół </w:t>
            </w:r>
            <w:r w:rsidR="00E40997" w:rsidRPr="00E40997">
              <w:rPr>
                <w:rFonts w:cstheme="minorHAnsi"/>
                <w:sz w:val="20"/>
                <w:szCs w:val="20"/>
              </w:rPr>
              <w:lastRenderedPageBreak/>
              <w:t>problemowy do spraw prawa spadkowego Komisji Kodyfikacyjnej Prawa Cywilnego uznał, że w razie jej wystąpienia może zostać ona rozstrzygnięta przez orzecznictwo</w:t>
            </w:r>
            <w:r w:rsidR="00E40997" w:rsidRPr="00E40997">
              <w:rPr>
                <w:rFonts w:cstheme="minorHAnsi"/>
                <w:bCs/>
                <w:sz w:val="20"/>
                <w:szCs w:val="20"/>
              </w:rPr>
              <w:t>.</w:t>
            </w:r>
          </w:p>
          <w:p w14:paraId="3827CEFC" w14:textId="7173A1DA" w:rsidR="002779AB" w:rsidRPr="00220438" w:rsidRDefault="00220438" w:rsidP="00220438">
            <w:pPr>
              <w:tabs>
                <w:tab w:val="center" w:pos="431"/>
                <w:tab w:val="center" w:pos="2651"/>
              </w:tabs>
              <w:spacing w:line="276" w:lineRule="auto"/>
              <w:jc w:val="both"/>
              <w:rPr>
                <w:rFonts w:cstheme="minorHAnsi"/>
                <w:sz w:val="20"/>
                <w:szCs w:val="20"/>
              </w:rPr>
            </w:pPr>
            <w:r w:rsidRPr="00220438">
              <w:rPr>
                <w:rFonts w:cstheme="minorHAnsi"/>
                <w:sz w:val="20"/>
                <w:szCs w:val="20"/>
              </w:rPr>
              <w:t xml:space="preserve">Nie jest </w:t>
            </w:r>
            <w:r w:rsidR="00EB07C6">
              <w:rPr>
                <w:rFonts w:cstheme="minorHAnsi"/>
                <w:sz w:val="20"/>
                <w:szCs w:val="20"/>
              </w:rPr>
              <w:t xml:space="preserve">też </w:t>
            </w:r>
            <w:r w:rsidRPr="00220438">
              <w:rPr>
                <w:rFonts w:cstheme="minorHAnsi"/>
                <w:sz w:val="20"/>
                <w:szCs w:val="20"/>
              </w:rPr>
              <w:t>zasadny również zarzut braku spójności § 2 z treścią § 1. Świadek</w:t>
            </w:r>
            <w:r w:rsidR="007A3F65">
              <w:rPr>
                <w:rFonts w:cstheme="minorHAnsi"/>
                <w:sz w:val="20"/>
                <w:szCs w:val="20"/>
              </w:rPr>
              <w:t xml:space="preserve">, aby móc być tak zakwalifikowany </w:t>
            </w:r>
            <w:r w:rsidRPr="00220438">
              <w:rPr>
                <w:rFonts w:cstheme="minorHAnsi"/>
                <w:sz w:val="20"/>
                <w:szCs w:val="20"/>
              </w:rPr>
              <w:t xml:space="preserve">musi </w:t>
            </w:r>
            <w:r w:rsidR="007A3F65">
              <w:rPr>
                <w:rFonts w:cstheme="minorHAnsi"/>
                <w:sz w:val="20"/>
                <w:szCs w:val="20"/>
              </w:rPr>
              <w:t>być objęty definicją</w:t>
            </w:r>
            <w:r w:rsidRPr="00220438">
              <w:rPr>
                <w:rFonts w:cstheme="minorHAnsi"/>
                <w:sz w:val="20"/>
                <w:szCs w:val="20"/>
              </w:rPr>
              <w:t xml:space="preserve"> z </w:t>
            </w:r>
            <w:r w:rsidRPr="00220438">
              <w:rPr>
                <w:rFonts w:ascii="Times New Roman" w:hAnsi="Times New Roman" w:cs="Times New Roman"/>
                <w:sz w:val="20"/>
                <w:szCs w:val="20"/>
              </w:rPr>
              <w:t>§</w:t>
            </w:r>
            <w:r w:rsidRPr="00220438">
              <w:rPr>
                <w:rFonts w:cstheme="minorHAnsi"/>
                <w:sz w:val="20"/>
                <w:szCs w:val="20"/>
              </w:rPr>
              <w:t xml:space="preserve"> 1 </w:t>
            </w:r>
            <w:r w:rsidR="007A3F65">
              <w:rPr>
                <w:rFonts w:cstheme="minorHAnsi"/>
                <w:sz w:val="20"/>
                <w:szCs w:val="20"/>
              </w:rPr>
              <w:t>oraz nie może być</w:t>
            </w:r>
            <w:r w:rsidR="007A3F65" w:rsidRPr="00220438">
              <w:rPr>
                <w:rFonts w:cstheme="minorHAnsi"/>
                <w:sz w:val="20"/>
                <w:szCs w:val="20"/>
              </w:rPr>
              <w:t xml:space="preserve"> </w:t>
            </w:r>
            <w:r w:rsidRPr="00220438">
              <w:rPr>
                <w:rFonts w:cstheme="minorHAnsi"/>
                <w:sz w:val="20"/>
                <w:szCs w:val="20"/>
              </w:rPr>
              <w:t>jednocześnie osobą</w:t>
            </w:r>
            <w:r w:rsidR="007A3F65">
              <w:rPr>
                <w:rFonts w:cstheme="minorHAnsi"/>
                <w:sz w:val="20"/>
                <w:szCs w:val="20"/>
              </w:rPr>
              <w:t xml:space="preserve"> wyłączoną od możliwości bycia świadkiem</w:t>
            </w:r>
            <w:r w:rsidRPr="00220438">
              <w:rPr>
                <w:rFonts w:cstheme="minorHAnsi"/>
                <w:sz w:val="20"/>
                <w:szCs w:val="20"/>
              </w:rPr>
              <w:t xml:space="preserve">, o której mowa w </w:t>
            </w:r>
            <w:r w:rsidRPr="00220438">
              <w:rPr>
                <w:rFonts w:ascii="Times New Roman" w:hAnsi="Times New Roman" w:cs="Times New Roman"/>
                <w:sz w:val="20"/>
                <w:szCs w:val="20"/>
              </w:rPr>
              <w:t>§</w:t>
            </w:r>
            <w:r w:rsidRPr="00220438">
              <w:rPr>
                <w:rFonts w:cstheme="minorHAnsi"/>
                <w:sz w:val="20"/>
                <w:szCs w:val="20"/>
              </w:rPr>
              <w:t xml:space="preserve"> 2. </w:t>
            </w:r>
          </w:p>
        </w:tc>
      </w:tr>
      <w:tr w:rsidR="007F2ED0" w:rsidRPr="00047010" w14:paraId="18E1C4A1" w14:textId="77777777" w:rsidTr="00B241C8">
        <w:trPr>
          <w:jc w:val="center"/>
        </w:trPr>
        <w:tc>
          <w:tcPr>
            <w:tcW w:w="562" w:type="dxa"/>
          </w:tcPr>
          <w:p w14:paraId="0271732B" w14:textId="7E3C4160" w:rsidR="007F2ED0" w:rsidRPr="00047010" w:rsidRDefault="008209E0" w:rsidP="00047010">
            <w:pPr>
              <w:spacing w:before="120" w:line="276" w:lineRule="auto"/>
              <w:ind w:right="-534"/>
              <w:rPr>
                <w:rFonts w:cstheme="minorHAnsi"/>
                <w:b/>
                <w:sz w:val="20"/>
                <w:szCs w:val="20"/>
              </w:rPr>
            </w:pPr>
            <w:r>
              <w:rPr>
                <w:rFonts w:cstheme="minorHAnsi"/>
                <w:b/>
                <w:sz w:val="20"/>
                <w:szCs w:val="20"/>
              </w:rPr>
              <w:lastRenderedPageBreak/>
              <w:t>2.</w:t>
            </w:r>
          </w:p>
        </w:tc>
        <w:tc>
          <w:tcPr>
            <w:tcW w:w="1843" w:type="dxa"/>
            <w:vAlign w:val="center"/>
          </w:tcPr>
          <w:p w14:paraId="71C87A46" w14:textId="77777777" w:rsidR="007F2ED0" w:rsidRDefault="007F2ED0" w:rsidP="00047010">
            <w:pPr>
              <w:spacing w:before="120" w:after="120" w:line="276" w:lineRule="auto"/>
              <w:jc w:val="center"/>
              <w:rPr>
                <w:rFonts w:cstheme="minorHAnsi"/>
                <w:b/>
                <w:bCs/>
                <w:sz w:val="20"/>
                <w:szCs w:val="20"/>
              </w:rPr>
            </w:pPr>
            <w:r w:rsidRPr="008209E0">
              <w:rPr>
                <w:rFonts w:cstheme="minorHAnsi"/>
                <w:b/>
                <w:bCs/>
                <w:sz w:val="20"/>
                <w:szCs w:val="20"/>
              </w:rPr>
              <w:t xml:space="preserve">Minister – Członek Rady Ministrów – Koordynator Służb Specjalnych </w:t>
            </w:r>
          </w:p>
          <w:p w14:paraId="555BDF82" w14:textId="05DF8105" w:rsidR="008209E0" w:rsidRPr="008209E0" w:rsidRDefault="008209E0" w:rsidP="00047010">
            <w:pPr>
              <w:spacing w:before="120" w:after="120" w:line="276" w:lineRule="auto"/>
              <w:jc w:val="center"/>
              <w:rPr>
                <w:rFonts w:cstheme="minorHAnsi"/>
                <w:sz w:val="20"/>
                <w:szCs w:val="20"/>
              </w:rPr>
            </w:pPr>
            <w:r w:rsidRPr="008209E0">
              <w:rPr>
                <w:rFonts w:cstheme="minorHAnsi"/>
                <w:sz w:val="20"/>
                <w:szCs w:val="20"/>
              </w:rPr>
              <w:t>(KSS)</w:t>
            </w:r>
          </w:p>
        </w:tc>
        <w:tc>
          <w:tcPr>
            <w:tcW w:w="1843" w:type="dxa"/>
            <w:vAlign w:val="center"/>
          </w:tcPr>
          <w:p w14:paraId="67E3F829" w14:textId="77777777" w:rsidR="007F2ED0" w:rsidRPr="00047010" w:rsidRDefault="007F2ED0" w:rsidP="00047010">
            <w:pPr>
              <w:spacing w:before="120" w:after="120" w:line="276" w:lineRule="auto"/>
              <w:jc w:val="center"/>
              <w:rPr>
                <w:rFonts w:cstheme="minorHAnsi"/>
                <w:sz w:val="20"/>
                <w:szCs w:val="20"/>
              </w:rPr>
            </w:pPr>
            <w:r w:rsidRPr="00047010">
              <w:rPr>
                <w:rFonts w:cstheme="minorHAnsi"/>
                <w:sz w:val="20"/>
                <w:szCs w:val="20"/>
              </w:rPr>
              <w:t xml:space="preserve">Art. 1 pkt 5 projektu </w:t>
            </w:r>
          </w:p>
          <w:p w14:paraId="409A627C" w14:textId="155D998A" w:rsidR="007F2ED0" w:rsidRPr="00047010" w:rsidRDefault="007F2ED0" w:rsidP="00047010">
            <w:pPr>
              <w:spacing w:before="120" w:after="120" w:line="276" w:lineRule="auto"/>
              <w:jc w:val="center"/>
              <w:rPr>
                <w:rFonts w:cstheme="minorHAnsi"/>
                <w:sz w:val="20"/>
                <w:szCs w:val="20"/>
              </w:rPr>
            </w:pPr>
            <w:r w:rsidRPr="00047010">
              <w:rPr>
                <w:rFonts w:cstheme="minorHAnsi"/>
                <w:sz w:val="20"/>
                <w:szCs w:val="20"/>
              </w:rPr>
              <w:t>(art. 954</w:t>
            </w:r>
            <w:r w:rsidRPr="00047010">
              <w:rPr>
                <w:rFonts w:cstheme="minorHAnsi"/>
                <w:sz w:val="20"/>
                <w:szCs w:val="20"/>
                <w:vertAlign w:val="superscript"/>
              </w:rPr>
              <w:t>1</w:t>
            </w:r>
            <w:r w:rsidRPr="00047010">
              <w:rPr>
                <w:rFonts w:cstheme="minorHAnsi"/>
                <w:sz w:val="20"/>
                <w:szCs w:val="20"/>
              </w:rPr>
              <w:t xml:space="preserve"> k.c.)</w:t>
            </w:r>
          </w:p>
        </w:tc>
        <w:tc>
          <w:tcPr>
            <w:tcW w:w="5670" w:type="dxa"/>
            <w:vAlign w:val="center"/>
          </w:tcPr>
          <w:p w14:paraId="7DC0FADF" w14:textId="678136CB" w:rsidR="007F2ED0" w:rsidRPr="00047010" w:rsidRDefault="007F2ED0" w:rsidP="00047010">
            <w:pPr>
              <w:tabs>
                <w:tab w:val="center" w:pos="431"/>
                <w:tab w:val="center" w:pos="2651"/>
              </w:tabs>
              <w:spacing w:line="276" w:lineRule="auto"/>
              <w:jc w:val="both"/>
              <w:rPr>
                <w:rFonts w:cstheme="minorHAnsi"/>
                <w:sz w:val="20"/>
                <w:szCs w:val="20"/>
              </w:rPr>
            </w:pPr>
            <w:r w:rsidRPr="00047010">
              <w:rPr>
                <w:rFonts w:cstheme="minorHAnsi"/>
                <w:sz w:val="20"/>
                <w:szCs w:val="20"/>
              </w:rPr>
              <w:t xml:space="preserve">Na wstępie należy wskazać, że ww. projekt stanowi kontynuację prac dotyczących projektu ustawy o zmianie ustawy - Kodeks cywilny oraz niektórych innych ustaw, którego wcześniejsza wersja z dnia 24 kwietnia 2024 r., była procedowana w ramach uzgodnień międzyresortowych. W toku dotychczasowych prac legislacyjnych Minister - Koordynator Służb Specjalnych wskazał w piśmie z dnia 8 lipca 2024 r., o sygn. DBN.WP.0641.1.86.2024, że zasadne jest rozszerzenie katalogu podmiotów uprawnionych do sporządzania testamentu wojskowego. Warto przy tym zaznaczyć, że w porównaniu do poprzedniej wersji projektu ustawy, jej aktualne brzmienie zawiera liczne zmiany. Z perspektywy działalności służb specjalnych na szczególną uwagę zasługują te dotyczące testamentów wojskowych. Po pierwsze, projektodawca zdecydował się na przyjęcie większej elastyczności w odniesieniu do możliwości sporządzenia testamentu wojskowego, przyznając ją wymienionym w ustawie podmiotom w czasie przebywania na obszarze objętym działaniami zbrojnymi, jeżeli sporządzenie testamentu w formie aktu notarialnego jest niemożliwe albo nadmiernie utrudnione. Z </w:t>
            </w:r>
            <w:r w:rsidRPr="00047010">
              <w:rPr>
                <w:rFonts w:cstheme="minorHAnsi"/>
                <w:sz w:val="20"/>
                <w:szCs w:val="20"/>
              </w:rPr>
              <w:lastRenderedPageBreak/>
              <w:t xml:space="preserve">uwagi na zmianę form, w jakich toczą się nowoczesne działania zbrojne, sygnałem braku możliwości właściwego działania podmiotów wykonujących funkcje publiczne na danym obszarze objętym działaniami zbrojnymi, a także dowodem na to, że dany obszar jest rzeczywiście objęty takimi działaniami, może być brak możliwości sporządzenia przez testatora testamentu w formie publicznej, jaką jest forma aktu notarialnego. Co więcej, w odniesieniu do wcześniejszej wersji projektu ustawy, rozszerzono krąg osób uprawnionych do sporządzenia testamentu wojskowego; zgodnie z projektowaną regulacją przedmiotowe uprawnienie obejmie: </w:t>
            </w:r>
            <w:r w:rsidRPr="00047010">
              <w:rPr>
                <w:rFonts w:cstheme="minorHAnsi"/>
                <w:sz w:val="20"/>
                <w:szCs w:val="20"/>
              </w:rPr>
              <w:sym w:font="Symbol" w:char="F0B7"/>
            </w:r>
            <w:r w:rsidRPr="00047010">
              <w:rPr>
                <w:rFonts w:cstheme="minorHAnsi"/>
                <w:sz w:val="20"/>
                <w:szCs w:val="20"/>
              </w:rPr>
              <w:t xml:space="preserve"> żołnierzy Sił Zbrojnych Rzeczypospolitej Polskiej, </w:t>
            </w:r>
            <w:r w:rsidRPr="00047010">
              <w:rPr>
                <w:rFonts w:cstheme="minorHAnsi"/>
                <w:sz w:val="20"/>
                <w:szCs w:val="20"/>
              </w:rPr>
              <w:sym w:font="Symbol" w:char="F0B7"/>
            </w:r>
            <w:r w:rsidRPr="00047010">
              <w:rPr>
                <w:rFonts w:cstheme="minorHAnsi"/>
                <w:sz w:val="20"/>
                <w:szCs w:val="20"/>
              </w:rPr>
              <w:t xml:space="preserve"> osoby pełniące służbę w jednostkach zmilitaryzowanych - rozumiane tak samo jak w przepisach ustawy z dnia 11 marca 2022 r. o obronie Ojczyzny (Dz. U. z 2025 r. poz. 825, 1014 oraz 1080), a więc przede wszystkim osoby pełniące służbę w jednostkach zmilitaryzowanych przydzielonych do Sił Zbrojnych Rzeczypospolitej Polskiej lub wykonujących ustawowe zadania utrzymania bezpieczeństwa i porządku wewnętrznego, oraz </w:t>
            </w:r>
            <w:r w:rsidRPr="00047010">
              <w:rPr>
                <w:rFonts w:cstheme="minorHAnsi"/>
                <w:sz w:val="20"/>
                <w:szCs w:val="20"/>
              </w:rPr>
              <w:sym w:font="Symbol" w:char="F0B7"/>
            </w:r>
            <w:r w:rsidRPr="00047010">
              <w:rPr>
                <w:rFonts w:cstheme="minorHAnsi"/>
                <w:sz w:val="20"/>
                <w:szCs w:val="20"/>
              </w:rPr>
              <w:t xml:space="preserve"> inne osoby zaangażowane w działania zbrojne - rozumiane jako wszystkie osoby objęte obecnymi przepisami rozporządzenia Ministra Obrony Narodowej z dnia 30 stycznia 1965 r. w sprawie testamentów wojskowych (Dz. U. poz. 38), ale także pracowników wchodzących w skład jednostek wojskowych wykonujących zadania poza granicami państwa, cywilny personel medyczno-sanitarny Sił Zbrojnych Polskiej, osoby cywilne towarzyszące Siłom Zbrojnym Rzeczypospolitej Polskiej, w tym osoby wchodzące w skład personelu organizacji ,,Polski Czerwony Krzyż” i innych ochotniczych organizacji udzielających pomocy wojskowej służbie zdrowia oraz członkowie służb </w:t>
            </w:r>
            <w:r w:rsidRPr="00047010">
              <w:rPr>
                <w:rFonts w:cstheme="minorHAnsi"/>
                <w:sz w:val="20"/>
                <w:szCs w:val="20"/>
              </w:rPr>
              <w:lastRenderedPageBreak/>
              <w:t xml:space="preserve">pomocniczych i inne osoby wykonujące świadczenia osobiste na rzecz Sił Zbrojnych Rzeczypospolitej Polskiej. Ponadto, w aktualnej wersji projektu ustawy projektodawca przyjął tożsamą z dotychczas obowiązującą na podstawie rozporządzenia Ministra Obrony Narodowej z dnia 30 stycznia 1965 r. w sprawie testamentów wojskowych, możliwość sporządzenia testamentu przed świadkami: minimum dwoma (jeżeli spadkodawca może podpisać się na sporządzonym piśmie poświadczającym treść jego testamentu) oraz minimum trzema (jeżeli spadkodawca nie może podpisać się na takim dokumencie). Dodatkowo, tak jak w przypadku testamentu ustnego, w wypadku, jeżeli spadkodawca nie może się podpisać, jego oświadczenie w obecności świadków może być także utrwalone za pomocą urządzenia rejestrującego obraz i dźwięk na trwałym nośniku danych. Zrezygnowano natomiast z dotychczasowej możliwości sporządzenia testamentu przed urzędnikiem wojskowym (np. sędzią wojskowym, dowódcą jednostki wojskowej, czy kierownikiem jednostki zmilitaryzowanej), którą przewidywała poprzednia wersja projektowanej ustawy. Mając na względzie powyższe podkreślić należy, że pomimo dokonanego przez ustawodawcę rozszerzenia katalogu osób uprawnionych do sporządzania testamentu wojskowego, w aktualnej wersji projektu </w:t>
            </w:r>
            <w:r w:rsidRPr="00220438">
              <w:rPr>
                <w:rFonts w:cstheme="minorHAnsi"/>
                <w:b/>
                <w:bCs/>
                <w:sz w:val="20"/>
                <w:szCs w:val="20"/>
              </w:rPr>
              <w:t>nadal nie przewiduje się możliwości sporządzania tego rodzaju testamentów przez funkcjonariuszy służb specjalnych.</w:t>
            </w:r>
            <w:r w:rsidRPr="00047010">
              <w:rPr>
                <w:rFonts w:cstheme="minorHAnsi"/>
                <w:sz w:val="20"/>
                <w:szCs w:val="20"/>
              </w:rPr>
              <w:t xml:space="preserve"> Jednocześnie z uzasadnienia do przedmiotowego projektu ustawy wynika, że użyty w analizowanym akcie prawnym zwrot „inne osoby zbrojne” został użyty celowo, aby takie szerokie sformułowanie mogło objąć wszystkie podmioty objęte obecnie rozporządzeniem Ministra Obrony Narodowej z dnia 30 stycznia </w:t>
            </w:r>
            <w:r w:rsidRPr="00047010">
              <w:rPr>
                <w:rFonts w:cstheme="minorHAnsi"/>
                <w:sz w:val="20"/>
                <w:szCs w:val="20"/>
              </w:rPr>
              <w:lastRenderedPageBreak/>
              <w:t xml:space="preserve">1965 r. w sprawie testamentów wojskowych. Ma to być więc: żołnierz Sił Zbrojnych Rzeczypospolitej Polskiej, osoba pełniąca służbę w jednostkach zmilitaryzowanych oraz inna osoba zaangażowana w działania zbrojne. </w:t>
            </w:r>
            <w:r w:rsidRPr="001A5B5B">
              <w:rPr>
                <w:rFonts w:cstheme="minorHAnsi"/>
                <w:b/>
                <w:bCs/>
                <w:sz w:val="20"/>
                <w:szCs w:val="20"/>
              </w:rPr>
              <w:t>Wskazać w tym miejscu należy, że użycie tego zwrotu powoduje, że tworzony katalog ma charakter otwarty, więc, jak przyznaje sam projektodawca, pewne kwestie zawarte w projekcie będą wymagały doprecyzowania przez orzecznictwo na etapie stosowania.</w:t>
            </w:r>
            <w:r w:rsidRPr="00047010">
              <w:rPr>
                <w:rFonts w:cstheme="minorHAnsi"/>
                <w:sz w:val="20"/>
                <w:szCs w:val="20"/>
              </w:rPr>
              <w:t xml:space="preserve"> Niemniej zasadne jest, aby już na etapie projektowania przepisu określającego zakres podmiotowy jego stosowania, jego brzmienie było jak najbardziej jasne, zrozumiałe i wyczerpujące, a tylko niezbędne kwestie np. trudne do przewidzenia na etapie jego tworzenia, miały charakter sformułowań otwartych lub niedookreślonych. Z tego powodu, </w:t>
            </w:r>
            <w:r w:rsidRPr="00673093">
              <w:rPr>
                <w:rFonts w:cstheme="minorHAnsi"/>
                <w:b/>
                <w:bCs/>
                <w:sz w:val="20"/>
                <w:szCs w:val="20"/>
              </w:rPr>
              <w:t>uznając że z testamentu wojskowego mogliby korzystać funkcjonariusze służb specjalnych</w:t>
            </w:r>
            <w:r w:rsidRPr="00047010">
              <w:rPr>
                <w:rFonts w:cstheme="minorHAnsi"/>
                <w:sz w:val="20"/>
                <w:szCs w:val="20"/>
              </w:rPr>
              <w:t xml:space="preserve">, a więc osoby wykonujące zadania związane z utrzymaniem bezpieczeństwa narodowego, skierowane do wykonywania zadań służbowych w państwie, którego terytorium w całości lub części zostało uznane za strefę działań wojennych np. rozkazem Szefa Agencji Bezpieczeństwa Wewnętrznego i/lub Szefa Agencji Wywiadu (o czym stanowi m.in. art. 85a ustawy z dnia 24 maja 2002 r. o Agencji Bezpieczeństwa Wewnętrznego oraz Agencji Wywiadu (Dz. U. z 2025 r. poz. 902 i 1366), </w:t>
            </w:r>
            <w:r w:rsidRPr="00673093">
              <w:rPr>
                <w:rFonts w:cstheme="minorHAnsi"/>
                <w:b/>
                <w:bCs/>
                <w:sz w:val="20"/>
                <w:szCs w:val="20"/>
              </w:rPr>
              <w:t>zasadne jest uwzględnienie tej grupy osób w treści opiniowanego przepisu.</w:t>
            </w:r>
            <w:r w:rsidRPr="00047010">
              <w:rPr>
                <w:rFonts w:cstheme="minorHAnsi"/>
                <w:sz w:val="20"/>
                <w:szCs w:val="20"/>
              </w:rPr>
              <w:t xml:space="preserve"> Należy również zauważyć, że </w:t>
            </w:r>
            <w:r w:rsidRPr="00673093">
              <w:rPr>
                <w:rFonts w:cstheme="minorHAnsi"/>
                <w:b/>
                <w:bCs/>
                <w:sz w:val="20"/>
                <w:szCs w:val="20"/>
              </w:rPr>
              <w:t>funkcjonariusze służb specjalnych przebywający na obszarze objętym działaniami zbrojnymi będą najczęściej wykonywali zadania ustawowe tych służb, które nie polegają na ich bezpośrednim zaangażowaniu w działania zbrojne</w:t>
            </w:r>
            <w:r w:rsidRPr="00047010">
              <w:rPr>
                <w:rFonts w:cstheme="minorHAnsi"/>
                <w:sz w:val="20"/>
                <w:szCs w:val="20"/>
              </w:rPr>
              <w:t xml:space="preserve">, a wobec tego </w:t>
            </w:r>
            <w:r w:rsidRPr="00047010">
              <w:rPr>
                <w:rFonts w:cstheme="minorHAnsi"/>
                <w:sz w:val="20"/>
                <w:szCs w:val="20"/>
              </w:rPr>
              <w:lastRenderedPageBreak/>
              <w:t>istnieje znaczne ryzyko niejednolitości w orzecznictwie co do interpretacji tego pojęcia w konkretnych stanach faktycznych. W związku z powyższym, proponuję nadanie następującego brzmienia projektowanemu art. 954</w:t>
            </w:r>
            <w:r w:rsidRPr="00C2618D">
              <w:rPr>
                <w:rFonts w:cstheme="minorHAnsi"/>
                <w:sz w:val="20"/>
                <w:szCs w:val="20"/>
                <w:vertAlign w:val="superscript"/>
              </w:rPr>
              <w:t>1</w:t>
            </w:r>
            <w:r w:rsidRPr="00047010">
              <w:rPr>
                <w:rFonts w:cstheme="minorHAnsi"/>
                <w:sz w:val="20"/>
                <w:szCs w:val="20"/>
              </w:rPr>
              <w:t xml:space="preserve"> § 1 Kodeksu cywilnego: „Art. 954</w:t>
            </w:r>
            <w:r w:rsidRPr="00C2618D">
              <w:rPr>
                <w:rFonts w:cstheme="minorHAnsi"/>
                <w:sz w:val="20"/>
                <w:szCs w:val="20"/>
                <w:vertAlign w:val="superscript"/>
              </w:rPr>
              <w:t>1</w:t>
            </w:r>
            <w:r w:rsidRPr="00047010">
              <w:rPr>
                <w:rFonts w:cstheme="minorHAnsi"/>
                <w:sz w:val="20"/>
                <w:szCs w:val="20"/>
              </w:rPr>
              <w:t xml:space="preserve"> § 1. W czasie przebywania na obszarze objętym działaniami zbrojnymi, jeżeli sporządzenie testamentu w formie aktu notarialnego jest niemożliwe albo nadmiernie utrudnione, żołnierz Sił Zbrojnych Rzeczypospolitej Polskiej, osoba pełniąca służbę w jednostkach zmilitaryzowanych, inna osoba zaangażowana w działania zbrojne </w:t>
            </w:r>
            <w:r w:rsidRPr="00AE2B2E">
              <w:rPr>
                <w:rFonts w:cstheme="minorHAnsi"/>
                <w:sz w:val="20"/>
                <w:szCs w:val="20"/>
              </w:rPr>
              <w:t xml:space="preserve">oraz funkcjonariusz służb specjalnych, o których mowa w art. 11 ustawy z dnia 24 maja 2002 r. o Agencji Bezpieczeństwa Wewnętrznego oraz Agencji Wywiadu (Dz. U. z 2025 r. poz. 902 i 1366), </w:t>
            </w:r>
            <w:r w:rsidRPr="00047010">
              <w:rPr>
                <w:rFonts w:cstheme="minorHAnsi"/>
                <w:sz w:val="20"/>
                <w:szCs w:val="20"/>
              </w:rPr>
              <w:t>może sporządzić testament wojskowy ”</w:t>
            </w:r>
          </w:p>
        </w:tc>
        <w:tc>
          <w:tcPr>
            <w:tcW w:w="4076" w:type="dxa"/>
          </w:tcPr>
          <w:p w14:paraId="54085984" w14:textId="70D00033" w:rsidR="00DA4C50" w:rsidRDefault="00DA4C50" w:rsidP="00047010">
            <w:pPr>
              <w:spacing w:line="276" w:lineRule="auto"/>
              <w:jc w:val="both"/>
              <w:rPr>
                <w:rFonts w:cstheme="minorHAnsi"/>
                <w:b/>
                <w:bCs/>
                <w:sz w:val="20"/>
                <w:szCs w:val="20"/>
              </w:rPr>
            </w:pPr>
            <w:r>
              <w:rPr>
                <w:rFonts w:cstheme="minorHAnsi"/>
                <w:b/>
                <w:bCs/>
                <w:sz w:val="20"/>
                <w:szCs w:val="20"/>
              </w:rPr>
              <w:lastRenderedPageBreak/>
              <w:t>Uwaga uwzględniona</w:t>
            </w:r>
          </w:p>
          <w:p w14:paraId="6F653651" w14:textId="76A4985D" w:rsidR="00DA4C50" w:rsidRPr="00AE2B2E" w:rsidRDefault="00DA4C50" w:rsidP="00603A6B">
            <w:pPr>
              <w:spacing w:line="276" w:lineRule="auto"/>
              <w:jc w:val="both"/>
              <w:rPr>
                <w:rFonts w:cstheme="minorHAnsi"/>
                <w:sz w:val="20"/>
                <w:szCs w:val="20"/>
              </w:rPr>
            </w:pPr>
          </w:p>
        </w:tc>
      </w:tr>
      <w:tr w:rsidR="00611EA2" w:rsidRPr="00047010" w14:paraId="70851564" w14:textId="77777777" w:rsidTr="00B241C8">
        <w:trPr>
          <w:jc w:val="center"/>
        </w:trPr>
        <w:tc>
          <w:tcPr>
            <w:tcW w:w="562" w:type="dxa"/>
          </w:tcPr>
          <w:p w14:paraId="75C6E8D8" w14:textId="1BCA5EFB" w:rsidR="00611EA2" w:rsidRPr="00047010" w:rsidRDefault="008209E0" w:rsidP="00047010">
            <w:pPr>
              <w:spacing w:before="120" w:line="276" w:lineRule="auto"/>
              <w:ind w:right="-534"/>
              <w:rPr>
                <w:rFonts w:cstheme="minorHAnsi"/>
                <w:b/>
                <w:sz w:val="20"/>
                <w:szCs w:val="20"/>
              </w:rPr>
            </w:pPr>
            <w:r>
              <w:rPr>
                <w:rFonts w:cstheme="minorHAnsi"/>
                <w:b/>
                <w:sz w:val="20"/>
                <w:szCs w:val="20"/>
              </w:rPr>
              <w:lastRenderedPageBreak/>
              <w:t>3</w:t>
            </w:r>
            <w:r w:rsidR="00611EA2" w:rsidRPr="00047010">
              <w:rPr>
                <w:rFonts w:cstheme="minorHAnsi"/>
                <w:b/>
                <w:sz w:val="20"/>
                <w:szCs w:val="20"/>
              </w:rPr>
              <w:t>.</w:t>
            </w:r>
          </w:p>
        </w:tc>
        <w:tc>
          <w:tcPr>
            <w:tcW w:w="1843" w:type="dxa"/>
            <w:vAlign w:val="center"/>
          </w:tcPr>
          <w:p w14:paraId="54066FFB" w14:textId="77777777" w:rsidR="00611EA2" w:rsidRDefault="00611EA2" w:rsidP="00047010">
            <w:pPr>
              <w:spacing w:before="120" w:after="120" w:line="276" w:lineRule="auto"/>
              <w:jc w:val="center"/>
              <w:rPr>
                <w:rFonts w:cstheme="minorHAnsi"/>
                <w:b/>
                <w:bCs/>
                <w:sz w:val="20"/>
                <w:szCs w:val="20"/>
              </w:rPr>
            </w:pPr>
            <w:r w:rsidRPr="008209E0">
              <w:rPr>
                <w:rFonts w:cstheme="minorHAnsi"/>
                <w:b/>
                <w:bCs/>
                <w:sz w:val="20"/>
                <w:szCs w:val="20"/>
              </w:rPr>
              <w:t>Minister Finansów i Gospodarki</w:t>
            </w:r>
          </w:p>
          <w:p w14:paraId="6ADF94D6" w14:textId="0D2F7D4E" w:rsidR="008209E0" w:rsidRPr="008209E0" w:rsidRDefault="008209E0" w:rsidP="00047010">
            <w:pPr>
              <w:spacing w:before="120" w:after="120" w:line="276" w:lineRule="auto"/>
              <w:jc w:val="center"/>
              <w:rPr>
                <w:rFonts w:cstheme="minorHAnsi"/>
                <w:sz w:val="20"/>
                <w:szCs w:val="20"/>
              </w:rPr>
            </w:pPr>
            <w:r w:rsidRPr="008209E0">
              <w:rPr>
                <w:rFonts w:cstheme="minorHAnsi"/>
                <w:sz w:val="20"/>
                <w:szCs w:val="20"/>
              </w:rPr>
              <w:t>(</w:t>
            </w:r>
            <w:proofErr w:type="spellStart"/>
            <w:r w:rsidRPr="008209E0">
              <w:rPr>
                <w:rFonts w:cstheme="minorHAnsi"/>
                <w:sz w:val="20"/>
                <w:szCs w:val="20"/>
              </w:rPr>
              <w:t>MFiG</w:t>
            </w:r>
            <w:proofErr w:type="spellEnd"/>
            <w:r w:rsidRPr="008209E0">
              <w:rPr>
                <w:rFonts w:cstheme="minorHAnsi"/>
                <w:sz w:val="20"/>
                <w:szCs w:val="20"/>
              </w:rPr>
              <w:t>)</w:t>
            </w:r>
          </w:p>
        </w:tc>
        <w:tc>
          <w:tcPr>
            <w:tcW w:w="1843" w:type="dxa"/>
            <w:vAlign w:val="center"/>
          </w:tcPr>
          <w:p w14:paraId="1E5DC503" w14:textId="4DF82041" w:rsidR="00611EA2" w:rsidRPr="00047010" w:rsidRDefault="00611EA2" w:rsidP="00047010">
            <w:pPr>
              <w:spacing w:before="120" w:after="120" w:line="276" w:lineRule="auto"/>
              <w:jc w:val="center"/>
              <w:rPr>
                <w:rFonts w:cstheme="minorHAnsi"/>
                <w:sz w:val="20"/>
                <w:szCs w:val="20"/>
              </w:rPr>
            </w:pPr>
            <w:r w:rsidRPr="00047010">
              <w:rPr>
                <w:rFonts w:cstheme="minorHAnsi"/>
                <w:sz w:val="20"/>
                <w:szCs w:val="20"/>
              </w:rPr>
              <w:t>Art. 6 projektu</w:t>
            </w:r>
          </w:p>
        </w:tc>
        <w:tc>
          <w:tcPr>
            <w:tcW w:w="5670" w:type="dxa"/>
            <w:vAlign w:val="center"/>
          </w:tcPr>
          <w:p w14:paraId="0E5BD3E4" w14:textId="47A61587" w:rsidR="00611EA2" w:rsidRPr="00047010" w:rsidRDefault="00611EA2" w:rsidP="00047010">
            <w:pPr>
              <w:autoSpaceDE w:val="0"/>
              <w:autoSpaceDN w:val="0"/>
              <w:adjustRightInd w:val="0"/>
              <w:spacing w:line="276" w:lineRule="auto"/>
              <w:jc w:val="both"/>
              <w:rPr>
                <w:rFonts w:cstheme="minorHAnsi"/>
                <w:color w:val="000000"/>
                <w:sz w:val="20"/>
                <w:szCs w:val="20"/>
              </w:rPr>
            </w:pPr>
            <w:r w:rsidRPr="00047010">
              <w:rPr>
                <w:rFonts w:cstheme="minorHAnsi"/>
                <w:color w:val="000000"/>
                <w:sz w:val="20"/>
                <w:szCs w:val="20"/>
              </w:rPr>
              <w:t>1) w art. 6 dotyczącym zmian w ustawie z dnia 16 listopada 2006 r. o opłacie skarbowej (Dz. U. z 2025 r. poz. 1154) zbędne jest przywoływanie tytułu zmienianego załącznika oraz jego części. Ponadto uchyleniu nie podlega pkt 5 lecz ust. 5</w:t>
            </w:r>
            <w:r w:rsidR="004C4231">
              <w:rPr>
                <w:rFonts w:cstheme="minorHAnsi"/>
                <w:color w:val="000000"/>
                <w:sz w:val="20"/>
                <w:szCs w:val="20"/>
              </w:rPr>
              <w:t>.</w:t>
            </w:r>
          </w:p>
        </w:tc>
        <w:tc>
          <w:tcPr>
            <w:tcW w:w="4076" w:type="dxa"/>
          </w:tcPr>
          <w:p w14:paraId="36A9F4D2" w14:textId="1E56F36A" w:rsidR="00611EA2" w:rsidRPr="000F1065" w:rsidRDefault="008A19B6" w:rsidP="00047010">
            <w:pPr>
              <w:spacing w:line="276" w:lineRule="auto"/>
              <w:jc w:val="both"/>
              <w:rPr>
                <w:rFonts w:cstheme="minorHAnsi"/>
                <w:b/>
                <w:bCs/>
                <w:sz w:val="20"/>
                <w:szCs w:val="20"/>
              </w:rPr>
            </w:pPr>
            <w:r w:rsidRPr="000F1065">
              <w:rPr>
                <w:rFonts w:cstheme="minorHAnsi"/>
                <w:b/>
                <w:bCs/>
                <w:sz w:val="20"/>
                <w:szCs w:val="20"/>
              </w:rPr>
              <w:t>Uwaga uwzględniona</w:t>
            </w:r>
            <w:r w:rsidR="000F1065">
              <w:rPr>
                <w:rFonts w:cstheme="minorHAnsi"/>
                <w:b/>
                <w:bCs/>
                <w:sz w:val="20"/>
                <w:szCs w:val="20"/>
              </w:rPr>
              <w:t xml:space="preserve"> </w:t>
            </w:r>
            <w:r w:rsidR="0047289B">
              <w:rPr>
                <w:rFonts w:cstheme="minorHAnsi"/>
                <w:b/>
                <w:bCs/>
                <w:sz w:val="20"/>
                <w:szCs w:val="20"/>
              </w:rPr>
              <w:t>w inny sposób</w:t>
            </w:r>
            <w:r w:rsidRPr="000F1065">
              <w:rPr>
                <w:rFonts w:cstheme="minorHAnsi"/>
                <w:b/>
                <w:bCs/>
                <w:sz w:val="20"/>
                <w:szCs w:val="20"/>
              </w:rPr>
              <w:t xml:space="preserve"> </w:t>
            </w:r>
          </w:p>
          <w:p w14:paraId="78B43086" w14:textId="77777777" w:rsidR="00053FEC" w:rsidRDefault="008A19B6" w:rsidP="00053FEC">
            <w:pPr>
              <w:spacing w:line="276" w:lineRule="auto"/>
              <w:jc w:val="both"/>
              <w:rPr>
                <w:rFonts w:cstheme="minorHAnsi"/>
                <w:sz w:val="20"/>
                <w:szCs w:val="20"/>
              </w:rPr>
            </w:pPr>
            <w:r>
              <w:rPr>
                <w:rFonts w:cstheme="minorHAnsi"/>
                <w:sz w:val="20"/>
                <w:szCs w:val="20"/>
              </w:rPr>
              <w:t xml:space="preserve">Usunięto z art. 6 projektu wymieniony </w:t>
            </w:r>
            <w:r w:rsidR="00053FEC">
              <w:rPr>
                <w:rFonts w:cstheme="minorHAnsi"/>
                <w:sz w:val="20"/>
                <w:szCs w:val="20"/>
              </w:rPr>
              <w:t xml:space="preserve">tytuł </w:t>
            </w:r>
            <w:r>
              <w:rPr>
                <w:rFonts w:cstheme="minorHAnsi"/>
                <w:sz w:val="20"/>
                <w:szCs w:val="20"/>
              </w:rPr>
              <w:t>załącznika do ustawy o opłacie skarbowej</w:t>
            </w:r>
            <w:r w:rsidR="00053FEC">
              <w:rPr>
                <w:rFonts w:cstheme="minorHAnsi"/>
                <w:sz w:val="20"/>
                <w:szCs w:val="20"/>
              </w:rPr>
              <w:t xml:space="preserve"> (tytuł tabeli) oraz konsekwentnie tytuł części I tabeli</w:t>
            </w:r>
            <w:r>
              <w:rPr>
                <w:rFonts w:cstheme="minorHAnsi"/>
                <w:sz w:val="20"/>
                <w:szCs w:val="20"/>
              </w:rPr>
              <w:t xml:space="preserve">. </w:t>
            </w:r>
            <w:r w:rsidR="00053FEC">
              <w:rPr>
                <w:rFonts w:cstheme="minorHAnsi"/>
                <w:sz w:val="20"/>
                <w:szCs w:val="20"/>
              </w:rPr>
              <w:t xml:space="preserve">Jednocześnie posłużono się pojęciem „pozycja” w miejsce „pkt” czy „ustęp”. </w:t>
            </w:r>
          </w:p>
          <w:p w14:paraId="08383F35" w14:textId="50943137" w:rsidR="00053FEC" w:rsidRPr="00053FEC" w:rsidRDefault="00053FEC" w:rsidP="00053FEC">
            <w:pPr>
              <w:spacing w:line="276" w:lineRule="auto"/>
              <w:jc w:val="both"/>
              <w:rPr>
                <w:rFonts w:cstheme="minorHAnsi"/>
                <w:sz w:val="20"/>
                <w:szCs w:val="20"/>
              </w:rPr>
            </w:pPr>
            <w:r w:rsidRPr="00053FEC">
              <w:rPr>
                <w:rFonts w:cstheme="minorHAnsi"/>
                <w:b/>
                <w:bCs/>
                <w:sz w:val="20"/>
                <w:szCs w:val="20"/>
              </w:rPr>
              <w:t>Ustęp</w:t>
            </w:r>
            <w:r w:rsidRPr="00053FEC">
              <w:rPr>
                <w:rFonts w:cstheme="minorHAnsi"/>
                <w:sz w:val="20"/>
                <w:szCs w:val="20"/>
              </w:rPr>
              <w:t xml:space="preserve"> i </w:t>
            </w:r>
            <w:r w:rsidRPr="00053FEC">
              <w:rPr>
                <w:rFonts w:cstheme="minorHAnsi"/>
                <w:b/>
                <w:bCs/>
                <w:sz w:val="20"/>
                <w:szCs w:val="20"/>
              </w:rPr>
              <w:t>punkt</w:t>
            </w:r>
            <w:r w:rsidRPr="00053FEC">
              <w:rPr>
                <w:rFonts w:cstheme="minorHAnsi"/>
                <w:sz w:val="20"/>
                <w:szCs w:val="20"/>
              </w:rPr>
              <w:t xml:space="preserve"> to jednostki redakcyjne aktu prawnego (np. artykułu ustawy).</w:t>
            </w:r>
            <w:r>
              <w:rPr>
                <w:rFonts w:cstheme="minorHAnsi"/>
                <w:sz w:val="20"/>
                <w:szCs w:val="20"/>
              </w:rPr>
              <w:t xml:space="preserve"> </w:t>
            </w:r>
            <w:r w:rsidRPr="00053FEC">
              <w:rPr>
                <w:rFonts w:cstheme="minorHAnsi"/>
                <w:b/>
                <w:bCs/>
                <w:sz w:val="20"/>
                <w:szCs w:val="20"/>
              </w:rPr>
              <w:t>Tabela</w:t>
            </w:r>
            <w:r w:rsidRPr="00053FEC">
              <w:rPr>
                <w:rFonts w:cstheme="minorHAnsi"/>
                <w:sz w:val="20"/>
                <w:szCs w:val="20"/>
              </w:rPr>
              <w:t xml:space="preserve"> jest </w:t>
            </w:r>
            <w:r>
              <w:rPr>
                <w:rFonts w:cstheme="minorHAnsi"/>
                <w:sz w:val="20"/>
                <w:szCs w:val="20"/>
              </w:rPr>
              <w:t>natomiast</w:t>
            </w:r>
            <w:r w:rsidRPr="00053FEC">
              <w:rPr>
                <w:rFonts w:cstheme="minorHAnsi"/>
                <w:sz w:val="20"/>
                <w:szCs w:val="20"/>
              </w:rPr>
              <w:t xml:space="preserve"> </w:t>
            </w:r>
            <w:r w:rsidRPr="00053FEC">
              <w:rPr>
                <w:rFonts w:cstheme="minorHAnsi"/>
                <w:b/>
                <w:bCs/>
                <w:sz w:val="20"/>
                <w:szCs w:val="20"/>
              </w:rPr>
              <w:t>formą graficznego przedstawienia treści</w:t>
            </w:r>
            <w:r w:rsidRPr="00053FEC">
              <w:rPr>
                <w:rFonts w:cstheme="minorHAnsi"/>
                <w:sz w:val="20"/>
                <w:szCs w:val="20"/>
              </w:rPr>
              <w:t>, a nie samodzielną jednostką redakcyjną.</w:t>
            </w:r>
            <w:r>
              <w:rPr>
                <w:rFonts w:cstheme="minorHAnsi"/>
                <w:sz w:val="20"/>
                <w:szCs w:val="20"/>
              </w:rPr>
              <w:t xml:space="preserve"> Właściwe pojęcie odnoszące się do tabeli</w:t>
            </w:r>
            <w:r w:rsidR="0047289B">
              <w:rPr>
                <w:rFonts w:cstheme="minorHAnsi"/>
                <w:sz w:val="20"/>
                <w:szCs w:val="20"/>
              </w:rPr>
              <w:t xml:space="preserve"> to pojęcie „pozycji” i takie zostało wprowadzone do projektu. </w:t>
            </w:r>
          </w:p>
          <w:p w14:paraId="73DC9676" w14:textId="26C48DB1" w:rsidR="008A19B6" w:rsidRPr="00047010" w:rsidRDefault="008A19B6" w:rsidP="00047010">
            <w:pPr>
              <w:spacing w:line="276" w:lineRule="auto"/>
              <w:jc w:val="both"/>
              <w:rPr>
                <w:rFonts w:cstheme="minorHAnsi"/>
                <w:sz w:val="20"/>
                <w:szCs w:val="20"/>
              </w:rPr>
            </w:pPr>
            <w:r>
              <w:rPr>
                <w:rFonts w:cstheme="minorHAnsi"/>
                <w:sz w:val="20"/>
                <w:szCs w:val="20"/>
              </w:rPr>
              <w:t xml:space="preserve"> </w:t>
            </w:r>
          </w:p>
        </w:tc>
      </w:tr>
      <w:tr w:rsidR="00FB2DB7" w:rsidRPr="00047010" w14:paraId="6C342225" w14:textId="77777777" w:rsidTr="00B241C8">
        <w:trPr>
          <w:jc w:val="center"/>
        </w:trPr>
        <w:tc>
          <w:tcPr>
            <w:tcW w:w="562" w:type="dxa"/>
          </w:tcPr>
          <w:p w14:paraId="5082D235" w14:textId="3D7D228C" w:rsidR="00FB2DB7" w:rsidRPr="00047010" w:rsidRDefault="008209E0" w:rsidP="00047010">
            <w:pPr>
              <w:spacing w:before="120" w:line="276" w:lineRule="auto"/>
              <w:ind w:right="-534"/>
              <w:rPr>
                <w:rFonts w:cstheme="minorHAnsi"/>
                <w:b/>
                <w:sz w:val="20"/>
                <w:szCs w:val="20"/>
              </w:rPr>
            </w:pPr>
            <w:r>
              <w:rPr>
                <w:rFonts w:cstheme="minorHAnsi"/>
                <w:b/>
                <w:sz w:val="20"/>
                <w:szCs w:val="20"/>
              </w:rPr>
              <w:lastRenderedPageBreak/>
              <w:t>4.</w:t>
            </w:r>
          </w:p>
        </w:tc>
        <w:tc>
          <w:tcPr>
            <w:tcW w:w="1843" w:type="dxa"/>
            <w:vAlign w:val="center"/>
          </w:tcPr>
          <w:p w14:paraId="01B0ECCF" w14:textId="77777777" w:rsidR="00FB2DB7" w:rsidRDefault="00FB2DB7" w:rsidP="00047010">
            <w:pPr>
              <w:spacing w:before="120" w:after="120" w:line="276" w:lineRule="auto"/>
              <w:jc w:val="center"/>
              <w:rPr>
                <w:rFonts w:cstheme="minorHAnsi"/>
                <w:b/>
                <w:bCs/>
                <w:sz w:val="20"/>
                <w:szCs w:val="20"/>
              </w:rPr>
            </w:pPr>
            <w:r w:rsidRPr="008209E0">
              <w:rPr>
                <w:rFonts w:cstheme="minorHAnsi"/>
                <w:b/>
                <w:bCs/>
                <w:sz w:val="20"/>
                <w:szCs w:val="20"/>
              </w:rPr>
              <w:t>Rządowe Centrum Legislacji</w:t>
            </w:r>
          </w:p>
          <w:p w14:paraId="45C71D2F" w14:textId="7A14384B" w:rsidR="008209E0" w:rsidRPr="008209E0" w:rsidRDefault="008209E0" w:rsidP="00047010">
            <w:pPr>
              <w:spacing w:before="120" w:after="120" w:line="276" w:lineRule="auto"/>
              <w:jc w:val="center"/>
              <w:rPr>
                <w:rFonts w:cstheme="minorHAnsi"/>
                <w:sz w:val="20"/>
                <w:szCs w:val="20"/>
              </w:rPr>
            </w:pPr>
            <w:r w:rsidRPr="008209E0">
              <w:rPr>
                <w:rFonts w:cstheme="minorHAnsi"/>
                <w:sz w:val="20"/>
                <w:szCs w:val="20"/>
              </w:rPr>
              <w:t>(RCL)</w:t>
            </w:r>
          </w:p>
        </w:tc>
        <w:tc>
          <w:tcPr>
            <w:tcW w:w="1843" w:type="dxa"/>
            <w:vAlign w:val="center"/>
          </w:tcPr>
          <w:p w14:paraId="02B77D6D" w14:textId="34964AFF" w:rsidR="00FB2DB7" w:rsidRPr="00047010" w:rsidRDefault="00FB2DB7" w:rsidP="00047010">
            <w:pPr>
              <w:spacing w:before="120" w:after="120" w:line="276" w:lineRule="auto"/>
              <w:jc w:val="center"/>
              <w:rPr>
                <w:rFonts w:cstheme="minorHAnsi"/>
                <w:sz w:val="20"/>
                <w:szCs w:val="20"/>
              </w:rPr>
            </w:pPr>
            <w:r w:rsidRPr="00047010">
              <w:rPr>
                <w:rFonts w:cstheme="minorHAnsi"/>
                <w:sz w:val="20"/>
                <w:szCs w:val="20"/>
              </w:rPr>
              <w:t xml:space="preserve">Art. 7 projektu </w:t>
            </w:r>
          </w:p>
        </w:tc>
        <w:tc>
          <w:tcPr>
            <w:tcW w:w="5670" w:type="dxa"/>
            <w:vAlign w:val="center"/>
          </w:tcPr>
          <w:p w14:paraId="545380E9" w14:textId="61D9A7E7" w:rsidR="00FB2DB7" w:rsidRPr="00047010" w:rsidRDefault="00FB2DB7" w:rsidP="00047010">
            <w:pPr>
              <w:autoSpaceDE w:val="0"/>
              <w:autoSpaceDN w:val="0"/>
              <w:adjustRightInd w:val="0"/>
              <w:spacing w:line="276" w:lineRule="auto"/>
              <w:jc w:val="both"/>
              <w:rPr>
                <w:rFonts w:cstheme="minorHAnsi"/>
                <w:color w:val="000000"/>
                <w:sz w:val="20"/>
                <w:szCs w:val="20"/>
              </w:rPr>
            </w:pPr>
            <w:r w:rsidRPr="00047010">
              <w:rPr>
                <w:rFonts w:cstheme="minorHAnsi"/>
                <w:color w:val="000000"/>
                <w:sz w:val="20"/>
                <w:szCs w:val="20"/>
              </w:rPr>
              <w:t>W odniesieniu do art. 7 projektu ustawy, którym uchyla się rozporządzenie Ministra Obrony Narodowej z dnia 30 stycznia 1965 r. w sprawie testamentów wojskowych należy wskazać, iż przepisami ustawy nie uchyla się przepisów aktów wykonawczych. Ponadto, zgodnie z § 32 ust. 1 Zasad techniki prawodawczej jeżeli uchyla się przepis ustawy upoważniający do wydania aktu wykonawczego, przyjmuje się, że taki akt wykonawczy traci moc obowiązującą z dniem wejścia w życie przepisu uchylającego upoważnienie do wydania tego aktu. W świetle powyższego, w związku z projektowanym uchyleniem art. 954 Kodeksu cywilnego (art. 1 pkt 4 projektu ustawy), stanowiącego upoważnienie dla wydania ww. rozporządzenia, zauważa się, że powołane powyżej rozporządzenie i tak utraci moc obowiązującą w dniu wejścia w życie projektowanej ustawy – w związku z czym w ogóle nie jest konieczne jego uchylanie.</w:t>
            </w:r>
          </w:p>
        </w:tc>
        <w:tc>
          <w:tcPr>
            <w:tcW w:w="4076" w:type="dxa"/>
          </w:tcPr>
          <w:p w14:paraId="3A4B018A" w14:textId="77777777" w:rsidR="00FB2DB7" w:rsidRDefault="0047289B" w:rsidP="00047010">
            <w:pPr>
              <w:spacing w:line="276" w:lineRule="auto"/>
              <w:jc w:val="both"/>
              <w:rPr>
                <w:rFonts w:cstheme="minorHAnsi"/>
                <w:b/>
                <w:bCs/>
                <w:sz w:val="20"/>
                <w:szCs w:val="20"/>
              </w:rPr>
            </w:pPr>
            <w:r w:rsidRPr="0047289B">
              <w:rPr>
                <w:rFonts w:cstheme="minorHAnsi"/>
                <w:b/>
                <w:bCs/>
                <w:sz w:val="20"/>
                <w:szCs w:val="20"/>
              </w:rPr>
              <w:t xml:space="preserve">Uwaga uwzględniona </w:t>
            </w:r>
          </w:p>
          <w:p w14:paraId="22853AF9" w14:textId="6709BEEF" w:rsidR="0047289B" w:rsidRPr="0047289B" w:rsidRDefault="0047289B" w:rsidP="00047010">
            <w:pPr>
              <w:spacing w:line="276" w:lineRule="auto"/>
              <w:jc w:val="both"/>
              <w:rPr>
                <w:rFonts w:cstheme="minorHAnsi"/>
                <w:sz w:val="20"/>
                <w:szCs w:val="20"/>
              </w:rPr>
            </w:pPr>
            <w:r w:rsidRPr="0047289B">
              <w:rPr>
                <w:rFonts w:cstheme="minorHAnsi"/>
                <w:sz w:val="20"/>
                <w:szCs w:val="20"/>
              </w:rPr>
              <w:t xml:space="preserve">Usunięto kwestionowany artykuł z treści projektu. </w:t>
            </w:r>
          </w:p>
        </w:tc>
      </w:tr>
      <w:tr w:rsidR="00B6180E" w:rsidRPr="00047010" w14:paraId="1CA5AB4D" w14:textId="77777777" w:rsidTr="00557D1B">
        <w:trPr>
          <w:jc w:val="center"/>
        </w:trPr>
        <w:tc>
          <w:tcPr>
            <w:tcW w:w="13994" w:type="dxa"/>
            <w:gridSpan w:val="5"/>
            <w:shd w:val="clear" w:color="auto" w:fill="DBE5F1" w:themeFill="accent1" w:themeFillTint="33"/>
          </w:tcPr>
          <w:p w14:paraId="24A9AEDA" w14:textId="5134C805" w:rsidR="00B6180E" w:rsidRPr="00047010" w:rsidRDefault="00B6180E" w:rsidP="00047010">
            <w:pPr>
              <w:spacing w:before="120" w:after="120" w:line="276" w:lineRule="auto"/>
              <w:jc w:val="center"/>
              <w:rPr>
                <w:rFonts w:cstheme="minorHAnsi"/>
                <w:b/>
                <w:bCs/>
                <w:color w:val="000000" w:themeColor="text1"/>
                <w:sz w:val="20"/>
                <w:szCs w:val="20"/>
              </w:rPr>
            </w:pPr>
            <w:r w:rsidRPr="00047010">
              <w:rPr>
                <w:rFonts w:cstheme="minorHAnsi"/>
                <w:b/>
                <w:bCs/>
                <w:color w:val="000000" w:themeColor="text1"/>
                <w:sz w:val="20"/>
                <w:szCs w:val="20"/>
              </w:rPr>
              <w:t>Uwagi do uzasadnienia projektu</w:t>
            </w:r>
          </w:p>
        </w:tc>
      </w:tr>
      <w:tr w:rsidR="00B6180E" w:rsidRPr="00047010" w14:paraId="2156F658" w14:textId="77777777" w:rsidTr="00B241C8">
        <w:trPr>
          <w:jc w:val="center"/>
        </w:trPr>
        <w:tc>
          <w:tcPr>
            <w:tcW w:w="562" w:type="dxa"/>
          </w:tcPr>
          <w:p w14:paraId="79AAA3D9" w14:textId="3DE50848" w:rsidR="00B6180E" w:rsidRPr="00047010" w:rsidRDefault="00B6180E" w:rsidP="00047010">
            <w:pPr>
              <w:spacing w:before="120" w:line="276" w:lineRule="auto"/>
              <w:ind w:right="-534"/>
              <w:rPr>
                <w:rFonts w:cstheme="minorHAnsi"/>
                <w:b/>
                <w:sz w:val="20"/>
                <w:szCs w:val="20"/>
              </w:rPr>
            </w:pPr>
            <w:r w:rsidRPr="00047010">
              <w:rPr>
                <w:rFonts w:cstheme="minorHAnsi"/>
                <w:b/>
                <w:sz w:val="20"/>
                <w:szCs w:val="20"/>
              </w:rPr>
              <w:t>1.</w:t>
            </w:r>
          </w:p>
        </w:tc>
        <w:tc>
          <w:tcPr>
            <w:tcW w:w="1843" w:type="dxa"/>
            <w:vAlign w:val="center"/>
          </w:tcPr>
          <w:p w14:paraId="225CC122" w14:textId="77777777" w:rsidR="00B6180E" w:rsidRPr="00047010" w:rsidRDefault="00B6180E" w:rsidP="00047010">
            <w:pPr>
              <w:spacing w:before="120" w:after="120" w:line="276" w:lineRule="auto"/>
              <w:jc w:val="center"/>
              <w:rPr>
                <w:rFonts w:cstheme="minorHAnsi"/>
                <w:sz w:val="20"/>
                <w:szCs w:val="20"/>
              </w:rPr>
            </w:pPr>
          </w:p>
        </w:tc>
        <w:tc>
          <w:tcPr>
            <w:tcW w:w="1843" w:type="dxa"/>
            <w:vAlign w:val="center"/>
          </w:tcPr>
          <w:p w14:paraId="5B69EE39" w14:textId="77777777" w:rsidR="00B6180E" w:rsidRPr="00047010" w:rsidRDefault="00B6180E" w:rsidP="00047010">
            <w:pPr>
              <w:spacing w:before="120" w:after="120" w:line="276" w:lineRule="auto"/>
              <w:jc w:val="center"/>
              <w:rPr>
                <w:rFonts w:cstheme="minorHAnsi"/>
                <w:sz w:val="20"/>
                <w:szCs w:val="20"/>
              </w:rPr>
            </w:pPr>
          </w:p>
        </w:tc>
        <w:tc>
          <w:tcPr>
            <w:tcW w:w="5670" w:type="dxa"/>
            <w:vAlign w:val="center"/>
          </w:tcPr>
          <w:p w14:paraId="09E4D561" w14:textId="77777777" w:rsidR="00B6180E" w:rsidRPr="00047010" w:rsidRDefault="00B6180E" w:rsidP="00047010">
            <w:pPr>
              <w:spacing w:line="276" w:lineRule="auto"/>
              <w:ind w:firstLine="708"/>
              <w:jc w:val="center"/>
              <w:rPr>
                <w:rFonts w:eastAsia="Times New Roman" w:cstheme="minorHAnsi"/>
                <w:sz w:val="20"/>
                <w:szCs w:val="20"/>
                <w:lang w:eastAsia="pl-PL"/>
              </w:rPr>
            </w:pPr>
          </w:p>
        </w:tc>
        <w:tc>
          <w:tcPr>
            <w:tcW w:w="4076" w:type="dxa"/>
          </w:tcPr>
          <w:p w14:paraId="2ADAA775" w14:textId="77777777" w:rsidR="00B6180E" w:rsidRPr="00047010" w:rsidRDefault="00B6180E" w:rsidP="00047010">
            <w:pPr>
              <w:spacing w:before="120" w:after="120" w:line="276" w:lineRule="auto"/>
              <w:jc w:val="center"/>
              <w:rPr>
                <w:rFonts w:eastAsia="Times New Roman" w:cstheme="minorHAnsi"/>
                <w:sz w:val="20"/>
                <w:szCs w:val="20"/>
                <w:lang w:eastAsia="pl-PL"/>
              </w:rPr>
            </w:pPr>
          </w:p>
        </w:tc>
      </w:tr>
      <w:tr w:rsidR="00B6180E" w:rsidRPr="00047010" w14:paraId="62827CBE" w14:textId="77777777" w:rsidTr="00557D1B">
        <w:trPr>
          <w:jc w:val="center"/>
        </w:trPr>
        <w:tc>
          <w:tcPr>
            <w:tcW w:w="13994" w:type="dxa"/>
            <w:gridSpan w:val="5"/>
            <w:shd w:val="clear" w:color="auto" w:fill="DBE5F1" w:themeFill="accent1" w:themeFillTint="33"/>
          </w:tcPr>
          <w:p w14:paraId="6DD01354" w14:textId="00E3688E" w:rsidR="00B6180E" w:rsidRPr="00047010" w:rsidRDefault="00B6180E" w:rsidP="00047010">
            <w:pPr>
              <w:spacing w:before="120" w:after="120" w:line="276" w:lineRule="auto"/>
              <w:jc w:val="center"/>
              <w:rPr>
                <w:rFonts w:eastAsia="Times New Roman" w:cstheme="minorHAnsi"/>
                <w:sz w:val="20"/>
                <w:szCs w:val="20"/>
                <w:lang w:eastAsia="pl-PL"/>
              </w:rPr>
            </w:pPr>
            <w:r w:rsidRPr="00047010">
              <w:rPr>
                <w:rFonts w:cstheme="minorHAnsi"/>
                <w:b/>
                <w:bCs/>
                <w:color w:val="000000" w:themeColor="text1"/>
                <w:sz w:val="20"/>
                <w:szCs w:val="20"/>
              </w:rPr>
              <w:t>Uwagi do Oceny Skutków Regulacji</w:t>
            </w:r>
          </w:p>
        </w:tc>
      </w:tr>
      <w:tr w:rsidR="00B6180E" w:rsidRPr="00047010" w14:paraId="70AF4D21" w14:textId="77777777" w:rsidTr="00B241C8">
        <w:tblPrEx>
          <w:jc w:val="left"/>
        </w:tblPrEx>
        <w:tc>
          <w:tcPr>
            <w:tcW w:w="562" w:type="dxa"/>
          </w:tcPr>
          <w:p w14:paraId="2A511012" w14:textId="182C5783" w:rsidR="00B6180E" w:rsidRPr="00047010" w:rsidRDefault="00B6180E" w:rsidP="00047010">
            <w:pPr>
              <w:spacing w:before="120" w:line="276" w:lineRule="auto"/>
              <w:ind w:right="-534"/>
              <w:rPr>
                <w:rFonts w:cstheme="minorHAnsi"/>
                <w:b/>
                <w:sz w:val="20"/>
                <w:szCs w:val="20"/>
              </w:rPr>
            </w:pPr>
            <w:r w:rsidRPr="00047010">
              <w:rPr>
                <w:rFonts w:cstheme="minorHAnsi"/>
                <w:b/>
                <w:sz w:val="20"/>
                <w:szCs w:val="20"/>
              </w:rPr>
              <w:t>1.</w:t>
            </w:r>
          </w:p>
        </w:tc>
        <w:tc>
          <w:tcPr>
            <w:tcW w:w="1843" w:type="dxa"/>
          </w:tcPr>
          <w:p w14:paraId="02E25544" w14:textId="6E6C2571" w:rsidR="00B6180E" w:rsidRPr="00FD1BF6" w:rsidRDefault="007F2ED0" w:rsidP="00047010">
            <w:pPr>
              <w:spacing w:before="120" w:after="120" w:line="276" w:lineRule="auto"/>
              <w:jc w:val="center"/>
              <w:rPr>
                <w:rFonts w:cstheme="minorHAnsi"/>
                <w:b/>
                <w:bCs/>
                <w:sz w:val="20"/>
                <w:szCs w:val="20"/>
              </w:rPr>
            </w:pPr>
            <w:r w:rsidRPr="00FD1BF6">
              <w:rPr>
                <w:rFonts w:cstheme="minorHAnsi"/>
                <w:b/>
                <w:bCs/>
                <w:sz w:val="20"/>
                <w:szCs w:val="20"/>
              </w:rPr>
              <w:t xml:space="preserve">Koordynator Oceny Skutków Regulacji </w:t>
            </w:r>
          </w:p>
        </w:tc>
        <w:tc>
          <w:tcPr>
            <w:tcW w:w="1843" w:type="dxa"/>
          </w:tcPr>
          <w:p w14:paraId="3FEDB332" w14:textId="680AA943" w:rsidR="00B6180E" w:rsidRPr="00047010" w:rsidRDefault="00DE4280" w:rsidP="00047010">
            <w:pPr>
              <w:spacing w:before="120" w:after="120" w:line="276" w:lineRule="auto"/>
              <w:jc w:val="center"/>
              <w:rPr>
                <w:rFonts w:cstheme="minorHAnsi"/>
                <w:sz w:val="20"/>
                <w:szCs w:val="20"/>
              </w:rPr>
            </w:pPr>
            <w:r w:rsidRPr="00047010">
              <w:rPr>
                <w:rFonts w:cstheme="minorHAnsi"/>
                <w:sz w:val="20"/>
                <w:szCs w:val="20"/>
              </w:rPr>
              <w:t>pkt 1 OSR</w:t>
            </w:r>
          </w:p>
        </w:tc>
        <w:tc>
          <w:tcPr>
            <w:tcW w:w="5670" w:type="dxa"/>
          </w:tcPr>
          <w:p w14:paraId="1D00666D" w14:textId="0E342D96" w:rsidR="00B6180E" w:rsidRPr="00047010" w:rsidRDefault="00DE4280" w:rsidP="00047010">
            <w:pPr>
              <w:spacing w:line="276" w:lineRule="auto"/>
              <w:jc w:val="both"/>
              <w:rPr>
                <w:rFonts w:eastAsia="Times New Roman" w:cstheme="minorHAnsi"/>
                <w:sz w:val="20"/>
                <w:szCs w:val="20"/>
                <w:lang w:eastAsia="pl-PL"/>
              </w:rPr>
            </w:pPr>
            <w:r w:rsidRPr="00047010">
              <w:rPr>
                <w:rFonts w:eastAsia="Times New Roman" w:cstheme="minorHAnsi"/>
                <w:sz w:val="20"/>
                <w:szCs w:val="20"/>
                <w:lang w:eastAsia="pl-PL"/>
              </w:rPr>
              <w:t xml:space="preserve">Rekomendowane jest oszacowanie liczby sporządzanych rocznie testamentów w formie </w:t>
            </w:r>
            <w:proofErr w:type="spellStart"/>
            <w:r w:rsidRPr="00047010">
              <w:rPr>
                <w:rFonts w:eastAsia="Times New Roman" w:cstheme="minorHAnsi"/>
                <w:sz w:val="20"/>
                <w:szCs w:val="20"/>
                <w:lang w:eastAsia="pl-PL"/>
              </w:rPr>
              <w:t>allograficznej</w:t>
            </w:r>
            <w:proofErr w:type="spellEnd"/>
            <w:r w:rsidRPr="00047010">
              <w:rPr>
                <w:rFonts w:eastAsia="Times New Roman" w:cstheme="minorHAnsi"/>
                <w:sz w:val="20"/>
                <w:szCs w:val="20"/>
                <w:lang w:eastAsia="pl-PL"/>
              </w:rPr>
              <w:t>.</w:t>
            </w:r>
          </w:p>
        </w:tc>
        <w:tc>
          <w:tcPr>
            <w:tcW w:w="4076" w:type="dxa"/>
          </w:tcPr>
          <w:p w14:paraId="368867B6" w14:textId="77777777" w:rsidR="005E6748" w:rsidRDefault="005E6748" w:rsidP="00D7509F">
            <w:pPr>
              <w:spacing w:line="276" w:lineRule="auto"/>
              <w:jc w:val="both"/>
              <w:rPr>
                <w:rFonts w:eastAsia="Times New Roman" w:cstheme="minorHAnsi"/>
                <w:b/>
                <w:bCs/>
                <w:sz w:val="20"/>
                <w:szCs w:val="20"/>
                <w:lang w:eastAsia="pl-PL"/>
              </w:rPr>
            </w:pPr>
            <w:r>
              <w:rPr>
                <w:rFonts w:eastAsia="Times New Roman" w:cstheme="minorHAnsi"/>
                <w:b/>
                <w:bCs/>
                <w:sz w:val="20"/>
                <w:szCs w:val="20"/>
                <w:lang w:eastAsia="pl-PL"/>
              </w:rPr>
              <w:t>Uwaga uwzględniona.</w:t>
            </w:r>
          </w:p>
          <w:p w14:paraId="3366253C" w14:textId="23C269E7" w:rsidR="00D7509F" w:rsidRPr="00047010" w:rsidRDefault="005E6748" w:rsidP="00D7509F">
            <w:pPr>
              <w:spacing w:line="276" w:lineRule="auto"/>
              <w:jc w:val="both"/>
              <w:rPr>
                <w:rFonts w:eastAsia="Times New Roman" w:cstheme="minorHAnsi"/>
                <w:sz w:val="20"/>
                <w:szCs w:val="20"/>
                <w:lang w:eastAsia="pl-PL"/>
              </w:rPr>
            </w:pPr>
            <w:r>
              <w:rPr>
                <w:rFonts w:eastAsia="Times New Roman" w:cstheme="minorHAnsi"/>
                <w:sz w:val="20"/>
                <w:szCs w:val="20"/>
                <w:lang w:eastAsia="pl-PL"/>
              </w:rPr>
              <w:t>Uzupełniono OSR.</w:t>
            </w:r>
            <w:r w:rsidR="00D7509F">
              <w:rPr>
                <w:rFonts w:eastAsia="Times New Roman" w:cstheme="minorHAnsi"/>
                <w:sz w:val="20"/>
                <w:szCs w:val="20"/>
                <w:lang w:eastAsia="pl-PL"/>
              </w:rPr>
              <w:t xml:space="preserve"> </w:t>
            </w:r>
          </w:p>
        </w:tc>
      </w:tr>
      <w:tr w:rsidR="00DE4280" w:rsidRPr="00047010" w14:paraId="4AAAA277" w14:textId="77777777" w:rsidTr="00B241C8">
        <w:tblPrEx>
          <w:jc w:val="left"/>
        </w:tblPrEx>
        <w:tc>
          <w:tcPr>
            <w:tcW w:w="562" w:type="dxa"/>
          </w:tcPr>
          <w:p w14:paraId="31E6F92D" w14:textId="678C9F53" w:rsidR="00DE4280" w:rsidRPr="00047010" w:rsidRDefault="00FD1BF6" w:rsidP="00047010">
            <w:pPr>
              <w:spacing w:before="120" w:line="276" w:lineRule="auto"/>
              <w:ind w:right="-534"/>
              <w:rPr>
                <w:rFonts w:cstheme="minorHAnsi"/>
                <w:b/>
                <w:sz w:val="20"/>
                <w:szCs w:val="20"/>
              </w:rPr>
            </w:pPr>
            <w:r>
              <w:rPr>
                <w:rFonts w:cstheme="minorHAnsi"/>
                <w:b/>
                <w:sz w:val="20"/>
                <w:szCs w:val="20"/>
              </w:rPr>
              <w:t>2.</w:t>
            </w:r>
          </w:p>
        </w:tc>
        <w:tc>
          <w:tcPr>
            <w:tcW w:w="1843" w:type="dxa"/>
          </w:tcPr>
          <w:p w14:paraId="04F1F1B1" w14:textId="20642B91" w:rsidR="00DE4280" w:rsidRPr="00FD1BF6" w:rsidRDefault="00DE4280" w:rsidP="00047010">
            <w:pPr>
              <w:spacing w:before="120" w:after="120" w:line="276" w:lineRule="auto"/>
              <w:jc w:val="center"/>
              <w:rPr>
                <w:rFonts w:cstheme="minorHAnsi"/>
                <w:b/>
                <w:bCs/>
                <w:sz w:val="20"/>
                <w:szCs w:val="20"/>
              </w:rPr>
            </w:pPr>
            <w:r w:rsidRPr="00FD1BF6">
              <w:rPr>
                <w:rFonts w:cstheme="minorHAnsi"/>
                <w:b/>
                <w:bCs/>
                <w:sz w:val="20"/>
                <w:szCs w:val="20"/>
              </w:rPr>
              <w:t>Koordynator Oceny Skutków Regulacji</w:t>
            </w:r>
          </w:p>
        </w:tc>
        <w:tc>
          <w:tcPr>
            <w:tcW w:w="1843" w:type="dxa"/>
          </w:tcPr>
          <w:p w14:paraId="50D1CB92" w14:textId="5DB2A7AB" w:rsidR="00DE4280" w:rsidRPr="00047010" w:rsidRDefault="00DE4280" w:rsidP="00047010">
            <w:pPr>
              <w:spacing w:before="120" w:after="120" w:line="276" w:lineRule="auto"/>
              <w:jc w:val="center"/>
              <w:rPr>
                <w:rFonts w:cstheme="minorHAnsi"/>
                <w:sz w:val="20"/>
                <w:szCs w:val="20"/>
              </w:rPr>
            </w:pPr>
            <w:r w:rsidRPr="00047010">
              <w:rPr>
                <w:rFonts w:cstheme="minorHAnsi"/>
                <w:sz w:val="20"/>
                <w:szCs w:val="20"/>
              </w:rPr>
              <w:t>pkt 1 i 2 OSR</w:t>
            </w:r>
          </w:p>
        </w:tc>
        <w:tc>
          <w:tcPr>
            <w:tcW w:w="5670" w:type="dxa"/>
          </w:tcPr>
          <w:p w14:paraId="4932A508" w14:textId="77777777" w:rsidR="00DE4280" w:rsidRPr="00047010" w:rsidRDefault="00DE4280" w:rsidP="00047010">
            <w:pPr>
              <w:spacing w:line="276" w:lineRule="auto"/>
              <w:jc w:val="both"/>
              <w:rPr>
                <w:rFonts w:eastAsia="Times New Roman" w:cstheme="minorHAnsi"/>
                <w:sz w:val="20"/>
                <w:szCs w:val="20"/>
                <w:lang w:eastAsia="pl-PL"/>
              </w:rPr>
            </w:pPr>
            <w:r w:rsidRPr="00047010">
              <w:rPr>
                <w:rFonts w:eastAsia="Times New Roman" w:cstheme="minorHAnsi"/>
                <w:sz w:val="20"/>
                <w:szCs w:val="20"/>
                <w:lang w:eastAsia="pl-PL"/>
              </w:rPr>
              <w:t xml:space="preserve">W zakresie wprowadzenia wyjątku od zakazu bycia świadkiem w czasie sporządzania testamentu z powodu konfliktu interesów („chyba że nie wywołuje to uzasadnionych wątpliwości co do jej bezstronności”): </w:t>
            </w:r>
          </w:p>
          <w:p w14:paraId="7D3E72F1" w14:textId="77777777" w:rsidR="00DE4280" w:rsidRPr="00047010" w:rsidRDefault="00DE4280" w:rsidP="00047010">
            <w:pPr>
              <w:spacing w:line="276" w:lineRule="auto"/>
              <w:jc w:val="both"/>
              <w:rPr>
                <w:rFonts w:eastAsia="Times New Roman" w:cstheme="minorHAnsi"/>
                <w:sz w:val="20"/>
                <w:szCs w:val="20"/>
                <w:lang w:eastAsia="pl-PL"/>
              </w:rPr>
            </w:pPr>
            <w:r w:rsidRPr="00047010">
              <w:rPr>
                <w:rFonts w:eastAsia="Times New Roman" w:cstheme="minorHAnsi"/>
                <w:sz w:val="20"/>
                <w:szCs w:val="20"/>
                <w:lang w:eastAsia="pl-PL"/>
              </w:rPr>
              <w:lastRenderedPageBreak/>
              <w:t xml:space="preserve">a) konieczne jest opisanie problemu, jaki ma rozwiązywać ta regulacja (pkt 1 OSR); </w:t>
            </w:r>
          </w:p>
          <w:p w14:paraId="44F6A37C" w14:textId="77777777" w:rsidR="00DE4280" w:rsidRPr="00047010" w:rsidRDefault="00DE4280" w:rsidP="00047010">
            <w:pPr>
              <w:spacing w:line="276" w:lineRule="auto"/>
              <w:jc w:val="both"/>
              <w:rPr>
                <w:rFonts w:eastAsia="Times New Roman" w:cstheme="minorHAnsi"/>
                <w:sz w:val="20"/>
                <w:szCs w:val="20"/>
                <w:lang w:eastAsia="pl-PL"/>
              </w:rPr>
            </w:pPr>
            <w:r w:rsidRPr="00047010">
              <w:rPr>
                <w:rFonts w:eastAsia="Times New Roman" w:cstheme="minorHAnsi"/>
                <w:sz w:val="20"/>
                <w:szCs w:val="20"/>
                <w:lang w:eastAsia="pl-PL"/>
              </w:rPr>
              <w:t xml:space="preserve">b) zasadne jest opisanie, na czym miałyby polegać, na gruncie proponowanej regulacji uzasadnione wątpliwości co do bezstronności świadka, zważywszy, że obecnie przyjmuje się, że samo wystąpienie wymienionych w KC okoliczności (m.in. przysporzenie w testamencie czy pozostawanie w małżeństwie z testatorem) powoduje wątpliwości co do bezstronności; </w:t>
            </w:r>
          </w:p>
          <w:p w14:paraId="1B7B89B1" w14:textId="5FCC8AD3" w:rsidR="00DE4280" w:rsidRPr="00047010" w:rsidRDefault="00DE4280" w:rsidP="00047010">
            <w:pPr>
              <w:spacing w:line="276" w:lineRule="auto"/>
              <w:jc w:val="both"/>
              <w:rPr>
                <w:rFonts w:eastAsia="Times New Roman" w:cstheme="minorHAnsi"/>
                <w:sz w:val="20"/>
                <w:szCs w:val="20"/>
                <w:lang w:eastAsia="pl-PL"/>
              </w:rPr>
            </w:pPr>
            <w:r w:rsidRPr="00047010">
              <w:rPr>
                <w:rFonts w:eastAsia="Times New Roman" w:cstheme="minorHAnsi"/>
                <w:sz w:val="20"/>
                <w:szCs w:val="20"/>
                <w:lang w:eastAsia="pl-PL"/>
              </w:rPr>
              <w:t>c) co do fragmentu pkt 2 OSR: „Ciężar udowodnienia istnienia uzasadnionych wątpliwości co do bezstronności danej osoby nałożono na ten podmiot, który wywodzi z tego faktu skutki prawne” – warto sprecyzować, który przepis projektu realizuje to założenie, a także jaka jest jego relacja do ogólnego przepisu art. 6 KC: „Ciężar udowodnienia faktu spoczywa na osobie, która z faktu tego wywodzi skutki prawne”. Jeżeli ciężar dowodu braku uzasadnionych wątpliwości nie ciążyłby na potencjalnym świadku, konieczne byłoby omówienie ryzyka tego rozwiązania dla transparentności postępowania, w szczególności w sprawach bez innych uczestników, niż świadkowie i wobec zasady kontradyktoryjności postępowania cywilnego.</w:t>
            </w:r>
          </w:p>
        </w:tc>
        <w:tc>
          <w:tcPr>
            <w:tcW w:w="4076" w:type="dxa"/>
          </w:tcPr>
          <w:p w14:paraId="471303E4" w14:textId="73250D10" w:rsidR="001C0CB5" w:rsidRDefault="002633CA" w:rsidP="002633CA">
            <w:pPr>
              <w:spacing w:line="276" w:lineRule="auto"/>
              <w:jc w:val="both"/>
              <w:rPr>
                <w:rFonts w:cstheme="minorHAnsi"/>
                <w:b/>
                <w:bCs/>
                <w:sz w:val="20"/>
                <w:szCs w:val="20"/>
              </w:rPr>
            </w:pPr>
            <w:r w:rsidRPr="0047289B">
              <w:rPr>
                <w:rFonts w:cstheme="minorHAnsi"/>
                <w:b/>
                <w:bCs/>
                <w:sz w:val="20"/>
                <w:szCs w:val="20"/>
              </w:rPr>
              <w:lastRenderedPageBreak/>
              <w:t xml:space="preserve">Uwaga </w:t>
            </w:r>
            <w:r>
              <w:rPr>
                <w:rFonts w:cstheme="minorHAnsi"/>
                <w:b/>
                <w:bCs/>
                <w:sz w:val="20"/>
                <w:szCs w:val="20"/>
              </w:rPr>
              <w:t xml:space="preserve">częściowo </w:t>
            </w:r>
            <w:r w:rsidRPr="0047289B">
              <w:rPr>
                <w:rFonts w:cstheme="minorHAnsi"/>
                <w:b/>
                <w:bCs/>
                <w:sz w:val="20"/>
                <w:szCs w:val="20"/>
              </w:rPr>
              <w:t xml:space="preserve">uwzględniona </w:t>
            </w:r>
          </w:p>
          <w:p w14:paraId="31D7F52F" w14:textId="5BE3F0DC" w:rsidR="00D91A57" w:rsidRDefault="00B90722" w:rsidP="00B90722">
            <w:pPr>
              <w:spacing w:line="276" w:lineRule="auto"/>
              <w:jc w:val="both"/>
              <w:rPr>
                <w:rFonts w:cstheme="minorHAnsi"/>
                <w:sz w:val="20"/>
                <w:szCs w:val="20"/>
              </w:rPr>
            </w:pPr>
            <w:r>
              <w:rPr>
                <w:rFonts w:cstheme="minorHAnsi"/>
                <w:sz w:val="20"/>
                <w:szCs w:val="20"/>
              </w:rPr>
              <w:t xml:space="preserve">Zespół problemowy do spraw prawa spadkowego Komisji Kodyfikacyjnej Prawa Cywilnego zauważył, że </w:t>
            </w:r>
            <w:r w:rsidRPr="00AE2B2E">
              <w:rPr>
                <w:rFonts w:cstheme="minorHAnsi"/>
                <w:sz w:val="20"/>
                <w:szCs w:val="20"/>
              </w:rPr>
              <w:t xml:space="preserve">pojęcie „uzasadnionych </w:t>
            </w:r>
            <w:r w:rsidRPr="00AE2B2E">
              <w:rPr>
                <w:rFonts w:cstheme="minorHAnsi"/>
                <w:sz w:val="20"/>
                <w:szCs w:val="20"/>
              </w:rPr>
              <w:lastRenderedPageBreak/>
              <w:t>wątpliwości” występuje w Kodeksie cywilnym tylko w art. 921</w:t>
            </w:r>
            <w:r w:rsidRPr="00AE2B2E">
              <w:rPr>
                <w:rFonts w:cstheme="minorHAnsi"/>
                <w:sz w:val="20"/>
                <w:szCs w:val="20"/>
                <w:vertAlign w:val="superscript"/>
              </w:rPr>
              <w:t xml:space="preserve">1 </w:t>
            </w:r>
            <w:r w:rsidRPr="00AE2B2E">
              <w:rPr>
                <w:rFonts w:cstheme="minorHAnsi"/>
                <w:sz w:val="20"/>
                <w:szCs w:val="20"/>
              </w:rPr>
              <w:t xml:space="preserve">§ 1. W pozostałych przypadkach ustawodawca posługuje się pojęciem „wątpliwości” (m.in. w księdze IV Kodeksu cywilnego jest to art. 949 § 2 k.c., art. 961 k.c. oraz art. 1048 § 3 k.c.). Pojęcie „uzasadnionych wątpliwości” występuje natomiast w Kodeksie postępowania cywilnego m.in. w odniesieniu do wyłączenia sędziego (art. 49 § 2 k.p.c.) lub arbitra (art. 1174 § 2 k.p.c.). W związku z tym </w:t>
            </w:r>
            <w:r>
              <w:rPr>
                <w:rFonts w:cstheme="minorHAnsi"/>
                <w:sz w:val="20"/>
                <w:szCs w:val="20"/>
              </w:rPr>
              <w:t>uznano, że</w:t>
            </w:r>
            <w:r w:rsidRPr="00AE2B2E">
              <w:rPr>
                <w:rFonts w:cstheme="minorHAnsi"/>
                <w:sz w:val="20"/>
                <w:szCs w:val="20"/>
              </w:rPr>
              <w:t xml:space="preserve"> pojęcie „uzasadnionych wątpliwości” powinno pozostać jedynie w art. 957 § 3 k.c., gdyż na jego tle to osoba powołująca się na wyłączenie danej osoby od bycia świadkiem powinna musieć wykazać co do niej „uzasadnione wątpliwości”, a nie tylko zwykłe „wątpliwości” co do bezstronności (a więc powinna dostatecznie uzasadnić wątpliwości co do wyłączenia danej osoby od bycia świadkiem). Natomiast w wypadkach określonych w art. 957 § 1, 2 i 4 k.c. powinien istnieć „brak wątpliwości” w ogólności (a więc „jakichkolwiek” a nie tylko „uzasadnionych”) co do bezstronności danego świadka, aby uznać, że mimo otrzymania przez niego lub jakąkolwiek inną osobę mu potencjalnie bliską korzyści ze spadku może być on jednak świadkiem testamentu. </w:t>
            </w:r>
            <w:r>
              <w:rPr>
                <w:rFonts w:cstheme="minorHAnsi"/>
                <w:sz w:val="20"/>
                <w:szCs w:val="20"/>
              </w:rPr>
              <w:t>Po zmianie</w:t>
            </w:r>
            <w:r w:rsidRPr="00AE2B2E">
              <w:rPr>
                <w:rFonts w:cstheme="minorHAnsi"/>
                <w:sz w:val="20"/>
                <w:szCs w:val="20"/>
              </w:rPr>
              <w:t xml:space="preserve"> </w:t>
            </w:r>
            <w:r w:rsidRPr="00AE2B2E">
              <w:rPr>
                <w:rFonts w:cstheme="minorHAnsi"/>
                <w:sz w:val="20"/>
                <w:szCs w:val="20"/>
              </w:rPr>
              <w:lastRenderedPageBreak/>
              <w:t xml:space="preserve">jeszcze bardziej utrudniać to będzie wykazanie dowodowo braku istnienia takich wątpliwości co do bezstronności świadka przez osobę, która się na to powołuje. </w:t>
            </w:r>
            <w:r w:rsidR="003E084D" w:rsidRPr="003E084D">
              <w:rPr>
                <w:rFonts w:cstheme="minorHAnsi"/>
                <w:sz w:val="20"/>
                <w:szCs w:val="20"/>
              </w:rPr>
              <w:t xml:space="preserve">Ciężar udowodnienia braku takich wątpliwości nałożony jest bowiem na ten podmiot, który wywodzi z tego faktu skutki prawne. </w:t>
            </w:r>
          </w:p>
          <w:p w14:paraId="6D5E031F" w14:textId="6F7317F8" w:rsidR="00D37C6F" w:rsidRPr="00603A6B" w:rsidRDefault="00B90722" w:rsidP="000749E4">
            <w:pPr>
              <w:spacing w:line="276" w:lineRule="auto"/>
              <w:jc w:val="both"/>
              <w:rPr>
                <w:rFonts w:cstheme="minorHAnsi"/>
                <w:sz w:val="20"/>
                <w:szCs w:val="20"/>
              </w:rPr>
            </w:pPr>
            <w:r w:rsidRPr="00D456F5">
              <w:rPr>
                <w:rFonts w:cstheme="minorHAnsi"/>
                <w:sz w:val="20"/>
                <w:szCs w:val="20"/>
              </w:rPr>
              <w:t>U</w:t>
            </w:r>
            <w:r w:rsidRPr="00AE2B2E">
              <w:rPr>
                <w:rFonts w:cstheme="minorHAnsi"/>
                <w:sz w:val="20"/>
                <w:szCs w:val="20"/>
              </w:rPr>
              <w:t xml:space="preserve">zasadnienie projektu </w:t>
            </w:r>
            <w:r w:rsidRPr="00D456F5">
              <w:rPr>
                <w:rFonts w:cstheme="minorHAnsi"/>
                <w:sz w:val="20"/>
                <w:szCs w:val="20"/>
              </w:rPr>
              <w:t xml:space="preserve">uzupełniono </w:t>
            </w:r>
            <w:r w:rsidR="00D91A57">
              <w:rPr>
                <w:rFonts w:cstheme="minorHAnsi"/>
                <w:sz w:val="20"/>
                <w:szCs w:val="20"/>
              </w:rPr>
              <w:t xml:space="preserve">też </w:t>
            </w:r>
            <w:r w:rsidRPr="00AE2B2E">
              <w:rPr>
                <w:rFonts w:cstheme="minorHAnsi"/>
                <w:sz w:val="20"/>
                <w:szCs w:val="20"/>
              </w:rPr>
              <w:t xml:space="preserve">o wyraźne </w:t>
            </w:r>
            <w:r w:rsidR="00D91A57" w:rsidRPr="00047010">
              <w:rPr>
                <w:rFonts w:eastAsia="Times New Roman" w:cstheme="minorHAnsi"/>
                <w:sz w:val="20"/>
                <w:szCs w:val="20"/>
                <w:lang w:eastAsia="pl-PL"/>
              </w:rPr>
              <w:t>opisanie problemu, jaki ma rozwiązywać ta regulacja</w:t>
            </w:r>
            <w:r w:rsidR="00D91A57" w:rsidRPr="00D91A57">
              <w:rPr>
                <w:rFonts w:cstheme="minorHAnsi"/>
                <w:sz w:val="20"/>
                <w:szCs w:val="20"/>
              </w:rPr>
              <w:t xml:space="preserve"> </w:t>
            </w:r>
            <w:r w:rsidR="00D91A57">
              <w:rPr>
                <w:rFonts w:cstheme="minorHAnsi"/>
                <w:sz w:val="20"/>
                <w:szCs w:val="20"/>
              </w:rPr>
              <w:t xml:space="preserve">oraz wyraźne </w:t>
            </w:r>
            <w:r w:rsidRPr="00AE2B2E">
              <w:rPr>
                <w:rFonts w:cstheme="minorHAnsi"/>
                <w:sz w:val="20"/>
                <w:szCs w:val="20"/>
              </w:rPr>
              <w:t>opisanie przypadków, w których nie będą powstawały wątpliwości co do braku bezstronności świadków otrzymujących korzyść z testamentu.</w:t>
            </w:r>
          </w:p>
        </w:tc>
      </w:tr>
      <w:tr w:rsidR="007F2ED0" w:rsidRPr="00047010" w14:paraId="750D0C16" w14:textId="77777777" w:rsidTr="00B241C8">
        <w:tblPrEx>
          <w:jc w:val="left"/>
        </w:tblPrEx>
        <w:tc>
          <w:tcPr>
            <w:tcW w:w="562" w:type="dxa"/>
          </w:tcPr>
          <w:p w14:paraId="1ABD9394" w14:textId="76D89D5A" w:rsidR="007F2ED0" w:rsidRPr="00047010" w:rsidRDefault="00FD1BF6" w:rsidP="00047010">
            <w:pPr>
              <w:spacing w:before="120" w:line="276" w:lineRule="auto"/>
              <w:ind w:right="-534"/>
              <w:rPr>
                <w:rFonts w:cstheme="minorHAnsi"/>
                <w:b/>
                <w:sz w:val="20"/>
                <w:szCs w:val="20"/>
              </w:rPr>
            </w:pPr>
            <w:r>
              <w:rPr>
                <w:rFonts w:cstheme="minorHAnsi"/>
                <w:b/>
                <w:sz w:val="20"/>
                <w:szCs w:val="20"/>
              </w:rPr>
              <w:lastRenderedPageBreak/>
              <w:t>3.</w:t>
            </w:r>
          </w:p>
        </w:tc>
        <w:tc>
          <w:tcPr>
            <w:tcW w:w="1843" w:type="dxa"/>
          </w:tcPr>
          <w:p w14:paraId="75D362C3" w14:textId="18D17F14" w:rsidR="007F2ED0" w:rsidRPr="00FD1BF6" w:rsidRDefault="007F2ED0" w:rsidP="00047010">
            <w:pPr>
              <w:spacing w:before="120" w:after="120" w:line="276" w:lineRule="auto"/>
              <w:jc w:val="center"/>
              <w:rPr>
                <w:rFonts w:cstheme="minorHAnsi"/>
                <w:b/>
                <w:bCs/>
                <w:sz w:val="20"/>
                <w:szCs w:val="20"/>
              </w:rPr>
            </w:pPr>
            <w:r w:rsidRPr="00FD1BF6">
              <w:rPr>
                <w:rFonts w:cstheme="minorHAnsi"/>
                <w:b/>
                <w:bCs/>
                <w:sz w:val="20"/>
                <w:szCs w:val="20"/>
              </w:rPr>
              <w:t>Minister Finansów i Gospodarki</w:t>
            </w:r>
          </w:p>
        </w:tc>
        <w:tc>
          <w:tcPr>
            <w:tcW w:w="1843" w:type="dxa"/>
          </w:tcPr>
          <w:p w14:paraId="4980D66A" w14:textId="08BFEE63" w:rsidR="007F2ED0" w:rsidRPr="00047010" w:rsidRDefault="007F2ED0" w:rsidP="00047010">
            <w:pPr>
              <w:spacing w:before="120" w:after="120" w:line="276" w:lineRule="auto"/>
              <w:jc w:val="center"/>
              <w:rPr>
                <w:rFonts w:eastAsia="Times New Roman" w:cstheme="minorHAnsi"/>
                <w:sz w:val="20"/>
                <w:szCs w:val="20"/>
                <w:lang w:eastAsia="pl-PL"/>
              </w:rPr>
            </w:pPr>
            <w:r w:rsidRPr="00047010">
              <w:rPr>
                <w:rFonts w:eastAsia="Times New Roman" w:cstheme="minorHAnsi"/>
                <w:sz w:val="20"/>
                <w:szCs w:val="20"/>
                <w:lang w:eastAsia="pl-PL"/>
              </w:rPr>
              <w:t>pkt 4 OSR</w:t>
            </w:r>
          </w:p>
        </w:tc>
        <w:tc>
          <w:tcPr>
            <w:tcW w:w="5670" w:type="dxa"/>
          </w:tcPr>
          <w:p w14:paraId="6EAE78D9" w14:textId="4BB1D161" w:rsidR="007F2ED0" w:rsidRPr="00047010" w:rsidRDefault="007F2ED0" w:rsidP="00047010">
            <w:pPr>
              <w:spacing w:line="276" w:lineRule="auto"/>
              <w:jc w:val="both"/>
              <w:rPr>
                <w:rFonts w:eastAsia="Times New Roman" w:cstheme="minorHAnsi"/>
                <w:sz w:val="20"/>
                <w:szCs w:val="20"/>
                <w:lang w:eastAsia="pl-PL"/>
              </w:rPr>
            </w:pPr>
            <w:r w:rsidRPr="00047010">
              <w:rPr>
                <w:rFonts w:eastAsia="Times New Roman" w:cstheme="minorHAnsi"/>
                <w:sz w:val="20"/>
                <w:szCs w:val="20"/>
                <w:lang w:eastAsia="pl-PL"/>
              </w:rPr>
              <w:t>2) w pkt 4 OSR w pkt 4 wskazano wpływ proponowanych regulacji m. in. na jednostki samorządu terytorialnego. Przytoczone dane liczbowe wymagają jednak korekty, ponieważ według stanu na 1 stycznia 2025 r. w Polsce jest 2 479 gmin, w tym 66 miast na prawach powiatu i 314 powiatów1 [https://stat.gov.pl/statystyka-regionalna/jednostki-terytorialne/podzial-administracyjny-polski/]. Ponadto należy zauważyć, że projekt wymaga zaopiniowania przez Komisję Wspólną Rządu i Samorządu Terytorialnego;</w:t>
            </w:r>
          </w:p>
        </w:tc>
        <w:tc>
          <w:tcPr>
            <w:tcW w:w="4076" w:type="dxa"/>
          </w:tcPr>
          <w:p w14:paraId="6A8683C2" w14:textId="77777777" w:rsidR="007F2ED0" w:rsidRDefault="007770B9" w:rsidP="00603A6B">
            <w:pPr>
              <w:spacing w:after="120" w:line="276" w:lineRule="auto"/>
              <w:rPr>
                <w:rFonts w:eastAsia="Times New Roman" w:cstheme="minorHAnsi"/>
                <w:b/>
                <w:bCs/>
                <w:sz w:val="20"/>
                <w:szCs w:val="20"/>
                <w:lang w:eastAsia="pl-PL"/>
              </w:rPr>
            </w:pPr>
            <w:r w:rsidRPr="007770B9">
              <w:rPr>
                <w:rFonts w:eastAsia="Times New Roman" w:cstheme="minorHAnsi"/>
                <w:b/>
                <w:bCs/>
                <w:sz w:val="20"/>
                <w:szCs w:val="20"/>
                <w:lang w:eastAsia="pl-PL"/>
              </w:rPr>
              <w:t xml:space="preserve">Uwaga uwzględniona </w:t>
            </w:r>
          </w:p>
          <w:p w14:paraId="365EFC97" w14:textId="239EE8D3" w:rsidR="009D36DA" w:rsidRPr="009D36DA" w:rsidRDefault="009D36DA" w:rsidP="00603A6B">
            <w:pPr>
              <w:spacing w:after="120" w:line="276" w:lineRule="auto"/>
              <w:rPr>
                <w:rFonts w:eastAsia="Times New Roman" w:cstheme="minorHAnsi"/>
                <w:sz w:val="20"/>
                <w:szCs w:val="20"/>
                <w:lang w:eastAsia="pl-PL"/>
              </w:rPr>
            </w:pPr>
            <w:r w:rsidRPr="009D36DA">
              <w:rPr>
                <w:rFonts w:eastAsia="Times New Roman" w:cstheme="minorHAnsi"/>
                <w:sz w:val="20"/>
                <w:szCs w:val="20"/>
                <w:lang w:eastAsia="pl-PL"/>
              </w:rPr>
              <w:t>Skorygowano</w:t>
            </w:r>
            <w:r>
              <w:rPr>
                <w:rFonts w:eastAsia="Times New Roman" w:cstheme="minorHAnsi"/>
                <w:sz w:val="20"/>
                <w:szCs w:val="20"/>
                <w:lang w:eastAsia="pl-PL"/>
              </w:rPr>
              <w:t>.</w:t>
            </w:r>
          </w:p>
        </w:tc>
      </w:tr>
      <w:tr w:rsidR="008C7A22" w:rsidRPr="00047010" w14:paraId="3DAAD8EF" w14:textId="77777777" w:rsidTr="00B241C8">
        <w:tblPrEx>
          <w:jc w:val="left"/>
        </w:tblPrEx>
        <w:tc>
          <w:tcPr>
            <w:tcW w:w="562" w:type="dxa"/>
          </w:tcPr>
          <w:p w14:paraId="3414A99D" w14:textId="40B9DFBC" w:rsidR="008C7A22" w:rsidRPr="00047010" w:rsidRDefault="00FD1BF6" w:rsidP="00047010">
            <w:pPr>
              <w:spacing w:before="120" w:line="276" w:lineRule="auto"/>
              <w:ind w:right="-534"/>
              <w:rPr>
                <w:rFonts w:cstheme="minorHAnsi"/>
                <w:b/>
                <w:sz w:val="20"/>
                <w:szCs w:val="20"/>
              </w:rPr>
            </w:pPr>
            <w:r>
              <w:rPr>
                <w:rFonts w:cstheme="minorHAnsi"/>
                <w:b/>
                <w:sz w:val="20"/>
                <w:szCs w:val="20"/>
              </w:rPr>
              <w:t>4</w:t>
            </w:r>
            <w:r w:rsidR="008C7A22" w:rsidRPr="00047010">
              <w:rPr>
                <w:rFonts w:cstheme="minorHAnsi"/>
                <w:b/>
                <w:sz w:val="20"/>
                <w:szCs w:val="20"/>
              </w:rPr>
              <w:t>.</w:t>
            </w:r>
          </w:p>
        </w:tc>
        <w:tc>
          <w:tcPr>
            <w:tcW w:w="1843" w:type="dxa"/>
          </w:tcPr>
          <w:p w14:paraId="17BBB039" w14:textId="3866ECF8" w:rsidR="008C7A22" w:rsidRPr="00FD1BF6" w:rsidRDefault="008C7A22" w:rsidP="00047010">
            <w:pPr>
              <w:spacing w:before="120" w:after="120" w:line="276" w:lineRule="auto"/>
              <w:jc w:val="center"/>
              <w:rPr>
                <w:rFonts w:cstheme="minorHAnsi"/>
                <w:b/>
                <w:bCs/>
                <w:sz w:val="20"/>
                <w:szCs w:val="20"/>
              </w:rPr>
            </w:pPr>
            <w:r w:rsidRPr="00FD1BF6">
              <w:rPr>
                <w:rFonts w:cstheme="minorHAnsi"/>
                <w:b/>
                <w:bCs/>
                <w:sz w:val="20"/>
                <w:szCs w:val="20"/>
              </w:rPr>
              <w:t>Minister Finansów i Gospodarki</w:t>
            </w:r>
          </w:p>
        </w:tc>
        <w:tc>
          <w:tcPr>
            <w:tcW w:w="1843" w:type="dxa"/>
          </w:tcPr>
          <w:p w14:paraId="1664396D" w14:textId="4F4F2B87" w:rsidR="008C7A22" w:rsidRPr="00047010" w:rsidRDefault="008C7A22" w:rsidP="00047010">
            <w:pPr>
              <w:spacing w:before="120" w:after="120" w:line="276" w:lineRule="auto"/>
              <w:jc w:val="center"/>
              <w:rPr>
                <w:rFonts w:cstheme="minorHAnsi"/>
                <w:sz w:val="20"/>
                <w:szCs w:val="20"/>
              </w:rPr>
            </w:pPr>
            <w:r w:rsidRPr="00047010">
              <w:rPr>
                <w:rFonts w:eastAsia="Times New Roman" w:cstheme="minorHAnsi"/>
                <w:sz w:val="20"/>
                <w:szCs w:val="20"/>
                <w:lang w:eastAsia="pl-PL"/>
              </w:rPr>
              <w:t>pkt 5 OSR</w:t>
            </w:r>
          </w:p>
        </w:tc>
        <w:tc>
          <w:tcPr>
            <w:tcW w:w="5670" w:type="dxa"/>
          </w:tcPr>
          <w:p w14:paraId="1DFBBF59" w14:textId="293478F7" w:rsidR="008C7A22" w:rsidRPr="00047010" w:rsidRDefault="008C7A22" w:rsidP="00047010">
            <w:pPr>
              <w:spacing w:line="276" w:lineRule="auto"/>
              <w:jc w:val="both"/>
              <w:rPr>
                <w:rFonts w:eastAsia="Times New Roman" w:cstheme="minorHAnsi"/>
                <w:sz w:val="20"/>
                <w:szCs w:val="20"/>
                <w:lang w:eastAsia="pl-PL"/>
              </w:rPr>
            </w:pPr>
            <w:r w:rsidRPr="00047010">
              <w:rPr>
                <w:rFonts w:eastAsia="Times New Roman" w:cstheme="minorHAnsi"/>
                <w:sz w:val="20"/>
                <w:szCs w:val="20"/>
                <w:lang w:eastAsia="pl-PL"/>
              </w:rPr>
              <w:t>3) w pkt 5 OSR zawarto informację, że prognozuje się ukończenie konsultacji publicznych i opiniowania w terminie do końca III kw. 2024 r., co wymaga korekty.</w:t>
            </w:r>
          </w:p>
        </w:tc>
        <w:tc>
          <w:tcPr>
            <w:tcW w:w="4076" w:type="dxa"/>
          </w:tcPr>
          <w:p w14:paraId="0471D4B4" w14:textId="77777777" w:rsidR="008C7A22" w:rsidRDefault="00A159F5" w:rsidP="00A7092E">
            <w:pPr>
              <w:spacing w:line="276" w:lineRule="auto"/>
              <w:rPr>
                <w:rFonts w:eastAsia="Times New Roman" w:cstheme="minorHAnsi"/>
                <w:b/>
                <w:bCs/>
                <w:sz w:val="20"/>
                <w:szCs w:val="20"/>
                <w:lang w:eastAsia="pl-PL"/>
              </w:rPr>
            </w:pPr>
            <w:r w:rsidRPr="00A159F5">
              <w:rPr>
                <w:rFonts w:eastAsia="Times New Roman" w:cstheme="minorHAnsi"/>
                <w:b/>
                <w:bCs/>
                <w:sz w:val="20"/>
                <w:szCs w:val="20"/>
                <w:lang w:eastAsia="pl-PL"/>
              </w:rPr>
              <w:t xml:space="preserve">Uwaga uwzględniona </w:t>
            </w:r>
          </w:p>
          <w:p w14:paraId="5DE88E60" w14:textId="57555735" w:rsidR="00A159F5" w:rsidRPr="00A159F5" w:rsidRDefault="00A159F5" w:rsidP="00A7092E">
            <w:pPr>
              <w:spacing w:line="276" w:lineRule="auto"/>
              <w:rPr>
                <w:rFonts w:eastAsia="Times New Roman" w:cstheme="minorHAnsi"/>
                <w:sz w:val="20"/>
                <w:szCs w:val="20"/>
                <w:lang w:eastAsia="pl-PL"/>
              </w:rPr>
            </w:pPr>
            <w:r w:rsidRPr="00A159F5">
              <w:rPr>
                <w:rFonts w:eastAsia="Times New Roman" w:cstheme="minorHAnsi"/>
                <w:sz w:val="20"/>
                <w:szCs w:val="20"/>
                <w:lang w:eastAsia="pl-PL"/>
              </w:rPr>
              <w:t>Skorygowano</w:t>
            </w:r>
            <w:r w:rsidR="003703F7">
              <w:rPr>
                <w:rFonts w:eastAsia="Times New Roman" w:cstheme="minorHAnsi"/>
                <w:sz w:val="20"/>
                <w:szCs w:val="20"/>
                <w:lang w:eastAsia="pl-PL"/>
              </w:rPr>
              <w:t xml:space="preserve"> (</w:t>
            </w:r>
            <w:r w:rsidR="001E0A4C">
              <w:rPr>
                <w:rFonts w:eastAsia="Times New Roman" w:cstheme="minorHAnsi"/>
                <w:sz w:val="20"/>
                <w:szCs w:val="20"/>
                <w:lang w:eastAsia="pl-PL"/>
              </w:rPr>
              <w:t>I</w:t>
            </w:r>
            <w:r w:rsidR="003703F7">
              <w:rPr>
                <w:rFonts w:eastAsia="Times New Roman" w:cstheme="minorHAnsi"/>
                <w:sz w:val="20"/>
                <w:szCs w:val="20"/>
                <w:lang w:eastAsia="pl-PL"/>
              </w:rPr>
              <w:t xml:space="preserve"> kwartał 2026 r.).</w:t>
            </w:r>
          </w:p>
        </w:tc>
      </w:tr>
      <w:tr w:rsidR="008C7A22" w:rsidRPr="00047010" w14:paraId="007FD5F1" w14:textId="77777777" w:rsidTr="00B241C8">
        <w:tblPrEx>
          <w:jc w:val="left"/>
        </w:tblPrEx>
        <w:tc>
          <w:tcPr>
            <w:tcW w:w="562" w:type="dxa"/>
          </w:tcPr>
          <w:p w14:paraId="4A1F201E" w14:textId="7A9EAA56" w:rsidR="008C7A22" w:rsidRPr="00047010" w:rsidRDefault="00FD1BF6" w:rsidP="00047010">
            <w:pPr>
              <w:spacing w:before="120" w:line="276" w:lineRule="auto"/>
              <w:ind w:right="-534"/>
              <w:rPr>
                <w:rFonts w:cstheme="minorHAnsi"/>
                <w:b/>
                <w:sz w:val="20"/>
                <w:szCs w:val="20"/>
              </w:rPr>
            </w:pPr>
            <w:r>
              <w:rPr>
                <w:rFonts w:cstheme="minorHAnsi"/>
                <w:b/>
                <w:sz w:val="20"/>
                <w:szCs w:val="20"/>
              </w:rPr>
              <w:t>5</w:t>
            </w:r>
            <w:r w:rsidR="008C7A22" w:rsidRPr="00047010">
              <w:rPr>
                <w:rFonts w:cstheme="minorHAnsi"/>
                <w:b/>
                <w:sz w:val="20"/>
                <w:szCs w:val="20"/>
              </w:rPr>
              <w:t>.</w:t>
            </w:r>
          </w:p>
        </w:tc>
        <w:tc>
          <w:tcPr>
            <w:tcW w:w="1843" w:type="dxa"/>
          </w:tcPr>
          <w:p w14:paraId="271FFE36" w14:textId="390C9903" w:rsidR="008C7A22" w:rsidRPr="00FD1BF6" w:rsidRDefault="008C7A22" w:rsidP="00047010">
            <w:pPr>
              <w:spacing w:before="120" w:after="120" w:line="276" w:lineRule="auto"/>
              <w:jc w:val="center"/>
              <w:rPr>
                <w:rFonts w:cstheme="minorHAnsi"/>
                <w:b/>
                <w:bCs/>
                <w:sz w:val="20"/>
                <w:szCs w:val="20"/>
              </w:rPr>
            </w:pPr>
            <w:r w:rsidRPr="00FD1BF6">
              <w:rPr>
                <w:rFonts w:cstheme="minorHAnsi"/>
                <w:b/>
                <w:bCs/>
                <w:sz w:val="20"/>
                <w:szCs w:val="20"/>
              </w:rPr>
              <w:t>Minister Finansów i Gospodarki</w:t>
            </w:r>
          </w:p>
        </w:tc>
        <w:tc>
          <w:tcPr>
            <w:tcW w:w="1843" w:type="dxa"/>
          </w:tcPr>
          <w:p w14:paraId="116812E5" w14:textId="0F480C9E" w:rsidR="008C7A22" w:rsidRPr="00047010" w:rsidRDefault="006A4E0C" w:rsidP="00047010">
            <w:pPr>
              <w:spacing w:before="120" w:after="120" w:line="276" w:lineRule="auto"/>
              <w:jc w:val="center"/>
              <w:rPr>
                <w:rFonts w:eastAsia="Times New Roman" w:cstheme="minorHAnsi"/>
                <w:sz w:val="20"/>
                <w:szCs w:val="20"/>
                <w:lang w:eastAsia="pl-PL"/>
              </w:rPr>
            </w:pPr>
            <w:r w:rsidRPr="00047010">
              <w:rPr>
                <w:rFonts w:eastAsia="Times New Roman" w:cstheme="minorHAnsi"/>
                <w:sz w:val="20"/>
                <w:szCs w:val="20"/>
                <w:lang w:eastAsia="pl-PL"/>
              </w:rPr>
              <w:t>pkt 6 OSR</w:t>
            </w:r>
          </w:p>
        </w:tc>
        <w:tc>
          <w:tcPr>
            <w:tcW w:w="5670" w:type="dxa"/>
          </w:tcPr>
          <w:p w14:paraId="2ADE44D1" w14:textId="77777777" w:rsidR="008C7A22" w:rsidRPr="00047010" w:rsidRDefault="008C7A22" w:rsidP="00047010">
            <w:pPr>
              <w:spacing w:line="276" w:lineRule="auto"/>
              <w:jc w:val="both"/>
              <w:rPr>
                <w:rFonts w:eastAsia="Times New Roman" w:cstheme="minorHAnsi"/>
                <w:sz w:val="20"/>
                <w:szCs w:val="20"/>
                <w:lang w:eastAsia="pl-PL"/>
              </w:rPr>
            </w:pPr>
            <w:r w:rsidRPr="00047010">
              <w:rPr>
                <w:rFonts w:eastAsia="Times New Roman" w:cstheme="minorHAnsi"/>
                <w:sz w:val="20"/>
                <w:szCs w:val="20"/>
                <w:lang w:eastAsia="pl-PL"/>
              </w:rPr>
              <w:t xml:space="preserve">4) w pkt 6 OSR zawarto informację, że projektowana regulacja nie wpływa na sektor finansów publicznych. </w:t>
            </w:r>
          </w:p>
          <w:p w14:paraId="7981A924" w14:textId="6F71C31B" w:rsidR="008C7A22" w:rsidRPr="00047010" w:rsidRDefault="008C7A22" w:rsidP="00047010">
            <w:pPr>
              <w:spacing w:line="276" w:lineRule="auto"/>
              <w:jc w:val="both"/>
              <w:rPr>
                <w:rFonts w:eastAsia="Times New Roman" w:cstheme="minorHAnsi"/>
                <w:sz w:val="20"/>
                <w:szCs w:val="20"/>
                <w:lang w:eastAsia="pl-PL"/>
              </w:rPr>
            </w:pPr>
            <w:r w:rsidRPr="00047010">
              <w:rPr>
                <w:rFonts w:eastAsia="Times New Roman" w:cstheme="minorHAnsi"/>
                <w:sz w:val="20"/>
                <w:szCs w:val="20"/>
                <w:lang w:eastAsia="pl-PL"/>
              </w:rPr>
              <w:t xml:space="preserve">Zgodnie z załącznikiem do ustawy z dnia 16 listopada 2006 r. o opłacie skarbowej przedmiotem opłaty skarbowej w wysokości 22 </w:t>
            </w:r>
            <w:r w:rsidRPr="00047010">
              <w:rPr>
                <w:rFonts w:eastAsia="Times New Roman" w:cstheme="minorHAnsi"/>
                <w:sz w:val="20"/>
                <w:szCs w:val="20"/>
                <w:lang w:eastAsia="pl-PL"/>
              </w:rPr>
              <w:lastRenderedPageBreak/>
              <w:t xml:space="preserve">zł jest protokół zawierający ostatnią wolę spadkodawcy, sporządzony przez osoby wymienione w art. 951 § 1 Kodeksu cywilnego (testament </w:t>
            </w:r>
            <w:proofErr w:type="spellStart"/>
            <w:r w:rsidRPr="00047010">
              <w:rPr>
                <w:rFonts w:eastAsia="Times New Roman" w:cstheme="minorHAnsi"/>
                <w:sz w:val="20"/>
                <w:szCs w:val="20"/>
                <w:lang w:eastAsia="pl-PL"/>
              </w:rPr>
              <w:t>allograficzny</w:t>
            </w:r>
            <w:proofErr w:type="spellEnd"/>
            <w:r w:rsidRPr="00047010">
              <w:rPr>
                <w:rFonts w:eastAsia="Times New Roman" w:cstheme="minorHAnsi"/>
                <w:sz w:val="20"/>
                <w:szCs w:val="20"/>
                <w:lang w:eastAsia="pl-PL"/>
              </w:rPr>
              <w:t xml:space="preserve"> – urzędowy). W związku z uchyleniem art. 951 Kodeksu cywilnego (art. 1 pkt 1 projektowanej ustawy) uchyleniu podlega także ta regulacja (art. 6 projektowanej ustawy).</w:t>
            </w:r>
          </w:p>
          <w:p w14:paraId="77FB2104" w14:textId="77777777" w:rsidR="008C7A22" w:rsidRPr="00047010" w:rsidRDefault="008C7A22" w:rsidP="00047010">
            <w:pPr>
              <w:spacing w:line="276" w:lineRule="auto"/>
              <w:jc w:val="both"/>
              <w:rPr>
                <w:rFonts w:eastAsia="Times New Roman" w:cstheme="minorHAnsi"/>
                <w:sz w:val="20"/>
                <w:szCs w:val="20"/>
                <w:lang w:eastAsia="pl-PL"/>
              </w:rPr>
            </w:pPr>
            <w:r w:rsidRPr="00047010">
              <w:rPr>
                <w:rFonts w:eastAsia="Times New Roman" w:cstheme="minorHAnsi"/>
                <w:sz w:val="20"/>
                <w:szCs w:val="20"/>
                <w:lang w:eastAsia="pl-PL"/>
              </w:rPr>
              <w:t xml:space="preserve">Stosownie do art. 4 pkt 3 lit. a oraz art. 5 pkt 3 lit. a ustawy z dnia 1 października 2024 r. o dochodach jednostek samorządu terytorialnego (Dz. U. poz. 1572, z </w:t>
            </w:r>
            <w:proofErr w:type="spellStart"/>
            <w:r w:rsidRPr="00047010">
              <w:rPr>
                <w:rFonts w:eastAsia="Times New Roman" w:cstheme="minorHAnsi"/>
                <w:sz w:val="20"/>
                <w:szCs w:val="20"/>
                <w:lang w:eastAsia="pl-PL"/>
              </w:rPr>
              <w:t>późn</w:t>
            </w:r>
            <w:proofErr w:type="spellEnd"/>
            <w:r w:rsidRPr="00047010">
              <w:rPr>
                <w:rFonts w:eastAsia="Times New Roman" w:cstheme="minorHAnsi"/>
                <w:sz w:val="20"/>
                <w:szCs w:val="20"/>
                <w:lang w:eastAsia="pl-PL"/>
              </w:rPr>
              <w:t xml:space="preserve">. zm.) wpływy z opłaty skarbowej stanowią dochody odpowiednio gmin i miast na prawach powiatu. </w:t>
            </w:r>
          </w:p>
          <w:p w14:paraId="60A99449" w14:textId="34A69518" w:rsidR="008C7A22" w:rsidRPr="00047010" w:rsidRDefault="008C7A22" w:rsidP="00047010">
            <w:pPr>
              <w:spacing w:line="276" w:lineRule="auto"/>
              <w:jc w:val="both"/>
              <w:rPr>
                <w:rFonts w:eastAsia="Times New Roman" w:cstheme="minorHAnsi"/>
                <w:sz w:val="20"/>
                <w:szCs w:val="20"/>
                <w:lang w:eastAsia="pl-PL"/>
              </w:rPr>
            </w:pPr>
            <w:r w:rsidRPr="00047010">
              <w:rPr>
                <w:rFonts w:eastAsia="Times New Roman" w:cstheme="minorHAnsi"/>
                <w:sz w:val="20"/>
                <w:szCs w:val="20"/>
                <w:lang w:eastAsia="pl-PL"/>
              </w:rPr>
              <w:t xml:space="preserve">Wymaga podkreślenia, że w pkt 2 OSR w odniesieniu do testamentu </w:t>
            </w:r>
            <w:proofErr w:type="spellStart"/>
            <w:r w:rsidRPr="00047010">
              <w:rPr>
                <w:rFonts w:eastAsia="Times New Roman" w:cstheme="minorHAnsi"/>
                <w:sz w:val="20"/>
                <w:szCs w:val="20"/>
                <w:lang w:eastAsia="pl-PL"/>
              </w:rPr>
              <w:t>allograficznego</w:t>
            </w:r>
            <w:proofErr w:type="spellEnd"/>
            <w:r w:rsidRPr="00047010">
              <w:rPr>
                <w:rFonts w:eastAsia="Times New Roman" w:cstheme="minorHAnsi"/>
                <w:sz w:val="20"/>
                <w:szCs w:val="20"/>
                <w:lang w:eastAsia="pl-PL"/>
              </w:rPr>
              <w:t xml:space="preserve"> – urzędowego zawarto następującą informację: „Mając na względzie wyjątkowo niski praktyczny wymiar istnienia tego rodzaju testamentu szczególnego, przejawiający się w sporadycznym korzystaniu z tej</w:t>
            </w:r>
            <w:r w:rsidR="003703F7">
              <w:rPr>
                <w:rFonts w:eastAsia="Times New Roman" w:cstheme="minorHAnsi"/>
                <w:sz w:val="20"/>
                <w:szCs w:val="20"/>
                <w:lang w:eastAsia="pl-PL"/>
              </w:rPr>
              <w:t xml:space="preserve"> </w:t>
            </w:r>
            <w:r w:rsidRPr="00047010">
              <w:rPr>
                <w:rFonts w:eastAsia="Times New Roman" w:cstheme="minorHAnsi"/>
                <w:sz w:val="20"/>
                <w:szCs w:val="20"/>
                <w:lang w:eastAsia="pl-PL"/>
              </w:rPr>
              <w:t>formy testamentu, jak i błędnym sporządzaniu skutkującym nieważnością takiego testamentu, zdecydowano o usunięciu z kodeksu cywilnego tej formy testamentu.”. Można zatem założyć, że zmniejszenie wpływów z opłaty skarbowej z tytułu sporządzenia takiego testamentu, a co za tym idzie zmniejszenie dochodów jednostek samorządu terytorialnego, nie będzie znaczne. Niemniej skutek tak wystąpi, co powinno być wykazane (oszacowane) w OSR</w:t>
            </w:r>
            <w:r w:rsidR="003703F7">
              <w:rPr>
                <w:rFonts w:eastAsia="Times New Roman" w:cstheme="minorHAnsi"/>
                <w:sz w:val="20"/>
                <w:szCs w:val="20"/>
                <w:lang w:eastAsia="pl-PL"/>
              </w:rPr>
              <w:t xml:space="preserve">. </w:t>
            </w:r>
          </w:p>
        </w:tc>
        <w:tc>
          <w:tcPr>
            <w:tcW w:w="4076" w:type="dxa"/>
          </w:tcPr>
          <w:p w14:paraId="6CE7176D" w14:textId="77777777" w:rsidR="003703F7" w:rsidRDefault="003703F7" w:rsidP="00A7092E">
            <w:pPr>
              <w:spacing w:line="276" w:lineRule="auto"/>
              <w:jc w:val="both"/>
              <w:rPr>
                <w:rFonts w:eastAsia="Times New Roman" w:cstheme="minorHAnsi"/>
                <w:b/>
                <w:bCs/>
                <w:sz w:val="20"/>
                <w:szCs w:val="20"/>
                <w:lang w:eastAsia="pl-PL"/>
              </w:rPr>
            </w:pPr>
            <w:r w:rsidRPr="0047289B">
              <w:rPr>
                <w:rFonts w:eastAsia="Times New Roman" w:cstheme="minorHAnsi"/>
                <w:b/>
                <w:bCs/>
                <w:sz w:val="20"/>
                <w:szCs w:val="20"/>
                <w:lang w:eastAsia="pl-PL"/>
              </w:rPr>
              <w:lastRenderedPageBreak/>
              <w:t>Wyjaśnienie</w:t>
            </w:r>
          </w:p>
          <w:p w14:paraId="3F6E129F" w14:textId="77777777" w:rsidR="00081E8F" w:rsidRDefault="003703F7" w:rsidP="00A7092E">
            <w:pPr>
              <w:spacing w:line="276" w:lineRule="auto"/>
              <w:jc w:val="both"/>
              <w:rPr>
                <w:rFonts w:eastAsia="Times New Roman" w:cstheme="minorHAnsi"/>
                <w:sz w:val="20"/>
                <w:szCs w:val="20"/>
                <w:lang w:eastAsia="pl-PL"/>
              </w:rPr>
            </w:pPr>
            <w:r w:rsidRPr="003D37AF">
              <w:rPr>
                <w:rFonts w:eastAsia="Times New Roman" w:cstheme="minorHAnsi"/>
                <w:sz w:val="20"/>
                <w:szCs w:val="20"/>
                <w:lang w:eastAsia="pl-PL"/>
              </w:rPr>
              <w:t xml:space="preserve">Zwrócono się do MSWiA </w:t>
            </w:r>
            <w:r>
              <w:rPr>
                <w:rFonts w:eastAsia="Times New Roman" w:cstheme="minorHAnsi"/>
                <w:sz w:val="20"/>
                <w:szCs w:val="20"/>
                <w:lang w:eastAsia="pl-PL"/>
              </w:rPr>
              <w:t xml:space="preserve">z prośbą o przedstawienie właściwych danych w tym zakresie w perspektywie ostatnich 10 lat (od 1 </w:t>
            </w:r>
            <w:r>
              <w:rPr>
                <w:rFonts w:eastAsia="Times New Roman" w:cstheme="minorHAnsi"/>
                <w:sz w:val="20"/>
                <w:szCs w:val="20"/>
                <w:lang w:eastAsia="pl-PL"/>
              </w:rPr>
              <w:lastRenderedPageBreak/>
              <w:t>stycznia 2016 do 31 grudnia 2025 r.)</w:t>
            </w:r>
            <w:r w:rsidR="001C0CB5">
              <w:rPr>
                <w:rFonts w:eastAsia="Times New Roman" w:cstheme="minorHAnsi"/>
                <w:sz w:val="20"/>
                <w:szCs w:val="20"/>
                <w:lang w:eastAsia="pl-PL"/>
              </w:rPr>
              <w:t>. Minister przekazał, że nie posiada takich informacji.</w:t>
            </w:r>
            <w:r w:rsidR="00C2116C">
              <w:rPr>
                <w:rFonts w:eastAsia="Times New Roman" w:cstheme="minorHAnsi"/>
                <w:sz w:val="20"/>
                <w:szCs w:val="20"/>
                <w:lang w:eastAsia="pl-PL"/>
              </w:rPr>
              <w:t xml:space="preserve"> N</w:t>
            </w:r>
            <w:r w:rsidR="00C2116C" w:rsidRPr="00C2116C">
              <w:rPr>
                <w:rFonts w:eastAsia="Times New Roman" w:cstheme="minorHAnsi"/>
                <w:sz w:val="20"/>
                <w:szCs w:val="20"/>
                <w:lang w:eastAsia="pl-PL"/>
              </w:rPr>
              <w:t xml:space="preserve">ikt </w:t>
            </w:r>
            <w:r w:rsidR="00C2116C">
              <w:rPr>
                <w:rFonts w:eastAsia="Times New Roman" w:cstheme="minorHAnsi"/>
                <w:sz w:val="20"/>
                <w:szCs w:val="20"/>
                <w:lang w:eastAsia="pl-PL"/>
              </w:rPr>
              <w:t xml:space="preserve">bowiem </w:t>
            </w:r>
            <w:r w:rsidR="00C2116C" w:rsidRPr="00C2116C">
              <w:rPr>
                <w:rFonts w:eastAsia="Times New Roman" w:cstheme="minorHAnsi"/>
                <w:sz w:val="20"/>
                <w:szCs w:val="20"/>
                <w:lang w:eastAsia="pl-PL"/>
              </w:rPr>
              <w:t>takich danych statystycznych nie zbierał i nadal nie zbiera</w:t>
            </w:r>
            <w:r w:rsidR="00C2116C">
              <w:rPr>
                <w:rFonts w:eastAsia="Times New Roman" w:cstheme="minorHAnsi"/>
                <w:sz w:val="20"/>
                <w:szCs w:val="20"/>
                <w:lang w:eastAsia="pl-PL"/>
              </w:rPr>
              <w:t>, jak też n</w:t>
            </w:r>
            <w:r w:rsidR="00C2116C" w:rsidRPr="00C2116C">
              <w:rPr>
                <w:rFonts w:eastAsia="Times New Roman" w:cstheme="minorHAnsi"/>
                <w:sz w:val="20"/>
                <w:szCs w:val="20"/>
                <w:lang w:eastAsia="pl-PL"/>
              </w:rPr>
              <w:t xml:space="preserve">ie ma żadnego rejestru testamentów </w:t>
            </w:r>
            <w:proofErr w:type="spellStart"/>
            <w:r w:rsidR="00C2116C" w:rsidRPr="00C2116C">
              <w:rPr>
                <w:rFonts w:eastAsia="Times New Roman" w:cstheme="minorHAnsi"/>
                <w:sz w:val="20"/>
                <w:szCs w:val="20"/>
                <w:lang w:eastAsia="pl-PL"/>
              </w:rPr>
              <w:t>allograficznych</w:t>
            </w:r>
            <w:proofErr w:type="spellEnd"/>
            <w:r w:rsidR="00C2116C" w:rsidRPr="00C2116C">
              <w:rPr>
                <w:rFonts w:eastAsia="Times New Roman" w:cstheme="minorHAnsi"/>
                <w:sz w:val="20"/>
                <w:szCs w:val="20"/>
                <w:lang w:eastAsia="pl-PL"/>
              </w:rPr>
              <w:t xml:space="preserve"> na podobieństwo Notarialnego Rejestru Testamentów.</w:t>
            </w:r>
            <w:r w:rsidR="001C0CB5">
              <w:rPr>
                <w:rFonts w:eastAsia="Times New Roman" w:cstheme="minorHAnsi"/>
                <w:sz w:val="20"/>
                <w:szCs w:val="20"/>
                <w:lang w:eastAsia="pl-PL"/>
              </w:rPr>
              <w:t xml:space="preserve"> </w:t>
            </w:r>
          </w:p>
          <w:p w14:paraId="29DE63F7" w14:textId="7DB74ADC" w:rsidR="006E1AA9" w:rsidRDefault="00C2116C" w:rsidP="00A7092E">
            <w:pPr>
              <w:spacing w:line="276" w:lineRule="auto"/>
              <w:jc w:val="both"/>
              <w:rPr>
                <w:rFonts w:eastAsia="Times New Roman" w:cstheme="minorHAnsi"/>
                <w:sz w:val="20"/>
                <w:szCs w:val="20"/>
                <w:lang w:eastAsia="pl-PL"/>
              </w:rPr>
            </w:pPr>
            <w:r w:rsidRPr="00D91A57">
              <w:rPr>
                <w:rFonts w:eastAsia="Times New Roman" w:cstheme="minorHAnsi"/>
                <w:bCs/>
                <w:sz w:val="20"/>
                <w:szCs w:val="20"/>
                <w:lang w:eastAsia="pl-PL"/>
              </w:rPr>
              <w:t xml:space="preserve">W świetle danych dostępnych w bazach informacji prawnej, w obecnym stuleciu wydano </w:t>
            </w:r>
            <w:r>
              <w:rPr>
                <w:rFonts w:eastAsia="Times New Roman" w:cstheme="minorHAnsi"/>
                <w:bCs/>
                <w:sz w:val="20"/>
                <w:szCs w:val="20"/>
                <w:lang w:eastAsia="pl-PL"/>
              </w:rPr>
              <w:t xml:space="preserve">przy tym </w:t>
            </w:r>
            <w:r w:rsidRPr="00D91A57">
              <w:rPr>
                <w:rFonts w:eastAsia="Times New Roman" w:cstheme="minorHAnsi"/>
                <w:bCs/>
                <w:sz w:val="20"/>
                <w:szCs w:val="20"/>
                <w:lang w:eastAsia="pl-PL"/>
              </w:rPr>
              <w:t>jedynie kilkanaście orzeczeń sądów apelacyjnych i Sądu Najwyższego, które dotyczyłyby wprost tej formy testamentu.</w:t>
            </w:r>
            <w:r>
              <w:rPr>
                <w:rFonts w:eastAsia="Times New Roman" w:cstheme="minorHAnsi"/>
                <w:bCs/>
                <w:sz w:val="20"/>
                <w:szCs w:val="20"/>
                <w:lang w:eastAsia="pl-PL"/>
              </w:rPr>
              <w:t xml:space="preserve"> </w:t>
            </w:r>
            <w:r w:rsidR="001C0CB5">
              <w:rPr>
                <w:rFonts w:eastAsia="Times New Roman" w:cstheme="minorHAnsi"/>
                <w:sz w:val="20"/>
                <w:szCs w:val="20"/>
                <w:lang w:eastAsia="pl-PL"/>
              </w:rPr>
              <w:t xml:space="preserve">Potwierdza to pośrednio nikłą ilość sporządzanych w Polsce testamentów w formie </w:t>
            </w:r>
            <w:proofErr w:type="spellStart"/>
            <w:r w:rsidR="001C0CB5">
              <w:rPr>
                <w:rFonts w:eastAsia="Times New Roman" w:cstheme="minorHAnsi"/>
                <w:sz w:val="20"/>
                <w:szCs w:val="20"/>
                <w:lang w:eastAsia="pl-PL"/>
              </w:rPr>
              <w:t>allograficznej</w:t>
            </w:r>
            <w:proofErr w:type="spellEnd"/>
            <w:r w:rsidR="001C0CB5">
              <w:rPr>
                <w:rFonts w:eastAsia="Times New Roman" w:cstheme="minorHAnsi"/>
                <w:sz w:val="20"/>
                <w:szCs w:val="20"/>
                <w:lang w:eastAsia="pl-PL"/>
              </w:rPr>
              <w:t>.</w:t>
            </w:r>
            <w:r w:rsidR="00D91A57">
              <w:rPr>
                <w:rFonts w:eastAsia="Times New Roman" w:cstheme="minorHAnsi"/>
                <w:sz w:val="20"/>
                <w:szCs w:val="20"/>
                <w:lang w:eastAsia="pl-PL"/>
              </w:rPr>
              <w:t xml:space="preserve"> </w:t>
            </w:r>
          </w:p>
          <w:p w14:paraId="64AA9E17" w14:textId="106C87FB" w:rsidR="008C7A22" w:rsidRPr="00047010" w:rsidRDefault="006E1AA9" w:rsidP="00603A6B">
            <w:pPr>
              <w:spacing w:line="276" w:lineRule="auto"/>
              <w:jc w:val="both"/>
              <w:rPr>
                <w:rFonts w:eastAsia="Times New Roman" w:cstheme="minorHAnsi"/>
                <w:sz w:val="20"/>
                <w:szCs w:val="20"/>
                <w:lang w:eastAsia="pl-PL"/>
              </w:rPr>
            </w:pPr>
            <w:r w:rsidRPr="006E1AA9">
              <w:rPr>
                <w:rFonts w:eastAsia="Times New Roman" w:cstheme="minorHAnsi"/>
                <w:sz w:val="20"/>
                <w:szCs w:val="20"/>
                <w:lang w:eastAsia="pl-PL"/>
              </w:rPr>
              <w:t>Wątpl</w:t>
            </w:r>
            <w:r>
              <w:rPr>
                <w:rFonts w:eastAsia="Times New Roman" w:cstheme="minorHAnsi"/>
                <w:sz w:val="20"/>
                <w:szCs w:val="20"/>
                <w:lang w:eastAsia="pl-PL"/>
              </w:rPr>
              <w:t xml:space="preserve">iwe byłoby też </w:t>
            </w:r>
            <w:r w:rsidRPr="006E1AA9">
              <w:rPr>
                <w:rFonts w:eastAsia="Times New Roman" w:cstheme="minorHAnsi"/>
                <w:sz w:val="20"/>
                <w:szCs w:val="20"/>
                <w:lang w:eastAsia="pl-PL"/>
              </w:rPr>
              <w:t>ustalenie - nawet za ostatnie 10 lat przez - kwot uzyskanych przez samorządy z opłat skarbowych pobranych za sporządzenie protokołu zawierającego treść</w:t>
            </w:r>
            <w:r>
              <w:rPr>
                <w:rFonts w:eastAsia="Times New Roman" w:cstheme="minorHAnsi"/>
                <w:sz w:val="20"/>
                <w:szCs w:val="20"/>
                <w:lang w:eastAsia="pl-PL"/>
              </w:rPr>
              <w:t xml:space="preserve"> </w:t>
            </w:r>
            <w:r w:rsidRPr="006E1AA9">
              <w:rPr>
                <w:rFonts w:eastAsia="Times New Roman" w:cstheme="minorHAnsi"/>
                <w:sz w:val="20"/>
                <w:szCs w:val="20"/>
                <w:lang w:eastAsia="pl-PL"/>
              </w:rPr>
              <w:t>testamentu </w:t>
            </w:r>
            <w:proofErr w:type="spellStart"/>
            <w:r w:rsidRPr="006E1AA9">
              <w:rPr>
                <w:rFonts w:eastAsia="Times New Roman" w:cstheme="minorHAnsi"/>
                <w:sz w:val="20"/>
                <w:szCs w:val="20"/>
                <w:lang w:eastAsia="pl-PL"/>
              </w:rPr>
              <w:t>allograficznego</w:t>
            </w:r>
            <w:proofErr w:type="spellEnd"/>
            <w:r w:rsidRPr="006E1AA9">
              <w:rPr>
                <w:rFonts w:eastAsia="Times New Roman" w:cstheme="minorHAnsi"/>
                <w:sz w:val="20"/>
                <w:szCs w:val="20"/>
                <w:lang w:eastAsia="pl-PL"/>
              </w:rPr>
              <w:t>.</w:t>
            </w:r>
            <w:r>
              <w:rPr>
                <w:rFonts w:eastAsia="Times New Roman" w:cstheme="minorHAnsi"/>
                <w:sz w:val="20"/>
                <w:szCs w:val="20"/>
                <w:lang w:eastAsia="pl-PL"/>
              </w:rPr>
              <w:t xml:space="preserve"> </w:t>
            </w:r>
            <w:r w:rsidRPr="006E1AA9">
              <w:rPr>
                <w:rFonts w:eastAsia="Times New Roman" w:cstheme="minorHAnsi"/>
                <w:sz w:val="20"/>
                <w:szCs w:val="20"/>
                <w:lang w:eastAsia="pl-PL"/>
              </w:rPr>
              <w:t xml:space="preserve">Aby to ustalić </w:t>
            </w:r>
            <w:r>
              <w:rPr>
                <w:rFonts w:eastAsia="Times New Roman" w:cstheme="minorHAnsi"/>
                <w:sz w:val="20"/>
                <w:szCs w:val="20"/>
                <w:lang w:eastAsia="pl-PL"/>
              </w:rPr>
              <w:t>należałoby</w:t>
            </w:r>
            <w:r w:rsidRPr="006E1AA9">
              <w:rPr>
                <w:rFonts w:eastAsia="Times New Roman" w:cstheme="minorHAnsi"/>
                <w:sz w:val="20"/>
                <w:szCs w:val="20"/>
                <w:lang w:eastAsia="pl-PL"/>
              </w:rPr>
              <w:t xml:space="preserve"> wysłać odpowiednie pismo do wszystkich jednostek samorządu terytorialnego w Polsce.</w:t>
            </w:r>
            <w:r>
              <w:rPr>
                <w:rFonts w:eastAsia="Times New Roman" w:cstheme="minorHAnsi"/>
                <w:sz w:val="20"/>
                <w:szCs w:val="20"/>
                <w:lang w:eastAsia="pl-PL"/>
              </w:rPr>
              <w:t xml:space="preserve"> Ze względu na nikłą ilość sporządzanych w Polsce testamentów w formie </w:t>
            </w:r>
            <w:proofErr w:type="spellStart"/>
            <w:r>
              <w:rPr>
                <w:rFonts w:eastAsia="Times New Roman" w:cstheme="minorHAnsi"/>
                <w:sz w:val="20"/>
                <w:szCs w:val="20"/>
                <w:lang w:eastAsia="pl-PL"/>
              </w:rPr>
              <w:t>allograficznej</w:t>
            </w:r>
            <w:proofErr w:type="spellEnd"/>
            <w:r>
              <w:rPr>
                <w:rFonts w:eastAsia="Times New Roman" w:cstheme="minorHAnsi"/>
                <w:sz w:val="20"/>
                <w:szCs w:val="20"/>
                <w:lang w:eastAsia="pl-PL"/>
              </w:rPr>
              <w:t xml:space="preserve">, koszt takich ustaleń byłby zapewne wyższy niż </w:t>
            </w:r>
            <w:r w:rsidRPr="006E1AA9">
              <w:rPr>
                <w:rFonts w:eastAsia="Times New Roman" w:cstheme="minorHAnsi"/>
                <w:sz w:val="20"/>
                <w:szCs w:val="20"/>
                <w:lang w:eastAsia="pl-PL"/>
              </w:rPr>
              <w:t>kwot</w:t>
            </w:r>
            <w:r>
              <w:rPr>
                <w:rFonts w:eastAsia="Times New Roman" w:cstheme="minorHAnsi"/>
                <w:sz w:val="20"/>
                <w:szCs w:val="20"/>
                <w:lang w:eastAsia="pl-PL"/>
              </w:rPr>
              <w:t>y</w:t>
            </w:r>
            <w:r w:rsidRPr="006E1AA9">
              <w:rPr>
                <w:rFonts w:eastAsia="Times New Roman" w:cstheme="minorHAnsi"/>
                <w:sz w:val="20"/>
                <w:szCs w:val="20"/>
                <w:lang w:eastAsia="pl-PL"/>
              </w:rPr>
              <w:t xml:space="preserve"> uzyskan</w:t>
            </w:r>
            <w:r>
              <w:rPr>
                <w:rFonts w:eastAsia="Times New Roman" w:cstheme="minorHAnsi"/>
                <w:sz w:val="20"/>
                <w:szCs w:val="20"/>
                <w:lang w:eastAsia="pl-PL"/>
              </w:rPr>
              <w:t>e</w:t>
            </w:r>
            <w:r w:rsidRPr="006E1AA9">
              <w:rPr>
                <w:rFonts w:eastAsia="Times New Roman" w:cstheme="minorHAnsi"/>
                <w:sz w:val="20"/>
                <w:szCs w:val="20"/>
                <w:lang w:eastAsia="pl-PL"/>
              </w:rPr>
              <w:t xml:space="preserve"> </w:t>
            </w:r>
            <w:r>
              <w:rPr>
                <w:rFonts w:eastAsia="Times New Roman" w:cstheme="minorHAnsi"/>
                <w:sz w:val="20"/>
                <w:szCs w:val="20"/>
                <w:lang w:eastAsia="pl-PL"/>
              </w:rPr>
              <w:t xml:space="preserve">przez kilkanaście ostatnich </w:t>
            </w:r>
            <w:r w:rsidR="00F819FB">
              <w:rPr>
                <w:rFonts w:eastAsia="Times New Roman" w:cstheme="minorHAnsi"/>
                <w:sz w:val="20"/>
                <w:szCs w:val="20"/>
                <w:lang w:eastAsia="pl-PL"/>
              </w:rPr>
              <w:t xml:space="preserve">lat </w:t>
            </w:r>
            <w:r w:rsidRPr="006E1AA9">
              <w:rPr>
                <w:rFonts w:eastAsia="Times New Roman" w:cstheme="minorHAnsi"/>
                <w:sz w:val="20"/>
                <w:szCs w:val="20"/>
                <w:lang w:eastAsia="pl-PL"/>
              </w:rPr>
              <w:t xml:space="preserve">przez samorządy z opłat skarbowych pobranych za sporządzenie </w:t>
            </w:r>
            <w:r w:rsidRPr="006E1AA9">
              <w:rPr>
                <w:rFonts w:eastAsia="Times New Roman" w:cstheme="minorHAnsi"/>
                <w:sz w:val="20"/>
                <w:szCs w:val="20"/>
                <w:lang w:eastAsia="pl-PL"/>
              </w:rPr>
              <w:lastRenderedPageBreak/>
              <w:t>protokołu zawierającego treść</w:t>
            </w:r>
            <w:r>
              <w:rPr>
                <w:rFonts w:eastAsia="Times New Roman" w:cstheme="minorHAnsi"/>
                <w:sz w:val="20"/>
                <w:szCs w:val="20"/>
                <w:lang w:eastAsia="pl-PL"/>
              </w:rPr>
              <w:t xml:space="preserve"> </w:t>
            </w:r>
            <w:r w:rsidRPr="006E1AA9">
              <w:rPr>
                <w:rFonts w:eastAsia="Times New Roman" w:cstheme="minorHAnsi"/>
                <w:sz w:val="20"/>
                <w:szCs w:val="20"/>
                <w:lang w:eastAsia="pl-PL"/>
              </w:rPr>
              <w:t>testamentu </w:t>
            </w:r>
            <w:proofErr w:type="spellStart"/>
            <w:r w:rsidRPr="006E1AA9">
              <w:rPr>
                <w:rFonts w:eastAsia="Times New Roman" w:cstheme="minorHAnsi"/>
                <w:sz w:val="20"/>
                <w:szCs w:val="20"/>
                <w:lang w:eastAsia="pl-PL"/>
              </w:rPr>
              <w:t>allograficznego</w:t>
            </w:r>
            <w:proofErr w:type="spellEnd"/>
            <w:r>
              <w:rPr>
                <w:rFonts w:eastAsia="Times New Roman" w:cstheme="minorHAnsi"/>
                <w:sz w:val="20"/>
                <w:szCs w:val="20"/>
                <w:lang w:eastAsia="pl-PL"/>
              </w:rPr>
              <w:t>.</w:t>
            </w:r>
          </w:p>
        </w:tc>
      </w:tr>
      <w:tr w:rsidR="00DE4280" w:rsidRPr="00047010" w14:paraId="0266BFA3" w14:textId="77777777" w:rsidTr="00B241C8">
        <w:tblPrEx>
          <w:jc w:val="left"/>
        </w:tblPrEx>
        <w:tc>
          <w:tcPr>
            <w:tcW w:w="562" w:type="dxa"/>
          </w:tcPr>
          <w:p w14:paraId="229E9116" w14:textId="07CC0084" w:rsidR="00DE4280" w:rsidRPr="00047010" w:rsidRDefault="00FD1BF6" w:rsidP="00047010">
            <w:pPr>
              <w:spacing w:before="120" w:line="276" w:lineRule="auto"/>
              <w:ind w:right="-534"/>
              <w:rPr>
                <w:rFonts w:cstheme="minorHAnsi"/>
                <w:b/>
                <w:sz w:val="20"/>
                <w:szCs w:val="20"/>
              </w:rPr>
            </w:pPr>
            <w:r>
              <w:rPr>
                <w:rFonts w:cstheme="minorHAnsi"/>
                <w:b/>
                <w:sz w:val="20"/>
                <w:szCs w:val="20"/>
              </w:rPr>
              <w:lastRenderedPageBreak/>
              <w:t>6.</w:t>
            </w:r>
          </w:p>
        </w:tc>
        <w:tc>
          <w:tcPr>
            <w:tcW w:w="1843" w:type="dxa"/>
          </w:tcPr>
          <w:p w14:paraId="3830CA84" w14:textId="7DF3E4D0" w:rsidR="00DE4280" w:rsidRPr="00FD1BF6" w:rsidRDefault="00DE4280" w:rsidP="00047010">
            <w:pPr>
              <w:spacing w:before="120" w:after="120" w:line="276" w:lineRule="auto"/>
              <w:jc w:val="center"/>
              <w:rPr>
                <w:rFonts w:cstheme="minorHAnsi"/>
                <w:b/>
                <w:bCs/>
                <w:sz w:val="20"/>
                <w:szCs w:val="20"/>
              </w:rPr>
            </w:pPr>
            <w:r w:rsidRPr="00FD1BF6">
              <w:rPr>
                <w:rFonts w:cstheme="minorHAnsi"/>
                <w:b/>
                <w:bCs/>
                <w:sz w:val="20"/>
                <w:szCs w:val="20"/>
              </w:rPr>
              <w:t>Koordynator Oceny Skutków Regulacji</w:t>
            </w:r>
          </w:p>
        </w:tc>
        <w:tc>
          <w:tcPr>
            <w:tcW w:w="1843" w:type="dxa"/>
          </w:tcPr>
          <w:p w14:paraId="42D5F568" w14:textId="772BE1DA" w:rsidR="00DE4280" w:rsidRPr="00047010" w:rsidRDefault="00332A52" w:rsidP="00047010">
            <w:pPr>
              <w:spacing w:before="120" w:after="120" w:line="276" w:lineRule="auto"/>
              <w:jc w:val="center"/>
              <w:rPr>
                <w:rFonts w:eastAsia="Times New Roman" w:cstheme="minorHAnsi"/>
                <w:sz w:val="20"/>
                <w:szCs w:val="20"/>
                <w:lang w:eastAsia="pl-PL"/>
              </w:rPr>
            </w:pPr>
            <w:r w:rsidRPr="00047010">
              <w:rPr>
                <w:rFonts w:eastAsia="Times New Roman" w:cstheme="minorHAnsi"/>
                <w:sz w:val="20"/>
                <w:szCs w:val="20"/>
                <w:lang w:eastAsia="pl-PL"/>
              </w:rPr>
              <w:t>p</w:t>
            </w:r>
            <w:r w:rsidR="00DE4280" w:rsidRPr="00047010">
              <w:rPr>
                <w:rFonts w:eastAsia="Times New Roman" w:cstheme="minorHAnsi"/>
                <w:sz w:val="20"/>
                <w:szCs w:val="20"/>
                <w:lang w:eastAsia="pl-PL"/>
              </w:rPr>
              <w:t>kt 8 OSR</w:t>
            </w:r>
          </w:p>
        </w:tc>
        <w:tc>
          <w:tcPr>
            <w:tcW w:w="5670" w:type="dxa"/>
          </w:tcPr>
          <w:p w14:paraId="25346D40" w14:textId="6BA5CF6C" w:rsidR="00DE4280" w:rsidRPr="00047010" w:rsidRDefault="00DE4280" w:rsidP="00047010">
            <w:pPr>
              <w:spacing w:line="276" w:lineRule="auto"/>
              <w:jc w:val="both"/>
              <w:rPr>
                <w:rFonts w:eastAsia="Times New Roman" w:cstheme="minorHAnsi"/>
                <w:sz w:val="20"/>
                <w:szCs w:val="20"/>
                <w:lang w:eastAsia="pl-PL"/>
              </w:rPr>
            </w:pPr>
            <w:r w:rsidRPr="00047010">
              <w:rPr>
                <w:rFonts w:eastAsia="Times New Roman" w:cstheme="minorHAnsi"/>
                <w:sz w:val="20"/>
                <w:szCs w:val="20"/>
                <w:lang w:eastAsia="pl-PL"/>
              </w:rPr>
              <w:t xml:space="preserve">Zasadne jest określenie skali zmian obciążeń informacyjnych dla podmiotów zobowiązanych do wprowadzania danych do Rejestru Spadkowego. </w:t>
            </w:r>
          </w:p>
        </w:tc>
        <w:tc>
          <w:tcPr>
            <w:tcW w:w="4076" w:type="dxa"/>
          </w:tcPr>
          <w:p w14:paraId="459E8109" w14:textId="77777777" w:rsidR="00DE4280" w:rsidRPr="00A7092E" w:rsidRDefault="00A7092E" w:rsidP="00A7092E">
            <w:pPr>
              <w:spacing w:line="276" w:lineRule="auto"/>
              <w:rPr>
                <w:rFonts w:eastAsia="Times New Roman" w:cstheme="minorHAnsi"/>
                <w:b/>
                <w:bCs/>
                <w:sz w:val="20"/>
                <w:szCs w:val="20"/>
                <w:lang w:eastAsia="pl-PL"/>
              </w:rPr>
            </w:pPr>
            <w:r w:rsidRPr="00A7092E">
              <w:rPr>
                <w:rFonts w:eastAsia="Times New Roman" w:cstheme="minorHAnsi"/>
                <w:b/>
                <w:bCs/>
                <w:sz w:val="20"/>
                <w:szCs w:val="20"/>
                <w:lang w:eastAsia="pl-PL"/>
              </w:rPr>
              <w:t xml:space="preserve">Uwaga uwzględniona </w:t>
            </w:r>
          </w:p>
          <w:p w14:paraId="674FFB40" w14:textId="36CE7206" w:rsidR="00A7092E" w:rsidRPr="00047010" w:rsidRDefault="00A7092E" w:rsidP="00A7092E">
            <w:pPr>
              <w:spacing w:line="276" w:lineRule="auto"/>
              <w:rPr>
                <w:rFonts w:eastAsia="Times New Roman" w:cstheme="minorHAnsi"/>
                <w:sz w:val="20"/>
                <w:szCs w:val="20"/>
                <w:lang w:eastAsia="pl-PL"/>
              </w:rPr>
            </w:pPr>
            <w:r>
              <w:rPr>
                <w:rFonts w:eastAsia="Times New Roman" w:cstheme="minorHAnsi"/>
                <w:sz w:val="20"/>
                <w:szCs w:val="20"/>
                <w:lang w:eastAsia="pl-PL"/>
              </w:rPr>
              <w:t>Uzupełniono pkt 8 OSR.</w:t>
            </w:r>
          </w:p>
        </w:tc>
      </w:tr>
    </w:tbl>
    <w:p w14:paraId="3263BA22" w14:textId="77777777" w:rsidR="009A3389" w:rsidRPr="00047010" w:rsidRDefault="009A3389" w:rsidP="00047010">
      <w:pPr>
        <w:rPr>
          <w:rFonts w:cstheme="minorHAnsi"/>
          <w:sz w:val="20"/>
          <w:szCs w:val="20"/>
        </w:rPr>
      </w:pPr>
    </w:p>
    <w:sectPr w:rsidR="009A3389" w:rsidRPr="00047010" w:rsidSect="001F3A0F">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F8A99" w14:textId="77777777" w:rsidR="00D81AFB" w:rsidRDefault="00D81AFB" w:rsidP="00735AA5">
      <w:pPr>
        <w:spacing w:after="0" w:line="240" w:lineRule="auto"/>
      </w:pPr>
      <w:r>
        <w:separator/>
      </w:r>
    </w:p>
  </w:endnote>
  <w:endnote w:type="continuationSeparator" w:id="0">
    <w:p w14:paraId="7CC39DA0" w14:textId="77777777" w:rsidR="00D81AFB" w:rsidRDefault="00D81AFB" w:rsidP="00735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61002A87" w:usb1="80000000" w:usb2="00000008" w:usb3="00000000" w:csb0="0001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451909213"/>
      <w:docPartObj>
        <w:docPartGallery w:val="Page Numbers (Bottom of Page)"/>
        <w:docPartUnique/>
      </w:docPartObj>
    </w:sdtPr>
    <w:sdtEndPr/>
    <w:sdtContent>
      <w:p w14:paraId="3D1313F4" w14:textId="77777777" w:rsidR="000B346A" w:rsidRPr="000B346A" w:rsidRDefault="00E738A5">
        <w:pPr>
          <w:pStyle w:val="Stopka"/>
          <w:jc w:val="right"/>
          <w:rPr>
            <w:rFonts w:ascii="Arial" w:hAnsi="Arial" w:cs="Arial"/>
            <w:sz w:val="18"/>
          </w:rPr>
        </w:pPr>
        <w:r>
          <w:rPr>
            <w:rFonts w:ascii="Arial" w:hAnsi="Arial" w:cs="Arial"/>
            <w:sz w:val="18"/>
          </w:rPr>
          <w:t>S</w:t>
        </w:r>
        <w:r w:rsidR="000B346A" w:rsidRPr="000B346A">
          <w:rPr>
            <w:rFonts w:ascii="Arial" w:hAnsi="Arial" w:cs="Arial"/>
            <w:sz w:val="18"/>
          </w:rPr>
          <w:t xml:space="preserve">trona | </w:t>
        </w:r>
        <w:r w:rsidR="000B346A" w:rsidRPr="000B346A">
          <w:rPr>
            <w:rFonts w:ascii="Arial" w:hAnsi="Arial" w:cs="Arial"/>
            <w:sz w:val="18"/>
          </w:rPr>
          <w:fldChar w:fldCharType="begin"/>
        </w:r>
        <w:r w:rsidR="000B346A" w:rsidRPr="000B346A">
          <w:rPr>
            <w:rFonts w:ascii="Arial" w:hAnsi="Arial" w:cs="Arial"/>
            <w:sz w:val="18"/>
          </w:rPr>
          <w:instrText>PAGE   \* MERGEFORMAT</w:instrText>
        </w:r>
        <w:r w:rsidR="000B346A" w:rsidRPr="000B346A">
          <w:rPr>
            <w:rFonts w:ascii="Arial" w:hAnsi="Arial" w:cs="Arial"/>
            <w:sz w:val="18"/>
          </w:rPr>
          <w:fldChar w:fldCharType="separate"/>
        </w:r>
        <w:r w:rsidR="00E23A7D">
          <w:rPr>
            <w:rFonts w:ascii="Arial" w:hAnsi="Arial" w:cs="Arial"/>
            <w:noProof/>
            <w:sz w:val="18"/>
          </w:rPr>
          <w:t>1</w:t>
        </w:r>
        <w:r w:rsidR="000B346A" w:rsidRPr="000B346A">
          <w:rPr>
            <w:rFonts w:ascii="Arial" w:hAnsi="Arial" w:cs="Arial"/>
            <w:sz w:val="18"/>
          </w:rPr>
          <w:fldChar w:fldCharType="end"/>
        </w:r>
        <w:r w:rsidR="000B346A" w:rsidRPr="000B346A">
          <w:rPr>
            <w:rFonts w:ascii="Arial" w:hAnsi="Arial" w:cs="Arial"/>
            <w:sz w:val="18"/>
          </w:rPr>
          <w:t xml:space="preserve"> </w:t>
        </w:r>
      </w:p>
    </w:sdtContent>
  </w:sdt>
  <w:p w14:paraId="1FF13A2E" w14:textId="77777777" w:rsidR="00735AA5" w:rsidRDefault="00735A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A5A02" w14:textId="77777777" w:rsidR="00D81AFB" w:rsidRDefault="00D81AFB" w:rsidP="00735AA5">
      <w:pPr>
        <w:spacing w:after="0" w:line="240" w:lineRule="auto"/>
      </w:pPr>
      <w:r>
        <w:separator/>
      </w:r>
    </w:p>
  </w:footnote>
  <w:footnote w:type="continuationSeparator" w:id="0">
    <w:p w14:paraId="420C7C97" w14:textId="77777777" w:rsidR="00D81AFB" w:rsidRDefault="00D81AFB" w:rsidP="00735A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jc w:val="center"/>
      <w:tblLook w:val="04A0" w:firstRow="1" w:lastRow="0" w:firstColumn="1" w:lastColumn="0" w:noHBand="0" w:noVBand="1"/>
    </w:tblPr>
    <w:tblGrid>
      <w:gridCol w:w="553"/>
      <w:gridCol w:w="1913"/>
      <w:gridCol w:w="1866"/>
      <w:gridCol w:w="5551"/>
      <w:gridCol w:w="4111"/>
    </w:tblGrid>
    <w:tr w:rsidR="00136551" w:rsidRPr="00C519CA" w14:paraId="25235B4B" w14:textId="77777777" w:rsidTr="00CF31A7">
      <w:trPr>
        <w:trHeight w:val="592"/>
        <w:jc w:val="center"/>
      </w:trPr>
      <w:tc>
        <w:tcPr>
          <w:tcW w:w="554" w:type="dxa"/>
          <w:vAlign w:val="center"/>
        </w:tcPr>
        <w:p w14:paraId="3079F5C1" w14:textId="77777777" w:rsidR="00136551" w:rsidRPr="00C519CA" w:rsidRDefault="00136551" w:rsidP="00136551">
          <w:pPr>
            <w:jc w:val="center"/>
            <w:rPr>
              <w:rFonts w:ascii="Times New Roman" w:hAnsi="Times New Roman" w:cs="Times New Roman"/>
            </w:rPr>
          </w:pPr>
          <w:r w:rsidRPr="00C519CA">
            <w:rPr>
              <w:rFonts w:ascii="Times New Roman" w:hAnsi="Times New Roman" w:cs="Times New Roman"/>
              <w:b/>
            </w:rPr>
            <w:t>Lp</w:t>
          </w:r>
          <w:r w:rsidRPr="00C519CA">
            <w:rPr>
              <w:rFonts w:ascii="Times New Roman" w:hAnsi="Times New Roman" w:cs="Times New Roman"/>
            </w:rPr>
            <w:t>.</w:t>
          </w:r>
        </w:p>
      </w:tc>
      <w:tc>
        <w:tcPr>
          <w:tcW w:w="1931" w:type="dxa"/>
          <w:vAlign w:val="center"/>
        </w:tcPr>
        <w:p w14:paraId="51D5B69E" w14:textId="77777777" w:rsidR="00136551" w:rsidRPr="00C519CA" w:rsidRDefault="00136551" w:rsidP="00136551">
          <w:pPr>
            <w:spacing w:after="60"/>
            <w:jc w:val="center"/>
            <w:rPr>
              <w:rFonts w:ascii="Times New Roman" w:hAnsi="Times New Roman" w:cs="Times New Roman"/>
              <w:b/>
              <w:bCs/>
            </w:rPr>
          </w:pPr>
          <w:r w:rsidRPr="00C519CA">
            <w:rPr>
              <w:rFonts w:ascii="Times New Roman" w:hAnsi="Times New Roman" w:cs="Times New Roman"/>
              <w:b/>
              <w:bCs/>
            </w:rPr>
            <w:t>Podmiot zgłaszający uwagę</w:t>
          </w:r>
        </w:p>
      </w:tc>
      <w:tc>
        <w:tcPr>
          <w:tcW w:w="1876" w:type="dxa"/>
          <w:vAlign w:val="center"/>
        </w:tcPr>
        <w:p w14:paraId="0ECBAC82" w14:textId="67138AD3" w:rsidR="00136551" w:rsidRPr="00C519CA" w:rsidRDefault="00136551" w:rsidP="00136551">
          <w:pPr>
            <w:jc w:val="center"/>
            <w:rPr>
              <w:rFonts w:ascii="Times New Roman" w:hAnsi="Times New Roman" w:cs="Times New Roman"/>
            </w:rPr>
          </w:pPr>
          <w:r w:rsidRPr="00C519CA">
            <w:rPr>
              <w:rFonts w:ascii="Times New Roman" w:hAnsi="Times New Roman" w:cs="Times New Roman"/>
              <w:b/>
              <w:bCs/>
            </w:rPr>
            <w:t xml:space="preserve">Jednostka redakcyjna </w:t>
          </w:r>
          <w:r w:rsidR="005807F5" w:rsidRPr="00C519CA">
            <w:rPr>
              <w:rFonts w:ascii="Times New Roman" w:hAnsi="Times New Roman" w:cs="Times New Roman"/>
              <w:b/>
              <w:bCs/>
            </w:rPr>
            <w:t>projektu/</w:t>
          </w:r>
          <w:r w:rsidRPr="00C519CA">
            <w:rPr>
              <w:rFonts w:ascii="Times New Roman" w:hAnsi="Times New Roman" w:cs="Times New Roman"/>
              <w:b/>
              <w:bCs/>
            </w:rPr>
            <w:br/>
            <w:t>Str</w:t>
          </w:r>
          <w:r w:rsidR="00963B6A" w:rsidRPr="00C519CA">
            <w:rPr>
              <w:rFonts w:ascii="Times New Roman" w:hAnsi="Times New Roman" w:cs="Times New Roman"/>
              <w:b/>
              <w:bCs/>
            </w:rPr>
            <w:t>ona</w:t>
          </w:r>
          <w:r w:rsidRPr="00C519CA">
            <w:rPr>
              <w:rFonts w:ascii="Times New Roman" w:hAnsi="Times New Roman" w:cs="Times New Roman"/>
              <w:b/>
              <w:bCs/>
            </w:rPr>
            <w:t xml:space="preserve"> uzasadnienia</w:t>
          </w:r>
          <w:r w:rsidR="005807F5" w:rsidRPr="00C519CA">
            <w:rPr>
              <w:rFonts w:ascii="Times New Roman" w:hAnsi="Times New Roman" w:cs="Times New Roman"/>
              <w:b/>
              <w:bCs/>
            </w:rPr>
            <w:t>/</w:t>
          </w:r>
          <w:r w:rsidRPr="00C519CA">
            <w:rPr>
              <w:rFonts w:ascii="Times New Roman" w:hAnsi="Times New Roman" w:cs="Times New Roman"/>
              <w:b/>
              <w:bCs/>
            </w:rPr>
            <w:br/>
            <w:t>Pkt OSR</w:t>
          </w:r>
        </w:p>
      </w:tc>
      <w:tc>
        <w:tcPr>
          <w:tcW w:w="5670" w:type="dxa"/>
          <w:vAlign w:val="center"/>
        </w:tcPr>
        <w:p w14:paraId="36A5BA4A" w14:textId="036A7934" w:rsidR="00136551" w:rsidRPr="00C519CA" w:rsidRDefault="00136551" w:rsidP="00136551">
          <w:pPr>
            <w:jc w:val="center"/>
            <w:rPr>
              <w:rFonts w:ascii="Times New Roman" w:hAnsi="Times New Roman" w:cs="Times New Roman"/>
            </w:rPr>
          </w:pPr>
          <w:r w:rsidRPr="00C519CA">
            <w:rPr>
              <w:rFonts w:ascii="Times New Roman" w:hAnsi="Times New Roman" w:cs="Times New Roman"/>
              <w:b/>
              <w:bCs/>
            </w:rPr>
            <w:t xml:space="preserve">Treść uwagi </w:t>
          </w:r>
          <w:r w:rsidR="005807F5" w:rsidRPr="00C519CA">
            <w:rPr>
              <w:rFonts w:ascii="Times New Roman" w:hAnsi="Times New Roman" w:cs="Times New Roman"/>
              <w:b/>
              <w:bCs/>
            </w:rPr>
            <w:t xml:space="preserve"> oraz p</w:t>
          </w:r>
          <w:r w:rsidRPr="00C519CA">
            <w:rPr>
              <w:rFonts w:ascii="Times New Roman" w:hAnsi="Times New Roman" w:cs="Times New Roman"/>
              <w:b/>
              <w:bCs/>
            </w:rPr>
            <w:t>ropozycja z</w:t>
          </w:r>
          <w:r w:rsidR="005807F5" w:rsidRPr="00C519CA">
            <w:rPr>
              <w:rFonts w:ascii="Times New Roman" w:hAnsi="Times New Roman" w:cs="Times New Roman"/>
              <w:b/>
              <w:bCs/>
            </w:rPr>
            <w:t>miany</w:t>
          </w:r>
        </w:p>
      </w:tc>
      <w:tc>
        <w:tcPr>
          <w:tcW w:w="4189" w:type="dxa"/>
        </w:tcPr>
        <w:p w14:paraId="0EE8722A" w14:textId="77777777" w:rsidR="00136551" w:rsidRPr="00C519CA" w:rsidRDefault="00136551" w:rsidP="00136551">
          <w:pPr>
            <w:jc w:val="center"/>
            <w:rPr>
              <w:rFonts w:ascii="Times New Roman" w:hAnsi="Times New Roman" w:cs="Times New Roman"/>
              <w:b/>
              <w:bCs/>
              <w:i/>
            </w:rPr>
          </w:pPr>
        </w:p>
        <w:p w14:paraId="06708177" w14:textId="5FB44390" w:rsidR="00136551" w:rsidRPr="00C519CA" w:rsidRDefault="00136551" w:rsidP="00136551">
          <w:pPr>
            <w:jc w:val="center"/>
            <w:rPr>
              <w:rFonts w:ascii="Times New Roman" w:hAnsi="Times New Roman" w:cs="Times New Roman"/>
              <w:b/>
              <w:bCs/>
            </w:rPr>
          </w:pPr>
          <w:r w:rsidRPr="00C519CA">
            <w:rPr>
              <w:rFonts w:ascii="Times New Roman" w:hAnsi="Times New Roman" w:cs="Times New Roman"/>
              <w:b/>
              <w:bCs/>
            </w:rPr>
            <w:t xml:space="preserve">Stanowisko </w:t>
          </w:r>
          <w:r w:rsidR="003514BB" w:rsidRPr="00C519CA">
            <w:rPr>
              <w:rFonts w:ascii="Times New Roman" w:hAnsi="Times New Roman" w:cs="Times New Roman"/>
              <w:b/>
              <w:bCs/>
            </w:rPr>
            <w:t>MS</w:t>
          </w:r>
        </w:p>
      </w:tc>
    </w:tr>
  </w:tbl>
  <w:p w14:paraId="58721467" w14:textId="77777777" w:rsidR="00136551" w:rsidRDefault="001365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F4422"/>
    <w:multiLevelType w:val="hybridMultilevel"/>
    <w:tmpl w:val="1EA4D2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3974E0"/>
    <w:multiLevelType w:val="hybridMultilevel"/>
    <w:tmpl w:val="23C6E56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DB3421"/>
    <w:multiLevelType w:val="hybridMultilevel"/>
    <w:tmpl w:val="3F3C3062"/>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1F69C8"/>
    <w:multiLevelType w:val="hybridMultilevel"/>
    <w:tmpl w:val="401489DE"/>
    <w:lvl w:ilvl="0" w:tplc="2408B1AA">
      <w:start w:val="2"/>
      <w:numFmt w:val="decimal"/>
      <w:lvlText w:val="%1)"/>
      <w:lvlJc w:val="left"/>
      <w:pPr>
        <w:ind w:left="696" w:hanging="360"/>
      </w:pPr>
      <w:rPr>
        <w:rFonts w:hint="default"/>
      </w:r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4" w15:restartNumberingAfterBreak="0">
    <w:nsid w:val="102E7131"/>
    <w:multiLevelType w:val="hybridMultilevel"/>
    <w:tmpl w:val="BAF4D542"/>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5" w15:restartNumberingAfterBreak="0">
    <w:nsid w:val="15772F5C"/>
    <w:multiLevelType w:val="hybridMultilevel"/>
    <w:tmpl w:val="62AA7BF8"/>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6" w15:restartNumberingAfterBreak="0">
    <w:nsid w:val="1784680D"/>
    <w:multiLevelType w:val="hybridMultilevel"/>
    <w:tmpl w:val="2BB4171C"/>
    <w:lvl w:ilvl="0" w:tplc="BAE6A3BE">
      <w:start w:val="1"/>
      <w:numFmt w:val="decimal"/>
      <w:lvlText w:val="%1)"/>
      <w:lvlJc w:val="left"/>
      <w:pPr>
        <w:ind w:left="336" w:hanging="360"/>
      </w:pPr>
      <w:rPr>
        <w:rFonts w:hint="default"/>
      </w:rPr>
    </w:lvl>
    <w:lvl w:ilvl="1" w:tplc="04150019" w:tentative="1">
      <w:start w:val="1"/>
      <w:numFmt w:val="lowerLetter"/>
      <w:lvlText w:val="%2."/>
      <w:lvlJc w:val="left"/>
      <w:pPr>
        <w:ind w:left="1056" w:hanging="360"/>
      </w:pPr>
    </w:lvl>
    <w:lvl w:ilvl="2" w:tplc="0415001B" w:tentative="1">
      <w:start w:val="1"/>
      <w:numFmt w:val="lowerRoman"/>
      <w:lvlText w:val="%3."/>
      <w:lvlJc w:val="right"/>
      <w:pPr>
        <w:ind w:left="1776" w:hanging="180"/>
      </w:pPr>
    </w:lvl>
    <w:lvl w:ilvl="3" w:tplc="0415000F" w:tentative="1">
      <w:start w:val="1"/>
      <w:numFmt w:val="decimal"/>
      <w:lvlText w:val="%4."/>
      <w:lvlJc w:val="left"/>
      <w:pPr>
        <w:ind w:left="2496" w:hanging="360"/>
      </w:pPr>
    </w:lvl>
    <w:lvl w:ilvl="4" w:tplc="04150019" w:tentative="1">
      <w:start w:val="1"/>
      <w:numFmt w:val="lowerLetter"/>
      <w:lvlText w:val="%5."/>
      <w:lvlJc w:val="left"/>
      <w:pPr>
        <w:ind w:left="3216" w:hanging="360"/>
      </w:pPr>
    </w:lvl>
    <w:lvl w:ilvl="5" w:tplc="0415001B" w:tentative="1">
      <w:start w:val="1"/>
      <w:numFmt w:val="lowerRoman"/>
      <w:lvlText w:val="%6."/>
      <w:lvlJc w:val="right"/>
      <w:pPr>
        <w:ind w:left="3936" w:hanging="180"/>
      </w:pPr>
    </w:lvl>
    <w:lvl w:ilvl="6" w:tplc="0415000F" w:tentative="1">
      <w:start w:val="1"/>
      <w:numFmt w:val="decimal"/>
      <w:lvlText w:val="%7."/>
      <w:lvlJc w:val="left"/>
      <w:pPr>
        <w:ind w:left="4656" w:hanging="360"/>
      </w:pPr>
    </w:lvl>
    <w:lvl w:ilvl="7" w:tplc="04150019" w:tentative="1">
      <w:start w:val="1"/>
      <w:numFmt w:val="lowerLetter"/>
      <w:lvlText w:val="%8."/>
      <w:lvlJc w:val="left"/>
      <w:pPr>
        <w:ind w:left="5376" w:hanging="360"/>
      </w:pPr>
    </w:lvl>
    <w:lvl w:ilvl="8" w:tplc="0415001B" w:tentative="1">
      <w:start w:val="1"/>
      <w:numFmt w:val="lowerRoman"/>
      <w:lvlText w:val="%9."/>
      <w:lvlJc w:val="right"/>
      <w:pPr>
        <w:ind w:left="6096" w:hanging="180"/>
      </w:pPr>
    </w:lvl>
  </w:abstractNum>
  <w:abstractNum w:abstractNumId="7" w15:restartNumberingAfterBreak="0">
    <w:nsid w:val="1F484FB4"/>
    <w:multiLevelType w:val="hybridMultilevel"/>
    <w:tmpl w:val="49FA505E"/>
    <w:lvl w:ilvl="0" w:tplc="8B141934">
      <w:start w:val="20"/>
      <w:numFmt w:val="decimal"/>
      <w:lvlText w:val="%1"/>
      <w:lvlJc w:val="left"/>
      <w:pPr>
        <w:ind w:left="696" w:hanging="360"/>
      </w:pPr>
      <w:rPr>
        <w:rFonts w:hint="default"/>
      </w:r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8" w15:restartNumberingAfterBreak="0">
    <w:nsid w:val="2035363E"/>
    <w:multiLevelType w:val="hybridMultilevel"/>
    <w:tmpl w:val="BAF4D542"/>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9" w15:restartNumberingAfterBreak="0">
    <w:nsid w:val="28CF558C"/>
    <w:multiLevelType w:val="hybridMultilevel"/>
    <w:tmpl w:val="5302D58A"/>
    <w:lvl w:ilvl="0" w:tplc="BB3A53F6">
      <w:start w:val="1"/>
      <w:numFmt w:val="decimal"/>
      <w:lvlText w:val="%1."/>
      <w:lvlJc w:val="left"/>
      <w:pPr>
        <w:ind w:left="720" w:hanging="360"/>
      </w:pPr>
    </w:lvl>
    <w:lvl w:ilvl="1" w:tplc="79D8E498">
      <w:start w:val="1"/>
      <w:numFmt w:val="decimal"/>
      <w:lvlText w:val="%2."/>
      <w:lvlJc w:val="left"/>
      <w:pPr>
        <w:ind w:left="720" w:hanging="360"/>
      </w:pPr>
    </w:lvl>
    <w:lvl w:ilvl="2" w:tplc="2AC8BFB0">
      <w:start w:val="1"/>
      <w:numFmt w:val="decimal"/>
      <w:lvlText w:val="%3."/>
      <w:lvlJc w:val="left"/>
      <w:pPr>
        <w:ind w:left="720" w:hanging="360"/>
      </w:pPr>
    </w:lvl>
    <w:lvl w:ilvl="3" w:tplc="4CB2A524">
      <w:start w:val="1"/>
      <w:numFmt w:val="decimal"/>
      <w:lvlText w:val="%4."/>
      <w:lvlJc w:val="left"/>
      <w:pPr>
        <w:ind w:left="720" w:hanging="360"/>
      </w:pPr>
    </w:lvl>
    <w:lvl w:ilvl="4" w:tplc="D2800A0A">
      <w:start w:val="1"/>
      <w:numFmt w:val="decimal"/>
      <w:lvlText w:val="%5."/>
      <w:lvlJc w:val="left"/>
      <w:pPr>
        <w:ind w:left="720" w:hanging="360"/>
      </w:pPr>
    </w:lvl>
    <w:lvl w:ilvl="5" w:tplc="910AC482">
      <w:start w:val="1"/>
      <w:numFmt w:val="decimal"/>
      <w:lvlText w:val="%6."/>
      <w:lvlJc w:val="left"/>
      <w:pPr>
        <w:ind w:left="720" w:hanging="360"/>
      </w:pPr>
    </w:lvl>
    <w:lvl w:ilvl="6" w:tplc="27822C52">
      <w:start w:val="1"/>
      <w:numFmt w:val="decimal"/>
      <w:lvlText w:val="%7."/>
      <w:lvlJc w:val="left"/>
      <w:pPr>
        <w:ind w:left="720" w:hanging="360"/>
      </w:pPr>
    </w:lvl>
    <w:lvl w:ilvl="7" w:tplc="918650C8">
      <w:start w:val="1"/>
      <w:numFmt w:val="decimal"/>
      <w:lvlText w:val="%8."/>
      <w:lvlJc w:val="left"/>
      <w:pPr>
        <w:ind w:left="720" w:hanging="360"/>
      </w:pPr>
    </w:lvl>
    <w:lvl w:ilvl="8" w:tplc="61A43010">
      <w:start w:val="1"/>
      <w:numFmt w:val="decimal"/>
      <w:lvlText w:val="%9."/>
      <w:lvlJc w:val="left"/>
      <w:pPr>
        <w:ind w:left="720" w:hanging="360"/>
      </w:pPr>
    </w:lvl>
  </w:abstractNum>
  <w:abstractNum w:abstractNumId="10" w15:restartNumberingAfterBreak="0">
    <w:nsid w:val="331572DA"/>
    <w:multiLevelType w:val="hybridMultilevel"/>
    <w:tmpl w:val="BDA056DE"/>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1" w15:restartNumberingAfterBreak="0">
    <w:nsid w:val="416D46F4"/>
    <w:multiLevelType w:val="hybridMultilevel"/>
    <w:tmpl w:val="91BEBE32"/>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2" w15:restartNumberingAfterBreak="0">
    <w:nsid w:val="42F74FD3"/>
    <w:multiLevelType w:val="hybridMultilevel"/>
    <w:tmpl w:val="BAF4D542"/>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3" w15:restartNumberingAfterBreak="0">
    <w:nsid w:val="44FB1F52"/>
    <w:multiLevelType w:val="hybridMultilevel"/>
    <w:tmpl w:val="68E0E430"/>
    <w:lvl w:ilvl="0" w:tplc="91A27D1A">
      <w:start w:val="1"/>
      <w:numFmt w:val="decimal"/>
      <w:lvlText w:val="%1."/>
      <w:lvlJc w:val="left"/>
      <w:pPr>
        <w:ind w:left="1020" w:hanging="360"/>
      </w:pPr>
    </w:lvl>
    <w:lvl w:ilvl="1" w:tplc="BFF00406">
      <w:start w:val="1"/>
      <w:numFmt w:val="decimal"/>
      <w:lvlText w:val="%2."/>
      <w:lvlJc w:val="left"/>
      <w:pPr>
        <w:ind w:left="1020" w:hanging="360"/>
      </w:pPr>
    </w:lvl>
    <w:lvl w:ilvl="2" w:tplc="BFAE17DC">
      <w:start w:val="1"/>
      <w:numFmt w:val="decimal"/>
      <w:lvlText w:val="%3."/>
      <w:lvlJc w:val="left"/>
      <w:pPr>
        <w:ind w:left="1020" w:hanging="360"/>
      </w:pPr>
    </w:lvl>
    <w:lvl w:ilvl="3" w:tplc="D24670DC">
      <w:start w:val="1"/>
      <w:numFmt w:val="decimal"/>
      <w:lvlText w:val="%4."/>
      <w:lvlJc w:val="left"/>
      <w:pPr>
        <w:ind w:left="1020" w:hanging="360"/>
      </w:pPr>
    </w:lvl>
    <w:lvl w:ilvl="4" w:tplc="1E306C58">
      <w:start w:val="1"/>
      <w:numFmt w:val="decimal"/>
      <w:lvlText w:val="%5."/>
      <w:lvlJc w:val="left"/>
      <w:pPr>
        <w:ind w:left="1020" w:hanging="360"/>
      </w:pPr>
    </w:lvl>
    <w:lvl w:ilvl="5" w:tplc="E0FE2A8A">
      <w:start w:val="1"/>
      <w:numFmt w:val="decimal"/>
      <w:lvlText w:val="%6."/>
      <w:lvlJc w:val="left"/>
      <w:pPr>
        <w:ind w:left="1020" w:hanging="360"/>
      </w:pPr>
    </w:lvl>
    <w:lvl w:ilvl="6" w:tplc="5DBC57A0">
      <w:start w:val="1"/>
      <w:numFmt w:val="decimal"/>
      <w:lvlText w:val="%7."/>
      <w:lvlJc w:val="left"/>
      <w:pPr>
        <w:ind w:left="1020" w:hanging="360"/>
      </w:pPr>
    </w:lvl>
    <w:lvl w:ilvl="7" w:tplc="233C097A">
      <w:start w:val="1"/>
      <w:numFmt w:val="decimal"/>
      <w:lvlText w:val="%8."/>
      <w:lvlJc w:val="left"/>
      <w:pPr>
        <w:ind w:left="1020" w:hanging="360"/>
      </w:pPr>
    </w:lvl>
    <w:lvl w:ilvl="8" w:tplc="DD52578A">
      <w:start w:val="1"/>
      <w:numFmt w:val="decimal"/>
      <w:lvlText w:val="%9."/>
      <w:lvlJc w:val="left"/>
      <w:pPr>
        <w:ind w:left="1020" w:hanging="360"/>
      </w:pPr>
    </w:lvl>
  </w:abstractNum>
  <w:abstractNum w:abstractNumId="14" w15:restartNumberingAfterBreak="0">
    <w:nsid w:val="49A45834"/>
    <w:multiLevelType w:val="multilevel"/>
    <w:tmpl w:val="082E21AE"/>
    <w:lvl w:ilvl="0">
      <w:start w:val="1"/>
      <w:numFmt w:val="decimal"/>
      <w:lvlText w:val="%1)"/>
      <w:lvlJc w:val="left"/>
      <w:pPr>
        <w:ind w:left="36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5" w15:restartNumberingAfterBreak="0">
    <w:nsid w:val="4C3D7A92"/>
    <w:multiLevelType w:val="hybridMultilevel"/>
    <w:tmpl w:val="A7086286"/>
    <w:lvl w:ilvl="0" w:tplc="81422714">
      <w:start w:val="1"/>
      <w:numFmt w:val="decimal"/>
      <w:lvlText w:val="%1)"/>
      <w:lvlJc w:val="left"/>
      <w:pPr>
        <w:ind w:left="870" w:hanging="360"/>
      </w:pPr>
      <w:rPr>
        <w:rFonts w:cs="Times New Roman" w:hint="default"/>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16" w15:restartNumberingAfterBreak="0">
    <w:nsid w:val="4D2C5E34"/>
    <w:multiLevelType w:val="hybridMultilevel"/>
    <w:tmpl w:val="EE0A94B4"/>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7" w15:restartNumberingAfterBreak="0">
    <w:nsid w:val="4EC052B0"/>
    <w:multiLevelType w:val="hybridMultilevel"/>
    <w:tmpl w:val="1F14AFD0"/>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8" w15:restartNumberingAfterBreak="0">
    <w:nsid w:val="53DD0B2E"/>
    <w:multiLevelType w:val="hybridMultilevel"/>
    <w:tmpl w:val="6C7EC008"/>
    <w:lvl w:ilvl="0" w:tplc="0415000F">
      <w:start w:val="1"/>
      <w:numFmt w:val="decimal"/>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A800F7F"/>
    <w:multiLevelType w:val="hybridMultilevel"/>
    <w:tmpl w:val="EE0A94B4"/>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20" w15:restartNumberingAfterBreak="0">
    <w:nsid w:val="6C7109D4"/>
    <w:multiLevelType w:val="hybridMultilevel"/>
    <w:tmpl w:val="F4C82F44"/>
    <w:lvl w:ilvl="0" w:tplc="BBC653A2">
      <w:start w:val="1"/>
      <w:numFmt w:val="decimal"/>
      <w:lvlText w:val="%1)"/>
      <w:lvlJc w:val="left"/>
      <w:pPr>
        <w:ind w:left="321" w:hanging="360"/>
      </w:pPr>
      <w:rPr>
        <w:rFonts w:hint="default"/>
        <w:color w:val="000000" w:themeColor="text1"/>
      </w:rPr>
    </w:lvl>
    <w:lvl w:ilvl="1" w:tplc="04150019" w:tentative="1">
      <w:start w:val="1"/>
      <w:numFmt w:val="lowerLetter"/>
      <w:lvlText w:val="%2."/>
      <w:lvlJc w:val="left"/>
      <w:pPr>
        <w:ind w:left="1041" w:hanging="360"/>
      </w:pPr>
    </w:lvl>
    <w:lvl w:ilvl="2" w:tplc="0415001B" w:tentative="1">
      <w:start w:val="1"/>
      <w:numFmt w:val="lowerRoman"/>
      <w:lvlText w:val="%3."/>
      <w:lvlJc w:val="right"/>
      <w:pPr>
        <w:ind w:left="1761" w:hanging="180"/>
      </w:pPr>
    </w:lvl>
    <w:lvl w:ilvl="3" w:tplc="0415000F" w:tentative="1">
      <w:start w:val="1"/>
      <w:numFmt w:val="decimal"/>
      <w:lvlText w:val="%4."/>
      <w:lvlJc w:val="left"/>
      <w:pPr>
        <w:ind w:left="2481" w:hanging="360"/>
      </w:pPr>
    </w:lvl>
    <w:lvl w:ilvl="4" w:tplc="04150019" w:tentative="1">
      <w:start w:val="1"/>
      <w:numFmt w:val="lowerLetter"/>
      <w:lvlText w:val="%5."/>
      <w:lvlJc w:val="left"/>
      <w:pPr>
        <w:ind w:left="3201" w:hanging="360"/>
      </w:pPr>
    </w:lvl>
    <w:lvl w:ilvl="5" w:tplc="0415001B" w:tentative="1">
      <w:start w:val="1"/>
      <w:numFmt w:val="lowerRoman"/>
      <w:lvlText w:val="%6."/>
      <w:lvlJc w:val="right"/>
      <w:pPr>
        <w:ind w:left="3921" w:hanging="180"/>
      </w:pPr>
    </w:lvl>
    <w:lvl w:ilvl="6" w:tplc="0415000F" w:tentative="1">
      <w:start w:val="1"/>
      <w:numFmt w:val="decimal"/>
      <w:lvlText w:val="%7."/>
      <w:lvlJc w:val="left"/>
      <w:pPr>
        <w:ind w:left="4641" w:hanging="360"/>
      </w:pPr>
    </w:lvl>
    <w:lvl w:ilvl="7" w:tplc="04150019" w:tentative="1">
      <w:start w:val="1"/>
      <w:numFmt w:val="lowerLetter"/>
      <w:lvlText w:val="%8."/>
      <w:lvlJc w:val="left"/>
      <w:pPr>
        <w:ind w:left="5361" w:hanging="360"/>
      </w:pPr>
    </w:lvl>
    <w:lvl w:ilvl="8" w:tplc="0415001B" w:tentative="1">
      <w:start w:val="1"/>
      <w:numFmt w:val="lowerRoman"/>
      <w:lvlText w:val="%9."/>
      <w:lvlJc w:val="right"/>
      <w:pPr>
        <w:ind w:left="6081" w:hanging="180"/>
      </w:pPr>
    </w:lvl>
  </w:abstractNum>
  <w:abstractNum w:abstractNumId="21" w15:restartNumberingAfterBreak="0">
    <w:nsid w:val="6F376DA1"/>
    <w:multiLevelType w:val="hybridMultilevel"/>
    <w:tmpl w:val="1632C6E8"/>
    <w:lvl w:ilvl="0" w:tplc="557CEBBC">
      <w:start w:val="1"/>
      <w:numFmt w:val="decimal"/>
      <w:lvlText w:val="%1."/>
      <w:lvlJc w:val="left"/>
      <w:pPr>
        <w:ind w:left="1020" w:hanging="360"/>
      </w:pPr>
    </w:lvl>
    <w:lvl w:ilvl="1" w:tplc="10A26FD2">
      <w:start w:val="1"/>
      <w:numFmt w:val="decimal"/>
      <w:lvlText w:val="%2."/>
      <w:lvlJc w:val="left"/>
      <w:pPr>
        <w:ind w:left="1020" w:hanging="360"/>
      </w:pPr>
    </w:lvl>
    <w:lvl w:ilvl="2" w:tplc="472A9368">
      <w:start w:val="1"/>
      <w:numFmt w:val="decimal"/>
      <w:lvlText w:val="%3."/>
      <w:lvlJc w:val="left"/>
      <w:pPr>
        <w:ind w:left="1020" w:hanging="360"/>
      </w:pPr>
    </w:lvl>
    <w:lvl w:ilvl="3" w:tplc="6E5E8168">
      <w:start w:val="1"/>
      <w:numFmt w:val="decimal"/>
      <w:lvlText w:val="%4."/>
      <w:lvlJc w:val="left"/>
      <w:pPr>
        <w:ind w:left="1020" w:hanging="360"/>
      </w:pPr>
    </w:lvl>
    <w:lvl w:ilvl="4" w:tplc="E938C358">
      <w:start w:val="1"/>
      <w:numFmt w:val="decimal"/>
      <w:lvlText w:val="%5."/>
      <w:lvlJc w:val="left"/>
      <w:pPr>
        <w:ind w:left="1020" w:hanging="360"/>
      </w:pPr>
    </w:lvl>
    <w:lvl w:ilvl="5" w:tplc="9912BC20">
      <w:start w:val="1"/>
      <w:numFmt w:val="decimal"/>
      <w:lvlText w:val="%6."/>
      <w:lvlJc w:val="left"/>
      <w:pPr>
        <w:ind w:left="1020" w:hanging="360"/>
      </w:pPr>
    </w:lvl>
    <w:lvl w:ilvl="6" w:tplc="CB400B34">
      <w:start w:val="1"/>
      <w:numFmt w:val="decimal"/>
      <w:lvlText w:val="%7."/>
      <w:lvlJc w:val="left"/>
      <w:pPr>
        <w:ind w:left="1020" w:hanging="360"/>
      </w:pPr>
    </w:lvl>
    <w:lvl w:ilvl="7" w:tplc="351E20B8">
      <w:start w:val="1"/>
      <w:numFmt w:val="decimal"/>
      <w:lvlText w:val="%8."/>
      <w:lvlJc w:val="left"/>
      <w:pPr>
        <w:ind w:left="1020" w:hanging="360"/>
      </w:pPr>
    </w:lvl>
    <w:lvl w:ilvl="8" w:tplc="7334EF78">
      <w:start w:val="1"/>
      <w:numFmt w:val="decimal"/>
      <w:lvlText w:val="%9."/>
      <w:lvlJc w:val="left"/>
      <w:pPr>
        <w:ind w:left="1020" w:hanging="360"/>
      </w:pPr>
    </w:lvl>
  </w:abstractNum>
  <w:abstractNum w:abstractNumId="22" w15:restartNumberingAfterBreak="0">
    <w:nsid w:val="703E54E6"/>
    <w:multiLevelType w:val="hybridMultilevel"/>
    <w:tmpl w:val="1F14AFD0"/>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23" w15:restartNumberingAfterBreak="0">
    <w:nsid w:val="72253848"/>
    <w:multiLevelType w:val="hybridMultilevel"/>
    <w:tmpl w:val="8F10F6AE"/>
    <w:lvl w:ilvl="0" w:tplc="C7B04F10">
      <w:start w:val="2"/>
      <w:numFmt w:val="decimal"/>
      <w:lvlText w:val="%1)"/>
      <w:lvlJc w:val="left"/>
      <w:pPr>
        <w:ind w:left="336" w:hanging="360"/>
      </w:pPr>
      <w:rPr>
        <w:rFonts w:hint="default"/>
      </w:rPr>
    </w:lvl>
    <w:lvl w:ilvl="1" w:tplc="04150019" w:tentative="1">
      <w:start w:val="1"/>
      <w:numFmt w:val="lowerLetter"/>
      <w:lvlText w:val="%2."/>
      <w:lvlJc w:val="left"/>
      <w:pPr>
        <w:ind w:left="1056" w:hanging="360"/>
      </w:pPr>
    </w:lvl>
    <w:lvl w:ilvl="2" w:tplc="0415001B" w:tentative="1">
      <w:start w:val="1"/>
      <w:numFmt w:val="lowerRoman"/>
      <w:lvlText w:val="%3."/>
      <w:lvlJc w:val="right"/>
      <w:pPr>
        <w:ind w:left="1776" w:hanging="180"/>
      </w:pPr>
    </w:lvl>
    <w:lvl w:ilvl="3" w:tplc="0415000F" w:tentative="1">
      <w:start w:val="1"/>
      <w:numFmt w:val="decimal"/>
      <w:lvlText w:val="%4."/>
      <w:lvlJc w:val="left"/>
      <w:pPr>
        <w:ind w:left="2496" w:hanging="360"/>
      </w:pPr>
    </w:lvl>
    <w:lvl w:ilvl="4" w:tplc="04150019" w:tentative="1">
      <w:start w:val="1"/>
      <w:numFmt w:val="lowerLetter"/>
      <w:lvlText w:val="%5."/>
      <w:lvlJc w:val="left"/>
      <w:pPr>
        <w:ind w:left="3216" w:hanging="360"/>
      </w:pPr>
    </w:lvl>
    <w:lvl w:ilvl="5" w:tplc="0415001B" w:tentative="1">
      <w:start w:val="1"/>
      <w:numFmt w:val="lowerRoman"/>
      <w:lvlText w:val="%6."/>
      <w:lvlJc w:val="right"/>
      <w:pPr>
        <w:ind w:left="3936" w:hanging="180"/>
      </w:pPr>
    </w:lvl>
    <w:lvl w:ilvl="6" w:tplc="0415000F" w:tentative="1">
      <w:start w:val="1"/>
      <w:numFmt w:val="decimal"/>
      <w:lvlText w:val="%7."/>
      <w:lvlJc w:val="left"/>
      <w:pPr>
        <w:ind w:left="4656" w:hanging="360"/>
      </w:pPr>
    </w:lvl>
    <w:lvl w:ilvl="7" w:tplc="04150019" w:tentative="1">
      <w:start w:val="1"/>
      <w:numFmt w:val="lowerLetter"/>
      <w:lvlText w:val="%8."/>
      <w:lvlJc w:val="left"/>
      <w:pPr>
        <w:ind w:left="5376" w:hanging="360"/>
      </w:pPr>
    </w:lvl>
    <w:lvl w:ilvl="8" w:tplc="0415001B" w:tentative="1">
      <w:start w:val="1"/>
      <w:numFmt w:val="lowerRoman"/>
      <w:lvlText w:val="%9."/>
      <w:lvlJc w:val="right"/>
      <w:pPr>
        <w:ind w:left="6096" w:hanging="180"/>
      </w:pPr>
    </w:lvl>
  </w:abstractNum>
  <w:abstractNum w:abstractNumId="24" w15:restartNumberingAfterBreak="0">
    <w:nsid w:val="764744B3"/>
    <w:multiLevelType w:val="hybridMultilevel"/>
    <w:tmpl w:val="363600DC"/>
    <w:lvl w:ilvl="0" w:tplc="FF98001A">
      <w:start w:val="1"/>
      <w:numFmt w:val="decimal"/>
      <w:lvlText w:val="%1)"/>
      <w:lvlJc w:val="left"/>
      <w:pPr>
        <w:ind w:left="405" w:hanging="360"/>
      </w:pPr>
      <w:rPr>
        <w:rFonts w:hint="default"/>
        <w:u w:val="none"/>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25" w15:restartNumberingAfterBreak="0">
    <w:nsid w:val="7B47264F"/>
    <w:multiLevelType w:val="hybridMultilevel"/>
    <w:tmpl w:val="222087AA"/>
    <w:lvl w:ilvl="0" w:tplc="0415000F">
      <w:start w:val="1"/>
      <w:numFmt w:val="decimal"/>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EC81B9E"/>
    <w:multiLevelType w:val="hybridMultilevel"/>
    <w:tmpl w:val="DAFC9EEA"/>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num w:numId="1" w16cid:durableId="287207255">
    <w:abstractNumId w:val="6"/>
  </w:num>
  <w:num w:numId="2" w16cid:durableId="1340422648">
    <w:abstractNumId w:val="7"/>
  </w:num>
  <w:num w:numId="3" w16cid:durableId="1489403357">
    <w:abstractNumId w:val="23"/>
  </w:num>
  <w:num w:numId="4" w16cid:durableId="1062871744">
    <w:abstractNumId w:val="3"/>
  </w:num>
  <w:num w:numId="5" w16cid:durableId="947738351">
    <w:abstractNumId w:val="24"/>
  </w:num>
  <w:num w:numId="6" w16cid:durableId="1578973470">
    <w:abstractNumId w:val="20"/>
  </w:num>
  <w:num w:numId="7" w16cid:durableId="1939407580">
    <w:abstractNumId w:val="0"/>
  </w:num>
  <w:num w:numId="8" w16cid:durableId="1526165476">
    <w:abstractNumId w:val="2"/>
  </w:num>
  <w:num w:numId="9" w16cid:durableId="1088967255">
    <w:abstractNumId w:val="18"/>
  </w:num>
  <w:num w:numId="10" w16cid:durableId="764762538">
    <w:abstractNumId w:val="10"/>
  </w:num>
  <w:num w:numId="11" w16cid:durableId="926306318">
    <w:abstractNumId w:val="26"/>
  </w:num>
  <w:num w:numId="12" w16cid:durableId="627324417">
    <w:abstractNumId w:val="25"/>
  </w:num>
  <w:num w:numId="13" w16cid:durableId="521671258">
    <w:abstractNumId w:val="19"/>
  </w:num>
  <w:num w:numId="14" w16cid:durableId="42750966">
    <w:abstractNumId w:val="16"/>
  </w:num>
  <w:num w:numId="15" w16cid:durableId="1574507069">
    <w:abstractNumId w:val="11"/>
  </w:num>
  <w:num w:numId="16" w16cid:durableId="1898517217">
    <w:abstractNumId w:val="5"/>
  </w:num>
  <w:num w:numId="17" w16cid:durableId="1110052646">
    <w:abstractNumId w:val="14"/>
  </w:num>
  <w:num w:numId="18" w16cid:durableId="564028639">
    <w:abstractNumId w:val="15"/>
  </w:num>
  <w:num w:numId="19" w16cid:durableId="1670522119">
    <w:abstractNumId w:val="12"/>
  </w:num>
  <w:num w:numId="20" w16cid:durableId="1732996602">
    <w:abstractNumId w:val="8"/>
  </w:num>
  <w:num w:numId="21" w16cid:durableId="265769594">
    <w:abstractNumId w:val="4"/>
  </w:num>
  <w:num w:numId="22" w16cid:durableId="396318302">
    <w:abstractNumId w:val="22"/>
  </w:num>
  <w:num w:numId="23" w16cid:durableId="1326857301">
    <w:abstractNumId w:val="17"/>
  </w:num>
  <w:num w:numId="24" w16cid:durableId="1583371786">
    <w:abstractNumId w:val="1"/>
  </w:num>
  <w:num w:numId="25" w16cid:durableId="1000085767">
    <w:abstractNumId w:val="21"/>
  </w:num>
  <w:num w:numId="26" w16cid:durableId="1858426525">
    <w:abstractNumId w:val="13"/>
  </w:num>
  <w:num w:numId="27" w16cid:durableId="7355952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157"/>
    <w:rsid w:val="000002F3"/>
    <w:rsid w:val="00004164"/>
    <w:rsid w:val="00011106"/>
    <w:rsid w:val="00011567"/>
    <w:rsid w:val="0001501B"/>
    <w:rsid w:val="000153D6"/>
    <w:rsid w:val="000161F5"/>
    <w:rsid w:val="00017F99"/>
    <w:rsid w:val="00020FD0"/>
    <w:rsid w:val="0002291B"/>
    <w:rsid w:val="00023850"/>
    <w:rsid w:val="000361E2"/>
    <w:rsid w:val="00037770"/>
    <w:rsid w:val="00041D4C"/>
    <w:rsid w:val="00047010"/>
    <w:rsid w:val="00053FEC"/>
    <w:rsid w:val="00055B56"/>
    <w:rsid w:val="000566FC"/>
    <w:rsid w:val="000662BB"/>
    <w:rsid w:val="000703D1"/>
    <w:rsid w:val="000749E4"/>
    <w:rsid w:val="0008152F"/>
    <w:rsid w:val="00081E8F"/>
    <w:rsid w:val="0008275D"/>
    <w:rsid w:val="000839A3"/>
    <w:rsid w:val="00084004"/>
    <w:rsid w:val="00084817"/>
    <w:rsid w:val="00084A2A"/>
    <w:rsid w:val="00085E2E"/>
    <w:rsid w:val="000911E2"/>
    <w:rsid w:val="00091F2A"/>
    <w:rsid w:val="00095C31"/>
    <w:rsid w:val="000A32E5"/>
    <w:rsid w:val="000B1157"/>
    <w:rsid w:val="000B346A"/>
    <w:rsid w:val="000C00BA"/>
    <w:rsid w:val="000C2E71"/>
    <w:rsid w:val="000D3780"/>
    <w:rsid w:val="000D5B0B"/>
    <w:rsid w:val="000E0EC7"/>
    <w:rsid w:val="000F03C2"/>
    <w:rsid w:val="000F1065"/>
    <w:rsid w:val="000F1F82"/>
    <w:rsid w:val="000F60F2"/>
    <w:rsid w:val="001012F9"/>
    <w:rsid w:val="00102793"/>
    <w:rsid w:val="001117BA"/>
    <w:rsid w:val="001132E7"/>
    <w:rsid w:val="00113486"/>
    <w:rsid w:val="001146C0"/>
    <w:rsid w:val="00133753"/>
    <w:rsid w:val="001361B5"/>
    <w:rsid w:val="00136551"/>
    <w:rsid w:val="00140448"/>
    <w:rsid w:val="00141978"/>
    <w:rsid w:val="00143C74"/>
    <w:rsid w:val="00147DAB"/>
    <w:rsid w:val="00151C2E"/>
    <w:rsid w:val="0016621F"/>
    <w:rsid w:val="00177907"/>
    <w:rsid w:val="00177EC3"/>
    <w:rsid w:val="00185167"/>
    <w:rsid w:val="00186B2E"/>
    <w:rsid w:val="00186B6F"/>
    <w:rsid w:val="00187E3D"/>
    <w:rsid w:val="00190C60"/>
    <w:rsid w:val="0019322F"/>
    <w:rsid w:val="00193AB3"/>
    <w:rsid w:val="001A409A"/>
    <w:rsid w:val="001A55AF"/>
    <w:rsid w:val="001A5B5B"/>
    <w:rsid w:val="001A5FEF"/>
    <w:rsid w:val="001C0CB5"/>
    <w:rsid w:val="001D5D8C"/>
    <w:rsid w:val="001E01AE"/>
    <w:rsid w:val="001E080D"/>
    <w:rsid w:val="001E0A4C"/>
    <w:rsid w:val="001F0431"/>
    <w:rsid w:val="001F3A0F"/>
    <w:rsid w:val="001F4958"/>
    <w:rsid w:val="001F51B9"/>
    <w:rsid w:val="001F5502"/>
    <w:rsid w:val="001F6A20"/>
    <w:rsid w:val="00201B9A"/>
    <w:rsid w:val="0020383B"/>
    <w:rsid w:val="00211E49"/>
    <w:rsid w:val="00220438"/>
    <w:rsid w:val="00242233"/>
    <w:rsid w:val="0024476B"/>
    <w:rsid w:val="00252F32"/>
    <w:rsid w:val="002633CA"/>
    <w:rsid w:val="002662EA"/>
    <w:rsid w:val="00271B94"/>
    <w:rsid w:val="002724CC"/>
    <w:rsid w:val="002779AB"/>
    <w:rsid w:val="0028475B"/>
    <w:rsid w:val="002936DB"/>
    <w:rsid w:val="0029593D"/>
    <w:rsid w:val="002968CB"/>
    <w:rsid w:val="002A11F8"/>
    <w:rsid w:val="002A3F06"/>
    <w:rsid w:val="002A6ED8"/>
    <w:rsid w:val="002B028D"/>
    <w:rsid w:val="002B5ADA"/>
    <w:rsid w:val="002C46ED"/>
    <w:rsid w:val="002C53B8"/>
    <w:rsid w:val="002D47E6"/>
    <w:rsid w:val="002D6188"/>
    <w:rsid w:val="002E0918"/>
    <w:rsid w:val="002F252D"/>
    <w:rsid w:val="002F302C"/>
    <w:rsid w:val="002F6EA3"/>
    <w:rsid w:val="003170B1"/>
    <w:rsid w:val="00322BC5"/>
    <w:rsid w:val="003243F9"/>
    <w:rsid w:val="00324E07"/>
    <w:rsid w:val="00332A52"/>
    <w:rsid w:val="003345E1"/>
    <w:rsid w:val="0033797A"/>
    <w:rsid w:val="003462B1"/>
    <w:rsid w:val="0035091B"/>
    <w:rsid w:val="003514BB"/>
    <w:rsid w:val="003565A1"/>
    <w:rsid w:val="003703F7"/>
    <w:rsid w:val="003706A6"/>
    <w:rsid w:val="0037396C"/>
    <w:rsid w:val="003A430E"/>
    <w:rsid w:val="003C1000"/>
    <w:rsid w:val="003C5142"/>
    <w:rsid w:val="003D1CAB"/>
    <w:rsid w:val="003D2B9E"/>
    <w:rsid w:val="003D37AF"/>
    <w:rsid w:val="003D7D21"/>
    <w:rsid w:val="003E084D"/>
    <w:rsid w:val="003E5D74"/>
    <w:rsid w:val="003F0432"/>
    <w:rsid w:val="003F148E"/>
    <w:rsid w:val="003F2063"/>
    <w:rsid w:val="003F2ED2"/>
    <w:rsid w:val="00400E97"/>
    <w:rsid w:val="00414EA2"/>
    <w:rsid w:val="00425883"/>
    <w:rsid w:val="00443077"/>
    <w:rsid w:val="00452E52"/>
    <w:rsid w:val="0045430C"/>
    <w:rsid w:val="004577CA"/>
    <w:rsid w:val="00462F0E"/>
    <w:rsid w:val="00466401"/>
    <w:rsid w:val="0047289B"/>
    <w:rsid w:val="004851FD"/>
    <w:rsid w:val="004977F7"/>
    <w:rsid w:val="004A28E0"/>
    <w:rsid w:val="004B0AFA"/>
    <w:rsid w:val="004B1553"/>
    <w:rsid w:val="004B1644"/>
    <w:rsid w:val="004C4054"/>
    <w:rsid w:val="004C4231"/>
    <w:rsid w:val="004E0816"/>
    <w:rsid w:val="004E7994"/>
    <w:rsid w:val="004F5F18"/>
    <w:rsid w:val="0050045E"/>
    <w:rsid w:val="005040BC"/>
    <w:rsid w:val="005054C0"/>
    <w:rsid w:val="0051434B"/>
    <w:rsid w:val="00514A65"/>
    <w:rsid w:val="0052487E"/>
    <w:rsid w:val="00537F4C"/>
    <w:rsid w:val="005418E2"/>
    <w:rsid w:val="00545CD3"/>
    <w:rsid w:val="005471C2"/>
    <w:rsid w:val="00550EAD"/>
    <w:rsid w:val="00555265"/>
    <w:rsid w:val="00557D1B"/>
    <w:rsid w:val="0057151E"/>
    <w:rsid w:val="005756BE"/>
    <w:rsid w:val="00576D40"/>
    <w:rsid w:val="005807F5"/>
    <w:rsid w:val="0058530C"/>
    <w:rsid w:val="00592953"/>
    <w:rsid w:val="005A36D5"/>
    <w:rsid w:val="005A5459"/>
    <w:rsid w:val="005A7AD5"/>
    <w:rsid w:val="005B1808"/>
    <w:rsid w:val="005C0119"/>
    <w:rsid w:val="005C23F7"/>
    <w:rsid w:val="005C644D"/>
    <w:rsid w:val="005D442D"/>
    <w:rsid w:val="005E6748"/>
    <w:rsid w:val="005F5666"/>
    <w:rsid w:val="005F787D"/>
    <w:rsid w:val="00602CEE"/>
    <w:rsid w:val="00603A6B"/>
    <w:rsid w:val="00604D0B"/>
    <w:rsid w:val="00611583"/>
    <w:rsid w:val="00611EA2"/>
    <w:rsid w:val="006156DE"/>
    <w:rsid w:val="00621334"/>
    <w:rsid w:val="006354CF"/>
    <w:rsid w:val="006375BD"/>
    <w:rsid w:val="00644344"/>
    <w:rsid w:val="00650E16"/>
    <w:rsid w:val="006542E4"/>
    <w:rsid w:val="00656D86"/>
    <w:rsid w:val="006669AD"/>
    <w:rsid w:val="0067271E"/>
    <w:rsid w:val="00673093"/>
    <w:rsid w:val="00674BCF"/>
    <w:rsid w:val="006771BA"/>
    <w:rsid w:val="00682C1C"/>
    <w:rsid w:val="0069368F"/>
    <w:rsid w:val="006A0148"/>
    <w:rsid w:val="006A4E0C"/>
    <w:rsid w:val="006B1362"/>
    <w:rsid w:val="006C2BC9"/>
    <w:rsid w:val="006C3C41"/>
    <w:rsid w:val="006C42B2"/>
    <w:rsid w:val="006C7994"/>
    <w:rsid w:val="006D0AE4"/>
    <w:rsid w:val="006E0843"/>
    <w:rsid w:val="006E1AA9"/>
    <w:rsid w:val="006E39AF"/>
    <w:rsid w:val="006E3E8F"/>
    <w:rsid w:val="006F0D7B"/>
    <w:rsid w:val="006F1155"/>
    <w:rsid w:val="006F4EEA"/>
    <w:rsid w:val="006F6137"/>
    <w:rsid w:val="007000A9"/>
    <w:rsid w:val="007018E8"/>
    <w:rsid w:val="00730C35"/>
    <w:rsid w:val="00733997"/>
    <w:rsid w:val="00735AA5"/>
    <w:rsid w:val="00741A58"/>
    <w:rsid w:val="00742660"/>
    <w:rsid w:val="00751B0F"/>
    <w:rsid w:val="00756236"/>
    <w:rsid w:val="00756A51"/>
    <w:rsid w:val="00760051"/>
    <w:rsid w:val="0076077D"/>
    <w:rsid w:val="007653FF"/>
    <w:rsid w:val="00766C63"/>
    <w:rsid w:val="00766F26"/>
    <w:rsid w:val="00776E4F"/>
    <w:rsid w:val="007770B9"/>
    <w:rsid w:val="00791FE5"/>
    <w:rsid w:val="00794DC2"/>
    <w:rsid w:val="007A3F65"/>
    <w:rsid w:val="007A627A"/>
    <w:rsid w:val="007A629B"/>
    <w:rsid w:val="007A7EE2"/>
    <w:rsid w:val="007B1BB1"/>
    <w:rsid w:val="007B529A"/>
    <w:rsid w:val="007C2560"/>
    <w:rsid w:val="007D0B00"/>
    <w:rsid w:val="007E469D"/>
    <w:rsid w:val="007E4CBE"/>
    <w:rsid w:val="007F2040"/>
    <w:rsid w:val="007F2ED0"/>
    <w:rsid w:val="007F39C0"/>
    <w:rsid w:val="00804CFD"/>
    <w:rsid w:val="00814CE9"/>
    <w:rsid w:val="008203CF"/>
    <w:rsid w:val="008209E0"/>
    <w:rsid w:val="00825F44"/>
    <w:rsid w:val="00830132"/>
    <w:rsid w:val="00831113"/>
    <w:rsid w:val="0083519A"/>
    <w:rsid w:val="00852D75"/>
    <w:rsid w:val="008531D9"/>
    <w:rsid w:val="008623F5"/>
    <w:rsid w:val="00865AF4"/>
    <w:rsid w:val="008826EC"/>
    <w:rsid w:val="008842F2"/>
    <w:rsid w:val="00887985"/>
    <w:rsid w:val="008911D0"/>
    <w:rsid w:val="008A19B6"/>
    <w:rsid w:val="008A34A4"/>
    <w:rsid w:val="008C10B7"/>
    <w:rsid w:val="008C7A22"/>
    <w:rsid w:val="008D2200"/>
    <w:rsid w:val="008E3179"/>
    <w:rsid w:val="008F5C10"/>
    <w:rsid w:val="00921BC2"/>
    <w:rsid w:val="00925F56"/>
    <w:rsid w:val="00933852"/>
    <w:rsid w:val="00934E34"/>
    <w:rsid w:val="00941156"/>
    <w:rsid w:val="00944E95"/>
    <w:rsid w:val="009532CB"/>
    <w:rsid w:val="00954430"/>
    <w:rsid w:val="00954DA6"/>
    <w:rsid w:val="00956084"/>
    <w:rsid w:val="00957335"/>
    <w:rsid w:val="00961F40"/>
    <w:rsid w:val="00963B6A"/>
    <w:rsid w:val="009672B1"/>
    <w:rsid w:val="00973D66"/>
    <w:rsid w:val="009743F9"/>
    <w:rsid w:val="009768E8"/>
    <w:rsid w:val="00983A14"/>
    <w:rsid w:val="0098485F"/>
    <w:rsid w:val="009923E7"/>
    <w:rsid w:val="009A3389"/>
    <w:rsid w:val="009A3BD9"/>
    <w:rsid w:val="009C39F6"/>
    <w:rsid w:val="009C45A9"/>
    <w:rsid w:val="009C67B5"/>
    <w:rsid w:val="009D02A7"/>
    <w:rsid w:val="009D18BA"/>
    <w:rsid w:val="009D30E0"/>
    <w:rsid w:val="009D36DA"/>
    <w:rsid w:val="009D37DC"/>
    <w:rsid w:val="009D3F2D"/>
    <w:rsid w:val="009D4953"/>
    <w:rsid w:val="009D75AA"/>
    <w:rsid w:val="009F0A47"/>
    <w:rsid w:val="00A00BFB"/>
    <w:rsid w:val="00A11E28"/>
    <w:rsid w:val="00A1326C"/>
    <w:rsid w:val="00A159F5"/>
    <w:rsid w:val="00A25CF1"/>
    <w:rsid w:val="00A3318A"/>
    <w:rsid w:val="00A34D83"/>
    <w:rsid w:val="00A407A4"/>
    <w:rsid w:val="00A44245"/>
    <w:rsid w:val="00A46E01"/>
    <w:rsid w:val="00A52906"/>
    <w:rsid w:val="00A53CBC"/>
    <w:rsid w:val="00A5555A"/>
    <w:rsid w:val="00A61639"/>
    <w:rsid w:val="00A64143"/>
    <w:rsid w:val="00A64F0A"/>
    <w:rsid w:val="00A65542"/>
    <w:rsid w:val="00A70204"/>
    <w:rsid w:val="00A7092E"/>
    <w:rsid w:val="00A86CEB"/>
    <w:rsid w:val="00A92454"/>
    <w:rsid w:val="00AA3456"/>
    <w:rsid w:val="00AB4394"/>
    <w:rsid w:val="00AB5DE9"/>
    <w:rsid w:val="00AC0365"/>
    <w:rsid w:val="00AC1691"/>
    <w:rsid w:val="00AC3FF6"/>
    <w:rsid w:val="00AD2E3B"/>
    <w:rsid w:val="00AE2B2E"/>
    <w:rsid w:val="00AF2DCB"/>
    <w:rsid w:val="00AF5CDF"/>
    <w:rsid w:val="00B0068C"/>
    <w:rsid w:val="00B01F32"/>
    <w:rsid w:val="00B03A96"/>
    <w:rsid w:val="00B0487A"/>
    <w:rsid w:val="00B15F59"/>
    <w:rsid w:val="00B165E5"/>
    <w:rsid w:val="00B241C8"/>
    <w:rsid w:val="00B32D7E"/>
    <w:rsid w:val="00B3322F"/>
    <w:rsid w:val="00B42B95"/>
    <w:rsid w:val="00B4688A"/>
    <w:rsid w:val="00B50BE7"/>
    <w:rsid w:val="00B51C90"/>
    <w:rsid w:val="00B54306"/>
    <w:rsid w:val="00B6038D"/>
    <w:rsid w:val="00B6180E"/>
    <w:rsid w:val="00B6721F"/>
    <w:rsid w:val="00B72216"/>
    <w:rsid w:val="00B809BB"/>
    <w:rsid w:val="00B90722"/>
    <w:rsid w:val="00B919AF"/>
    <w:rsid w:val="00B936C2"/>
    <w:rsid w:val="00BA173B"/>
    <w:rsid w:val="00BA1E39"/>
    <w:rsid w:val="00BA785D"/>
    <w:rsid w:val="00BB2FF9"/>
    <w:rsid w:val="00BD1AB7"/>
    <w:rsid w:val="00BD6AA6"/>
    <w:rsid w:val="00BF78B9"/>
    <w:rsid w:val="00C12E96"/>
    <w:rsid w:val="00C14830"/>
    <w:rsid w:val="00C14B5D"/>
    <w:rsid w:val="00C1797B"/>
    <w:rsid w:val="00C2074A"/>
    <w:rsid w:val="00C2116C"/>
    <w:rsid w:val="00C22A1F"/>
    <w:rsid w:val="00C2618D"/>
    <w:rsid w:val="00C30452"/>
    <w:rsid w:val="00C3403B"/>
    <w:rsid w:val="00C4017B"/>
    <w:rsid w:val="00C421FB"/>
    <w:rsid w:val="00C519CA"/>
    <w:rsid w:val="00C60BA3"/>
    <w:rsid w:val="00C63F1E"/>
    <w:rsid w:val="00C66935"/>
    <w:rsid w:val="00C70BF5"/>
    <w:rsid w:val="00C71CAF"/>
    <w:rsid w:val="00C77DF9"/>
    <w:rsid w:val="00C85785"/>
    <w:rsid w:val="00C8705A"/>
    <w:rsid w:val="00C933AD"/>
    <w:rsid w:val="00C972A5"/>
    <w:rsid w:val="00CA0BC8"/>
    <w:rsid w:val="00CA2A44"/>
    <w:rsid w:val="00CB10AA"/>
    <w:rsid w:val="00CB5636"/>
    <w:rsid w:val="00CB651E"/>
    <w:rsid w:val="00CE1C18"/>
    <w:rsid w:val="00CE3975"/>
    <w:rsid w:val="00CE5444"/>
    <w:rsid w:val="00CE590D"/>
    <w:rsid w:val="00CE74C5"/>
    <w:rsid w:val="00CF4FAB"/>
    <w:rsid w:val="00CF587E"/>
    <w:rsid w:val="00D014F7"/>
    <w:rsid w:val="00D01C9A"/>
    <w:rsid w:val="00D02157"/>
    <w:rsid w:val="00D067CA"/>
    <w:rsid w:val="00D11479"/>
    <w:rsid w:val="00D115B4"/>
    <w:rsid w:val="00D14F34"/>
    <w:rsid w:val="00D23483"/>
    <w:rsid w:val="00D3265D"/>
    <w:rsid w:val="00D33769"/>
    <w:rsid w:val="00D34082"/>
    <w:rsid w:val="00D345DF"/>
    <w:rsid w:val="00D37C6F"/>
    <w:rsid w:val="00D403D1"/>
    <w:rsid w:val="00D456F5"/>
    <w:rsid w:val="00D53619"/>
    <w:rsid w:val="00D54DB1"/>
    <w:rsid w:val="00D64733"/>
    <w:rsid w:val="00D70344"/>
    <w:rsid w:val="00D7509F"/>
    <w:rsid w:val="00D75ACA"/>
    <w:rsid w:val="00D81AFB"/>
    <w:rsid w:val="00D909B5"/>
    <w:rsid w:val="00D91A57"/>
    <w:rsid w:val="00D95599"/>
    <w:rsid w:val="00D97F25"/>
    <w:rsid w:val="00DA4C50"/>
    <w:rsid w:val="00DB1C03"/>
    <w:rsid w:val="00DB37E5"/>
    <w:rsid w:val="00DC3932"/>
    <w:rsid w:val="00DC53ED"/>
    <w:rsid w:val="00DE186F"/>
    <w:rsid w:val="00DE4280"/>
    <w:rsid w:val="00DF18F4"/>
    <w:rsid w:val="00DF191C"/>
    <w:rsid w:val="00E079A7"/>
    <w:rsid w:val="00E1573E"/>
    <w:rsid w:val="00E15BCC"/>
    <w:rsid w:val="00E15E08"/>
    <w:rsid w:val="00E23A7D"/>
    <w:rsid w:val="00E23F26"/>
    <w:rsid w:val="00E2744F"/>
    <w:rsid w:val="00E3126A"/>
    <w:rsid w:val="00E35677"/>
    <w:rsid w:val="00E3630E"/>
    <w:rsid w:val="00E40997"/>
    <w:rsid w:val="00E418E8"/>
    <w:rsid w:val="00E45467"/>
    <w:rsid w:val="00E47A6F"/>
    <w:rsid w:val="00E511EC"/>
    <w:rsid w:val="00E53586"/>
    <w:rsid w:val="00E54D93"/>
    <w:rsid w:val="00E64FC4"/>
    <w:rsid w:val="00E67BF3"/>
    <w:rsid w:val="00E67F2F"/>
    <w:rsid w:val="00E7267B"/>
    <w:rsid w:val="00E738A5"/>
    <w:rsid w:val="00E75014"/>
    <w:rsid w:val="00E7699F"/>
    <w:rsid w:val="00E81469"/>
    <w:rsid w:val="00E92DC4"/>
    <w:rsid w:val="00E93E68"/>
    <w:rsid w:val="00EB07C6"/>
    <w:rsid w:val="00EB0EF0"/>
    <w:rsid w:val="00EB2E3E"/>
    <w:rsid w:val="00EB3D0E"/>
    <w:rsid w:val="00EB5B1E"/>
    <w:rsid w:val="00EB6C12"/>
    <w:rsid w:val="00EC33A8"/>
    <w:rsid w:val="00EC357D"/>
    <w:rsid w:val="00EC7543"/>
    <w:rsid w:val="00ED0778"/>
    <w:rsid w:val="00ED1CCF"/>
    <w:rsid w:val="00EF0179"/>
    <w:rsid w:val="00EF3099"/>
    <w:rsid w:val="00F02D0E"/>
    <w:rsid w:val="00F10E5E"/>
    <w:rsid w:val="00F11CBF"/>
    <w:rsid w:val="00F213E9"/>
    <w:rsid w:val="00F35DDF"/>
    <w:rsid w:val="00F420A0"/>
    <w:rsid w:val="00F422C8"/>
    <w:rsid w:val="00F42CE7"/>
    <w:rsid w:val="00F43BBA"/>
    <w:rsid w:val="00F466C4"/>
    <w:rsid w:val="00F46BB7"/>
    <w:rsid w:val="00F61C16"/>
    <w:rsid w:val="00F64596"/>
    <w:rsid w:val="00F73229"/>
    <w:rsid w:val="00F745F6"/>
    <w:rsid w:val="00F80086"/>
    <w:rsid w:val="00F80AAF"/>
    <w:rsid w:val="00F81237"/>
    <w:rsid w:val="00F819FB"/>
    <w:rsid w:val="00F81CBC"/>
    <w:rsid w:val="00FA251F"/>
    <w:rsid w:val="00FA47E1"/>
    <w:rsid w:val="00FB2DB7"/>
    <w:rsid w:val="00FB7400"/>
    <w:rsid w:val="00FC2700"/>
    <w:rsid w:val="00FD05C7"/>
    <w:rsid w:val="00FD1BF6"/>
    <w:rsid w:val="00FD21E7"/>
    <w:rsid w:val="00FD42A3"/>
    <w:rsid w:val="00FD481C"/>
    <w:rsid w:val="00FD4AAB"/>
    <w:rsid w:val="00FD7445"/>
    <w:rsid w:val="00FD7CD5"/>
    <w:rsid w:val="00FF0E71"/>
    <w:rsid w:val="00FF2888"/>
    <w:rsid w:val="00FF381F"/>
    <w:rsid w:val="00FF4480"/>
    <w:rsid w:val="00FF5B67"/>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AAD5C"/>
  <w15:docId w15:val="{D585241F-67E6-4E3E-BD64-3CB70F73F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iPriority w:val="9"/>
    <w:unhideWhenUsed/>
    <w:qFormat/>
    <w:rsid w:val="004A28E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177E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3706A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706A6"/>
    <w:rPr>
      <w:rFonts w:ascii="Tahoma" w:hAnsi="Tahoma" w:cs="Tahoma"/>
      <w:sz w:val="16"/>
      <w:szCs w:val="16"/>
    </w:rPr>
  </w:style>
  <w:style w:type="paragraph" w:customStyle="1" w:styleId="TYTUAKTUprzedmiotregulacjiustawylubrozporzdzenia">
    <w:name w:val="TYTUŁ_AKTU – przedmiot regulacji ustawy lub rozporządzenia"/>
    <w:next w:val="Normalny"/>
    <w:uiPriority w:val="6"/>
    <w:qFormat/>
    <w:rsid w:val="003706A6"/>
    <w:pPr>
      <w:keepNext/>
      <w:suppressAutoHyphens/>
      <w:spacing w:before="120" w:after="360" w:line="360" w:lineRule="auto"/>
      <w:jc w:val="center"/>
    </w:pPr>
    <w:rPr>
      <w:rFonts w:ascii="Times" w:eastAsia="Times New Roman" w:hAnsi="Times" w:cs="Arial"/>
      <w:b/>
      <w:bCs/>
      <w:sz w:val="24"/>
      <w:szCs w:val="24"/>
      <w:lang w:eastAsia="pl-PL"/>
    </w:rPr>
  </w:style>
  <w:style w:type="paragraph" w:customStyle="1" w:styleId="ARTartustawynprozporzdzenia">
    <w:name w:val="ART(§) – art. ustawy (§ np. rozporządzenia)"/>
    <w:uiPriority w:val="11"/>
    <w:qFormat/>
    <w:rsid w:val="00983A14"/>
    <w:pPr>
      <w:suppressAutoHyphens/>
      <w:autoSpaceDE w:val="0"/>
      <w:autoSpaceDN w:val="0"/>
      <w:adjustRightInd w:val="0"/>
      <w:spacing w:before="120" w:after="0" w:line="360" w:lineRule="auto"/>
      <w:ind w:firstLine="510"/>
      <w:jc w:val="both"/>
    </w:pPr>
    <w:rPr>
      <w:rFonts w:ascii="Times" w:eastAsia="Times New Roman" w:hAnsi="Times" w:cs="Arial"/>
      <w:sz w:val="24"/>
      <w:szCs w:val="20"/>
      <w:lang w:eastAsia="pl-PL"/>
    </w:rPr>
  </w:style>
  <w:style w:type="paragraph" w:customStyle="1" w:styleId="PKTpunkt">
    <w:name w:val="PKT – punkt"/>
    <w:uiPriority w:val="13"/>
    <w:qFormat/>
    <w:rsid w:val="00983A14"/>
    <w:pPr>
      <w:spacing w:after="0" w:line="360" w:lineRule="auto"/>
      <w:ind w:left="510" w:hanging="510"/>
      <w:jc w:val="both"/>
    </w:pPr>
    <w:rPr>
      <w:rFonts w:ascii="Times" w:eastAsia="Times New Roman" w:hAnsi="Times" w:cs="Arial"/>
      <w:bCs/>
      <w:sz w:val="24"/>
      <w:szCs w:val="20"/>
      <w:lang w:eastAsia="pl-PL"/>
    </w:rPr>
  </w:style>
  <w:style w:type="character" w:styleId="Odwoaniedokomentarza">
    <w:name w:val="annotation reference"/>
    <w:uiPriority w:val="99"/>
    <w:semiHidden/>
    <w:rsid w:val="00983A14"/>
    <w:rPr>
      <w:sz w:val="16"/>
      <w:szCs w:val="16"/>
    </w:rPr>
  </w:style>
  <w:style w:type="paragraph" w:styleId="Tekstkomentarza">
    <w:name w:val="annotation text"/>
    <w:basedOn w:val="Normalny"/>
    <w:link w:val="TekstkomentarzaZnak"/>
    <w:uiPriority w:val="99"/>
    <w:semiHidden/>
    <w:rsid w:val="00983A14"/>
    <w:pPr>
      <w:widowControl w:val="0"/>
      <w:autoSpaceDE w:val="0"/>
      <w:autoSpaceDN w:val="0"/>
      <w:adjustRightInd w:val="0"/>
      <w:spacing w:after="0" w:line="360" w:lineRule="auto"/>
    </w:pPr>
    <w:rPr>
      <w:rFonts w:ascii="Times" w:eastAsia="Times New Roman" w:hAnsi="Times" w:cs="Times New Roman"/>
      <w:sz w:val="24"/>
      <w:szCs w:val="24"/>
      <w:lang w:eastAsia="pl-PL"/>
    </w:rPr>
  </w:style>
  <w:style w:type="character" w:customStyle="1" w:styleId="TekstkomentarzaZnak">
    <w:name w:val="Tekst komentarza Znak"/>
    <w:basedOn w:val="Domylnaczcionkaakapitu"/>
    <w:link w:val="Tekstkomentarza"/>
    <w:uiPriority w:val="99"/>
    <w:semiHidden/>
    <w:rsid w:val="00983A14"/>
    <w:rPr>
      <w:rFonts w:ascii="Times" w:eastAsia="Times New Roman" w:hAnsi="Times" w:cs="Times New Roman"/>
      <w:sz w:val="24"/>
      <w:szCs w:val="24"/>
      <w:lang w:eastAsia="pl-PL"/>
    </w:rPr>
  </w:style>
  <w:style w:type="character" w:customStyle="1" w:styleId="Ppogrubienie">
    <w:name w:val="_P_ – pogrubienie"/>
    <w:uiPriority w:val="1"/>
    <w:qFormat/>
    <w:rsid w:val="00983A14"/>
    <w:rPr>
      <w:b/>
    </w:rPr>
  </w:style>
  <w:style w:type="paragraph" w:styleId="Akapitzlist">
    <w:name w:val="List Paragraph"/>
    <w:basedOn w:val="Normalny"/>
    <w:uiPriority w:val="72"/>
    <w:qFormat/>
    <w:rsid w:val="00983A14"/>
    <w:pPr>
      <w:ind w:left="720"/>
      <w:contextualSpacing/>
    </w:pPr>
  </w:style>
  <w:style w:type="paragraph" w:customStyle="1" w:styleId="USTustnpkodeksu">
    <w:name w:val="UST(§) – ust. (§ np. kodeksu)"/>
    <w:basedOn w:val="ARTartustawynprozporzdzenia"/>
    <w:uiPriority w:val="12"/>
    <w:qFormat/>
    <w:rsid w:val="009A3389"/>
    <w:pPr>
      <w:spacing w:before="0"/>
    </w:pPr>
    <w:rPr>
      <w:bCs/>
    </w:rPr>
  </w:style>
  <w:style w:type="paragraph" w:styleId="Nagwek">
    <w:name w:val="header"/>
    <w:basedOn w:val="Normalny"/>
    <w:link w:val="NagwekZnak"/>
    <w:uiPriority w:val="99"/>
    <w:unhideWhenUsed/>
    <w:rsid w:val="00735AA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35AA5"/>
  </w:style>
  <w:style w:type="paragraph" w:styleId="Stopka">
    <w:name w:val="footer"/>
    <w:basedOn w:val="Normalny"/>
    <w:link w:val="StopkaZnak"/>
    <w:uiPriority w:val="99"/>
    <w:unhideWhenUsed/>
    <w:rsid w:val="00735AA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35AA5"/>
  </w:style>
  <w:style w:type="character" w:customStyle="1" w:styleId="Nagwek2Znak">
    <w:name w:val="Nagłówek 2 Znak"/>
    <w:basedOn w:val="Domylnaczcionkaakapitu"/>
    <w:link w:val="Nagwek2"/>
    <w:uiPriority w:val="9"/>
    <w:rsid w:val="004A28E0"/>
    <w:rPr>
      <w:rFonts w:asciiTheme="majorHAnsi" w:eastAsiaTheme="majorEastAsia" w:hAnsiTheme="majorHAnsi" w:cstheme="majorBidi"/>
      <w:b/>
      <w:bCs/>
      <w:color w:val="4F81BD" w:themeColor="accent1"/>
      <w:sz w:val="26"/>
      <w:szCs w:val="26"/>
    </w:rPr>
  </w:style>
  <w:style w:type="paragraph" w:styleId="Tekstprzypisudolnego">
    <w:name w:val="footnote text"/>
    <w:basedOn w:val="Normalny"/>
    <w:link w:val="TekstprzypisudolnegoZnak"/>
    <w:rsid w:val="00B5430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B54306"/>
    <w:rPr>
      <w:rFonts w:ascii="Times New Roman" w:eastAsia="Times New Roman" w:hAnsi="Times New Roman" w:cs="Times New Roman"/>
      <w:sz w:val="20"/>
      <w:szCs w:val="20"/>
      <w:lang w:eastAsia="pl-PL"/>
    </w:rPr>
  </w:style>
  <w:style w:type="character" w:styleId="Odwoanieprzypisudolnego">
    <w:name w:val="footnote reference"/>
    <w:aliases w:val="FZ"/>
    <w:rsid w:val="00B54306"/>
    <w:rPr>
      <w:vertAlign w:val="superscript"/>
    </w:rPr>
  </w:style>
  <w:style w:type="character" w:customStyle="1" w:styleId="articletitle">
    <w:name w:val="articletitle"/>
    <w:basedOn w:val="Domylnaczcionkaakapitu"/>
    <w:rsid w:val="00011106"/>
  </w:style>
  <w:style w:type="paragraph" w:styleId="Tematkomentarza">
    <w:name w:val="annotation subject"/>
    <w:basedOn w:val="Tekstkomentarza"/>
    <w:next w:val="Tekstkomentarza"/>
    <w:link w:val="TematkomentarzaZnak"/>
    <w:uiPriority w:val="99"/>
    <w:semiHidden/>
    <w:unhideWhenUsed/>
    <w:rsid w:val="00BF78B9"/>
    <w:pPr>
      <w:widowControl/>
      <w:autoSpaceDE/>
      <w:autoSpaceDN/>
      <w:adjustRightInd/>
      <w:spacing w:after="200" w:line="240" w:lineRule="auto"/>
    </w:pPr>
    <w:rPr>
      <w:rFonts w:asciiTheme="minorHAnsi" w:eastAsiaTheme="minorHAnsi" w:hAnsiTheme="minorHAnsi" w:cstheme="minorBidi"/>
      <w:b/>
      <w:bCs/>
      <w:sz w:val="20"/>
      <w:szCs w:val="20"/>
      <w:lang w:eastAsia="en-US"/>
    </w:rPr>
  </w:style>
  <w:style w:type="character" w:customStyle="1" w:styleId="TematkomentarzaZnak">
    <w:name w:val="Temat komentarza Znak"/>
    <w:basedOn w:val="TekstkomentarzaZnak"/>
    <w:link w:val="Tematkomentarza"/>
    <w:uiPriority w:val="99"/>
    <w:semiHidden/>
    <w:rsid w:val="00BF78B9"/>
    <w:rPr>
      <w:rFonts w:ascii="Times" w:eastAsia="Times New Roman" w:hAnsi="Times" w:cs="Times New Roman"/>
      <w:b/>
      <w:bCs/>
      <w:sz w:val="20"/>
      <w:szCs w:val="20"/>
      <w:lang w:eastAsia="pl-PL"/>
    </w:rPr>
  </w:style>
  <w:style w:type="character" w:styleId="Hipercze">
    <w:name w:val="Hyperlink"/>
    <w:basedOn w:val="Domylnaczcionkaakapitu"/>
    <w:uiPriority w:val="99"/>
    <w:unhideWhenUsed/>
    <w:rsid w:val="00D01C9A"/>
    <w:rPr>
      <w:color w:val="0000FF" w:themeColor="hyperlink"/>
      <w:u w:val="single"/>
    </w:rPr>
  </w:style>
  <w:style w:type="character" w:styleId="Nierozpoznanawzmianka">
    <w:name w:val="Unresolved Mention"/>
    <w:basedOn w:val="Domylnaczcionkaakapitu"/>
    <w:uiPriority w:val="99"/>
    <w:semiHidden/>
    <w:unhideWhenUsed/>
    <w:rsid w:val="00D01C9A"/>
    <w:rPr>
      <w:color w:val="605E5C"/>
      <w:shd w:val="clear" w:color="auto" w:fill="E1DFDD"/>
    </w:rPr>
  </w:style>
  <w:style w:type="paragraph" w:styleId="Poprawka">
    <w:name w:val="Revision"/>
    <w:hidden/>
    <w:uiPriority w:val="99"/>
    <w:semiHidden/>
    <w:rsid w:val="00EC35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40463">
      <w:bodyDiv w:val="1"/>
      <w:marLeft w:val="0"/>
      <w:marRight w:val="0"/>
      <w:marTop w:val="0"/>
      <w:marBottom w:val="0"/>
      <w:divBdr>
        <w:top w:val="none" w:sz="0" w:space="0" w:color="auto"/>
        <w:left w:val="none" w:sz="0" w:space="0" w:color="auto"/>
        <w:bottom w:val="none" w:sz="0" w:space="0" w:color="auto"/>
        <w:right w:val="none" w:sz="0" w:space="0" w:color="auto"/>
      </w:divBdr>
    </w:div>
    <w:div w:id="621884763">
      <w:bodyDiv w:val="1"/>
      <w:marLeft w:val="0"/>
      <w:marRight w:val="0"/>
      <w:marTop w:val="0"/>
      <w:marBottom w:val="0"/>
      <w:divBdr>
        <w:top w:val="none" w:sz="0" w:space="0" w:color="auto"/>
        <w:left w:val="none" w:sz="0" w:space="0" w:color="auto"/>
        <w:bottom w:val="none" w:sz="0" w:space="0" w:color="auto"/>
        <w:right w:val="none" w:sz="0" w:space="0" w:color="auto"/>
      </w:divBdr>
    </w:div>
    <w:div w:id="679042920">
      <w:bodyDiv w:val="1"/>
      <w:marLeft w:val="0"/>
      <w:marRight w:val="0"/>
      <w:marTop w:val="0"/>
      <w:marBottom w:val="0"/>
      <w:divBdr>
        <w:top w:val="none" w:sz="0" w:space="0" w:color="auto"/>
        <w:left w:val="none" w:sz="0" w:space="0" w:color="auto"/>
        <w:bottom w:val="none" w:sz="0" w:space="0" w:color="auto"/>
        <w:right w:val="none" w:sz="0" w:space="0" w:color="auto"/>
      </w:divBdr>
      <w:divsChild>
        <w:div w:id="663898829">
          <w:marLeft w:val="0"/>
          <w:marRight w:val="0"/>
          <w:marTop w:val="0"/>
          <w:marBottom w:val="0"/>
          <w:divBdr>
            <w:top w:val="none" w:sz="0" w:space="0" w:color="auto"/>
            <w:left w:val="none" w:sz="0" w:space="0" w:color="auto"/>
            <w:bottom w:val="none" w:sz="0" w:space="0" w:color="auto"/>
            <w:right w:val="none" w:sz="0" w:space="0" w:color="auto"/>
          </w:divBdr>
          <w:divsChild>
            <w:div w:id="1882786991">
              <w:marLeft w:val="0"/>
              <w:marRight w:val="0"/>
              <w:marTop w:val="150"/>
              <w:marBottom w:val="168"/>
              <w:divBdr>
                <w:top w:val="none" w:sz="0" w:space="0" w:color="auto"/>
                <w:left w:val="none" w:sz="0" w:space="0" w:color="auto"/>
                <w:bottom w:val="none" w:sz="0" w:space="0" w:color="auto"/>
                <w:right w:val="none" w:sz="0" w:space="0" w:color="auto"/>
              </w:divBdr>
            </w:div>
            <w:div w:id="975067058">
              <w:marLeft w:val="0"/>
              <w:marRight w:val="0"/>
              <w:marTop w:val="0"/>
              <w:marBottom w:val="0"/>
              <w:divBdr>
                <w:top w:val="none" w:sz="0" w:space="0" w:color="auto"/>
                <w:left w:val="none" w:sz="0" w:space="0" w:color="auto"/>
                <w:bottom w:val="none" w:sz="0" w:space="0" w:color="auto"/>
                <w:right w:val="none" w:sz="0" w:space="0" w:color="auto"/>
              </w:divBdr>
              <w:divsChild>
                <w:div w:id="300578502">
                  <w:marLeft w:val="0"/>
                  <w:marRight w:val="0"/>
                  <w:marTop w:val="105"/>
                  <w:marBottom w:val="0"/>
                  <w:divBdr>
                    <w:top w:val="none" w:sz="0" w:space="0" w:color="auto"/>
                    <w:left w:val="none" w:sz="0" w:space="0" w:color="auto"/>
                    <w:bottom w:val="none" w:sz="0" w:space="0" w:color="auto"/>
                    <w:right w:val="none" w:sz="0" w:space="0" w:color="auto"/>
                  </w:divBdr>
                </w:div>
              </w:divsChild>
            </w:div>
            <w:div w:id="430931067">
              <w:marLeft w:val="0"/>
              <w:marRight w:val="0"/>
              <w:marTop w:val="0"/>
              <w:marBottom w:val="0"/>
              <w:divBdr>
                <w:top w:val="none" w:sz="0" w:space="0" w:color="auto"/>
                <w:left w:val="none" w:sz="0" w:space="0" w:color="auto"/>
                <w:bottom w:val="none" w:sz="0" w:space="0" w:color="auto"/>
                <w:right w:val="none" w:sz="0" w:space="0" w:color="auto"/>
              </w:divBdr>
              <w:divsChild>
                <w:div w:id="1999990375">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507866251">
          <w:marLeft w:val="0"/>
          <w:marRight w:val="0"/>
          <w:marTop w:val="0"/>
          <w:marBottom w:val="0"/>
          <w:divBdr>
            <w:top w:val="none" w:sz="0" w:space="0" w:color="auto"/>
            <w:left w:val="none" w:sz="0" w:space="0" w:color="auto"/>
            <w:bottom w:val="none" w:sz="0" w:space="0" w:color="auto"/>
            <w:right w:val="none" w:sz="0" w:space="0" w:color="auto"/>
          </w:divBdr>
          <w:divsChild>
            <w:div w:id="1050573500">
              <w:marLeft w:val="0"/>
              <w:marRight w:val="0"/>
              <w:marTop w:val="150"/>
              <w:marBottom w:val="168"/>
              <w:divBdr>
                <w:top w:val="none" w:sz="0" w:space="0" w:color="auto"/>
                <w:left w:val="none" w:sz="0" w:space="0" w:color="auto"/>
                <w:bottom w:val="none" w:sz="0" w:space="0" w:color="auto"/>
                <w:right w:val="none" w:sz="0" w:space="0" w:color="auto"/>
              </w:divBdr>
            </w:div>
          </w:divsChild>
        </w:div>
        <w:div w:id="220406077">
          <w:marLeft w:val="0"/>
          <w:marRight w:val="0"/>
          <w:marTop w:val="0"/>
          <w:marBottom w:val="0"/>
          <w:divBdr>
            <w:top w:val="none" w:sz="0" w:space="0" w:color="auto"/>
            <w:left w:val="none" w:sz="0" w:space="0" w:color="auto"/>
            <w:bottom w:val="none" w:sz="0" w:space="0" w:color="auto"/>
            <w:right w:val="none" w:sz="0" w:space="0" w:color="auto"/>
          </w:divBdr>
          <w:divsChild>
            <w:div w:id="933131996">
              <w:marLeft w:val="0"/>
              <w:marRight w:val="0"/>
              <w:marTop w:val="150"/>
              <w:marBottom w:val="168"/>
              <w:divBdr>
                <w:top w:val="none" w:sz="0" w:space="0" w:color="auto"/>
                <w:left w:val="none" w:sz="0" w:space="0" w:color="auto"/>
                <w:bottom w:val="none" w:sz="0" w:space="0" w:color="auto"/>
                <w:right w:val="none" w:sz="0" w:space="0" w:color="auto"/>
              </w:divBdr>
            </w:div>
            <w:div w:id="1230769022">
              <w:marLeft w:val="0"/>
              <w:marRight w:val="0"/>
              <w:marTop w:val="0"/>
              <w:marBottom w:val="0"/>
              <w:divBdr>
                <w:top w:val="none" w:sz="0" w:space="0" w:color="auto"/>
                <w:left w:val="none" w:sz="0" w:space="0" w:color="auto"/>
                <w:bottom w:val="none" w:sz="0" w:space="0" w:color="auto"/>
                <w:right w:val="none" w:sz="0" w:space="0" w:color="auto"/>
              </w:divBdr>
              <w:divsChild>
                <w:div w:id="1959605637">
                  <w:marLeft w:val="0"/>
                  <w:marRight w:val="0"/>
                  <w:marTop w:val="105"/>
                  <w:marBottom w:val="0"/>
                  <w:divBdr>
                    <w:top w:val="none" w:sz="0" w:space="0" w:color="auto"/>
                    <w:left w:val="none" w:sz="0" w:space="0" w:color="auto"/>
                    <w:bottom w:val="none" w:sz="0" w:space="0" w:color="auto"/>
                    <w:right w:val="none" w:sz="0" w:space="0" w:color="auto"/>
                  </w:divBdr>
                </w:div>
              </w:divsChild>
            </w:div>
            <w:div w:id="1741560637">
              <w:marLeft w:val="0"/>
              <w:marRight w:val="0"/>
              <w:marTop w:val="0"/>
              <w:marBottom w:val="0"/>
              <w:divBdr>
                <w:top w:val="none" w:sz="0" w:space="0" w:color="auto"/>
                <w:left w:val="none" w:sz="0" w:space="0" w:color="auto"/>
                <w:bottom w:val="none" w:sz="0" w:space="0" w:color="auto"/>
                <w:right w:val="none" w:sz="0" w:space="0" w:color="auto"/>
              </w:divBdr>
              <w:divsChild>
                <w:div w:id="1684210267">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155299224">
      <w:bodyDiv w:val="1"/>
      <w:marLeft w:val="0"/>
      <w:marRight w:val="0"/>
      <w:marTop w:val="0"/>
      <w:marBottom w:val="0"/>
      <w:divBdr>
        <w:top w:val="none" w:sz="0" w:space="0" w:color="auto"/>
        <w:left w:val="none" w:sz="0" w:space="0" w:color="auto"/>
        <w:bottom w:val="none" w:sz="0" w:space="0" w:color="auto"/>
        <w:right w:val="none" w:sz="0" w:space="0" w:color="auto"/>
      </w:divBdr>
    </w:div>
    <w:div w:id="1251231102">
      <w:bodyDiv w:val="1"/>
      <w:marLeft w:val="0"/>
      <w:marRight w:val="0"/>
      <w:marTop w:val="0"/>
      <w:marBottom w:val="0"/>
      <w:divBdr>
        <w:top w:val="none" w:sz="0" w:space="0" w:color="auto"/>
        <w:left w:val="none" w:sz="0" w:space="0" w:color="auto"/>
        <w:bottom w:val="none" w:sz="0" w:space="0" w:color="auto"/>
        <w:right w:val="none" w:sz="0" w:space="0" w:color="auto"/>
      </w:divBdr>
    </w:div>
    <w:div w:id="1390494770">
      <w:bodyDiv w:val="1"/>
      <w:marLeft w:val="0"/>
      <w:marRight w:val="0"/>
      <w:marTop w:val="0"/>
      <w:marBottom w:val="0"/>
      <w:divBdr>
        <w:top w:val="none" w:sz="0" w:space="0" w:color="auto"/>
        <w:left w:val="none" w:sz="0" w:space="0" w:color="auto"/>
        <w:bottom w:val="none" w:sz="0" w:space="0" w:color="auto"/>
        <w:right w:val="none" w:sz="0" w:space="0" w:color="auto"/>
      </w:divBdr>
    </w:div>
    <w:div w:id="1454714331">
      <w:bodyDiv w:val="1"/>
      <w:marLeft w:val="0"/>
      <w:marRight w:val="0"/>
      <w:marTop w:val="0"/>
      <w:marBottom w:val="0"/>
      <w:divBdr>
        <w:top w:val="none" w:sz="0" w:space="0" w:color="auto"/>
        <w:left w:val="none" w:sz="0" w:space="0" w:color="auto"/>
        <w:bottom w:val="none" w:sz="0" w:space="0" w:color="auto"/>
        <w:right w:val="none" w:sz="0" w:space="0" w:color="auto"/>
      </w:divBdr>
    </w:div>
    <w:div w:id="154732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9E344-A28A-4946-AA5C-CEB1547ED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3405</Words>
  <Characters>20430</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23788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Lukasz Kaniuka</dc:creator>
  <cp:lastModifiedBy>Autor</cp:lastModifiedBy>
  <cp:revision>2</cp:revision>
  <cp:lastPrinted>2021-10-11T13:00:00Z</cp:lastPrinted>
  <dcterms:created xsi:type="dcterms:W3CDTF">2026-07-14T05:37:00Z</dcterms:created>
  <dcterms:modified xsi:type="dcterms:W3CDTF">2026-07-14T05:37:00Z</dcterms:modified>
</cp:coreProperties>
</file>