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Siatka"/>
        <w:tblW w:w="0" w:type="auto"/>
        <w:jc w:val="center"/>
        <w:tblLook w:val="04A0" w:firstRow="1" w:lastRow="0" w:firstColumn="1" w:lastColumn="0" w:noHBand="0" w:noVBand="1"/>
      </w:tblPr>
      <w:tblGrid>
        <w:gridCol w:w="562"/>
        <w:gridCol w:w="1843"/>
        <w:gridCol w:w="1843"/>
        <w:gridCol w:w="5670"/>
        <w:gridCol w:w="4076"/>
      </w:tblGrid>
      <w:tr w:rsidR="00E35677" w:rsidRPr="00AB6479" w14:paraId="56E089F6" w14:textId="77777777" w:rsidTr="00AD7E59">
        <w:trPr>
          <w:trHeight w:val="592"/>
          <w:jc w:val="center"/>
        </w:trPr>
        <w:tc>
          <w:tcPr>
            <w:tcW w:w="13994" w:type="dxa"/>
            <w:gridSpan w:val="5"/>
            <w:shd w:val="clear" w:color="auto" w:fill="95B3D7" w:themeFill="accent1" w:themeFillTint="99"/>
            <w:vAlign w:val="center"/>
          </w:tcPr>
          <w:p w14:paraId="262AE6AF" w14:textId="7E573CFB" w:rsidR="00E35677" w:rsidRPr="00AB6479" w:rsidRDefault="003514BB" w:rsidP="00AB6479">
            <w:pPr>
              <w:spacing w:line="276" w:lineRule="auto"/>
              <w:jc w:val="center"/>
              <w:rPr>
                <w:rFonts w:ascii="Calibri" w:hAnsi="Calibri" w:cs="Calibri"/>
                <w:b/>
                <w:sz w:val="20"/>
                <w:szCs w:val="20"/>
                <w:lang w:eastAsia="pl-PL"/>
              </w:rPr>
            </w:pPr>
            <w:r w:rsidRPr="00AB6479">
              <w:rPr>
                <w:rFonts w:ascii="Calibri" w:hAnsi="Calibri" w:cs="Calibri"/>
                <w:b/>
                <w:sz w:val="20"/>
                <w:szCs w:val="20"/>
                <w:lang w:eastAsia="pl-PL"/>
              </w:rPr>
              <w:t>U</w:t>
            </w:r>
            <w:r w:rsidR="00E35677" w:rsidRPr="00AB6479">
              <w:rPr>
                <w:rFonts w:ascii="Calibri" w:hAnsi="Calibri" w:cs="Calibri"/>
                <w:b/>
                <w:sz w:val="20"/>
                <w:szCs w:val="20"/>
                <w:lang w:eastAsia="pl-PL"/>
              </w:rPr>
              <w:t xml:space="preserve">wagi do projektu </w:t>
            </w:r>
            <w:r w:rsidR="00741A58" w:rsidRPr="00AB6479">
              <w:rPr>
                <w:rFonts w:ascii="Calibri" w:hAnsi="Calibri" w:cs="Calibri"/>
                <w:b/>
                <w:sz w:val="20"/>
                <w:szCs w:val="20"/>
                <w:lang w:eastAsia="pl-PL"/>
              </w:rPr>
              <w:t>ustawy</w:t>
            </w:r>
            <w:r w:rsidR="00772512" w:rsidRPr="00AB6479">
              <w:rPr>
                <w:rFonts w:ascii="Calibri" w:hAnsi="Calibri" w:cs="Calibri"/>
                <w:b/>
                <w:sz w:val="20"/>
                <w:szCs w:val="20"/>
                <w:lang w:eastAsia="pl-PL"/>
              </w:rPr>
              <w:t xml:space="preserve"> o </w:t>
            </w:r>
            <w:r w:rsidR="006D0AE4" w:rsidRPr="00AB6479">
              <w:rPr>
                <w:rFonts w:ascii="Calibri" w:hAnsi="Calibri" w:cs="Calibri"/>
                <w:b/>
                <w:sz w:val="20"/>
                <w:szCs w:val="20"/>
                <w:lang w:eastAsia="pl-PL"/>
              </w:rPr>
              <w:t>zmianie ustawy – Kodeks cywilny</w:t>
            </w:r>
            <w:r w:rsidR="00C519CA" w:rsidRPr="00AB6479">
              <w:rPr>
                <w:rFonts w:ascii="Calibri" w:hAnsi="Calibri" w:cs="Calibri"/>
                <w:b/>
                <w:sz w:val="20"/>
                <w:szCs w:val="20"/>
                <w:lang w:eastAsia="pl-PL"/>
              </w:rPr>
              <w:t xml:space="preserve"> oraz niektórych innych ustaw</w:t>
            </w:r>
            <w:r w:rsidR="006D0AE4" w:rsidRPr="00AB6479">
              <w:rPr>
                <w:rFonts w:ascii="Calibri" w:hAnsi="Calibri" w:cs="Calibri"/>
                <w:b/>
                <w:sz w:val="20"/>
                <w:szCs w:val="20"/>
                <w:lang w:eastAsia="pl-PL"/>
              </w:rPr>
              <w:t xml:space="preserve"> </w:t>
            </w:r>
            <w:r w:rsidRPr="00AB6479">
              <w:rPr>
                <w:rFonts w:ascii="Calibri" w:hAnsi="Calibri" w:cs="Calibri"/>
                <w:b/>
                <w:sz w:val="20"/>
                <w:szCs w:val="20"/>
                <w:lang w:eastAsia="pl-PL"/>
              </w:rPr>
              <w:t>(UD</w:t>
            </w:r>
            <w:r w:rsidR="00C519CA" w:rsidRPr="00AB6479">
              <w:rPr>
                <w:rFonts w:ascii="Calibri" w:hAnsi="Calibri" w:cs="Calibri"/>
                <w:b/>
                <w:sz w:val="20"/>
                <w:szCs w:val="20"/>
                <w:lang w:eastAsia="pl-PL"/>
              </w:rPr>
              <w:t xml:space="preserve"> 30</w:t>
            </w:r>
            <w:r w:rsidRPr="00AB6479">
              <w:rPr>
                <w:rFonts w:ascii="Calibri" w:hAnsi="Calibri" w:cs="Calibri"/>
                <w:b/>
                <w:sz w:val="20"/>
                <w:szCs w:val="20"/>
                <w:lang w:eastAsia="pl-PL"/>
              </w:rPr>
              <w:t>)</w:t>
            </w:r>
            <w:r w:rsidR="00E35677" w:rsidRPr="00AB6479">
              <w:rPr>
                <w:rFonts w:ascii="Calibri" w:hAnsi="Calibri" w:cs="Calibri"/>
                <w:b/>
                <w:sz w:val="20"/>
                <w:szCs w:val="20"/>
                <w:lang w:eastAsia="pl-PL"/>
              </w:rPr>
              <w:br/>
              <w:t>(projekt</w:t>
            </w:r>
            <w:r w:rsidR="00772512" w:rsidRPr="00AB6479">
              <w:rPr>
                <w:rFonts w:ascii="Calibri" w:hAnsi="Calibri" w:cs="Calibri"/>
                <w:b/>
                <w:sz w:val="20"/>
                <w:szCs w:val="20"/>
                <w:lang w:eastAsia="pl-PL"/>
              </w:rPr>
              <w:t xml:space="preserve"> z </w:t>
            </w:r>
            <w:r w:rsidR="00E35677" w:rsidRPr="00AB6479">
              <w:rPr>
                <w:rFonts w:ascii="Calibri" w:hAnsi="Calibri" w:cs="Calibri"/>
                <w:b/>
                <w:sz w:val="20"/>
                <w:szCs w:val="20"/>
                <w:lang w:eastAsia="pl-PL"/>
              </w:rPr>
              <w:t xml:space="preserve">dnia </w:t>
            </w:r>
            <w:r w:rsidR="00C519CA" w:rsidRPr="00AB6479">
              <w:rPr>
                <w:rFonts w:ascii="Calibri" w:hAnsi="Calibri" w:cs="Calibri"/>
                <w:b/>
                <w:sz w:val="20"/>
                <w:szCs w:val="20"/>
                <w:lang w:eastAsia="pl-PL"/>
              </w:rPr>
              <w:t>2</w:t>
            </w:r>
            <w:r w:rsidR="003C5142" w:rsidRPr="00AB6479">
              <w:rPr>
                <w:rFonts w:ascii="Calibri" w:hAnsi="Calibri" w:cs="Calibri"/>
                <w:b/>
                <w:sz w:val="20"/>
                <w:szCs w:val="20"/>
                <w:lang w:eastAsia="pl-PL"/>
              </w:rPr>
              <w:t>8</w:t>
            </w:r>
            <w:r w:rsidR="003D2B9E" w:rsidRPr="00AB6479">
              <w:rPr>
                <w:rFonts w:ascii="Calibri" w:hAnsi="Calibri" w:cs="Calibri"/>
                <w:b/>
                <w:sz w:val="20"/>
                <w:szCs w:val="20"/>
                <w:lang w:eastAsia="pl-PL"/>
              </w:rPr>
              <w:t xml:space="preserve"> października </w:t>
            </w:r>
            <w:r w:rsidR="00E23A7D" w:rsidRPr="00AB6479">
              <w:rPr>
                <w:rFonts w:ascii="Calibri" w:hAnsi="Calibri" w:cs="Calibri"/>
                <w:b/>
                <w:sz w:val="20"/>
                <w:szCs w:val="20"/>
                <w:lang w:eastAsia="pl-PL"/>
              </w:rPr>
              <w:t>202</w:t>
            </w:r>
            <w:r w:rsidR="00C519CA" w:rsidRPr="00AB6479">
              <w:rPr>
                <w:rFonts w:ascii="Calibri" w:hAnsi="Calibri" w:cs="Calibri"/>
                <w:b/>
                <w:sz w:val="20"/>
                <w:szCs w:val="20"/>
                <w:lang w:eastAsia="pl-PL"/>
              </w:rPr>
              <w:t>5</w:t>
            </w:r>
            <w:r w:rsidR="00E35677" w:rsidRPr="00AB6479">
              <w:rPr>
                <w:rFonts w:ascii="Calibri" w:hAnsi="Calibri" w:cs="Calibri"/>
                <w:b/>
                <w:sz w:val="20"/>
                <w:szCs w:val="20"/>
                <w:lang w:eastAsia="pl-PL"/>
              </w:rPr>
              <w:t xml:space="preserve"> r.)</w:t>
            </w:r>
            <w:r w:rsidR="00A22E06">
              <w:rPr>
                <w:rFonts w:ascii="Calibri" w:hAnsi="Calibri" w:cs="Calibri"/>
                <w:b/>
                <w:sz w:val="20"/>
                <w:szCs w:val="20"/>
                <w:lang w:eastAsia="pl-PL"/>
              </w:rPr>
              <w:t xml:space="preserve"> – opiniowanie</w:t>
            </w:r>
          </w:p>
        </w:tc>
      </w:tr>
      <w:tr w:rsidR="008842F2" w:rsidRPr="00AB6479" w14:paraId="0F5D1353" w14:textId="77777777" w:rsidTr="00AB6479">
        <w:trPr>
          <w:jc w:val="center"/>
        </w:trPr>
        <w:tc>
          <w:tcPr>
            <w:tcW w:w="13994" w:type="dxa"/>
            <w:gridSpan w:val="5"/>
            <w:shd w:val="clear" w:color="auto" w:fill="DBE5F1" w:themeFill="accent1" w:themeFillTint="33"/>
          </w:tcPr>
          <w:p w14:paraId="7F1979A8" w14:textId="750782F5" w:rsidR="008842F2" w:rsidRPr="00AB6479" w:rsidRDefault="008842F2" w:rsidP="00AB6479">
            <w:pPr>
              <w:spacing w:before="120" w:after="120" w:line="276" w:lineRule="auto"/>
              <w:jc w:val="center"/>
              <w:rPr>
                <w:rFonts w:ascii="Calibri" w:hAnsi="Calibri" w:cs="Calibri"/>
                <w:b/>
                <w:color w:val="365F91" w:themeColor="accent1" w:themeShade="BF"/>
                <w:sz w:val="20"/>
                <w:szCs w:val="20"/>
              </w:rPr>
            </w:pPr>
            <w:r w:rsidRPr="00AB6479">
              <w:rPr>
                <w:rFonts w:ascii="Calibri" w:hAnsi="Calibri" w:cs="Calibri"/>
                <w:b/>
                <w:color w:val="000000" w:themeColor="text1"/>
                <w:sz w:val="20"/>
                <w:szCs w:val="20"/>
              </w:rPr>
              <w:t xml:space="preserve">Uwagi </w:t>
            </w:r>
            <w:r w:rsidR="00865AF4" w:rsidRPr="00AB6479">
              <w:rPr>
                <w:rFonts w:ascii="Calibri" w:hAnsi="Calibri" w:cs="Calibri"/>
                <w:b/>
                <w:color w:val="000000" w:themeColor="text1"/>
                <w:sz w:val="20"/>
                <w:szCs w:val="20"/>
              </w:rPr>
              <w:t>ogólne</w:t>
            </w:r>
          </w:p>
        </w:tc>
      </w:tr>
      <w:tr w:rsidR="00865AF4" w:rsidRPr="00AB6479" w14:paraId="4E9A7412" w14:textId="77777777" w:rsidTr="00AB6479">
        <w:trPr>
          <w:jc w:val="center"/>
        </w:trPr>
        <w:tc>
          <w:tcPr>
            <w:tcW w:w="13994" w:type="dxa"/>
            <w:gridSpan w:val="5"/>
            <w:shd w:val="clear" w:color="auto" w:fill="DBE5F1" w:themeFill="accent1" w:themeFillTint="33"/>
          </w:tcPr>
          <w:p w14:paraId="14DF1E4F" w14:textId="77777777" w:rsidR="00865AF4" w:rsidRPr="00AB6479" w:rsidRDefault="00865AF4" w:rsidP="00AB6479">
            <w:pPr>
              <w:spacing w:before="120" w:after="120" w:line="276" w:lineRule="auto"/>
              <w:jc w:val="center"/>
              <w:rPr>
                <w:rFonts w:ascii="Calibri" w:hAnsi="Calibri" w:cs="Calibri"/>
                <w:b/>
                <w:i/>
                <w:sz w:val="20"/>
                <w:szCs w:val="20"/>
              </w:rPr>
            </w:pPr>
            <w:r w:rsidRPr="00AB6479">
              <w:rPr>
                <w:rFonts w:ascii="Calibri" w:hAnsi="Calibri" w:cs="Calibri"/>
                <w:b/>
                <w:color w:val="000000" w:themeColor="text1"/>
                <w:sz w:val="20"/>
                <w:szCs w:val="20"/>
              </w:rPr>
              <w:t>Uwagi do projektu ustawy</w:t>
            </w:r>
          </w:p>
        </w:tc>
      </w:tr>
      <w:tr w:rsidR="00DB5DD4" w:rsidRPr="00AB6479" w14:paraId="66CA5280" w14:textId="77777777" w:rsidTr="00EF0179">
        <w:trPr>
          <w:trHeight w:val="590"/>
          <w:jc w:val="center"/>
        </w:trPr>
        <w:tc>
          <w:tcPr>
            <w:tcW w:w="562" w:type="dxa"/>
          </w:tcPr>
          <w:p w14:paraId="788AA2B0" w14:textId="15FFA667" w:rsidR="00DB5DD4" w:rsidRPr="00AB6479" w:rsidRDefault="00AB6479" w:rsidP="00AB6479">
            <w:pPr>
              <w:spacing w:before="120" w:line="276" w:lineRule="auto"/>
              <w:ind w:right="-534"/>
              <w:rPr>
                <w:rFonts w:ascii="Calibri" w:hAnsi="Calibri" w:cs="Calibri"/>
                <w:bCs/>
                <w:sz w:val="20"/>
                <w:szCs w:val="20"/>
              </w:rPr>
            </w:pPr>
            <w:r>
              <w:rPr>
                <w:rFonts w:ascii="Calibri" w:hAnsi="Calibri" w:cs="Calibri"/>
                <w:bCs/>
                <w:sz w:val="20"/>
                <w:szCs w:val="20"/>
              </w:rPr>
              <w:t>1.</w:t>
            </w:r>
          </w:p>
          <w:p w14:paraId="7A278F52" w14:textId="77777777" w:rsidR="00922F6F" w:rsidRPr="00AB6479" w:rsidRDefault="00922F6F" w:rsidP="00AB6479">
            <w:pPr>
              <w:spacing w:before="120" w:line="276" w:lineRule="auto"/>
              <w:ind w:right="-534"/>
              <w:rPr>
                <w:rFonts w:ascii="Calibri" w:hAnsi="Calibri" w:cs="Calibri"/>
                <w:bCs/>
                <w:sz w:val="20"/>
                <w:szCs w:val="20"/>
              </w:rPr>
            </w:pPr>
          </w:p>
          <w:p w14:paraId="7ADCB093" w14:textId="77777777" w:rsidR="00DB5DD4" w:rsidRPr="00AB6479" w:rsidRDefault="00DB5DD4" w:rsidP="00AB6479">
            <w:pPr>
              <w:spacing w:before="120" w:line="276" w:lineRule="auto"/>
              <w:ind w:right="-534"/>
              <w:rPr>
                <w:rFonts w:ascii="Calibri" w:hAnsi="Calibri" w:cs="Calibri"/>
                <w:bCs/>
                <w:sz w:val="20"/>
                <w:szCs w:val="20"/>
              </w:rPr>
            </w:pPr>
          </w:p>
        </w:tc>
        <w:tc>
          <w:tcPr>
            <w:tcW w:w="1843" w:type="dxa"/>
            <w:vAlign w:val="center"/>
          </w:tcPr>
          <w:p w14:paraId="7F6EF8A6" w14:textId="1968001E" w:rsidR="00290430" w:rsidRPr="00AB6479" w:rsidRDefault="00AB6479" w:rsidP="00AB6479">
            <w:pPr>
              <w:spacing w:before="120" w:after="120" w:line="276" w:lineRule="auto"/>
              <w:jc w:val="center"/>
              <w:rPr>
                <w:rFonts w:ascii="Calibri" w:hAnsi="Calibri" w:cs="Calibri"/>
                <w:bCs/>
                <w:sz w:val="20"/>
                <w:szCs w:val="20"/>
              </w:rPr>
            </w:pPr>
            <w:r>
              <w:rPr>
                <w:rFonts w:ascii="Calibri" w:hAnsi="Calibri" w:cs="Calibri"/>
                <w:b/>
                <w:sz w:val="20"/>
                <w:szCs w:val="20"/>
              </w:rPr>
              <w:t>IWS</w:t>
            </w:r>
          </w:p>
        </w:tc>
        <w:tc>
          <w:tcPr>
            <w:tcW w:w="1843" w:type="dxa"/>
            <w:vAlign w:val="center"/>
          </w:tcPr>
          <w:p w14:paraId="5F46053E" w14:textId="786EF84D" w:rsidR="00DB5DD4" w:rsidRPr="00AB6479" w:rsidRDefault="00922F6F"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 xml:space="preserve">Art. 1 pkt 2 projektu </w:t>
            </w:r>
            <w:r w:rsidR="003B09B8" w:rsidRPr="00AB6479">
              <w:rPr>
                <w:rFonts w:ascii="Calibri" w:hAnsi="Calibri" w:cs="Calibri"/>
                <w:bCs/>
                <w:sz w:val="20"/>
                <w:szCs w:val="20"/>
              </w:rPr>
              <w:t>(art. 952 §  1 k.c.)</w:t>
            </w:r>
          </w:p>
        </w:tc>
        <w:tc>
          <w:tcPr>
            <w:tcW w:w="5670" w:type="dxa"/>
            <w:vAlign w:val="center"/>
          </w:tcPr>
          <w:p w14:paraId="1C440EFE" w14:textId="20D9741C" w:rsidR="00DB5DD4" w:rsidRPr="006174C8" w:rsidRDefault="00922F6F" w:rsidP="00AB6479">
            <w:pPr>
              <w:spacing w:line="276" w:lineRule="auto"/>
              <w:jc w:val="both"/>
              <w:rPr>
                <w:rFonts w:ascii="Calibri" w:hAnsi="Calibri" w:cs="Calibri"/>
                <w:bCs/>
                <w:sz w:val="20"/>
                <w:szCs w:val="20"/>
              </w:rPr>
            </w:pPr>
            <w:r w:rsidRPr="00AB6479">
              <w:rPr>
                <w:rFonts w:ascii="Calibri" w:hAnsi="Calibri" w:cs="Calibri"/>
                <w:bCs/>
                <w:sz w:val="20"/>
                <w:szCs w:val="20"/>
              </w:rPr>
              <w:t>Deklarowanym celem Projektu jest ograniczenie możliwości stosowania testamentu ustnego, przy którego sporządzaniu w praktyce często notowane są nieprawidłowości, a nawet nadużycia, a z drugiej – wprowadzenie możliwości sporządzenia testamentu ustnego i wojskowego utrwalonego również za pomocą urządzenia rejestrującego obraz i dźwięk. Proponowane w Projekcie zmierzają do realizacji tego celu</w:t>
            </w:r>
            <w:r w:rsidRPr="00C33EAD">
              <w:rPr>
                <w:rFonts w:ascii="Calibri" w:hAnsi="Calibri" w:cs="Calibri"/>
                <w:b/>
                <w:sz w:val="20"/>
                <w:szCs w:val="20"/>
              </w:rPr>
              <w:t>. Należy jednak rozważyć, czy wymaganie, aby okoliczności uzasadniające sporządzenie testamentu ustnego były „nadzwyczajne” nie spowoduje nadmiernego ograniczenia możliwości skorzystania z tej formy szczególnej</w:t>
            </w:r>
            <w:r w:rsidRPr="00AB6479">
              <w:rPr>
                <w:rFonts w:ascii="Calibri" w:hAnsi="Calibri" w:cs="Calibri"/>
                <w:bCs/>
                <w:sz w:val="20"/>
                <w:szCs w:val="20"/>
              </w:rPr>
              <w:t xml:space="preserve">. Rozważenia wymaga uzależnienie możliwości skorzystania z tej formy testowania od występowania „szczególnych okoliczności”, które znacznie bardziej pojemną i elastyczną formułą. </w:t>
            </w:r>
          </w:p>
        </w:tc>
        <w:tc>
          <w:tcPr>
            <w:tcW w:w="4076" w:type="dxa"/>
          </w:tcPr>
          <w:p w14:paraId="780BF961" w14:textId="00D5B04F" w:rsidR="00331839" w:rsidRDefault="00331839" w:rsidP="00AB6479">
            <w:pPr>
              <w:autoSpaceDE w:val="0"/>
              <w:autoSpaceDN w:val="0"/>
              <w:adjustRightInd w:val="0"/>
              <w:spacing w:line="276" w:lineRule="auto"/>
              <w:rPr>
                <w:rFonts w:ascii="Calibri" w:eastAsia="Times New Roman" w:hAnsi="Calibri" w:cs="Calibri"/>
                <w:b/>
                <w:sz w:val="20"/>
                <w:szCs w:val="20"/>
                <w:lang w:eastAsia="pl-PL"/>
              </w:rPr>
            </w:pPr>
            <w:r>
              <w:rPr>
                <w:rFonts w:ascii="Calibri" w:eastAsia="Times New Roman" w:hAnsi="Calibri" w:cs="Calibri"/>
                <w:b/>
                <w:sz w:val="20"/>
                <w:szCs w:val="20"/>
                <w:lang w:eastAsia="pl-PL"/>
              </w:rPr>
              <w:t>Uwaga uwzględniona</w:t>
            </w:r>
          </w:p>
          <w:p w14:paraId="3427A8C1" w14:textId="445DC3E8" w:rsidR="00331839" w:rsidRPr="006C0013" w:rsidRDefault="00331839" w:rsidP="006C0013">
            <w:pPr>
              <w:autoSpaceDE w:val="0"/>
              <w:autoSpaceDN w:val="0"/>
              <w:adjustRightInd w:val="0"/>
              <w:spacing w:line="276" w:lineRule="auto"/>
              <w:jc w:val="both"/>
              <w:rPr>
                <w:rFonts w:ascii="Calibri" w:eastAsia="Times New Roman" w:hAnsi="Calibri" w:cs="Calibri"/>
                <w:bCs/>
                <w:sz w:val="20"/>
                <w:szCs w:val="20"/>
                <w:lang w:eastAsia="pl-PL"/>
              </w:rPr>
            </w:pPr>
            <w:r w:rsidRPr="006C0013">
              <w:rPr>
                <w:rFonts w:ascii="Calibri" w:eastAsia="Times New Roman" w:hAnsi="Calibri" w:cs="Calibri"/>
                <w:bCs/>
                <w:sz w:val="20"/>
                <w:szCs w:val="20"/>
                <w:lang w:eastAsia="pl-PL"/>
              </w:rPr>
              <w:t xml:space="preserve">Zdecydowano się zastąpić pojęcie „okoliczności nadzwyczajne” pierwotnie zastosowanym </w:t>
            </w:r>
            <w:r w:rsidR="00172AE3">
              <w:rPr>
                <w:rFonts w:ascii="Calibri" w:eastAsia="Times New Roman" w:hAnsi="Calibri" w:cs="Calibri"/>
                <w:bCs/>
                <w:sz w:val="20"/>
                <w:szCs w:val="20"/>
                <w:lang w:eastAsia="pl-PL"/>
              </w:rPr>
              <w:t xml:space="preserve">w projekcie </w:t>
            </w:r>
            <w:r w:rsidRPr="006C0013">
              <w:rPr>
                <w:rFonts w:ascii="Calibri" w:eastAsia="Times New Roman" w:hAnsi="Calibri" w:cs="Calibri"/>
                <w:bCs/>
                <w:sz w:val="20"/>
                <w:szCs w:val="20"/>
                <w:lang w:eastAsia="pl-PL"/>
              </w:rPr>
              <w:t>pojęciem „</w:t>
            </w:r>
            <w:r w:rsidR="00172AE3">
              <w:rPr>
                <w:rFonts w:ascii="Calibri" w:eastAsia="Times New Roman" w:hAnsi="Calibri" w:cs="Calibri"/>
                <w:bCs/>
                <w:sz w:val="20"/>
                <w:szCs w:val="20"/>
                <w:lang w:eastAsia="pl-PL"/>
              </w:rPr>
              <w:t xml:space="preserve">okoliczności </w:t>
            </w:r>
            <w:r w:rsidRPr="006C0013">
              <w:rPr>
                <w:rFonts w:ascii="Calibri" w:eastAsia="Times New Roman" w:hAnsi="Calibri" w:cs="Calibri"/>
                <w:bCs/>
                <w:sz w:val="20"/>
                <w:szCs w:val="20"/>
                <w:lang w:eastAsia="pl-PL"/>
              </w:rPr>
              <w:t>szczególne i nagłe”</w:t>
            </w:r>
          </w:p>
          <w:p w14:paraId="79FFD639" w14:textId="1A1A17A2" w:rsidR="00C33EAD" w:rsidRPr="00AB6479" w:rsidRDefault="00C33EAD" w:rsidP="00AB6479">
            <w:pPr>
              <w:autoSpaceDE w:val="0"/>
              <w:autoSpaceDN w:val="0"/>
              <w:adjustRightInd w:val="0"/>
              <w:spacing w:line="276" w:lineRule="auto"/>
              <w:rPr>
                <w:rFonts w:ascii="Calibri" w:eastAsia="Times New Roman" w:hAnsi="Calibri" w:cs="Calibri"/>
                <w:bCs/>
                <w:sz w:val="20"/>
                <w:szCs w:val="20"/>
                <w:lang w:eastAsia="pl-PL"/>
              </w:rPr>
            </w:pPr>
          </w:p>
        </w:tc>
      </w:tr>
      <w:tr w:rsidR="00922F6F" w:rsidRPr="00AB6479" w14:paraId="1F08FD8F" w14:textId="77777777" w:rsidTr="00EF0179">
        <w:trPr>
          <w:trHeight w:val="590"/>
          <w:jc w:val="center"/>
        </w:trPr>
        <w:tc>
          <w:tcPr>
            <w:tcW w:w="562" w:type="dxa"/>
          </w:tcPr>
          <w:p w14:paraId="58D9E271" w14:textId="41ACCE33" w:rsidR="00922F6F" w:rsidRPr="00AB6479" w:rsidRDefault="00AB6479" w:rsidP="00AB6479">
            <w:pPr>
              <w:spacing w:before="120" w:line="276" w:lineRule="auto"/>
              <w:ind w:right="-534"/>
              <w:rPr>
                <w:rFonts w:ascii="Calibri" w:hAnsi="Calibri" w:cs="Calibri"/>
                <w:bCs/>
                <w:sz w:val="20"/>
                <w:szCs w:val="20"/>
              </w:rPr>
            </w:pPr>
            <w:r>
              <w:rPr>
                <w:rFonts w:ascii="Calibri" w:hAnsi="Calibri" w:cs="Calibri"/>
                <w:bCs/>
                <w:sz w:val="20"/>
                <w:szCs w:val="20"/>
              </w:rPr>
              <w:t>2.</w:t>
            </w:r>
          </w:p>
        </w:tc>
        <w:tc>
          <w:tcPr>
            <w:tcW w:w="1843" w:type="dxa"/>
            <w:vAlign w:val="center"/>
          </w:tcPr>
          <w:p w14:paraId="39D0E031" w14:textId="031F76FA"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1D359B28" w14:textId="6924049F" w:rsidR="00922F6F" w:rsidRPr="00AB6479" w:rsidRDefault="00922F6F"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1 pkt 2 projektu (art. 952 § 3 k.c.)</w:t>
            </w:r>
          </w:p>
        </w:tc>
        <w:tc>
          <w:tcPr>
            <w:tcW w:w="5670" w:type="dxa"/>
            <w:vAlign w:val="center"/>
          </w:tcPr>
          <w:p w14:paraId="25D2439F" w14:textId="77777777" w:rsidR="00922F6F" w:rsidRPr="00AB6479" w:rsidRDefault="00922F6F" w:rsidP="00AB6479">
            <w:pPr>
              <w:autoSpaceDE w:val="0"/>
              <w:autoSpaceDN w:val="0"/>
              <w:adjustRightInd w:val="0"/>
              <w:spacing w:line="276" w:lineRule="auto"/>
              <w:jc w:val="both"/>
              <w:rPr>
                <w:rFonts w:ascii="Calibri" w:hAnsi="Calibri" w:cs="Calibri"/>
                <w:bCs/>
                <w:sz w:val="20"/>
                <w:szCs w:val="20"/>
              </w:rPr>
            </w:pPr>
            <w:r w:rsidRPr="00AB6479">
              <w:rPr>
                <w:rFonts w:ascii="Calibri" w:hAnsi="Calibri" w:cs="Calibri"/>
                <w:bCs/>
                <w:sz w:val="20"/>
                <w:szCs w:val="20"/>
              </w:rPr>
              <w:t xml:space="preserve">Proponowane w art. 1 pkt 2 Projektu brzmienie art. 952 § 3 in fine k.c. budzi wątpliwości terminologiczne, ponieważ zgodnie z tym przepisem nagranie testamentu ustnego utrwalonego za pomocą urządzenia rejestrującego obraz i dźwięk ma zostać </w:t>
            </w:r>
            <w:r w:rsidRPr="00AB6479">
              <w:rPr>
                <w:rFonts w:ascii="Calibri" w:hAnsi="Calibri" w:cs="Calibri"/>
                <w:bCs/>
                <w:i/>
                <w:sz w:val="20"/>
                <w:szCs w:val="20"/>
              </w:rPr>
              <w:t>przekazane</w:t>
            </w:r>
            <w:r w:rsidRPr="00AB6479">
              <w:rPr>
                <w:rFonts w:ascii="Calibri" w:hAnsi="Calibri" w:cs="Calibri"/>
                <w:bCs/>
                <w:sz w:val="20"/>
                <w:szCs w:val="20"/>
              </w:rPr>
              <w:t xml:space="preserve"> na trwałym nośniku danych notariuszowi lub do sądu spadku nie później niż w ciągu 3 miesięcy od dnia otwarcia spadku, a przepisy k.p.c. (art. 646 i 650) posługują się na określenie tej samej czynności pojęciem „</w:t>
            </w:r>
            <w:r w:rsidRPr="00AB6479">
              <w:rPr>
                <w:rFonts w:ascii="Calibri" w:hAnsi="Calibri" w:cs="Calibri"/>
                <w:bCs/>
                <w:i/>
                <w:sz w:val="20"/>
                <w:szCs w:val="20"/>
              </w:rPr>
              <w:t>złożenia</w:t>
            </w:r>
            <w:r w:rsidRPr="00AB6479">
              <w:rPr>
                <w:rFonts w:ascii="Calibri" w:hAnsi="Calibri" w:cs="Calibri"/>
                <w:bCs/>
                <w:sz w:val="20"/>
                <w:szCs w:val="20"/>
              </w:rPr>
              <w:t>”.</w:t>
            </w:r>
          </w:p>
          <w:p w14:paraId="2C8E21D4" w14:textId="77777777" w:rsidR="00922F6F" w:rsidRPr="00AB6479" w:rsidRDefault="00922F6F" w:rsidP="00AB6479">
            <w:pPr>
              <w:spacing w:line="276" w:lineRule="auto"/>
              <w:jc w:val="both"/>
              <w:rPr>
                <w:rFonts w:ascii="Calibri" w:hAnsi="Calibri" w:cs="Calibri"/>
                <w:bCs/>
                <w:sz w:val="20"/>
                <w:szCs w:val="20"/>
              </w:rPr>
            </w:pPr>
          </w:p>
        </w:tc>
        <w:tc>
          <w:tcPr>
            <w:tcW w:w="4076" w:type="dxa"/>
          </w:tcPr>
          <w:p w14:paraId="6A6D4C56" w14:textId="657CD74F" w:rsidR="00922F6F" w:rsidRPr="0016769D" w:rsidRDefault="00EF240D" w:rsidP="00AB6479">
            <w:pPr>
              <w:autoSpaceDE w:val="0"/>
              <w:autoSpaceDN w:val="0"/>
              <w:adjustRightInd w:val="0"/>
              <w:spacing w:line="276" w:lineRule="auto"/>
              <w:rPr>
                <w:rFonts w:ascii="Calibri" w:eastAsia="Times New Roman" w:hAnsi="Calibri" w:cs="Calibri"/>
                <w:b/>
                <w:sz w:val="20"/>
                <w:szCs w:val="20"/>
                <w:lang w:eastAsia="pl-PL"/>
              </w:rPr>
            </w:pPr>
            <w:r w:rsidRPr="0016769D">
              <w:rPr>
                <w:rFonts w:ascii="Calibri" w:eastAsia="Times New Roman" w:hAnsi="Calibri" w:cs="Calibri"/>
                <w:b/>
                <w:sz w:val="20"/>
                <w:szCs w:val="20"/>
                <w:lang w:eastAsia="pl-PL"/>
              </w:rPr>
              <w:t>Uwaga nieuwzględniona</w:t>
            </w:r>
          </w:p>
          <w:p w14:paraId="63B482C0" w14:textId="3D62EB59" w:rsidR="00EF240D" w:rsidRPr="00AB6479" w:rsidRDefault="00EF240D" w:rsidP="008740B7">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Po pierwsze posłużenie się przez projektodawcę zwrotem „złoż</w:t>
            </w:r>
            <w:r w:rsidR="00D45D78">
              <w:rPr>
                <w:rFonts w:ascii="Calibri" w:eastAsia="Times New Roman" w:hAnsi="Calibri" w:cs="Calibri"/>
                <w:bCs/>
                <w:sz w:val="20"/>
                <w:szCs w:val="20"/>
                <w:lang w:eastAsia="pl-PL"/>
              </w:rPr>
              <w:t>one</w:t>
            </w:r>
            <w:r>
              <w:rPr>
                <w:rFonts w:ascii="Calibri" w:eastAsia="Times New Roman" w:hAnsi="Calibri" w:cs="Calibri"/>
                <w:bCs/>
                <w:sz w:val="20"/>
                <w:szCs w:val="20"/>
                <w:lang w:eastAsia="pl-PL"/>
              </w:rPr>
              <w:t>” w miejsce „przekazane” nie zmieni</w:t>
            </w:r>
            <w:r w:rsidR="00D45D78">
              <w:rPr>
                <w:rFonts w:ascii="Calibri" w:eastAsia="Times New Roman" w:hAnsi="Calibri" w:cs="Calibri"/>
                <w:bCs/>
                <w:sz w:val="20"/>
                <w:szCs w:val="20"/>
                <w:lang w:eastAsia="pl-PL"/>
              </w:rPr>
              <w:t>łoby</w:t>
            </w:r>
            <w:r>
              <w:rPr>
                <w:rFonts w:ascii="Calibri" w:eastAsia="Times New Roman" w:hAnsi="Calibri" w:cs="Calibri"/>
                <w:bCs/>
                <w:sz w:val="20"/>
                <w:szCs w:val="20"/>
                <w:lang w:eastAsia="pl-PL"/>
              </w:rPr>
              <w:t xml:space="preserve"> wartości normatywnej przepisu. Ponadto, nawet jeśli przypisać tym zwrotom inny sens, to w niniejszym przypadku bardziej adekwatne jest słowo „przekaz</w:t>
            </w:r>
            <w:r w:rsidR="002632D0">
              <w:rPr>
                <w:rFonts w:ascii="Calibri" w:eastAsia="Times New Roman" w:hAnsi="Calibri" w:cs="Calibri"/>
                <w:bCs/>
                <w:sz w:val="20"/>
                <w:szCs w:val="20"/>
                <w:lang w:eastAsia="pl-PL"/>
              </w:rPr>
              <w:t>ane</w:t>
            </w:r>
            <w:r>
              <w:rPr>
                <w:rFonts w:ascii="Calibri" w:eastAsia="Times New Roman" w:hAnsi="Calibri" w:cs="Calibri"/>
                <w:bCs/>
                <w:sz w:val="20"/>
                <w:szCs w:val="20"/>
                <w:lang w:eastAsia="pl-PL"/>
              </w:rPr>
              <w:t xml:space="preserve">”, gdyż dotyczy czynności technicznej. Ustawodawca w przywołanym art. 646 i 650 k.p.c. posługuje się </w:t>
            </w:r>
            <w:r>
              <w:rPr>
                <w:rFonts w:ascii="Calibri" w:eastAsia="Times New Roman" w:hAnsi="Calibri" w:cs="Calibri"/>
                <w:bCs/>
                <w:sz w:val="20"/>
                <w:szCs w:val="20"/>
                <w:lang w:eastAsia="pl-PL"/>
              </w:rPr>
              <w:lastRenderedPageBreak/>
              <w:t xml:space="preserve">pojęciem „złożone” w odniesieniu do testamentu, a zatem aktu oświadczenia woli, zaś w projektowanym art. 952 </w:t>
            </w:r>
            <w:r w:rsidRPr="00AB6479">
              <w:rPr>
                <w:rFonts w:ascii="Calibri" w:hAnsi="Calibri" w:cs="Calibri"/>
                <w:bCs/>
                <w:sz w:val="20"/>
                <w:szCs w:val="20"/>
              </w:rPr>
              <w:t>§ 3 k.c</w:t>
            </w:r>
            <w:r>
              <w:rPr>
                <w:rFonts w:ascii="Calibri" w:hAnsi="Calibri" w:cs="Calibri"/>
                <w:bCs/>
                <w:sz w:val="20"/>
                <w:szCs w:val="20"/>
              </w:rPr>
              <w:t xml:space="preserve">. mowa jest o nagraniu i przekazaniu nagrania z treścią oświadczenia woli, a nie samego oświadczenia woli. </w:t>
            </w:r>
          </w:p>
        </w:tc>
      </w:tr>
      <w:tr w:rsidR="00922F6F" w:rsidRPr="00AB6479" w14:paraId="3E8F99E1" w14:textId="77777777" w:rsidTr="00EF0179">
        <w:trPr>
          <w:trHeight w:val="590"/>
          <w:jc w:val="center"/>
        </w:trPr>
        <w:tc>
          <w:tcPr>
            <w:tcW w:w="562" w:type="dxa"/>
          </w:tcPr>
          <w:p w14:paraId="1B0000D4" w14:textId="534F2875" w:rsidR="00922F6F" w:rsidRPr="00AB6479" w:rsidRDefault="00AB6479" w:rsidP="00AB6479">
            <w:pPr>
              <w:spacing w:before="120" w:line="276" w:lineRule="auto"/>
              <w:ind w:right="-534"/>
              <w:rPr>
                <w:rFonts w:ascii="Calibri" w:hAnsi="Calibri" w:cs="Calibri"/>
                <w:bCs/>
                <w:sz w:val="20"/>
                <w:szCs w:val="20"/>
              </w:rPr>
            </w:pPr>
            <w:r>
              <w:rPr>
                <w:rFonts w:ascii="Calibri" w:hAnsi="Calibri" w:cs="Calibri"/>
                <w:bCs/>
                <w:sz w:val="20"/>
                <w:szCs w:val="20"/>
              </w:rPr>
              <w:lastRenderedPageBreak/>
              <w:t>3.</w:t>
            </w:r>
          </w:p>
        </w:tc>
        <w:tc>
          <w:tcPr>
            <w:tcW w:w="1843" w:type="dxa"/>
            <w:vAlign w:val="center"/>
          </w:tcPr>
          <w:p w14:paraId="6A2C93C3" w14:textId="700ED1C0"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117A4FB5" w14:textId="77777777" w:rsidR="00922F6F" w:rsidRPr="00AB6479" w:rsidRDefault="00922F6F"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 xml:space="preserve">Art. 1 pkt 2 projektu </w:t>
            </w:r>
          </w:p>
          <w:p w14:paraId="4B2D9C5F" w14:textId="4C3C5DC2" w:rsidR="003B09B8" w:rsidRPr="00AB6479" w:rsidRDefault="003B09B8"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952 §  2 i 3 k.c.)</w:t>
            </w:r>
          </w:p>
        </w:tc>
        <w:tc>
          <w:tcPr>
            <w:tcW w:w="5670" w:type="dxa"/>
            <w:vAlign w:val="center"/>
          </w:tcPr>
          <w:p w14:paraId="2FD4BE02" w14:textId="2644E384" w:rsidR="00922F6F" w:rsidRPr="00AB6479" w:rsidRDefault="00922F6F" w:rsidP="00AB6479">
            <w:pPr>
              <w:autoSpaceDE w:val="0"/>
              <w:autoSpaceDN w:val="0"/>
              <w:adjustRightInd w:val="0"/>
              <w:spacing w:line="276" w:lineRule="auto"/>
              <w:jc w:val="both"/>
              <w:rPr>
                <w:rFonts w:ascii="Calibri" w:hAnsi="Calibri" w:cs="Calibri"/>
                <w:bCs/>
                <w:sz w:val="20"/>
                <w:szCs w:val="20"/>
              </w:rPr>
            </w:pPr>
            <w:r w:rsidRPr="00AB6479">
              <w:rPr>
                <w:rFonts w:ascii="Calibri" w:hAnsi="Calibri" w:cs="Calibri"/>
                <w:bCs/>
                <w:sz w:val="20"/>
                <w:szCs w:val="20"/>
              </w:rPr>
              <w:t>Należy rozważyć, czy nie powinna ulec zmianie proponowana w art. 1 pkt 2 Projektu redakcja art. 952 § 2 i 3 k.c. W świetle aktualnej propozycji art. 952 § 3 k.c. trzymiesięczny termin liczony od otwarcia spadku na przekazanie notariuszowi lub sądowi spadku utrwalonego testamentu ustnego będzie mieć zastosowanie tylko w przypadku, gdy do jego utrwalenia dojdzie za pomocą urządzenia rejestrującego obraz i dźwięk, a nie będzie wyznaczać horyzontu czasowego na przekazanie pisma obejmującego oświadczenie spadkodawcy, o którym mowa w art. 952 § 2 k.c. Wydaje się, że termin określony w art. 952 § 3 k.c. powinien mieć zastosowanie zarówno wtedy, gdy oświadczenie spadkodawcy zostanie utrwalone za pomocą urządzenia rejestrującego obraz i dźwięk, jak i wtedy, gdy zostanie ono spisane przez jednego ze świadków.</w:t>
            </w:r>
          </w:p>
        </w:tc>
        <w:tc>
          <w:tcPr>
            <w:tcW w:w="4076" w:type="dxa"/>
          </w:tcPr>
          <w:p w14:paraId="205AD8D6" w14:textId="51480C7F" w:rsidR="00331839" w:rsidRPr="00172AE3" w:rsidRDefault="00331839" w:rsidP="006C0013">
            <w:pPr>
              <w:autoSpaceDE w:val="0"/>
              <w:autoSpaceDN w:val="0"/>
              <w:adjustRightInd w:val="0"/>
              <w:spacing w:line="276" w:lineRule="auto"/>
              <w:jc w:val="both"/>
              <w:rPr>
                <w:rFonts w:ascii="Calibri" w:eastAsia="Times New Roman" w:hAnsi="Calibri" w:cs="Calibri"/>
                <w:b/>
                <w:sz w:val="20"/>
                <w:szCs w:val="20"/>
                <w:lang w:eastAsia="pl-PL"/>
              </w:rPr>
            </w:pPr>
            <w:r w:rsidRPr="00172AE3">
              <w:rPr>
                <w:rFonts w:ascii="Calibri" w:eastAsia="Times New Roman" w:hAnsi="Calibri" w:cs="Calibri"/>
                <w:b/>
                <w:sz w:val="20"/>
                <w:szCs w:val="20"/>
                <w:lang w:eastAsia="pl-PL"/>
              </w:rPr>
              <w:t>Uwaga nieuwzględniona</w:t>
            </w:r>
          </w:p>
          <w:p w14:paraId="12C27E42" w14:textId="2D055830" w:rsidR="00922F6F" w:rsidRDefault="00172AE3" w:rsidP="006C0013">
            <w:pPr>
              <w:autoSpaceDE w:val="0"/>
              <w:autoSpaceDN w:val="0"/>
              <w:adjustRightInd w:val="0"/>
              <w:spacing w:line="276" w:lineRule="auto"/>
              <w:jc w:val="both"/>
              <w:rPr>
                <w:rFonts w:ascii="Calibri" w:eastAsia="Times New Roman" w:hAnsi="Calibri" w:cs="Calibri"/>
                <w:bCs/>
                <w:sz w:val="20"/>
                <w:szCs w:val="20"/>
                <w:lang w:eastAsia="pl-PL"/>
              </w:rPr>
            </w:pPr>
            <w:r w:rsidRPr="006C0013">
              <w:rPr>
                <w:rFonts w:ascii="Calibri" w:eastAsia="Times New Roman" w:hAnsi="Calibri" w:cs="Calibri"/>
                <w:bCs/>
                <w:sz w:val="20"/>
                <w:szCs w:val="20"/>
                <w:lang w:eastAsia="pl-PL"/>
              </w:rPr>
              <w:t xml:space="preserve">Zgodnie z proponowanym art. 654 k.p.c. przepisy dotyczące postępowania w przedmiocie ogłoszenia testamentu (tj. art. 646 i n. k.p.c.) będzie się stosowało odpowiednio nie tylko do pisma stwierdzającego treść testamentu ustnego, ale też do trwałego nośnika danych, na którym utrwalona została treść testamentu ustnego. Oznacza to m.in., że osoba, u której znajduje się podpisane własnoręcznie przez testatora pismo stwierdzające treść testamentu ustnego, będzie obowiązana złożyć je w sądzie spadku, gdy dowie się o śmierci spadkodawcy, chyba że złożyła je u notariusza. Z tego też względu w proponowanym art. 952 § 2 k.c. (w przeciwieństwie do proponowanego art. 952 § 3 k.c.) nie było potrzeby wprowadzania szczególnego terminu zawitego do złożenia takiego pisma do sądu spadku albo notariusza i uzależniania od zachowania tego terminu </w:t>
            </w:r>
            <w:r w:rsidRPr="006C0013">
              <w:rPr>
                <w:rFonts w:ascii="Calibri" w:eastAsia="Times New Roman" w:hAnsi="Calibri" w:cs="Calibri"/>
                <w:bCs/>
                <w:sz w:val="20"/>
                <w:szCs w:val="20"/>
                <w:lang w:eastAsia="pl-PL"/>
              </w:rPr>
              <w:lastRenderedPageBreak/>
              <w:t>możliwości stwierdzenia treści testamentu ustnego.</w:t>
            </w:r>
          </w:p>
          <w:p w14:paraId="05F860EA" w14:textId="77777777" w:rsidR="0056761A" w:rsidRDefault="0056761A" w:rsidP="006C0013">
            <w:pPr>
              <w:autoSpaceDE w:val="0"/>
              <w:autoSpaceDN w:val="0"/>
              <w:adjustRightInd w:val="0"/>
              <w:spacing w:line="276" w:lineRule="auto"/>
              <w:jc w:val="both"/>
              <w:rPr>
                <w:rFonts w:ascii="Calibri" w:eastAsia="Times New Roman" w:hAnsi="Calibri" w:cs="Calibri"/>
                <w:bCs/>
                <w:sz w:val="20"/>
                <w:szCs w:val="20"/>
                <w:lang w:eastAsia="pl-PL"/>
              </w:rPr>
            </w:pPr>
          </w:p>
          <w:p w14:paraId="0F8A0FDF" w14:textId="54143D90" w:rsidR="0056761A" w:rsidRPr="006C0013" w:rsidRDefault="0056761A" w:rsidP="006C0013">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O</w:t>
            </w:r>
            <w:r w:rsidRPr="0056761A">
              <w:rPr>
                <w:rFonts w:ascii="Calibri" w:eastAsia="Times New Roman" w:hAnsi="Calibri" w:cs="Calibri"/>
                <w:bCs/>
                <w:sz w:val="20"/>
                <w:szCs w:val="20"/>
                <w:lang w:eastAsia="pl-PL"/>
              </w:rPr>
              <w:t xml:space="preserve">graniczenie w </w:t>
            </w:r>
            <w:r w:rsidRPr="00713A27">
              <w:rPr>
                <w:rFonts w:ascii="Calibri" w:eastAsia="Times New Roman" w:hAnsi="Calibri" w:cs="Calibri"/>
                <w:bCs/>
                <w:sz w:val="20"/>
                <w:szCs w:val="20"/>
                <w:lang w:eastAsia="pl-PL"/>
              </w:rPr>
              <w:t xml:space="preserve">proponowanym art. 952 § 2 k.c. </w:t>
            </w:r>
            <w:r w:rsidRPr="0056761A">
              <w:rPr>
                <w:rFonts w:ascii="Calibri" w:eastAsia="Times New Roman" w:hAnsi="Calibri" w:cs="Calibri"/>
                <w:bCs/>
                <w:sz w:val="20"/>
                <w:szCs w:val="20"/>
                <w:lang w:eastAsia="pl-PL"/>
              </w:rPr>
              <w:t xml:space="preserve"> możliwości stwierdzania treści testamentu ustnego relatywnie krótkim terminem zawitym </w:t>
            </w:r>
            <w:r>
              <w:rPr>
                <w:rFonts w:ascii="Calibri" w:eastAsia="Times New Roman" w:hAnsi="Calibri" w:cs="Calibri"/>
                <w:bCs/>
                <w:sz w:val="20"/>
                <w:szCs w:val="20"/>
                <w:lang w:eastAsia="pl-PL"/>
              </w:rPr>
              <w:t xml:space="preserve">jest z kolei uzasadnione i </w:t>
            </w:r>
            <w:r w:rsidRPr="0056761A">
              <w:rPr>
                <w:rFonts w:ascii="Calibri" w:eastAsia="Times New Roman" w:hAnsi="Calibri" w:cs="Calibri"/>
                <w:bCs/>
                <w:sz w:val="20"/>
                <w:szCs w:val="20"/>
                <w:lang w:eastAsia="pl-PL"/>
              </w:rPr>
              <w:t>ma na celu ograniczenie prób fałszowania takiego testamentu wiele lat po śmierci spadkodawcy.</w:t>
            </w:r>
          </w:p>
        </w:tc>
      </w:tr>
      <w:tr w:rsidR="00EA3277" w:rsidRPr="00AB6479" w14:paraId="5A59FCCE" w14:textId="77777777" w:rsidTr="00EF0179">
        <w:trPr>
          <w:trHeight w:val="590"/>
          <w:jc w:val="center"/>
        </w:trPr>
        <w:tc>
          <w:tcPr>
            <w:tcW w:w="562" w:type="dxa"/>
          </w:tcPr>
          <w:p w14:paraId="50195B00" w14:textId="5C6742DF" w:rsidR="00EA3277" w:rsidRDefault="00EA3277" w:rsidP="00AB6479">
            <w:pPr>
              <w:spacing w:before="120"/>
              <w:ind w:right="-534"/>
              <w:rPr>
                <w:rFonts w:ascii="Calibri" w:hAnsi="Calibri" w:cs="Calibri"/>
                <w:bCs/>
                <w:sz w:val="20"/>
                <w:szCs w:val="20"/>
              </w:rPr>
            </w:pPr>
            <w:r>
              <w:rPr>
                <w:rFonts w:ascii="Calibri" w:hAnsi="Calibri" w:cs="Calibri"/>
                <w:bCs/>
                <w:sz w:val="20"/>
                <w:szCs w:val="20"/>
              </w:rPr>
              <w:lastRenderedPageBreak/>
              <w:t>4.</w:t>
            </w:r>
          </w:p>
        </w:tc>
        <w:tc>
          <w:tcPr>
            <w:tcW w:w="1843" w:type="dxa"/>
            <w:vAlign w:val="center"/>
          </w:tcPr>
          <w:p w14:paraId="77C4F7D2" w14:textId="5BB93790" w:rsidR="00EA3277" w:rsidRPr="00AB6479" w:rsidRDefault="00EA3277" w:rsidP="00AB6479">
            <w:pPr>
              <w:spacing w:before="120" w:after="120"/>
              <w:jc w:val="center"/>
              <w:rPr>
                <w:rFonts w:ascii="Calibri" w:hAnsi="Calibri" w:cs="Calibri"/>
                <w:b/>
                <w:sz w:val="20"/>
                <w:szCs w:val="20"/>
              </w:rPr>
            </w:pPr>
            <w:r>
              <w:rPr>
                <w:rFonts w:ascii="Calibri" w:hAnsi="Calibri" w:cs="Calibri"/>
                <w:b/>
                <w:sz w:val="20"/>
                <w:szCs w:val="20"/>
              </w:rPr>
              <w:t>SN</w:t>
            </w:r>
          </w:p>
        </w:tc>
        <w:tc>
          <w:tcPr>
            <w:tcW w:w="1843" w:type="dxa"/>
            <w:vAlign w:val="center"/>
          </w:tcPr>
          <w:p w14:paraId="05914E61" w14:textId="77777777" w:rsidR="00EA3277" w:rsidRPr="00AB6479" w:rsidRDefault="00EA3277" w:rsidP="00EA3277">
            <w:pPr>
              <w:spacing w:before="120" w:after="120" w:line="276" w:lineRule="auto"/>
              <w:jc w:val="center"/>
              <w:rPr>
                <w:rFonts w:ascii="Calibri" w:hAnsi="Calibri" w:cs="Calibri"/>
                <w:bCs/>
                <w:sz w:val="20"/>
                <w:szCs w:val="20"/>
              </w:rPr>
            </w:pPr>
            <w:r w:rsidRPr="00AB6479">
              <w:rPr>
                <w:rFonts w:ascii="Calibri" w:hAnsi="Calibri" w:cs="Calibri"/>
                <w:bCs/>
                <w:sz w:val="20"/>
                <w:szCs w:val="20"/>
              </w:rPr>
              <w:t xml:space="preserve">Art. 1 pkt 5 projektu </w:t>
            </w:r>
          </w:p>
          <w:p w14:paraId="5A6437E9" w14:textId="7B7D04F6" w:rsidR="00EA3277" w:rsidRPr="00AB6479" w:rsidRDefault="00EA3277" w:rsidP="00EA3277">
            <w:pPr>
              <w:spacing w:before="120" w:after="120"/>
              <w:jc w:val="center"/>
              <w:rPr>
                <w:rFonts w:ascii="Calibri" w:hAnsi="Calibri" w:cs="Calibri"/>
                <w:bCs/>
                <w:sz w:val="20"/>
                <w:szCs w:val="20"/>
              </w:rPr>
            </w:pPr>
            <w:r w:rsidRPr="00AB6479">
              <w:rPr>
                <w:rFonts w:ascii="Calibri" w:hAnsi="Calibri" w:cs="Calibri"/>
                <w:bCs/>
                <w:sz w:val="20"/>
                <w:szCs w:val="20"/>
              </w:rPr>
              <w:t>(art. 954</w:t>
            </w:r>
            <w:r w:rsidRPr="00AB6479">
              <w:rPr>
                <w:rFonts w:ascii="Calibri" w:hAnsi="Calibri" w:cs="Calibri"/>
                <w:bCs/>
                <w:sz w:val="20"/>
                <w:szCs w:val="20"/>
                <w:vertAlign w:val="superscript"/>
              </w:rPr>
              <w:t>1</w:t>
            </w:r>
            <w:r>
              <w:rPr>
                <w:rFonts w:ascii="Calibri" w:hAnsi="Calibri" w:cs="Calibri"/>
                <w:bCs/>
                <w:sz w:val="20"/>
                <w:szCs w:val="20"/>
              </w:rPr>
              <w:t xml:space="preserve"> </w:t>
            </w:r>
            <w:r w:rsidRPr="00AB6479">
              <w:rPr>
                <w:rFonts w:ascii="Calibri" w:hAnsi="Calibri" w:cs="Calibri"/>
                <w:bCs/>
                <w:sz w:val="20"/>
                <w:szCs w:val="20"/>
              </w:rPr>
              <w:t>k.c.)</w:t>
            </w:r>
          </w:p>
        </w:tc>
        <w:tc>
          <w:tcPr>
            <w:tcW w:w="5670" w:type="dxa"/>
            <w:vAlign w:val="center"/>
          </w:tcPr>
          <w:p w14:paraId="280FAFFB" w14:textId="77777777" w:rsidR="00EA3277" w:rsidRPr="00EA3277" w:rsidRDefault="00EA3277" w:rsidP="00EA3277">
            <w:pPr>
              <w:autoSpaceDE w:val="0"/>
              <w:autoSpaceDN w:val="0"/>
              <w:adjustRightInd w:val="0"/>
              <w:spacing w:line="276" w:lineRule="auto"/>
              <w:jc w:val="both"/>
              <w:rPr>
                <w:rFonts w:cstheme="minorHAnsi"/>
                <w:bCs/>
                <w:sz w:val="20"/>
                <w:szCs w:val="20"/>
              </w:rPr>
            </w:pPr>
            <w:r w:rsidRPr="00EA3277">
              <w:rPr>
                <w:rFonts w:cstheme="minorHAnsi"/>
                <w:bCs/>
                <w:sz w:val="20"/>
                <w:szCs w:val="20"/>
              </w:rPr>
              <w:t>Zgodnie z brzmieniem projektowanego § 1 in fine artykułu 954</w:t>
            </w:r>
            <w:r w:rsidRPr="005D77B1">
              <w:rPr>
                <w:rFonts w:cstheme="minorHAnsi"/>
                <w:bCs/>
                <w:sz w:val="20"/>
                <w:szCs w:val="20"/>
                <w:vertAlign w:val="superscript"/>
              </w:rPr>
              <w:t>1</w:t>
            </w:r>
            <w:r w:rsidRPr="00EA3277">
              <w:rPr>
                <w:rFonts w:cstheme="minorHAnsi"/>
                <w:bCs/>
                <w:sz w:val="20"/>
                <w:szCs w:val="20"/>
              </w:rPr>
              <w:t xml:space="preserve"> k.c., testament wojskowy może sporządzić także „inna osoba zaangażowana w działania zbrojne”. Pojęcie „zaangażowanie” jest bardzo „pojemne”, wieloznaczne. Może budzić wątpliwości interpretacyjne. W uzasadnieniu projektu ustawy wymieniono takie osoby i sytuacje, ale nie jest to wiążące, ma jedynie charakter przykładowy. </w:t>
            </w:r>
          </w:p>
          <w:p w14:paraId="7CDF0347" w14:textId="77777777" w:rsidR="00EA3277" w:rsidRPr="00EA3277" w:rsidRDefault="00EA3277" w:rsidP="00EA3277">
            <w:pPr>
              <w:autoSpaceDE w:val="0"/>
              <w:autoSpaceDN w:val="0"/>
              <w:adjustRightInd w:val="0"/>
              <w:spacing w:line="276" w:lineRule="auto"/>
              <w:jc w:val="both"/>
              <w:rPr>
                <w:rFonts w:cstheme="minorHAnsi"/>
                <w:bCs/>
                <w:sz w:val="20"/>
                <w:szCs w:val="20"/>
              </w:rPr>
            </w:pPr>
            <w:r w:rsidRPr="00EA3277">
              <w:rPr>
                <w:rFonts w:cstheme="minorHAnsi"/>
                <w:bCs/>
                <w:sz w:val="20"/>
                <w:szCs w:val="20"/>
              </w:rPr>
              <w:t>Celowe byłoby rozważenie możliwości upoważnienia ministra właściwego do spraw obrony narodowej do wydania rozporządzenia określającego czynności/zachowania charakteryzujące „zaangażowanie” w działania zbrojne w rozumieniu art. 954</w:t>
            </w:r>
            <w:r w:rsidRPr="000D5447">
              <w:rPr>
                <w:rFonts w:cstheme="minorHAnsi"/>
                <w:bCs/>
                <w:sz w:val="20"/>
                <w:szCs w:val="20"/>
                <w:vertAlign w:val="superscript"/>
              </w:rPr>
              <w:t>1</w:t>
            </w:r>
            <w:r w:rsidRPr="00EA3277">
              <w:rPr>
                <w:rFonts w:cstheme="minorHAnsi"/>
                <w:bCs/>
                <w:sz w:val="20"/>
                <w:szCs w:val="20"/>
              </w:rPr>
              <w:t xml:space="preserve"> § 1 k.c., </w:t>
            </w:r>
            <w:r w:rsidRPr="000D5447">
              <w:rPr>
                <w:rFonts w:cstheme="minorHAnsi"/>
                <w:b/>
                <w:sz w:val="20"/>
                <w:szCs w:val="20"/>
              </w:rPr>
              <w:t>ewentualnie</w:t>
            </w:r>
            <w:r w:rsidRPr="00EA3277">
              <w:rPr>
                <w:rFonts w:cstheme="minorHAnsi"/>
                <w:bCs/>
                <w:sz w:val="20"/>
                <w:szCs w:val="20"/>
              </w:rPr>
              <w:t xml:space="preserve"> wskazanie kryteriów pozwalających na ustalenie grupy osób, które, mimo że nie mają statusu „żołnierzy Sił Zbrojnych Rzeczypospolitej Polskiej” ani nie są „osobami pełniącymi służbę w jednostkach zmilitaryzowanych”, są uprawnione do sporządzenia testamentu wojskowego w konsekwencji swojego „zaangażowania w działania zbrojne”.</w:t>
            </w:r>
          </w:p>
          <w:p w14:paraId="128DA57E" w14:textId="77777777" w:rsidR="00EA3277" w:rsidRDefault="00EA3277" w:rsidP="00EA3277">
            <w:pPr>
              <w:autoSpaceDE w:val="0"/>
              <w:autoSpaceDN w:val="0"/>
              <w:adjustRightInd w:val="0"/>
              <w:spacing w:line="276" w:lineRule="auto"/>
              <w:jc w:val="both"/>
              <w:rPr>
                <w:rFonts w:cstheme="minorHAnsi"/>
                <w:bCs/>
                <w:sz w:val="20"/>
                <w:szCs w:val="20"/>
              </w:rPr>
            </w:pPr>
            <w:r w:rsidRPr="00EA3277">
              <w:rPr>
                <w:rFonts w:cstheme="minorHAnsi"/>
                <w:bCs/>
                <w:sz w:val="20"/>
                <w:szCs w:val="20"/>
              </w:rPr>
              <w:t xml:space="preserve">Zapewne, o ile taka delegacja dla ministra właściwego do spraw obrony narodowej zostałaby przewidziana, stosowne </w:t>
            </w:r>
            <w:r w:rsidRPr="00EA3277">
              <w:rPr>
                <w:rFonts w:cstheme="minorHAnsi"/>
                <w:bCs/>
                <w:sz w:val="20"/>
                <w:szCs w:val="20"/>
              </w:rPr>
              <w:lastRenderedPageBreak/>
              <w:t>rozporządzenie mogłyby być wielokrotnie zmieniane wraz ze zmianami stanu wiedzy na temat konfliktów zbrojnych zachodzących w danym czasie (aktualnie stosowne rozeznanie wynika z wiedzy o przebiegu wojny obronnej toczonej w Ukrainie).</w:t>
            </w:r>
          </w:p>
          <w:p w14:paraId="6906F65F" w14:textId="77777777" w:rsidR="00C74037" w:rsidRPr="00EA3277" w:rsidRDefault="00C74037" w:rsidP="00EA3277">
            <w:pPr>
              <w:autoSpaceDE w:val="0"/>
              <w:autoSpaceDN w:val="0"/>
              <w:adjustRightInd w:val="0"/>
              <w:spacing w:line="276" w:lineRule="auto"/>
              <w:jc w:val="both"/>
              <w:rPr>
                <w:rFonts w:cstheme="minorHAnsi"/>
                <w:bCs/>
                <w:sz w:val="20"/>
                <w:szCs w:val="20"/>
              </w:rPr>
            </w:pPr>
          </w:p>
          <w:p w14:paraId="5F129F6C" w14:textId="77777777" w:rsidR="00EA3277" w:rsidRPr="00EA3277" w:rsidRDefault="00EA3277" w:rsidP="00EA3277">
            <w:pPr>
              <w:autoSpaceDE w:val="0"/>
              <w:autoSpaceDN w:val="0"/>
              <w:adjustRightInd w:val="0"/>
              <w:spacing w:line="276" w:lineRule="auto"/>
              <w:jc w:val="both"/>
              <w:rPr>
                <w:rFonts w:cstheme="minorHAnsi"/>
                <w:bCs/>
                <w:sz w:val="20"/>
                <w:szCs w:val="20"/>
              </w:rPr>
            </w:pPr>
            <w:r w:rsidRPr="00EA3277">
              <w:rPr>
                <w:rFonts w:cstheme="minorHAnsi"/>
                <w:bCs/>
                <w:sz w:val="20"/>
                <w:szCs w:val="20"/>
              </w:rPr>
              <w:t>Wydaje się też godne rozważenia doprecyzowanie § 4 omawianego artykułu, który dotyczy szczególnie dramatycznej sytuacji ciężko rannego i/lub ciężko chorego spadkodawcy, gdy obawa jego rychłej śmieci jest bardzo poważna. Przepis przewiduje, że treść testamentu powinna być w ciągu roku od dnia otwarcia spadku stwierdzona przez zgodne zeznania świadków złożone przed sądem, a do zachowania tego terminu wystarczy złożenie przed jego upływem wniosku do sądu spadku o przesłuchanie świadków. Tymczasem może się zdarzyć, że po śmierci testatora rychło po sporządzeniu testamentu (np. wskutek odniesionych ran, bądź kolejnego zdarzenia wojennego pozbawiającego go życia) działania wojenne wpływające na funkcjonowanie sądów i osób zainteresowanych będą nadal trwały, a rozwiązania zaproponowane dla sytuacji opisanej w art. 954</w:t>
            </w:r>
            <w:r w:rsidRPr="009D2044">
              <w:rPr>
                <w:rFonts w:cstheme="minorHAnsi"/>
                <w:bCs/>
                <w:sz w:val="20"/>
                <w:szCs w:val="20"/>
                <w:vertAlign w:val="superscript"/>
              </w:rPr>
              <w:t>1</w:t>
            </w:r>
            <w:r w:rsidRPr="00EA3277">
              <w:rPr>
                <w:rFonts w:cstheme="minorHAnsi"/>
                <w:bCs/>
                <w:sz w:val="20"/>
                <w:szCs w:val="20"/>
              </w:rPr>
              <w:t xml:space="preserve"> § 4 k.c. w projektowanych przepisach postępowania (art. 663</w:t>
            </w:r>
            <w:r w:rsidRPr="009D2044">
              <w:rPr>
                <w:rFonts w:cstheme="minorHAnsi"/>
                <w:bCs/>
                <w:sz w:val="20"/>
                <w:szCs w:val="20"/>
                <w:vertAlign w:val="superscript"/>
              </w:rPr>
              <w:t>1</w:t>
            </w:r>
            <w:r w:rsidRPr="00EA3277">
              <w:rPr>
                <w:rFonts w:cstheme="minorHAnsi"/>
                <w:bCs/>
                <w:sz w:val="20"/>
                <w:szCs w:val="20"/>
              </w:rPr>
              <w:t>–663</w:t>
            </w:r>
            <w:r w:rsidRPr="009D2044">
              <w:rPr>
                <w:rFonts w:cstheme="minorHAnsi"/>
                <w:bCs/>
                <w:sz w:val="20"/>
                <w:szCs w:val="20"/>
                <w:vertAlign w:val="superscript"/>
              </w:rPr>
              <w:t>2</w:t>
            </w:r>
            <w:r w:rsidRPr="00EA3277">
              <w:rPr>
                <w:rFonts w:cstheme="minorHAnsi"/>
                <w:bCs/>
                <w:sz w:val="20"/>
                <w:szCs w:val="20"/>
              </w:rPr>
              <w:t xml:space="preserve"> k.p.c.) nie będą mogły być zastosowane.</w:t>
            </w:r>
          </w:p>
          <w:p w14:paraId="51C1D2F7" w14:textId="687AEB77" w:rsidR="00EA3277" w:rsidRPr="00EA3277" w:rsidRDefault="00EA3277" w:rsidP="00EA3277">
            <w:pPr>
              <w:autoSpaceDE w:val="0"/>
              <w:autoSpaceDN w:val="0"/>
              <w:adjustRightInd w:val="0"/>
              <w:spacing w:line="276" w:lineRule="auto"/>
              <w:jc w:val="both"/>
              <w:rPr>
                <w:rFonts w:cstheme="minorHAnsi"/>
                <w:bCs/>
                <w:sz w:val="20"/>
                <w:szCs w:val="20"/>
              </w:rPr>
            </w:pPr>
            <w:r w:rsidRPr="00EA3277">
              <w:rPr>
                <w:rFonts w:cstheme="minorHAnsi"/>
                <w:bCs/>
                <w:sz w:val="20"/>
                <w:szCs w:val="20"/>
              </w:rPr>
              <w:t>Być może, dla jasności sytuacji dla zainteresowanych celowe byłoby jednoznaczne stwierdzenie w tym przepisie, że termin nie biegnie, gdy złożenie wniosku do sądu spadku o przesłuchanie świadków jest niemożliwe albo nadmiernie utrudnione w związku z trwaniem działań zbrojnych.</w:t>
            </w:r>
          </w:p>
        </w:tc>
        <w:tc>
          <w:tcPr>
            <w:tcW w:w="4076" w:type="dxa"/>
          </w:tcPr>
          <w:p w14:paraId="3EAB3BBB" w14:textId="278AA22B" w:rsidR="00244A55" w:rsidRPr="006C0013" w:rsidRDefault="00244A55" w:rsidP="006C0013">
            <w:pPr>
              <w:autoSpaceDE w:val="0"/>
              <w:autoSpaceDN w:val="0"/>
              <w:adjustRightInd w:val="0"/>
              <w:spacing w:line="276" w:lineRule="auto"/>
              <w:jc w:val="both"/>
              <w:rPr>
                <w:rFonts w:eastAsia="Times New Roman" w:cstheme="minorHAnsi"/>
                <w:b/>
                <w:sz w:val="20"/>
                <w:szCs w:val="20"/>
                <w:lang w:eastAsia="pl-PL"/>
              </w:rPr>
            </w:pPr>
            <w:r w:rsidRPr="006C0013">
              <w:rPr>
                <w:rFonts w:eastAsia="Times New Roman" w:cstheme="minorHAnsi"/>
                <w:b/>
                <w:sz w:val="20"/>
                <w:szCs w:val="20"/>
                <w:lang w:eastAsia="pl-PL"/>
              </w:rPr>
              <w:lastRenderedPageBreak/>
              <w:t>Uwag</w:t>
            </w:r>
            <w:r w:rsidR="00CB559C" w:rsidRPr="006C0013">
              <w:rPr>
                <w:rFonts w:eastAsia="Times New Roman" w:cstheme="minorHAnsi"/>
                <w:b/>
                <w:sz w:val="20"/>
                <w:szCs w:val="20"/>
                <w:lang w:eastAsia="pl-PL"/>
              </w:rPr>
              <w:t>i</w:t>
            </w:r>
            <w:r w:rsidRPr="006C0013">
              <w:rPr>
                <w:rFonts w:eastAsia="Times New Roman" w:cstheme="minorHAnsi"/>
                <w:b/>
                <w:sz w:val="20"/>
                <w:szCs w:val="20"/>
                <w:lang w:eastAsia="pl-PL"/>
              </w:rPr>
              <w:t xml:space="preserve"> </w:t>
            </w:r>
            <w:r w:rsidR="0056761A" w:rsidRPr="006C0013">
              <w:rPr>
                <w:rFonts w:eastAsia="Times New Roman" w:cstheme="minorHAnsi"/>
                <w:b/>
                <w:sz w:val="20"/>
                <w:szCs w:val="20"/>
                <w:lang w:eastAsia="pl-PL"/>
              </w:rPr>
              <w:t xml:space="preserve">częściowo </w:t>
            </w:r>
            <w:r w:rsidRPr="006C0013">
              <w:rPr>
                <w:rFonts w:eastAsia="Times New Roman" w:cstheme="minorHAnsi"/>
                <w:b/>
                <w:sz w:val="20"/>
                <w:szCs w:val="20"/>
                <w:lang w:eastAsia="pl-PL"/>
              </w:rPr>
              <w:t>uwzględnion</w:t>
            </w:r>
            <w:r w:rsidR="00CB559C" w:rsidRPr="006C0013">
              <w:rPr>
                <w:rFonts w:eastAsia="Times New Roman" w:cstheme="minorHAnsi"/>
                <w:b/>
                <w:sz w:val="20"/>
                <w:szCs w:val="20"/>
                <w:lang w:eastAsia="pl-PL"/>
              </w:rPr>
              <w:t>e</w:t>
            </w:r>
          </w:p>
          <w:p w14:paraId="79BD74F2" w14:textId="6F46B9B4" w:rsidR="00CB559C" w:rsidRPr="006C0013" w:rsidRDefault="00CB559C" w:rsidP="006C0013">
            <w:pPr>
              <w:autoSpaceDE w:val="0"/>
              <w:autoSpaceDN w:val="0"/>
              <w:adjustRightInd w:val="0"/>
              <w:spacing w:line="276" w:lineRule="auto"/>
              <w:jc w:val="both"/>
              <w:rPr>
                <w:rFonts w:eastAsia="Times New Roman" w:cstheme="minorHAnsi"/>
                <w:bCs/>
                <w:sz w:val="20"/>
                <w:szCs w:val="20"/>
                <w:lang w:eastAsia="pl-PL"/>
              </w:rPr>
            </w:pPr>
            <w:r w:rsidRPr="006C0013">
              <w:rPr>
                <w:rFonts w:eastAsia="Times New Roman" w:cstheme="minorHAnsi"/>
                <w:bCs/>
                <w:sz w:val="20"/>
                <w:szCs w:val="20"/>
                <w:lang w:eastAsia="pl-PL"/>
              </w:rPr>
              <w:t>W 954</w:t>
            </w:r>
            <w:r w:rsidRPr="006C0013">
              <w:rPr>
                <w:rFonts w:eastAsia="Times New Roman" w:cstheme="minorHAnsi"/>
                <w:bCs/>
                <w:sz w:val="20"/>
                <w:szCs w:val="20"/>
                <w:vertAlign w:val="superscript"/>
                <w:lang w:eastAsia="pl-PL"/>
              </w:rPr>
              <w:t>1</w:t>
            </w:r>
            <w:r w:rsidRPr="006C0013">
              <w:rPr>
                <w:rFonts w:eastAsia="Times New Roman" w:cstheme="minorHAnsi"/>
                <w:bCs/>
                <w:sz w:val="20"/>
                <w:szCs w:val="20"/>
                <w:lang w:eastAsia="pl-PL"/>
              </w:rPr>
              <w:t xml:space="preserve"> § 4 </w:t>
            </w:r>
            <w:proofErr w:type="spellStart"/>
            <w:r w:rsidRPr="006C0013">
              <w:rPr>
                <w:rFonts w:eastAsia="Times New Roman" w:cstheme="minorHAnsi"/>
                <w:bCs/>
                <w:sz w:val="20"/>
                <w:szCs w:val="20"/>
                <w:lang w:eastAsia="pl-PL"/>
              </w:rPr>
              <w:t>zd</w:t>
            </w:r>
            <w:proofErr w:type="spellEnd"/>
            <w:r w:rsidRPr="006C0013">
              <w:rPr>
                <w:rFonts w:eastAsia="Times New Roman" w:cstheme="minorHAnsi"/>
                <w:bCs/>
                <w:sz w:val="20"/>
                <w:szCs w:val="20"/>
                <w:lang w:eastAsia="pl-PL"/>
              </w:rPr>
              <w:t xml:space="preserve"> 4 k.c. jednoznacznie przesądzono, że bieg terminu z art. 954</w:t>
            </w:r>
            <w:r w:rsidRPr="006C0013">
              <w:rPr>
                <w:rFonts w:eastAsia="Times New Roman" w:cstheme="minorHAnsi"/>
                <w:bCs/>
                <w:sz w:val="20"/>
                <w:szCs w:val="20"/>
                <w:vertAlign w:val="superscript"/>
                <w:lang w:eastAsia="pl-PL"/>
              </w:rPr>
              <w:t>1</w:t>
            </w:r>
            <w:r w:rsidRPr="006C0013">
              <w:rPr>
                <w:rFonts w:eastAsia="Times New Roman" w:cstheme="minorHAnsi"/>
                <w:bCs/>
                <w:sz w:val="20"/>
                <w:szCs w:val="20"/>
                <w:lang w:eastAsia="pl-PL"/>
              </w:rPr>
              <w:t xml:space="preserve"> § 4 </w:t>
            </w:r>
            <w:proofErr w:type="spellStart"/>
            <w:r w:rsidR="00B07CBE" w:rsidRPr="006C0013">
              <w:rPr>
                <w:rFonts w:eastAsia="Times New Roman" w:cstheme="minorHAnsi"/>
                <w:bCs/>
                <w:sz w:val="20"/>
                <w:szCs w:val="20"/>
                <w:lang w:eastAsia="pl-PL"/>
              </w:rPr>
              <w:t>zd</w:t>
            </w:r>
            <w:proofErr w:type="spellEnd"/>
            <w:r w:rsidR="00B07CBE" w:rsidRPr="006C0013">
              <w:rPr>
                <w:rFonts w:eastAsia="Times New Roman" w:cstheme="minorHAnsi"/>
                <w:bCs/>
                <w:sz w:val="20"/>
                <w:szCs w:val="20"/>
                <w:lang w:eastAsia="pl-PL"/>
              </w:rPr>
              <w:t xml:space="preserve">. 2 </w:t>
            </w:r>
            <w:r w:rsidRPr="006C0013">
              <w:rPr>
                <w:rFonts w:eastAsia="Times New Roman" w:cstheme="minorHAnsi"/>
                <w:bCs/>
                <w:sz w:val="20"/>
                <w:szCs w:val="20"/>
                <w:lang w:eastAsia="pl-PL"/>
              </w:rPr>
              <w:t>k.c. ulega zawieszeniu, jeżeli złożenie wniosku do sądu spadku lub przesłuchanie świadków nie jest możliwe z powodu siły wyższej.</w:t>
            </w:r>
          </w:p>
          <w:p w14:paraId="4D82E9EB" w14:textId="77777777" w:rsidR="00CB559C" w:rsidRPr="006C0013" w:rsidRDefault="00CB559C" w:rsidP="006C0013">
            <w:pPr>
              <w:autoSpaceDE w:val="0"/>
              <w:autoSpaceDN w:val="0"/>
              <w:adjustRightInd w:val="0"/>
              <w:spacing w:line="276" w:lineRule="auto"/>
              <w:jc w:val="both"/>
              <w:rPr>
                <w:rFonts w:eastAsia="Times New Roman" w:cstheme="minorHAnsi"/>
                <w:b/>
                <w:sz w:val="20"/>
                <w:szCs w:val="20"/>
                <w:lang w:eastAsia="pl-PL"/>
              </w:rPr>
            </w:pPr>
          </w:p>
          <w:p w14:paraId="7338A299" w14:textId="77777777" w:rsidR="00B6142A" w:rsidRPr="0000211D" w:rsidRDefault="00B6142A" w:rsidP="006C0013">
            <w:pPr>
              <w:autoSpaceDE w:val="0"/>
              <w:autoSpaceDN w:val="0"/>
              <w:adjustRightInd w:val="0"/>
              <w:spacing w:line="276" w:lineRule="auto"/>
              <w:jc w:val="both"/>
              <w:rPr>
                <w:rFonts w:cstheme="minorHAnsi"/>
                <w:bCs/>
                <w:sz w:val="20"/>
                <w:szCs w:val="20"/>
              </w:rPr>
            </w:pPr>
            <w:r w:rsidRPr="0000211D">
              <w:rPr>
                <w:rFonts w:cstheme="minorHAnsi"/>
                <w:bCs/>
                <w:sz w:val="20"/>
                <w:szCs w:val="20"/>
              </w:rPr>
              <w:t xml:space="preserve">Pojęcie „inna osoba zaangażowane w działania zbrojne” celowo zostało w pracach Zespołu problemowego do spraw prawa spadkowego Komisji Kodyfikacyjnej Prawa Cywilnego ujęte w sposób bardzo szeroki. Pojęcie „innych osób zaangażowanych w działania zbrojne” ma bowiem obejmować swoim zakresem wszystkie osoby uwzględniona w obecnych przepisach rozporządzenia Ministra Obrony Narodowej z 1965 r., a także podmioty, na które zwrócono uwagę w opiniach, jakie do pierwotnego projektu ustawy wpłynęły w toku konsultacji </w:t>
            </w:r>
            <w:r w:rsidRPr="0000211D">
              <w:rPr>
                <w:rFonts w:cstheme="minorHAnsi"/>
                <w:bCs/>
                <w:sz w:val="20"/>
                <w:szCs w:val="20"/>
              </w:rPr>
              <w:lastRenderedPageBreak/>
              <w:t>społecznych. Pojęcie to powinno być zarazem interpretowane elastycznie w sposób dostosowany do okoliczności danego przypadku i zmieniających się form, w jakich toczą się nowoczesne działania zbrojne.</w:t>
            </w:r>
          </w:p>
          <w:p w14:paraId="64BFA8DD" w14:textId="3414A37D" w:rsidR="00244A55" w:rsidRPr="0000211D" w:rsidRDefault="00244A55" w:rsidP="006C0013">
            <w:pPr>
              <w:autoSpaceDE w:val="0"/>
              <w:autoSpaceDN w:val="0"/>
              <w:adjustRightInd w:val="0"/>
              <w:spacing w:line="276" w:lineRule="auto"/>
              <w:jc w:val="both"/>
              <w:rPr>
                <w:rFonts w:cstheme="minorHAnsi"/>
                <w:bCs/>
                <w:sz w:val="20"/>
                <w:szCs w:val="20"/>
              </w:rPr>
            </w:pPr>
          </w:p>
          <w:p w14:paraId="13C72819" w14:textId="68EC01D3" w:rsidR="00244A55" w:rsidRPr="00AB6479" w:rsidRDefault="00244A55" w:rsidP="006C0013">
            <w:pPr>
              <w:autoSpaceDE w:val="0"/>
              <w:autoSpaceDN w:val="0"/>
              <w:adjustRightInd w:val="0"/>
              <w:spacing w:line="276" w:lineRule="auto"/>
              <w:jc w:val="both"/>
              <w:rPr>
                <w:rFonts w:ascii="Calibri" w:eastAsia="Times New Roman" w:hAnsi="Calibri" w:cs="Calibri"/>
                <w:bCs/>
                <w:sz w:val="20"/>
                <w:szCs w:val="20"/>
                <w:lang w:eastAsia="pl-PL"/>
              </w:rPr>
            </w:pPr>
            <w:r w:rsidRPr="0000211D">
              <w:rPr>
                <w:rFonts w:cstheme="minorHAnsi"/>
                <w:bCs/>
                <w:sz w:val="20"/>
                <w:szCs w:val="20"/>
              </w:rPr>
              <w:t xml:space="preserve">Założeniem </w:t>
            </w:r>
            <w:r w:rsidR="00B6142A" w:rsidRPr="0000211D">
              <w:rPr>
                <w:rFonts w:cstheme="minorHAnsi"/>
                <w:bCs/>
                <w:sz w:val="20"/>
                <w:szCs w:val="20"/>
              </w:rPr>
              <w:t xml:space="preserve">Komisji Kodyfikacyjnej Prawa Cywilnego </w:t>
            </w:r>
            <w:r w:rsidRPr="0000211D">
              <w:rPr>
                <w:rFonts w:cstheme="minorHAnsi"/>
                <w:bCs/>
                <w:sz w:val="20"/>
                <w:szCs w:val="20"/>
              </w:rPr>
              <w:t>było to, aby testament wojskow</w:t>
            </w:r>
            <w:r w:rsidR="00B6142A" w:rsidRPr="006C0013">
              <w:rPr>
                <w:rFonts w:cstheme="minorHAnsi"/>
                <w:bCs/>
                <w:sz w:val="20"/>
                <w:szCs w:val="20"/>
              </w:rPr>
              <w:t>y</w:t>
            </w:r>
            <w:r w:rsidRPr="0000211D">
              <w:rPr>
                <w:rFonts w:cstheme="minorHAnsi"/>
                <w:bCs/>
                <w:sz w:val="20"/>
                <w:szCs w:val="20"/>
              </w:rPr>
              <w:t xml:space="preserve"> został uregulowan</w:t>
            </w:r>
            <w:r w:rsidR="00B6142A" w:rsidRPr="006C0013">
              <w:rPr>
                <w:rFonts w:cstheme="minorHAnsi"/>
                <w:bCs/>
                <w:sz w:val="20"/>
                <w:szCs w:val="20"/>
              </w:rPr>
              <w:t>y</w:t>
            </w:r>
            <w:r w:rsidRPr="0000211D">
              <w:rPr>
                <w:rFonts w:cstheme="minorHAnsi"/>
                <w:bCs/>
                <w:sz w:val="20"/>
                <w:szCs w:val="20"/>
              </w:rPr>
              <w:t xml:space="preserve"> </w:t>
            </w:r>
            <w:r w:rsidR="00B6142A" w:rsidRPr="006C0013">
              <w:rPr>
                <w:rFonts w:cstheme="minorHAnsi"/>
                <w:bCs/>
                <w:sz w:val="20"/>
                <w:szCs w:val="20"/>
              </w:rPr>
              <w:t>w całości w</w:t>
            </w:r>
            <w:r w:rsidRPr="0000211D">
              <w:rPr>
                <w:rFonts w:cstheme="minorHAnsi"/>
                <w:bCs/>
                <w:sz w:val="20"/>
                <w:szCs w:val="20"/>
              </w:rPr>
              <w:t xml:space="preserve"> Kodeksie cywilnym. </w:t>
            </w:r>
            <w:r w:rsidR="00B6142A" w:rsidRPr="006C0013">
              <w:rPr>
                <w:rFonts w:cstheme="minorHAnsi"/>
                <w:bCs/>
                <w:sz w:val="20"/>
                <w:szCs w:val="20"/>
              </w:rPr>
              <w:t>Wynika to z faktu, że całość przepisów regulujących formę testamentu jako tzw. materia kodeksowa, powinna być unormowana w Kodeksie cywilnym.</w:t>
            </w:r>
            <w:r w:rsidR="00CB559C" w:rsidRPr="0000211D">
              <w:rPr>
                <w:rFonts w:cstheme="minorHAnsi"/>
                <w:bCs/>
                <w:sz w:val="20"/>
                <w:szCs w:val="20"/>
              </w:rPr>
              <w:t xml:space="preserve"> Z tego też względu (oraz aby uniknąć zarzutu ewentualnej niekonstytucyjności takiej regulacji) odstąpiono od choćby częściowej regulacji omawianej formy testamentu w przepisach pozakodeksowych.</w:t>
            </w:r>
          </w:p>
        </w:tc>
      </w:tr>
      <w:tr w:rsidR="00922F6F" w:rsidRPr="00AB6479" w14:paraId="388B76F3" w14:textId="77777777" w:rsidTr="00EF0179">
        <w:trPr>
          <w:trHeight w:val="590"/>
          <w:jc w:val="center"/>
        </w:trPr>
        <w:tc>
          <w:tcPr>
            <w:tcW w:w="562" w:type="dxa"/>
          </w:tcPr>
          <w:p w14:paraId="1CB783B0" w14:textId="5FD2A383" w:rsidR="00922F6F" w:rsidRPr="00AB6479" w:rsidRDefault="00EA3277" w:rsidP="00AB6479">
            <w:pPr>
              <w:spacing w:before="120" w:line="276" w:lineRule="auto"/>
              <w:ind w:right="-534"/>
              <w:rPr>
                <w:rFonts w:ascii="Calibri" w:hAnsi="Calibri" w:cs="Calibri"/>
                <w:bCs/>
                <w:sz w:val="20"/>
                <w:szCs w:val="20"/>
              </w:rPr>
            </w:pPr>
            <w:r>
              <w:rPr>
                <w:rFonts w:ascii="Calibri" w:hAnsi="Calibri" w:cs="Calibri"/>
                <w:bCs/>
                <w:sz w:val="20"/>
                <w:szCs w:val="20"/>
              </w:rPr>
              <w:lastRenderedPageBreak/>
              <w:t>5</w:t>
            </w:r>
            <w:r w:rsidR="00AB6479">
              <w:rPr>
                <w:rFonts w:ascii="Calibri" w:hAnsi="Calibri" w:cs="Calibri"/>
                <w:bCs/>
                <w:sz w:val="20"/>
                <w:szCs w:val="20"/>
              </w:rPr>
              <w:t>.</w:t>
            </w:r>
          </w:p>
        </w:tc>
        <w:tc>
          <w:tcPr>
            <w:tcW w:w="1843" w:type="dxa"/>
            <w:vAlign w:val="center"/>
          </w:tcPr>
          <w:p w14:paraId="4743AE02" w14:textId="56044A69"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0795CB99" w14:textId="77777777" w:rsidR="00922F6F" w:rsidRPr="00AB6479" w:rsidRDefault="00922F6F"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 xml:space="preserve">Art. 1 pkt 5 projektu </w:t>
            </w:r>
          </w:p>
          <w:p w14:paraId="0A776FFA" w14:textId="370C3A71" w:rsidR="00922F6F" w:rsidRPr="00AB6479" w:rsidRDefault="00922F6F"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1, 2 i 3 k.c.)</w:t>
            </w:r>
          </w:p>
        </w:tc>
        <w:tc>
          <w:tcPr>
            <w:tcW w:w="5670" w:type="dxa"/>
            <w:vAlign w:val="center"/>
          </w:tcPr>
          <w:p w14:paraId="230F76DB" w14:textId="015CE1B9" w:rsidR="00922F6F" w:rsidRPr="00037D85" w:rsidRDefault="00922F6F" w:rsidP="00037D85">
            <w:pPr>
              <w:autoSpaceDE w:val="0"/>
              <w:autoSpaceDN w:val="0"/>
              <w:adjustRightInd w:val="0"/>
              <w:spacing w:line="276" w:lineRule="auto"/>
              <w:jc w:val="both"/>
              <w:rPr>
                <w:rFonts w:cstheme="minorHAnsi"/>
                <w:bCs/>
                <w:sz w:val="20"/>
                <w:szCs w:val="20"/>
              </w:rPr>
            </w:pPr>
            <w:r w:rsidRPr="00EA3277">
              <w:rPr>
                <w:rFonts w:cstheme="minorHAnsi"/>
                <w:bCs/>
                <w:sz w:val="20"/>
                <w:szCs w:val="20"/>
              </w:rPr>
              <w:t>Proponowany art. 954</w:t>
            </w:r>
            <w:r w:rsidRPr="00EA3277">
              <w:rPr>
                <w:rFonts w:cstheme="minorHAnsi"/>
                <w:bCs/>
                <w:sz w:val="20"/>
                <w:szCs w:val="20"/>
                <w:vertAlign w:val="superscript"/>
              </w:rPr>
              <w:t>1</w:t>
            </w:r>
            <w:r w:rsidRPr="00EA3277">
              <w:rPr>
                <w:rFonts w:cstheme="minorHAnsi"/>
                <w:bCs/>
                <w:sz w:val="20"/>
                <w:szCs w:val="20"/>
              </w:rPr>
              <w:t xml:space="preserve"> § 1, 2 i 3 k.c. spowoduje, że testament wojskowy będzie mógł być sporządzony tylko na obszarze objętym działaniami zbrojnymi, co oznacza że nie będzie on mógł być sporządzony przez żołnierzy Sił Zbrojnych Rzeczypospolitej, osoby pełniące służbę w jednostkach zmilitaryzowanych oraz inne osoby zaangażowane w działania zbrojne, gdy trafią one do niewoli w miejscu położonym poza obszarem objętym działaniami zbrojnymi. Wydaje się, że sporządzenie testamentu wojskowego powinno być możliwe przez wskazane w tym przepisie osoby w niewoli wojennej niezależnie od tego, gdzie będą one przebywać – czy na obszarze objętym działaniami zbrojnymi, czy też nie.</w:t>
            </w:r>
          </w:p>
        </w:tc>
        <w:tc>
          <w:tcPr>
            <w:tcW w:w="4076" w:type="dxa"/>
          </w:tcPr>
          <w:p w14:paraId="399FBBAC" w14:textId="72163EA9" w:rsidR="009E286A" w:rsidRDefault="00244A55" w:rsidP="00AB6479">
            <w:pPr>
              <w:autoSpaceDE w:val="0"/>
              <w:autoSpaceDN w:val="0"/>
              <w:adjustRightInd w:val="0"/>
              <w:spacing w:line="276" w:lineRule="auto"/>
              <w:rPr>
                <w:rFonts w:ascii="Calibri" w:eastAsia="Times New Roman" w:hAnsi="Calibri" w:cs="Calibri"/>
                <w:b/>
                <w:sz w:val="20"/>
                <w:szCs w:val="20"/>
                <w:lang w:eastAsia="pl-PL"/>
              </w:rPr>
            </w:pPr>
            <w:r>
              <w:rPr>
                <w:rFonts w:ascii="Calibri" w:eastAsia="Times New Roman" w:hAnsi="Calibri" w:cs="Calibri"/>
                <w:b/>
                <w:sz w:val="20"/>
                <w:szCs w:val="20"/>
                <w:lang w:eastAsia="pl-PL"/>
              </w:rPr>
              <w:t>Uwaga uwzględniona</w:t>
            </w:r>
            <w:r w:rsidR="003E2723" w:rsidRPr="003E2723">
              <w:rPr>
                <w:rFonts w:ascii="Calibri" w:eastAsia="Times New Roman" w:hAnsi="Calibri" w:cs="Calibri"/>
                <w:b/>
                <w:sz w:val="20"/>
                <w:szCs w:val="20"/>
                <w:lang w:eastAsia="pl-PL"/>
              </w:rPr>
              <w:t xml:space="preserve"> </w:t>
            </w:r>
          </w:p>
          <w:p w14:paraId="234F6968" w14:textId="0EC4D36D" w:rsidR="00CC1D54" w:rsidRPr="00CC1D54" w:rsidRDefault="00244A55" w:rsidP="00CC1D54">
            <w:pPr>
              <w:autoSpaceDE w:val="0"/>
              <w:autoSpaceDN w:val="0"/>
              <w:adjustRightInd w:val="0"/>
              <w:spacing w:line="276" w:lineRule="auto"/>
              <w:jc w:val="both"/>
              <w:rPr>
                <w:rFonts w:ascii="Calibri" w:eastAsia="Times New Roman" w:hAnsi="Calibri" w:cs="Calibri"/>
                <w:bCs/>
                <w:sz w:val="20"/>
                <w:szCs w:val="20"/>
                <w:lang w:eastAsia="pl-PL"/>
              </w:rPr>
            </w:pPr>
            <w:r w:rsidRPr="009E286A">
              <w:rPr>
                <w:rFonts w:ascii="Calibri" w:eastAsia="Times New Roman" w:hAnsi="Calibri" w:cs="Calibri"/>
                <w:bCs/>
                <w:sz w:val="20"/>
                <w:szCs w:val="20"/>
                <w:lang w:eastAsia="pl-PL"/>
              </w:rPr>
              <w:t>R</w:t>
            </w:r>
            <w:r w:rsidR="00CC1D54" w:rsidRPr="009E286A">
              <w:rPr>
                <w:rFonts w:ascii="Calibri" w:eastAsia="Times New Roman" w:hAnsi="Calibri" w:cs="Calibri"/>
                <w:bCs/>
                <w:sz w:val="20"/>
                <w:szCs w:val="20"/>
                <w:lang w:eastAsia="pl-PL"/>
              </w:rPr>
              <w:t>ozszerz</w:t>
            </w:r>
            <w:r w:rsidRPr="009E286A">
              <w:rPr>
                <w:rFonts w:ascii="Calibri" w:eastAsia="Times New Roman" w:hAnsi="Calibri" w:cs="Calibri"/>
                <w:bCs/>
                <w:sz w:val="20"/>
                <w:szCs w:val="20"/>
                <w:lang w:eastAsia="pl-PL"/>
              </w:rPr>
              <w:t>ono</w:t>
            </w:r>
            <w:r w:rsidR="00CC1D54" w:rsidRPr="009E286A">
              <w:rPr>
                <w:rFonts w:ascii="Calibri" w:eastAsia="Times New Roman" w:hAnsi="Calibri" w:cs="Calibri"/>
                <w:bCs/>
                <w:sz w:val="20"/>
                <w:szCs w:val="20"/>
                <w:lang w:eastAsia="pl-PL"/>
              </w:rPr>
              <w:t xml:space="preserve"> projektowan</w:t>
            </w:r>
            <w:r w:rsidR="006174C8">
              <w:rPr>
                <w:rFonts w:ascii="Calibri" w:eastAsia="Times New Roman" w:hAnsi="Calibri" w:cs="Calibri"/>
                <w:bCs/>
                <w:sz w:val="20"/>
                <w:szCs w:val="20"/>
                <w:lang w:eastAsia="pl-PL"/>
              </w:rPr>
              <w:t>e</w:t>
            </w:r>
            <w:r w:rsidRPr="009E286A">
              <w:rPr>
                <w:rFonts w:ascii="Calibri" w:eastAsia="Times New Roman" w:hAnsi="Calibri" w:cs="Calibri"/>
                <w:bCs/>
                <w:sz w:val="20"/>
                <w:szCs w:val="20"/>
                <w:lang w:eastAsia="pl-PL"/>
              </w:rPr>
              <w:t xml:space="preserve"> § 1 i § 5 </w:t>
            </w:r>
            <w:r w:rsidR="00CC1D54" w:rsidRPr="009E286A">
              <w:rPr>
                <w:rFonts w:ascii="Calibri" w:eastAsia="Times New Roman" w:hAnsi="Calibri" w:cs="Calibri"/>
                <w:bCs/>
                <w:sz w:val="20"/>
                <w:szCs w:val="20"/>
                <w:lang w:eastAsia="pl-PL"/>
              </w:rPr>
              <w:t xml:space="preserve"> art. </w:t>
            </w:r>
            <w:r w:rsidR="00CC1D54" w:rsidRPr="009E286A">
              <w:rPr>
                <w:rFonts w:ascii="Calibri" w:hAnsi="Calibri" w:cs="Calibri"/>
                <w:bCs/>
                <w:sz w:val="20"/>
                <w:szCs w:val="20"/>
              </w:rPr>
              <w:t>954</w:t>
            </w:r>
            <w:r w:rsidR="00CC1D54" w:rsidRPr="009E286A">
              <w:rPr>
                <w:rFonts w:ascii="Calibri" w:hAnsi="Calibri" w:cs="Calibri"/>
                <w:bCs/>
                <w:sz w:val="20"/>
                <w:szCs w:val="20"/>
                <w:vertAlign w:val="superscript"/>
              </w:rPr>
              <w:t>1</w:t>
            </w:r>
            <w:r w:rsidR="00CC1D54" w:rsidRPr="009E286A">
              <w:rPr>
                <w:rFonts w:ascii="Calibri" w:hAnsi="Calibri" w:cs="Calibri"/>
                <w:bCs/>
                <w:sz w:val="20"/>
                <w:szCs w:val="20"/>
              </w:rPr>
              <w:t xml:space="preserve"> § 1 na sytuacj</w:t>
            </w:r>
            <w:r w:rsidR="0000211D">
              <w:rPr>
                <w:rFonts w:ascii="Calibri" w:hAnsi="Calibri" w:cs="Calibri"/>
                <w:bCs/>
                <w:sz w:val="20"/>
                <w:szCs w:val="20"/>
              </w:rPr>
              <w:t>ę</w:t>
            </w:r>
            <w:r w:rsidR="00CC1D54" w:rsidRPr="009E286A">
              <w:rPr>
                <w:rFonts w:ascii="Calibri" w:hAnsi="Calibri" w:cs="Calibri"/>
                <w:bCs/>
                <w:sz w:val="20"/>
                <w:szCs w:val="20"/>
              </w:rPr>
              <w:t xml:space="preserve"> przebywania </w:t>
            </w:r>
            <w:r w:rsidR="009E286A" w:rsidRPr="009E286A">
              <w:rPr>
                <w:rFonts w:ascii="Calibri" w:hAnsi="Calibri" w:cs="Calibri"/>
                <w:bCs/>
                <w:sz w:val="20"/>
                <w:szCs w:val="20"/>
              </w:rPr>
              <w:t xml:space="preserve">przez testatora </w:t>
            </w:r>
            <w:r w:rsidR="00CC1D54" w:rsidRPr="009E286A">
              <w:rPr>
                <w:rFonts w:ascii="Calibri" w:hAnsi="Calibri" w:cs="Calibri"/>
                <w:bCs/>
                <w:sz w:val="20"/>
                <w:szCs w:val="20"/>
              </w:rPr>
              <w:t>w niewoli (</w:t>
            </w:r>
            <w:r w:rsidR="009E286A" w:rsidRPr="006C0013">
              <w:rPr>
                <w:rFonts w:ascii="Calibri" w:hAnsi="Calibri" w:cs="Calibri"/>
                <w:bCs/>
                <w:sz w:val="20"/>
                <w:szCs w:val="20"/>
              </w:rPr>
              <w:t xml:space="preserve">tak </w:t>
            </w:r>
            <w:r w:rsidR="00CC1D54" w:rsidRPr="009E286A">
              <w:rPr>
                <w:rFonts w:ascii="Calibri" w:hAnsi="Calibri" w:cs="Calibri"/>
                <w:bCs/>
                <w:sz w:val="20"/>
                <w:szCs w:val="20"/>
              </w:rPr>
              <w:t xml:space="preserve">jak </w:t>
            </w:r>
            <w:r w:rsidR="009E286A" w:rsidRPr="006C0013">
              <w:rPr>
                <w:rFonts w:ascii="Calibri" w:hAnsi="Calibri" w:cs="Calibri"/>
                <w:bCs/>
                <w:sz w:val="20"/>
                <w:szCs w:val="20"/>
              </w:rPr>
              <w:t xml:space="preserve">miało to miejsce </w:t>
            </w:r>
            <w:r w:rsidR="00CC1D54" w:rsidRPr="009E286A">
              <w:rPr>
                <w:rFonts w:ascii="Calibri" w:hAnsi="Calibri" w:cs="Calibri"/>
                <w:bCs/>
                <w:sz w:val="20"/>
                <w:szCs w:val="20"/>
              </w:rPr>
              <w:t>w dotychczas</w:t>
            </w:r>
            <w:r w:rsidR="009E286A" w:rsidRPr="006C0013">
              <w:rPr>
                <w:rFonts w:ascii="Calibri" w:hAnsi="Calibri" w:cs="Calibri"/>
                <w:bCs/>
                <w:sz w:val="20"/>
                <w:szCs w:val="20"/>
              </w:rPr>
              <w:t xml:space="preserve"> w</w:t>
            </w:r>
            <w:r w:rsidR="00CC1D54" w:rsidRPr="009E286A">
              <w:rPr>
                <w:rFonts w:ascii="Calibri" w:hAnsi="Calibri" w:cs="Calibri"/>
                <w:bCs/>
                <w:sz w:val="20"/>
                <w:szCs w:val="20"/>
              </w:rPr>
              <w:t xml:space="preserve"> Rozporządzeniu MON</w:t>
            </w:r>
            <w:r w:rsidR="009E286A" w:rsidRPr="006C0013">
              <w:rPr>
                <w:rFonts w:ascii="Calibri" w:hAnsi="Calibri" w:cs="Calibri"/>
                <w:bCs/>
                <w:sz w:val="20"/>
                <w:szCs w:val="20"/>
              </w:rPr>
              <w:t xml:space="preserve"> z 1965 r.</w:t>
            </w:r>
            <w:r w:rsidR="00CC1D54" w:rsidRPr="009E286A">
              <w:rPr>
                <w:rFonts w:ascii="Calibri" w:hAnsi="Calibri" w:cs="Calibri"/>
                <w:bCs/>
                <w:sz w:val="20"/>
                <w:szCs w:val="20"/>
              </w:rPr>
              <w:t>).</w:t>
            </w:r>
            <w:r w:rsidR="00CC1D54" w:rsidRPr="00CC1D54">
              <w:rPr>
                <w:rFonts w:ascii="Calibri" w:hAnsi="Calibri" w:cs="Calibri"/>
                <w:bCs/>
                <w:sz w:val="20"/>
                <w:szCs w:val="20"/>
              </w:rPr>
              <w:t xml:space="preserve"> </w:t>
            </w:r>
          </w:p>
        </w:tc>
      </w:tr>
      <w:tr w:rsidR="00922F6F" w:rsidRPr="00AB6479" w14:paraId="73887B59" w14:textId="77777777" w:rsidTr="00EF0179">
        <w:trPr>
          <w:trHeight w:val="590"/>
          <w:jc w:val="center"/>
        </w:trPr>
        <w:tc>
          <w:tcPr>
            <w:tcW w:w="562" w:type="dxa"/>
          </w:tcPr>
          <w:p w14:paraId="5FA5E9CF" w14:textId="26EA404F" w:rsidR="00922F6F" w:rsidRPr="00AB6479" w:rsidRDefault="00EA3277" w:rsidP="00AB6479">
            <w:pPr>
              <w:spacing w:before="120" w:line="276" w:lineRule="auto"/>
              <w:ind w:right="-534"/>
              <w:rPr>
                <w:rFonts w:ascii="Calibri" w:hAnsi="Calibri" w:cs="Calibri"/>
                <w:bCs/>
                <w:sz w:val="20"/>
                <w:szCs w:val="20"/>
              </w:rPr>
            </w:pPr>
            <w:r>
              <w:rPr>
                <w:rFonts w:ascii="Calibri" w:hAnsi="Calibri" w:cs="Calibri"/>
                <w:bCs/>
                <w:sz w:val="20"/>
                <w:szCs w:val="20"/>
              </w:rPr>
              <w:t>6</w:t>
            </w:r>
            <w:r w:rsidR="00AB6479">
              <w:rPr>
                <w:rFonts w:ascii="Calibri" w:hAnsi="Calibri" w:cs="Calibri"/>
                <w:bCs/>
                <w:sz w:val="20"/>
                <w:szCs w:val="20"/>
              </w:rPr>
              <w:t>.</w:t>
            </w:r>
          </w:p>
        </w:tc>
        <w:tc>
          <w:tcPr>
            <w:tcW w:w="1843" w:type="dxa"/>
            <w:vAlign w:val="center"/>
          </w:tcPr>
          <w:p w14:paraId="7B078708" w14:textId="3A546041"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51FD6458" w14:textId="77777777" w:rsidR="00922F6F" w:rsidRPr="00AB6479" w:rsidRDefault="00922F6F"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 xml:space="preserve">Art. 1 pkt 5 projektu </w:t>
            </w:r>
          </w:p>
          <w:p w14:paraId="6AD44021" w14:textId="00FF6FCB" w:rsidR="00922F6F" w:rsidRPr="00AB6479" w:rsidRDefault="00922F6F"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1, 2 i 3 k.c.)</w:t>
            </w:r>
          </w:p>
        </w:tc>
        <w:tc>
          <w:tcPr>
            <w:tcW w:w="5670" w:type="dxa"/>
            <w:vAlign w:val="center"/>
          </w:tcPr>
          <w:p w14:paraId="6BAD2680" w14:textId="3BAD875C" w:rsidR="00922F6F" w:rsidRPr="00AB6479" w:rsidRDefault="006174C8" w:rsidP="006174C8">
            <w:pPr>
              <w:spacing w:line="276" w:lineRule="auto"/>
              <w:rPr>
                <w:rFonts w:ascii="Calibri" w:hAnsi="Calibri" w:cs="Calibri"/>
                <w:bCs/>
                <w:sz w:val="20"/>
                <w:szCs w:val="20"/>
              </w:rPr>
            </w:pPr>
            <w:r w:rsidRPr="00AB6479">
              <w:rPr>
                <w:rFonts w:ascii="Calibri" w:hAnsi="Calibri" w:cs="Calibri"/>
                <w:bCs/>
                <w:sz w:val="20"/>
                <w:szCs w:val="20"/>
              </w:rPr>
              <w:t>Proponowany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1, 2 i 3 k.c. spowoduje, że zróżnicowana będzie minimalna liczba świadków potrzebnych do sporządzenia testamentu wojskowego zależnie od tego, czy spadkodawca będzie mógł, czy też nie będzie mógł podpisać pisma obejmującego jego rozrządzenia na wypadek śmierci oraz zależnie od tego, czy będzie istniała obawa rychłej śmierci z powodu odniesionych ran lub choroby. Różnice w tym zakresie wydają się nie uwzględniać realiów obszaru objętego działaniami zbrojnymi. Liczba świadków testamentu wojskowego powinna być jednakowa bez względu na to, czy spadkodawca zachowuje zdolność złożenia swojego podpisu czy też nie i bez względu na to, czy istnieje obawa rychłej śmierci oraz jakie jest jej źródło.</w:t>
            </w:r>
          </w:p>
        </w:tc>
        <w:tc>
          <w:tcPr>
            <w:tcW w:w="4076" w:type="dxa"/>
          </w:tcPr>
          <w:p w14:paraId="738720E7" w14:textId="715F5A40" w:rsidR="00CC1D54" w:rsidRPr="006174C8" w:rsidRDefault="00E1050E" w:rsidP="006174C8">
            <w:pPr>
              <w:autoSpaceDE w:val="0"/>
              <w:autoSpaceDN w:val="0"/>
              <w:adjustRightInd w:val="0"/>
              <w:rPr>
                <w:rFonts w:ascii="Calibri" w:eastAsia="Times New Roman" w:hAnsi="Calibri" w:cs="Calibri"/>
                <w:b/>
                <w:sz w:val="20"/>
                <w:szCs w:val="20"/>
                <w:lang w:eastAsia="pl-PL"/>
              </w:rPr>
            </w:pPr>
            <w:r>
              <w:rPr>
                <w:rFonts w:ascii="Calibri" w:eastAsia="Times New Roman" w:hAnsi="Calibri" w:cs="Calibri"/>
                <w:b/>
                <w:sz w:val="20"/>
                <w:szCs w:val="20"/>
                <w:lang w:eastAsia="pl-PL"/>
              </w:rPr>
              <w:t>Uwaga nieuwzględniona</w:t>
            </w:r>
          </w:p>
          <w:p w14:paraId="17C1A5A6" w14:textId="01E9D3FA" w:rsidR="005451E2" w:rsidRDefault="00F8595F" w:rsidP="006C0013">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 xml:space="preserve">Proponowane rozwiązanie wynika z celowej decyzji </w:t>
            </w:r>
            <w:r w:rsidRPr="00713A27">
              <w:rPr>
                <w:rFonts w:eastAsia="Times New Roman" w:cstheme="minorHAnsi"/>
                <w:sz w:val="20"/>
                <w:szCs w:val="20"/>
                <w:lang w:eastAsia="pl-PL"/>
              </w:rPr>
              <w:t>Zesp</w:t>
            </w:r>
            <w:r>
              <w:rPr>
                <w:rFonts w:eastAsia="Times New Roman" w:cstheme="minorHAnsi"/>
                <w:sz w:val="20"/>
                <w:szCs w:val="20"/>
                <w:lang w:eastAsia="pl-PL"/>
              </w:rPr>
              <w:t>ołu</w:t>
            </w:r>
            <w:r w:rsidRPr="00713A27">
              <w:rPr>
                <w:rFonts w:eastAsia="Times New Roman" w:cstheme="minorHAnsi"/>
                <w:sz w:val="20"/>
                <w:szCs w:val="20"/>
                <w:lang w:eastAsia="pl-PL"/>
              </w:rPr>
              <w:t xml:space="preserve"> problemow</w:t>
            </w:r>
            <w:r>
              <w:rPr>
                <w:rFonts w:eastAsia="Times New Roman" w:cstheme="minorHAnsi"/>
                <w:sz w:val="20"/>
                <w:szCs w:val="20"/>
                <w:lang w:eastAsia="pl-PL"/>
              </w:rPr>
              <w:t xml:space="preserve">ego </w:t>
            </w:r>
            <w:r w:rsidRPr="00713A27">
              <w:rPr>
                <w:rFonts w:eastAsia="Times New Roman" w:cstheme="minorHAnsi"/>
                <w:sz w:val="20"/>
                <w:szCs w:val="20"/>
                <w:lang w:eastAsia="pl-PL"/>
              </w:rPr>
              <w:t>do spraw prawa spadkowego Komisji Kodyfikacyjnej Prawa Cywilnego</w:t>
            </w:r>
            <w:r>
              <w:rPr>
                <w:rFonts w:eastAsia="Times New Roman" w:cstheme="minorHAnsi"/>
                <w:sz w:val="20"/>
                <w:szCs w:val="20"/>
                <w:lang w:eastAsia="pl-PL"/>
              </w:rPr>
              <w:t xml:space="preserve">. </w:t>
            </w:r>
            <w:r w:rsidR="00B07CBE" w:rsidRPr="003D2F6B">
              <w:rPr>
                <w:rFonts w:ascii="Calibri" w:eastAsia="Times New Roman" w:hAnsi="Calibri" w:cs="Calibri"/>
                <w:bCs/>
                <w:sz w:val="20"/>
                <w:szCs w:val="20"/>
                <w:lang w:eastAsia="pl-PL"/>
              </w:rPr>
              <w:t xml:space="preserve">Tak jak dotychczas to było przewidziane w rozporządzeniu Ministra Obrony Narodowej z 1965 r. projekt przewiduje </w:t>
            </w:r>
            <w:r>
              <w:rPr>
                <w:rFonts w:ascii="Calibri" w:eastAsia="Times New Roman" w:hAnsi="Calibri" w:cs="Calibri"/>
                <w:bCs/>
                <w:sz w:val="20"/>
                <w:szCs w:val="20"/>
                <w:lang w:eastAsia="pl-PL"/>
              </w:rPr>
              <w:t xml:space="preserve">bowiem </w:t>
            </w:r>
            <w:r w:rsidR="00B07CBE" w:rsidRPr="003D2F6B">
              <w:rPr>
                <w:rFonts w:ascii="Calibri" w:eastAsia="Times New Roman" w:hAnsi="Calibri" w:cs="Calibri"/>
                <w:bCs/>
                <w:sz w:val="20"/>
                <w:szCs w:val="20"/>
                <w:lang w:eastAsia="pl-PL"/>
              </w:rPr>
              <w:t>sporządzenie testamentu przed świadkami: minimum dwoma (jeżeli spadkodawca może podpisać się na sporządzonym piśmie poświadczającym treść jego testamentu – proponowany art. 954</w:t>
            </w:r>
            <w:r w:rsidR="00B07CBE" w:rsidRPr="003D2F6B">
              <w:rPr>
                <w:rFonts w:ascii="Calibri" w:eastAsia="Times New Roman" w:hAnsi="Calibri" w:cs="Calibri"/>
                <w:bCs/>
                <w:sz w:val="20"/>
                <w:szCs w:val="20"/>
                <w:vertAlign w:val="superscript"/>
                <w:lang w:eastAsia="pl-PL"/>
              </w:rPr>
              <w:t>1</w:t>
            </w:r>
            <w:r w:rsidR="00B07CBE" w:rsidRPr="003D2F6B">
              <w:rPr>
                <w:rFonts w:ascii="Calibri" w:eastAsia="Times New Roman" w:hAnsi="Calibri" w:cs="Calibri"/>
                <w:bCs/>
                <w:sz w:val="20"/>
                <w:szCs w:val="20"/>
                <w:lang w:eastAsia="pl-PL"/>
              </w:rPr>
              <w:t xml:space="preserve"> § 2 k.c.) oraz minimum trzema (jeżeli spadkodawca nie może podpisać się na takim dokumencie – proponowany art. 954</w:t>
            </w:r>
            <w:r w:rsidR="00B07CBE" w:rsidRPr="003D2F6B">
              <w:rPr>
                <w:rFonts w:ascii="Calibri" w:eastAsia="Times New Roman" w:hAnsi="Calibri" w:cs="Calibri"/>
                <w:bCs/>
                <w:sz w:val="20"/>
                <w:szCs w:val="20"/>
                <w:vertAlign w:val="superscript"/>
                <w:lang w:eastAsia="pl-PL"/>
              </w:rPr>
              <w:t>1</w:t>
            </w:r>
            <w:r w:rsidR="00B07CBE" w:rsidRPr="003D2F6B">
              <w:rPr>
                <w:rFonts w:ascii="Calibri" w:eastAsia="Times New Roman" w:hAnsi="Calibri" w:cs="Calibri"/>
                <w:bCs/>
                <w:sz w:val="20"/>
                <w:szCs w:val="20"/>
                <w:lang w:eastAsia="pl-PL"/>
              </w:rPr>
              <w:t xml:space="preserve"> § 3 k.c.). Uznano bowiem, że dotychczas obowiązująca regulacja, mimo że w większym stopniu odformalizowana </w:t>
            </w:r>
            <w:r w:rsidR="00B07CBE" w:rsidRPr="003D2F6B">
              <w:rPr>
                <w:rFonts w:ascii="Calibri" w:eastAsia="Times New Roman" w:hAnsi="Calibri" w:cs="Calibri"/>
                <w:bCs/>
                <w:sz w:val="20"/>
                <w:szCs w:val="20"/>
                <w:lang w:eastAsia="pl-PL"/>
              </w:rPr>
              <w:lastRenderedPageBreak/>
              <w:t xml:space="preserve">względem regulacji odnoszącej się do testamentu ustnego, w wystarczający sposób zapewnia </w:t>
            </w:r>
            <w:r>
              <w:rPr>
                <w:rFonts w:ascii="Calibri" w:eastAsia="Times New Roman" w:hAnsi="Calibri" w:cs="Calibri"/>
                <w:bCs/>
                <w:sz w:val="20"/>
                <w:szCs w:val="20"/>
                <w:lang w:eastAsia="pl-PL"/>
              </w:rPr>
              <w:t xml:space="preserve">(„wyważa”) </w:t>
            </w:r>
            <w:r w:rsidR="00B07CBE" w:rsidRPr="003D2F6B">
              <w:rPr>
                <w:rFonts w:ascii="Calibri" w:eastAsia="Times New Roman" w:hAnsi="Calibri" w:cs="Calibri"/>
                <w:bCs/>
                <w:sz w:val="20"/>
                <w:szCs w:val="20"/>
                <w:lang w:eastAsia="pl-PL"/>
              </w:rPr>
              <w:t>zarówno bezpieczeństwo</w:t>
            </w:r>
            <w:r w:rsidR="006174C8">
              <w:rPr>
                <w:rFonts w:ascii="Calibri" w:eastAsia="Times New Roman" w:hAnsi="Calibri" w:cs="Calibri"/>
                <w:bCs/>
                <w:sz w:val="20"/>
                <w:szCs w:val="20"/>
                <w:lang w:eastAsia="pl-PL"/>
              </w:rPr>
              <w:t xml:space="preserve"> obrotu</w:t>
            </w:r>
            <w:r w:rsidR="00B07CBE" w:rsidRPr="003D2F6B">
              <w:rPr>
                <w:rFonts w:ascii="Calibri" w:eastAsia="Times New Roman" w:hAnsi="Calibri" w:cs="Calibri"/>
                <w:bCs/>
                <w:sz w:val="20"/>
                <w:szCs w:val="20"/>
                <w:lang w:eastAsia="pl-PL"/>
              </w:rPr>
              <w:t xml:space="preserve">, jak i </w:t>
            </w:r>
            <w:r w:rsidR="006174C8">
              <w:rPr>
                <w:rFonts w:ascii="Calibri" w:eastAsia="Times New Roman" w:hAnsi="Calibri" w:cs="Calibri"/>
                <w:bCs/>
                <w:sz w:val="20"/>
                <w:szCs w:val="20"/>
                <w:lang w:eastAsia="pl-PL"/>
              </w:rPr>
              <w:t>swobodę</w:t>
            </w:r>
            <w:r w:rsidR="00B07CBE" w:rsidRPr="003D2F6B">
              <w:rPr>
                <w:rFonts w:ascii="Calibri" w:eastAsia="Times New Roman" w:hAnsi="Calibri" w:cs="Calibri"/>
                <w:bCs/>
                <w:sz w:val="20"/>
                <w:szCs w:val="20"/>
                <w:lang w:eastAsia="pl-PL"/>
              </w:rPr>
              <w:t xml:space="preserve"> testowania w tak szczególnej sytuacji, jak pozostawanie przez testatora na terenie objętym działaniami zbrojnymi.</w:t>
            </w:r>
            <w:r w:rsidR="00382828">
              <w:rPr>
                <w:rFonts w:ascii="Calibri" w:eastAsia="Times New Roman" w:hAnsi="Calibri" w:cs="Calibri"/>
                <w:bCs/>
                <w:sz w:val="20"/>
                <w:szCs w:val="20"/>
                <w:lang w:eastAsia="pl-PL"/>
              </w:rPr>
              <w:t xml:space="preserve"> </w:t>
            </w:r>
            <w:r w:rsidR="005451E2">
              <w:rPr>
                <w:rFonts w:ascii="Calibri" w:eastAsia="Times New Roman" w:hAnsi="Calibri" w:cs="Calibri"/>
                <w:bCs/>
                <w:sz w:val="20"/>
                <w:szCs w:val="20"/>
                <w:lang w:eastAsia="pl-PL"/>
              </w:rPr>
              <w:t xml:space="preserve">W sytuacji, gdy spadkodawca może się podpisać sam jest niejako gwarantem prawdziwości treści oświadczenia woli i w takiej sytuacji wymaga się jedynie dwóch świadków. W przypadku zaś gdy brakuje podpisu spadkodawcy wymagana jest liczba trzech świadków – co zmniejsza ryzyko ewentualnej manipulacji treścią testamentu. </w:t>
            </w:r>
          </w:p>
          <w:p w14:paraId="6CAAE7B8" w14:textId="634C1886" w:rsidR="00E1050E" w:rsidRPr="00AB6479" w:rsidRDefault="00382828" w:rsidP="00037D85">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Podobnie zdecydowano zachować się zasadę, że w</w:t>
            </w:r>
            <w:r w:rsidRPr="00382828">
              <w:rPr>
                <w:rFonts w:ascii="Calibri" w:eastAsia="Times New Roman" w:hAnsi="Calibri" w:cs="Calibri"/>
                <w:bCs/>
                <w:sz w:val="20"/>
                <w:szCs w:val="20"/>
                <w:lang w:eastAsia="pl-PL"/>
              </w:rPr>
              <w:t xml:space="preserve"> razie obawy rychłej śmierci spadkodawcy wskutek odniesionych ran lub choroby, testament może być sporządzony również w ten sposób, że spadkodawca oświadczy ostatnią wolę ustnie wobec co najmniej dwóch świadków, choćby niejednocześnie obecnych.</w:t>
            </w:r>
            <w:r>
              <w:rPr>
                <w:rFonts w:ascii="Calibri" w:eastAsia="Times New Roman" w:hAnsi="Calibri" w:cs="Calibri"/>
                <w:bCs/>
                <w:sz w:val="20"/>
                <w:szCs w:val="20"/>
                <w:lang w:eastAsia="pl-PL"/>
              </w:rPr>
              <w:t xml:space="preserve"> Sytuacja taka jest na tyle szczególna, że uznano, iż </w:t>
            </w:r>
            <w:r w:rsidR="00F8595F">
              <w:rPr>
                <w:rFonts w:ascii="Calibri" w:eastAsia="Times New Roman" w:hAnsi="Calibri" w:cs="Calibri"/>
                <w:bCs/>
                <w:sz w:val="20"/>
                <w:szCs w:val="20"/>
                <w:lang w:eastAsia="pl-PL"/>
              </w:rPr>
              <w:t>jednoczesna</w:t>
            </w:r>
            <w:r>
              <w:rPr>
                <w:rFonts w:ascii="Calibri" w:eastAsia="Times New Roman" w:hAnsi="Calibri" w:cs="Calibri"/>
                <w:bCs/>
                <w:sz w:val="20"/>
                <w:szCs w:val="20"/>
                <w:lang w:eastAsia="pl-PL"/>
              </w:rPr>
              <w:t xml:space="preserve"> obecność świadków nie jest w takim przypadku konieczna</w:t>
            </w:r>
            <w:r w:rsidR="00F8595F">
              <w:rPr>
                <w:rFonts w:ascii="Calibri" w:eastAsia="Times New Roman" w:hAnsi="Calibri" w:cs="Calibri"/>
                <w:bCs/>
                <w:sz w:val="20"/>
                <w:szCs w:val="20"/>
                <w:lang w:eastAsia="pl-PL"/>
              </w:rPr>
              <w:t xml:space="preserve"> i nie można wymagać, aby świadków</w:t>
            </w:r>
            <w:r w:rsidR="005451E2">
              <w:rPr>
                <w:rFonts w:ascii="Calibri" w:eastAsia="Times New Roman" w:hAnsi="Calibri" w:cs="Calibri"/>
                <w:bCs/>
                <w:sz w:val="20"/>
                <w:szCs w:val="20"/>
                <w:lang w:eastAsia="pl-PL"/>
              </w:rPr>
              <w:t xml:space="preserve"> </w:t>
            </w:r>
            <w:r w:rsidR="00F8595F">
              <w:rPr>
                <w:rFonts w:ascii="Calibri" w:eastAsia="Times New Roman" w:hAnsi="Calibri" w:cs="Calibri"/>
                <w:bCs/>
                <w:sz w:val="20"/>
                <w:szCs w:val="20"/>
                <w:lang w:eastAsia="pl-PL"/>
              </w:rPr>
              <w:t>tych było więcej niż dwóch</w:t>
            </w:r>
            <w:r>
              <w:rPr>
                <w:rFonts w:ascii="Calibri" w:eastAsia="Times New Roman" w:hAnsi="Calibri" w:cs="Calibri"/>
                <w:bCs/>
                <w:sz w:val="20"/>
                <w:szCs w:val="20"/>
                <w:lang w:eastAsia="pl-PL"/>
              </w:rPr>
              <w:t>.</w:t>
            </w:r>
          </w:p>
        </w:tc>
      </w:tr>
      <w:tr w:rsidR="00922F6F" w:rsidRPr="00AB6479" w14:paraId="092913D8" w14:textId="77777777" w:rsidTr="00EF0179">
        <w:trPr>
          <w:trHeight w:val="590"/>
          <w:jc w:val="center"/>
        </w:trPr>
        <w:tc>
          <w:tcPr>
            <w:tcW w:w="562" w:type="dxa"/>
          </w:tcPr>
          <w:p w14:paraId="4AFCDFFB" w14:textId="7BA511A8" w:rsidR="00922F6F" w:rsidRPr="00AB6479" w:rsidRDefault="001119D3" w:rsidP="00AB6479">
            <w:pPr>
              <w:spacing w:before="120" w:line="276" w:lineRule="auto"/>
              <w:ind w:right="-534"/>
              <w:rPr>
                <w:rFonts w:ascii="Calibri" w:hAnsi="Calibri" w:cs="Calibri"/>
                <w:bCs/>
                <w:sz w:val="20"/>
                <w:szCs w:val="20"/>
              </w:rPr>
            </w:pPr>
            <w:r>
              <w:rPr>
                <w:rFonts w:ascii="Calibri" w:hAnsi="Calibri" w:cs="Calibri"/>
                <w:bCs/>
                <w:sz w:val="20"/>
                <w:szCs w:val="20"/>
              </w:rPr>
              <w:lastRenderedPageBreak/>
              <w:t>7</w:t>
            </w:r>
            <w:r w:rsidR="00AB6479">
              <w:rPr>
                <w:rFonts w:ascii="Calibri" w:hAnsi="Calibri" w:cs="Calibri"/>
                <w:bCs/>
                <w:sz w:val="20"/>
                <w:szCs w:val="20"/>
              </w:rPr>
              <w:t>.</w:t>
            </w:r>
          </w:p>
        </w:tc>
        <w:tc>
          <w:tcPr>
            <w:tcW w:w="1843" w:type="dxa"/>
            <w:vAlign w:val="center"/>
          </w:tcPr>
          <w:p w14:paraId="622984E3" w14:textId="2E37531B"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1E09205D" w14:textId="77777777" w:rsidR="00922F6F" w:rsidRPr="00AB6479" w:rsidRDefault="00290430"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w:t>
            </w:r>
            <w:r w:rsidR="00922F6F" w:rsidRPr="00AB6479">
              <w:rPr>
                <w:rFonts w:ascii="Calibri" w:hAnsi="Calibri" w:cs="Calibri"/>
                <w:bCs/>
                <w:sz w:val="20"/>
                <w:szCs w:val="20"/>
              </w:rPr>
              <w:t xml:space="preserve">rt. 1 pkt 5 </w:t>
            </w:r>
            <w:r w:rsidR="003B09B8" w:rsidRPr="00AB6479">
              <w:rPr>
                <w:rFonts w:ascii="Calibri" w:hAnsi="Calibri" w:cs="Calibri"/>
                <w:bCs/>
                <w:sz w:val="20"/>
                <w:szCs w:val="20"/>
              </w:rPr>
              <w:t>p</w:t>
            </w:r>
            <w:r w:rsidR="00922F6F" w:rsidRPr="00AB6479">
              <w:rPr>
                <w:rFonts w:ascii="Calibri" w:hAnsi="Calibri" w:cs="Calibri"/>
                <w:bCs/>
                <w:sz w:val="20"/>
                <w:szCs w:val="20"/>
              </w:rPr>
              <w:t>rojektu</w:t>
            </w:r>
          </w:p>
          <w:p w14:paraId="6DDBD719" w14:textId="5F2B4FC6" w:rsidR="00290430" w:rsidRPr="00AB6479" w:rsidRDefault="00290430"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1, 2 i 3 k.c.)</w:t>
            </w:r>
          </w:p>
        </w:tc>
        <w:tc>
          <w:tcPr>
            <w:tcW w:w="5670" w:type="dxa"/>
            <w:vAlign w:val="center"/>
          </w:tcPr>
          <w:p w14:paraId="2662F65F" w14:textId="77777777" w:rsidR="00922F6F" w:rsidRDefault="00922F6F" w:rsidP="00177AD2">
            <w:pPr>
              <w:autoSpaceDE w:val="0"/>
              <w:autoSpaceDN w:val="0"/>
              <w:adjustRightInd w:val="0"/>
              <w:spacing w:line="276" w:lineRule="auto"/>
              <w:jc w:val="both"/>
              <w:rPr>
                <w:rFonts w:ascii="Calibri" w:hAnsi="Calibri" w:cs="Calibri"/>
                <w:bCs/>
                <w:sz w:val="20"/>
                <w:szCs w:val="20"/>
              </w:rPr>
            </w:pPr>
            <w:r w:rsidRPr="00AB6479">
              <w:rPr>
                <w:rFonts w:ascii="Calibri" w:hAnsi="Calibri" w:cs="Calibri"/>
                <w:bCs/>
                <w:sz w:val="20"/>
                <w:szCs w:val="20"/>
              </w:rPr>
              <w:t>W świetle proponowanego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1, 2 i 3 k.c. utrwalenie testamentu wojskowego za pomocą urządzenia rejestrującego obraz i dźwięk będzie prawnie relewantne tylko wtedy, gdy spadkodawca nie będzie mógł podpisać razem z 2 świadkami pisma obejmującego jego oświadczenie. Wydaje się, że utrwalenie treści testamentu wojskowego za pomocą urządzenia rejestrującego obraz i dźwięk powinno być równorzędnym w stosunku do pisemnego sposobem utrwalenia testamentu wojskowego niezależnie od spełnienia się dodatkowych przesłanek. W konsekwencji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3 </w:t>
            </w:r>
            <w:proofErr w:type="spellStart"/>
            <w:r w:rsidRPr="00AB6479">
              <w:rPr>
                <w:rFonts w:ascii="Calibri" w:hAnsi="Calibri" w:cs="Calibri"/>
                <w:bCs/>
                <w:sz w:val="20"/>
                <w:szCs w:val="20"/>
              </w:rPr>
              <w:t>zd</w:t>
            </w:r>
            <w:proofErr w:type="spellEnd"/>
            <w:r w:rsidRPr="00AB6479">
              <w:rPr>
                <w:rFonts w:ascii="Calibri" w:hAnsi="Calibri" w:cs="Calibri"/>
                <w:bCs/>
                <w:sz w:val="20"/>
                <w:szCs w:val="20"/>
              </w:rPr>
              <w:t>. 3 k.c. powinien być wyodrębniony do oddzielnego paragrafu i odnosić się do testamentu wojskowego bez względu na to, czy zostaną pozostawione odmienne sposoby sporządzania testamentu wojskowego zależnie od zdolności testatora do podpisania oświadczenia obejmującego jego rozrządzenia na wypadek śmierci.</w:t>
            </w:r>
          </w:p>
          <w:p w14:paraId="25D7C3BC" w14:textId="2E2FC193" w:rsidR="00177AD2" w:rsidRPr="00AB6479" w:rsidRDefault="00177AD2" w:rsidP="00177AD2">
            <w:pPr>
              <w:autoSpaceDE w:val="0"/>
              <w:autoSpaceDN w:val="0"/>
              <w:adjustRightInd w:val="0"/>
              <w:spacing w:line="276" w:lineRule="auto"/>
              <w:jc w:val="both"/>
              <w:rPr>
                <w:rFonts w:ascii="Calibri" w:hAnsi="Calibri" w:cs="Calibri"/>
                <w:bCs/>
                <w:sz w:val="20"/>
                <w:szCs w:val="20"/>
              </w:rPr>
            </w:pPr>
          </w:p>
        </w:tc>
        <w:tc>
          <w:tcPr>
            <w:tcW w:w="4076" w:type="dxa"/>
          </w:tcPr>
          <w:p w14:paraId="5EA05596" w14:textId="0275CBD5" w:rsidR="003D2F6B" w:rsidRPr="006174C8" w:rsidRDefault="00BC144D" w:rsidP="006174C8">
            <w:pPr>
              <w:autoSpaceDE w:val="0"/>
              <w:autoSpaceDN w:val="0"/>
              <w:adjustRightInd w:val="0"/>
              <w:rPr>
                <w:rFonts w:ascii="Calibri" w:eastAsia="Times New Roman" w:hAnsi="Calibri" w:cs="Calibri"/>
                <w:b/>
                <w:sz w:val="20"/>
                <w:szCs w:val="20"/>
                <w:lang w:eastAsia="pl-PL"/>
              </w:rPr>
            </w:pPr>
            <w:r>
              <w:rPr>
                <w:rFonts w:ascii="Calibri" w:eastAsia="Times New Roman" w:hAnsi="Calibri" w:cs="Calibri"/>
                <w:b/>
                <w:sz w:val="20"/>
                <w:szCs w:val="20"/>
                <w:lang w:eastAsia="pl-PL"/>
              </w:rPr>
              <w:t>Uwaga nieuwzględniona</w:t>
            </w:r>
          </w:p>
          <w:p w14:paraId="2A71D341" w14:textId="461A8788" w:rsidR="003D2F6B" w:rsidRDefault="00156C94" w:rsidP="003D2F6B">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 xml:space="preserve">Proponowane rozwiązanie wynika z celowej decyzji </w:t>
            </w:r>
            <w:r w:rsidRPr="00713A27">
              <w:rPr>
                <w:rFonts w:eastAsia="Times New Roman" w:cstheme="minorHAnsi"/>
                <w:sz w:val="20"/>
                <w:szCs w:val="20"/>
                <w:lang w:eastAsia="pl-PL"/>
              </w:rPr>
              <w:t>Zesp</w:t>
            </w:r>
            <w:r>
              <w:rPr>
                <w:rFonts w:eastAsia="Times New Roman" w:cstheme="minorHAnsi"/>
                <w:sz w:val="20"/>
                <w:szCs w:val="20"/>
                <w:lang w:eastAsia="pl-PL"/>
              </w:rPr>
              <w:t>ołu</w:t>
            </w:r>
            <w:r w:rsidRPr="00713A27">
              <w:rPr>
                <w:rFonts w:eastAsia="Times New Roman" w:cstheme="minorHAnsi"/>
                <w:sz w:val="20"/>
                <w:szCs w:val="20"/>
                <w:lang w:eastAsia="pl-PL"/>
              </w:rPr>
              <w:t xml:space="preserve"> problemow</w:t>
            </w:r>
            <w:r>
              <w:rPr>
                <w:rFonts w:eastAsia="Times New Roman" w:cstheme="minorHAnsi"/>
                <w:sz w:val="20"/>
                <w:szCs w:val="20"/>
                <w:lang w:eastAsia="pl-PL"/>
              </w:rPr>
              <w:t xml:space="preserve">ego </w:t>
            </w:r>
            <w:r w:rsidRPr="00713A27">
              <w:rPr>
                <w:rFonts w:eastAsia="Times New Roman" w:cstheme="minorHAnsi"/>
                <w:sz w:val="20"/>
                <w:szCs w:val="20"/>
                <w:lang w:eastAsia="pl-PL"/>
              </w:rPr>
              <w:t>do spraw prawa spadkowego Komisji Kodyfikacyjnej Prawa Cywilnego</w:t>
            </w:r>
            <w:r>
              <w:rPr>
                <w:rFonts w:eastAsia="Times New Roman" w:cstheme="minorHAnsi"/>
                <w:sz w:val="20"/>
                <w:szCs w:val="20"/>
                <w:lang w:eastAsia="pl-PL"/>
              </w:rPr>
              <w:t xml:space="preserve">. </w:t>
            </w:r>
            <w:r w:rsidR="003D2F6B" w:rsidRPr="003D2F6B">
              <w:rPr>
                <w:rFonts w:ascii="Calibri" w:eastAsia="Times New Roman" w:hAnsi="Calibri" w:cs="Calibri"/>
                <w:bCs/>
                <w:sz w:val="20"/>
                <w:szCs w:val="20"/>
                <w:lang w:eastAsia="pl-PL"/>
              </w:rPr>
              <w:t xml:space="preserve">Tak jak w przypadku testamentu ustnego, w szczególnym wypadku sytuacji, w której spadkodawca nie może się podpisać, wyjątkowo zdecydowano się przyjąć, że jego oświadczenie w obecności świadków może być także utrwalone za pomocą urządzenia rejestrującego obraz i dźwięk na trwałym nośniku danych. Nagranie to powinno zostać przekazane na takim nośniku danych notariuszowi lub do sądu spadku nie później niż w ciągu trzech miesięcy od dnia otwarcia spadku. Także w tym przypadku ograniczenie możliwości stwierdzania treści testamentu ustnego relatywnie krótkim terminem zawitym ma na celu ograniczenie prób fałszowania takiego testamentu wiele lat po śmierci spadkodawcy. </w:t>
            </w:r>
          </w:p>
          <w:p w14:paraId="203E526A" w14:textId="77777777" w:rsidR="00156C94" w:rsidRPr="003D2F6B" w:rsidRDefault="00156C94" w:rsidP="003D2F6B">
            <w:pPr>
              <w:autoSpaceDE w:val="0"/>
              <w:autoSpaceDN w:val="0"/>
              <w:adjustRightInd w:val="0"/>
              <w:spacing w:line="276" w:lineRule="auto"/>
              <w:jc w:val="both"/>
              <w:rPr>
                <w:rFonts w:ascii="Calibri" w:eastAsia="Times New Roman" w:hAnsi="Calibri" w:cs="Calibri"/>
                <w:bCs/>
                <w:sz w:val="20"/>
                <w:szCs w:val="20"/>
                <w:lang w:eastAsia="pl-PL"/>
              </w:rPr>
            </w:pPr>
          </w:p>
          <w:p w14:paraId="18B82966" w14:textId="77777777" w:rsidR="00156C94" w:rsidRDefault="00156C94" w:rsidP="003D2F6B">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 xml:space="preserve">Przyjęto zarazem, że na </w:t>
            </w:r>
            <w:r w:rsidR="003D2F6B" w:rsidRPr="003D2F6B">
              <w:rPr>
                <w:rFonts w:ascii="Calibri" w:eastAsia="Times New Roman" w:hAnsi="Calibri" w:cs="Calibri"/>
                <w:bCs/>
                <w:sz w:val="20"/>
                <w:szCs w:val="20"/>
                <w:lang w:eastAsia="pl-PL"/>
              </w:rPr>
              <w:t>tle art. 954</w:t>
            </w:r>
            <w:r w:rsidR="003D2F6B" w:rsidRPr="003D2F6B">
              <w:rPr>
                <w:rFonts w:ascii="Calibri" w:eastAsia="Times New Roman" w:hAnsi="Calibri" w:cs="Calibri"/>
                <w:bCs/>
                <w:sz w:val="20"/>
                <w:szCs w:val="20"/>
                <w:vertAlign w:val="superscript"/>
                <w:lang w:eastAsia="pl-PL"/>
              </w:rPr>
              <w:t>1</w:t>
            </w:r>
            <w:r w:rsidR="003D2F6B" w:rsidRPr="003D2F6B">
              <w:rPr>
                <w:rFonts w:ascii="Calibri" w:eastAsia="Times New Roman" w:hAnsi="Calibri" w:cs="Calibri"/>
                <w:bCs/>
                <w:sz w:val="20"/>
                <w:szCs w:val="20"/>
                <w:lang w:eastAsia="pl-PL"/>
              </w:rPr>
              <w:t xml:space="preserve"> § 3 k.c. obie formy stwierdzenia treści testamentu wojskowego powinny być ze sobą równoważne i żadna z nich nie powinna być traktowana jako subsydiarna wobec drugiej. </w:t>
            </w:r>
          </w:p>
          <w:p w14:paraId="7B8047FD" w14:textId="77777777" w:rsidR="00156C94" w:rsidRDefault="00156C94" w:rsidP="003D2F6B">
            <w:pPr>
              <w:autoSpaceDE w:val="0"/>
              <w:autoSpaceDN w:val="0"/>
              <w:adjustRightInd w:val="0"/>
              <w:spacing w:line="276" w:lineRule="auto"/>
              <w:jc w:val="both"/>
              <w:rPr>
                <w:rFonts w:ascii="Calibri" w:eastAsia="Times New Roman" w:hAnsi="Calibri" w:cs="Calibri"/>
                <w:bCs/>
                <w:sz w:val="20"/>
                <w:szCs w:val="20"/>
                <w:lang w:eastAsia="pl-PL"/>
              </w:rPr>
            </w:pPr>
          </w:p>
          <w:p w14:paraId="617CBB44" w14:textId="7C194BB9" w:rsidR="00156C94" w:rsidRPr="00797252" w:rsidRDefault="003D2F6B" w:rsidP="003D2F6B">
            <w:pPr>
              <w:autoSpaceDE w:val="0"/>
              <w:autoSpaceDN w:val="0"/>
              <w:adjustRightInd w:val="0"/>
              <w:spacing w:line="276" w:lineRule="auto"/>
              <w:jc w:val="both"/>
              <w:rPr>
                <w:rFonts w:ascii="Calibri" w:eastAsia="Times New Roman" w:hAnsi="Calibri" w:cs="Calibri"/>
                <w:bCs/>
                <w:sz w:val="20"/>
                <w:szCs w:val="20"/>
                <w:lang w:eastAsia="pl-PL"/>
              </w:rPr>
            </w:pPr>
            <w:r w:rsidRPr="003D2F6B">
              <w:rPr>
                <w:rFonts w:ascii="Calibri" w:eastAsia="Times New Roman" w:hAnsi="Calibri" w:cs="Calibri"/>
                <w:bCs/>
                <w:sz w:val="20"/>
                <w:szCs w:val="20"/>
                <w:lang w:eastAsia="pl-PL"/>
              </w:rPr>
              <w:lastRenderedPageBreak/>
              <w:t xml:space="preserve">Nie zdecydowano się </w:t>
            </w:r>
            <w:r w:rsidR="00156C94">
              <w:rPr>
                <w:rFonts w:ascii="Calibri" w:eastAsia="Times New Roman" w:hAnsi="Calibri" w:cs="Calibri"/>
                <w:bCs/>
                <w:sz w:val="20"/>
                <w:szCs w:val="20"/>
                <w:lang w:eastAsia="pl-PL"/>
              </w:rPr>
              <w:t>też</w:t>
            </w:r>
            <w:r w:rsidRPr="003D2F6B">
              <w:rPr>
                <w:rFonts w:ascii="Calibri" w:eastAsia="Times New Roman" w:hAnsi="Calibri" w:cs="Calibri"/>
                <w:bCs/>
                <w:sz w:val="20"/>
                <w:szCs w:val="20"/>
                <w:lang w:eastAsia="pl-PL"/>
              </w:rPr>
              <w:t xml:space="preserve"> zrezygnować z możliwości sporządzania przez świadków testamentu pisma, w którym utrwalona mogłaby być treść oświadczenie testatora. Przeważył za tym argument odwołujący się do możliwych ograniczeń w posiadaniu i posługiwaniu się urządzeniami rejestrującymi obraz i dźwięk, które mogą istnieć na obszarze objętym działaniami zbrojnymi. </w:t>
            </w:r>
            <w:r w:rsidR="00797252" w:rsidRPr="00797252">
              <w:rPr>
                <w:rFonts w:ascii="Calibri" w:eastAsia="Times New Roman" w:hAnsi="Calibri" w:cs="Calibri"/>
                <w:bCs/>
                <w:sz w:val="20"/>
                <w:szCs w:val="20"/>
                <w:lang w:eastAsia="pl-PL"/>
              </w:rPr>
              <w:t xml:space="preserve"> </w:t>
            </w:r>
          </w:p>
        </w:tc>
      </w:tr>
      <w:tr w:rsidR="00922F6F" w:rsidRPr="00AB6479" w14:paraId="140DFF4A" w14:textId="77777777" w:rsidTr="00EF0179">
        <w:trPr>
          <w:trHeight w:val="590"/>
          <w:jc w:val="center"/>
        </w:trPr>
        <w:tc>
          <w:tcPr>
            <w:tcW w:w="562" w:type="dxa"/>
          </w:tcPr>
          <w:p w14:paraId="3AD2CA5F" w14:textId="4405DEC1" w:rsidR="00922F6F" w:rsidRPr="00AB6479" w:rsidRDefault="001119D3" w:rsidP="00AB6479">
            <w:pPr>
              <w:spacing w:before="120" w:line="276" w:lineRule="auto"/>
              <w:ind w:right="-534"/>
              <w:rPr>
                <w:rFonts w:ascii="Calibri" w:hAnsi="Calibri" w:cs="Calibri"/>
                <w:bCs/>
                <w:sz w:val="20"/>
                <w:szCs w:val="20"/>
              </w:rPr>
            </w:pPr>
            <w:r>
              <w:rPr>
                <w:rFonts w:ascii="Calibri" w:hAnsi="Calibri" w:cs="Calibri"/>
                <w:bCs/>
                <w:sz w:val="20"/>
                <w:szCs w:val="20"/>
              </w:rPr>
              <w:lastRenderedPageBreak/>
              <w:t>8</w:t>
            </w:r>
            <w:r w:rsidR="00AB6479">
              <w:rPr>
                <w:rFonts w:ascii="Calibri" w:hAnsi="Calibri" w:cs="Calibri"/>
                <w:bCs/>
                <w:sz w:val="20"/>
                <w:szCs w:val="20"/>
              </w:rPr>
              <w:t>.</w:t>
            </w:r>
          </w:p>
        </w:tc>
        <w:tc>
          <w:tcPr>
            <w:tcW w:w="1843" w:type="dxa"/>
            <w:vAlign w:val="center"/>
          </w:tcPr>
          <w:p w14:paraId="43AA755B" w14:textId="77DB9349"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7D64EB89" w14:textId="148D01A0" w:rsidR="00922F6F" w:rsidRPr="00AB6479" w:rsidRDefault="00290430"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w:t>
            </w:r>
            <w:r w:rsidR="00922F6F" w:rsidRPr="00AB6479">
              <w:rPr>
                <w:rFonts w:ascii="Calibri" w:hAnsi="Calibri" w:cs="Calibri"/>
                <w:bCs/>
                <w:sz w:val="20"/>
                <w:szCs w:val="20"/>
              </w:rPr>
              <w:t xml:space="preserve">rt. 1 pkt 5 </w:t>
            </w:r>
            <w:r w:rsidRPr="00AB6479">
              <w:rPr>
                <w:rFonts w:ascii="Calibri" w:hAnsi="Calibri" w:cs="Calibri"/>
                <w:bCs/>
                <w:sz w:val="20"/>
                <w:szCs w:val="20"/>
              </w:rPr>
              <w:t>p</w:t>
            </w:r>
            <w:r w:rsidR="00922F6F" w:rsidRPr="00AB6479">
              <w:rPr>
                <w:rFonts w:ascii="Calibri" w:hAnsi="Calibri" w:cs="Calibri"/>
                <w:bCs/>
                <w:sz w:val="20"/>
                <w:szCs w:val="20"/>
              </w:rPr>
              <w:t>rojektu</w:t>
            </w:r>
            <w:r w:rsidRPr="00AB6479">
              <w:rPr>
                <w:rFonts w:ascii="Calibri" w:hAnsi="Calibri" w:cs="Calibri"/>
                <w:bCs/>
                <w:sz w:val="20"/>
                <w:szCs w:val="20"/>
              </w:rPr>
              <w:t xml:space="preserve">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3 k.c.)</w:t>
            </w:r>
          </w:p>
        </w:tc>
        <w:tc>
          <w:tcPr>
            <w:tcW w:w="5670" w:type="dxa"/>
            <w:vAlign w:val="center"/>
          </w:tcPr>
          <w:p w14:paraId="23ACF1EA" w14:textId="717AE286" w:rsidR="00922F6F" w:rsidRPr="00AB6479" w:rsidRDefault="00922F6F" w:rsidP="00AB6479">
            <w:pPr>
              <w:autoSpaceDE w:val="0"/>
              <w:autoSpaceDN w:val="0"/>
              <w:adjustRightInd w:val="0"/>
              <w:spacing w:line="276" w:lineRule="auto"/>
              <w:jc w:val="both"/>
              <w:rPr>
                <w:rFonts w:ascii="Calibri" w:hAnsi="Calibri" w:cs="Calibri"/>
                <w:bCs/>
                <w:sz w:val="20"/>
                <w:szCs w:val="20"/>
              </w:rPr>
            </w:pPr>
            <w:r w:rsidRPr="00AB6479">
              <w:rPr>
                <w:rFonts w:ascii="Calibri" w:hAnsi="Calibri" w:cs="Calibri"/>
                <w:bCs/>
                <w:sz w:val="20"/>
                <w:szCs w:val="20"/>
              </w:rPr>
              <w:t>Zgodnie z proponowanym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3 k.c. bieg 3 miesięcznego terminu na przekazanie notariuszowi lub sądowi spadku trwałego nośnika danych z nagraniem testamentu wojskowego utrwalonego za pomocą urządzenia rejestrującego obraz i dźwięk będzie się rozpoczynać od otwarcia spadku. W konsekwencji termin ten będzie zaczynał upływać od dnia otwarcia spadku, a nie od dnia gdy osoba będąca w posiadaniu trwałego nośnika danych z nagraniem testamentu wojskowego miała możliwość złożenia go notariuszowi lub do sądu spadku. Nie uwzględnia to prawdopodobnych w czasie działań zbrojnych sytuacji, w których moment śmierci spadkodawcy (otwarcia spadku) i moment powstania możliwości złożenia trwałego nośnika danych z nagraniem testamentu wojskowego notariuszowi lub do sądu spadku dzieli znaczny czas, dłuższy niż 3 miesiące.</w:t>
            </w:r>
          </w:p>
        </w:tc>
        <w:tc>
          <w:tcPr>
            <w:tcW w:w="4076" w:type="dxa"/>
          </w:tcPr>
          <w:p w14:paraId="0C694F4E" w14:textId="74630B37" w:rsidR="00BC144D" w:rsidRDefault="00BC144D" w:rsidP="00BC144D">
            <w:pPr>
              <w:autoSpaceDE w:val="0"/>
              <w:autoSpaceDN w:val="0"/>
              <w:adjustRightInd w:val="0"/>
              <w:rPr>
                <w:rFonts w:ascii="Calibri" w:eastAsia="Times New Roman" w:hAnsi="Calibri" w:cs="Calibri"/>
                <w:b/>
                <w:sz w:val="20"/>
                <w:szCs w:val="20"/>
                <w:lang w:eastAsia="pl-PL"/>
              </w:rPr>
            </w:pPr>
            <w:r>
              <w:rPr>
                <w:rFonts w:ascii="Calibri" w:eastAsia="Times New Roman" w:hAnsi="Calibri" w:cs="Calibri"/>
                <w:b/>
                <w:sz w:val="20"/>
                <w:szCs w:val="20"/>
                <w:lang w:eastAsia="pl-PL"/>
              </w:rPr>
              <w:t>Uwaga uwzględniona</w:t>
            </w:r>
          </w:p>
          <w:p w14:paraId="771026E1" w14:textId="07D93521" w:rsidR="0076449B" w:rsidRPr="00713A27" w:rsidRDefault="0076449B" w:rsidP="006C0013">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 xml:space="preserve">W </w:t>
            </w:r>
            <w:r w:rsidRPr="00713A27">
              <w:rPr>
                <w:rFonts w:ascii="Calibri" w:eastAsia="Times New Roman" w:hAnsi="Calibri" w:cs="Calibri"/>
                <w:bCs/>
                <w:sz w:val="20"/>
                <w:szCs w:val="20"/>
                <w:lang w:eastAsia="pl-PL"/>
              </w:rPr>
              <w:t>954</w:t>
            </w:r>
            <w:r w:rsidRPr="00713A27">
              <w:rPr>
                <w:rFonts w:ascii="Calibri" w:eastAsia="Times New Roman" w:hAnsi="Calibri" w:cs="Calibri"/>
                <w:bCs/>
                <w:sz w:val="20"/>
                <w:szCs w:val="20"/>
                <w:vertAlign w:val="superscript"/>
                <w:lang w:eastAsia="pl-PL"/>
              </w:rPr>
              <w:t>1</w:t>
            </w:r>
            <w:r w:rsidRPr="00713A27">
              <w:rPr>
                <w:rFonts w:ascii="Calibri" w:eastAsia="Times New Roman" w:hAnsi="Calibri" w:cs="Calibri"/>
                <w:bCs/>
                <w:sz w:val="20"/>
                <w:szCs w:val="20"/>
                <w:lang w:eastAsia="pl-PL"/>
              </w:rPr>
              <w:t xml:space="preserve"> § 4 </w:t>
            </w:r>
            <w:proofErr w:type="spellStart"/>
            <w:r>
              <w:rPr>
                <w:rFonts w:ascii="Calibri" w:eastAsia="Times New Roman" w:hAnsi="Calibri" w:cs="Calibri"/>
                <w:bCs/>
                <w:sz w:val="20"/>
                <w:szCs w:val="20"/>
                <w:lang w:eastAsia="pl-PL"/>
              </w:rPr>
              <w:t>zd</w:t>
            </w:r>
            <w:proofErr w:type="spellEnd"/>
            <w:r>
              <w:rPr>
                <w:rFonts w:ascii="Calibri" w:eastAsia="Times New Roman" w:hAnsi="Calibri" w:cs="Calibri"/>
                <w:bCs/>
                <w:sz w:val="20"/>
                <w:szCs w:val="20"/>
                <w:lang w:eastAsia="pl-PL"/>
              </w:rPr>
              <w:t xml:space="preserve"> 4 </w:t>
            </w:r>
            <w:r w:rsidRPr="00713A27">
              <w:rPr>
                <w:rFonts w:ascii="Calibri" w:eastAsia="Times New Roman" w:hAnsi="Calibri" w:cs="Calibri"/>
                <w:bCs/>
                <w:sz w:val="20"/>
                <w:szCs w:val="20"/>
                <w:lang w:eastAsia="pl-PL"/>
              </w:rPr>
              <w:t>k.c.</w:t>
            </w:r>
            <w:r>
              <w:rPr>
                <w:rFonts w:ascii="Calibri" w:eastAsia="Times New Roman" w:hAnsi="Calibri" w:cs="Calibri"/>
                <w:bCs/>
                <w:sz w:val="20"/>
                <w:szCs w:val="20"/>
                <w:lang w:eastAsia="pl-PL"/>
              </w:rPr>
              <w:t xml:space="preserve"> </w:t>
            </w:r>
            <w:r w:rsidRPr="00713A27">
              <w:rPr>
                <w:rFonts w:ascii="Calibri" w:eastAsia="Times New Roman" w:hAnsi="Calibri" w:cs="Calibri"/>
                <w:bCs/>
                <w:sz w:val="20"/>
                <w:szCs w:val="20"/>
                <w:lang w:eastAsia="pl-PL"/>
              </w:rPr>
              <w:t>jednoznaczn</w:t>
            </w:r>
            <w:r>
              <w:rPr>
                <w:rFonts w:ascii="Calibri" w:eastAsia="Times New Roman" w:hAnsi="Calibri" w:cs="Calibri"/>
                <w:bCs/>
                <w:sz w:val="20"/>
                <w:szCs w:val="20"/>
                <w:lang w:eastAsia="pl-PL"/>
              </w:rPr>
              <w:t>i</w:t>
            </w:r>
            <w:r w:rsidRPr="00713A27">
              <w:rPr>
                <w:rFonts w:ascii="Calibri" w:eastAsia="Times New Roman" w:hAnsi="Calibri" w:cs="Calibri"/>
                <w:bCs/>
                <w:sz w:val="20"/>
                <w:szCs w:val="20"/>
                <w:lang w:eastAsia="pl-PL"/>
              </w:rPr>
              <w:t xml:space="preserve">e </w:t>
            </w:r>
            <w:r w:rsidRPr="00CB559C">
              <w:rPr>
                <w:rFonts w:ascii="Calibri" w:eastAsia="Times New Roman" w:hAnsi="Calibri" w:cs="Calibri"/>
                <w:bCs/>
                <w:sz w:val="20"/>
                <w:szCs w:val="20"/>
                <w:lang w:eastAsia="pl-PL"/>
              </w:rPr>
              <w:t>przesądzon</w:t>
            </w:r>
            <w:r>
              <w:rPr>
                <w:rFonts w:ascii="Calibri" w:eastAsia="Times New Roman" w:hAnsi="Calibri" w:cs="Calibri"/>
                <w:bCs/>
                <w:sz w:val="20"/>
                <w:szCs w:val="20"/>
                <w:lang w:eastAsia="pl-PL"/>
              </w:rPr>
              <w:t>o</w:t>
            </w:r>
            <w:r w:rsidRPr="00713A27">
              <w:rPr>
                <w:rFonts w:ascii="Calibri" w:eastAsia="Times New Roman" w:hAnsi="Calibri" w:cs="Calibri"/>
                <w:bCs/>
                <w:sz w:val="20"/>
                <w:szCs w:val="20"/>
                <w:lang w:eastAsia="pl-PL"/>
              </w:rPr>
              <w:t>, że bieg terminu z art. 954</w:t>
            </w:r>
            <w:r w:rsidRPr="00713A27">
              <w:rPr>
                <w:rFonts w:ascii="Calibri" w:eastAsia="Times New Roman" w:hAnsi="Calibri" w:cs="Calibri"/>
                <w:bCs/>
                <w:sz w:val="20"/>
                <w:szCs w:val="20"/>
                <w:vertAlign w:val="superscript"/>
                <w:lang w:eastAsia="pl-PL"/>
              </w:rPr>
              <w:t>1</w:t>
            </w:r>
            <w:r w:rsidRPr="00713A27">
              <w:rPr>
                <w:rFonts w:ascii="Calibri" w:eastAsia="Times New Roman" w:hAnsi="Calibri" w:cs="Calibri"/>
                <w:bCs/>
                <w:sz w:val="20"/>
                <w:szCs w:val="20"/>
                <w:lang w:eastAsia="pl-PL"/>
              </w:rPr>
              <w:t xml:space="preserve"> § 4 </w:t>
            </w:r>
            <w:proofErr w:type="spellStart"/>
            <w:r w:rsidR="00B07CBE">
              <w:rPr>
                <w:rFonts w:ascii="Calibri" w:eastAsia="Times New Roman" w:hAnsi="Calibri" w:cs="Calibri"/>
                <w:bCs/>
                <w:sz w:val="20"/>
                <w:szCs w:val="20"/>
                <w:lang w:eastAsia="pl-PL"/>
              </w:rPr>
              <w:t>zd</w:t>
            </w:r>
            <w:proofErr w:type="spellEnd"/>
            <w:r w:rsidR="00B07CBE">
              <w:rPr>
                <w:rFonts w:ascii="Calibri" w:eastAsia="Times New Roman" w:hAnsi="Calibri" w:cs="Calibri"/>
                <w:bCs/>
                <w:sz w:val="20"/>
                <w:szCs w:val="20"/>
                <w:lang w:eastAsia="pl-PL"/>
              </w:rPr>
              <w:t xml:space="preserve">. 2 </w:t>
            </w:r>
            <w:r w:rsidRPr="00713A27">
              <w:rPr>
                <w:rFonts w:ascii="Calibri" w:eastAsia="Times New Roman" w:hAnsi="Calibri" w:cs="Calibri"/>
                <w:bCs/>
                <w:sz w:val="20"/>
                <w:szCs w:val="20"/>
                <w:lang w:eastAsia="pl-PL"/>
              </w:rPr>
              <w:t>k.c. ulega zawieszeniu, jeżeli złożenie wniosku do sądu spadku lub przesłuchanie świadków nie jest możliwe z powodu siły wyższej.</w:t>
            </w:r>
          </w:p>
          <w:p w14:paraId="3CC95D53" w14:textId="2DA03B50" w:rsidR="00BC144D" w:rsidRPr="001E4ADA" w:rsidRDefault="00BC144D" w:rsidP="006C0013">
            <w:pPr>
              <w:autoSpaceDE w:val="0"/>
              <w:autoSpaceDN w:val="0"/>
              <w:adjustRightInd w:val="0"/>
              <w:spacing w:line="276" w:lineRule="auto"/>
              <w:jc w:val="both"/>
              <w:rPr>
                <w:rFonts w:ascii="Calibri" w:eastAsia="Times New Roman" w:hAnsi="Calibri" w:cs="Calibri"/>
                <w:b/>
                <w:sz w:val="20"/>
                <w:szCs w:val="20"/>
                <w:lang w:eastAsia="pl-PL"/>
              </w:rPr>
            </w:pPr>
          </w:p>
        </w:tc>
      </w:tr>
      <w:tr w:rsidR="00922F6F" w:rsidRPr="00AB6479" w14:paraId="737D20ED" w14:textId="77777777" w:rsidTr="00EF0179">
        <w:trPr>
          <w:trHeight w:val="590"/>
          <w:jc w:val="center"/>
        </w:trPr>
        <w:tc>
          <w:tcPr>
            <w:tcW w:w="562" w:type="dxa"/>
          </w:tcPr>
          <w:p w14:paraId="70D402B0" w14:textId="0A937309" w:rsidR="00922F6F" w:rsidRPr="00AB6479" w:rsidRDefault="001119D3" w:rsidP="00AB6479">
            <w:pPr>
              <w:spacing w:before="120" w:line="276" w:lineRule="auto"/>
              <w:ind w:right="-534"/>
              <w:rPr>
                <w:rFonts w:ascii="Calibri" w:hAnsi="Calibri" w:cs="Calibri"/>
                <w:bCs/>
                <w:sz w:val="20"/>
                <w:szCs w:val="20"/>
              </w:rPr>
            </w:pPr>
            <w:r>
              <w:rPr>
                <w:rFonts w:ascii="Calibri" w:hAnsi="Calibri" w:cs="Calibri"/>
                <w:bCs/>
                <w:sz w:val="20"/>
                <w:szCs w:val="20"/>
              </w:rPr>
              <w:t>9</w:t>
            </w:r>
            <w:r w:rsidR="00AB6479">
              <w:rPr>
                <w:rFonts w:ascii="Calibri" w:hAnsi="Calibri" w:cs="Calibri"/>
                <w:bCs/>
                <w:sz w:val="20"/>
                <w:szCs w:val="20"/>
              </w:rPr>
              <w:t>.</w:t>
            </w:r>
          </w:p>
        </w:tc>
        <w:tc>
          <w:tcPr>
            <w:tcW w:w="1843" w:type="dxa"/>
            <w:vAlign w:val="center"/>
          </w:tcPr>
          <w:p w14:paraId="1078028A" w14:textId="74B480B3"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0285FF91" w14:textId="6497879E" w:rsidR="00922F6F" w:rsidRPr="00AB6479" w:rsidRDefault="003B09B8"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w:t>
            </w:r>
            <w:r w:rsidR="00922F6F" w:rsidRPr="00AB6479">
              <w:rPr>
                <w:rFonts w:ascii="Calibri" w:hAnsi="Calibri" w:cs="Calibri"/>
                <w:bCs/>
                <w:sz w:val="20"/>
                <w:szCs w:val="20"/>
              </w:rPr>
              <w:t xml:space="preserve">rt. 1 pkt 5 </w:t>
            </w:r>
            <w:r w:rsidR="00290430" w:rsidRPr="00AB6479">
              <w:rPr>
                <w:rFonts w:ascii="Calibri" w:hAnsi="Calibri" w:cs="Calibri"/>
                <w:bCs/>
                <w:sz w:val="20"/>
                <w:szCs w:val="20"/>
              </w:rPr>
              <w:t>p</w:t>
            </w:r>
            <w:r w:rsidR="00922F6F" w:rsidRPr="00AB6479">
              <w:rPr>
                <w:rFonts w:ascii="Calibri" w:hAnsi="Calibri" w:cs="Calibri"/>
                <w:bCs/>
                <w:sz w:val="20"/>
                <w:szCs w:val="20"/>
              </w:rPr>
              <w:t>rojektu</w:t>
            </w:r>
          </w:p>
          <w:p w14:paraId="6706317C" w14:textId="41499AD3" w:rsidR="003B09B8" w:rsidRPr="00AB6479" w:rsidRDefault="003B09B8"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lastRenderedPageBreak/>
              <w:t>(art.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3 </w:t>
            </w:r>
            <w:proofErr w:type="spellStart"/>
            <w:r w:rsidRPr="00AB6479">
              <w:rPr>
                <w:rFonts w:ascii="Calibri" w:hAnsi="Calibri" w:cs="Calibri"/>
                <w:bCs/>
                <w:sz w:val="20"/>
                <w:szCs w:val="20"/>
              </w:rPr>
              <w:t>zd</w:t>
            </w:r>
            <w:proofErr w:type="spellEnd"/>
            <w:r w:rsidRPr="00AB6479">
              <w:rPr>
                <w:rFonts w:ascii="Calibri" w:hAnsi="Calibri" w:cs="Calibri"/>
                <w:bCs/>
                <w:sz w:val="20"/>
                <w:szCs w:val="20"/>
              </w:rPr>
              <w:t>. 3 k.c.)</w:t>
            </w:r>
          </w:p>
        </w:tc>
        <w:tc>
          <w:tcPr>
            <w:tcW w:w="5670" w:type="dxa"/>
            <w:vAlign w:val="center"/>
          </w:tcPr>
          <w:p w14:paraId="45AA9518" w14:textId="77777777" w:rsidR="00922F6F" w:rsidRPr="00AB6479" w:rsidRDefault="00922F6F" w:rsidP="00AB6479">
            <w:pPr>
              <w:autoSpaceDE w:val="0"/>
              <w:autoSpaceDN w:val="0"/>
              <w:adjustRightInd w:val="0"/>
              <w:spacing w:line="276" w:lineRule="auto"/>
              <w:jc w:val="both"/>
              <w:rPr>
                <w:rFonts w:ascii="Calibri" w:hAnsi="Calibri" w:cs="Calibri"/>
                <w:bCs/>
                <w:sz w:val="20"/>
                <w:szCs w:val="20"/>
              </w:rPr>
            </w:pPr>
            <w:r w:rsidRPr="00AB6479">
              <w:rPr>
                <w:rFonts w:ascii="Calibri" w:hAnsi="Calibri" w:cs="Calibri"/>
                <w:bCs/>
                <w:sz w:val="20"/>
                <w:szCs w:val="20"/>
              </w:rPr>
              <w:lastRenderedPageBreak/>
              <w:t>Zgodnie z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3 k.c. 3 miesięczny termin liczony od otwarcia spadku na przekazanie notariuszowi lub sądowi spadku utrwalonego testamentu wojskowego będzie mieć zastosowanie tylko w przypadku, gdy do jego utrwalenia dojdzie za pomocą urządzenia rejestrującego obraz i dźwięk, a nie będzie stosowany do </w:t>
            </w:r>
            <w:r w:rsidRPr="00AB6479">
              <w:rPr>
                <w:rFonts w:ascii="Calibri" w:hAnsi="Calibri" w:cs="Calibri"/>
                <w:bCs/>
                <w:sz w:val="20"/>
                <w:szCs w:val="20"/>
              </w:rPr>
              <w:lastRenderedPageBreak/>
              <w:t>przekazania pisma obejmującego oświadczenie spadkodawcy, o którym mowa w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2 k.c. Wydaje się, że termin określony w art. 954</w:t>
            </w:r>
            <w:r w:rsidRPr="00AB6479">
              <w:rPr>
                <w:rFonts w:ascii="Calibri" w:hAnsi="Calibri" w:cs="Calibri"/>
                <w:bCs/>
                <w:sz w:val="20"/>
                <w:szCs w:val="20"/>
                <w:vertAlign w:val="superscript"/>
              </w:rPr>
              <w:t>1</w:t>
            </w:r>
            <w:r w:rsidRPr="00AB6479">
              <w:rPr>
                <w:rFonts w:ascii="Calibri" w:hAnsi="Calibri" w:cs="Calibri"/>
                <w:bCs/>
                <w:sz w:val="20"/>
                <w:szCs w:val="20"/>
              </w:rPr>
              <w:t xml:space="preserve"> § 3 </w:t>
            </w:r>
            <w:proofErr w:type="spellStart"/>
            <w:r w:rsidRPr="00AB6479">
              <w:rPr>
                <w:rFonts w:ascii="Calibri" w:hAnsi="Calibri" w:cs="Calibri"/>
                <w:bCs/>
                <w:sz w:val="20"/>
                <w:szCs w:val="20"/>
              </w:rPr>
              <w:t>zd</w:t>
            </w:r>
            <w:proofErr w:type="spellEnd"/>
            <w:r w:rsidRPr="00AB6479">
              <w:rPr>
                <w:rFonts w:ascii="Calibri" w:hAnsi="Calibri" w:cs="Calibri"/>
                <w:bCs/>
                <w:sz w:val="20"/>
                <w:szCs w:val="20"/>
              </w:rPr>
              <w:t>. 3 k.c. powinien mieć zastosowanie zarówno wtedy, gdy oświadczenie spadkodawcy zostanie utrwalone za pomocą urządzenia rejestrującego obraz i dźwięk, jak i wtedy, gdy zostanie ono spisane przez jednego ze świadków.</w:t>
            </w:r>
          </w:p>
          <w:p w14:paraId="73A55B94" w14:textId="77777777" w:rsidR="00922F6F" w:rsidRPr="00AB6479" w:rsidRDefault="00922F6F" w:rsidP="00AB6479">
            <w:pPr>
              <w:autoSpaceDE w:val="0"/>
              <w:autoSpaceDN w:val="0"/>
              <w:adjustRightInd w:val="0"/>
              <w:spacing w:line="276" w:lineRule="auto"/>
              <w:jc w:val="both"/>
              <w:rPr>
                <w:rFonts w:ascii="Calibri" w:hAnsi="Calibri" w:cs="Calibri"/>
                <w:bCs/>
                <w:sz w:val="20"/>
                <w:szCs w:val="20"/>
              </w:rPr>
            </w:pPr>
          </w:p>
        </w:tc>
        <w:tc>
          <w:tcPr>
            <w:tcW w:w="4076" w:type="dxa"/>
          </w:tcPr>
          <w:p w14:paraId="07A342E0" w14:textId="4DB0438F" w:rsidR="0059064C" w:rsidRDefault="0059064C" w:rsidP="0059064C">
            <w:pPr>
              <w:autoSpaceDE w:val="0"/>
              <w:autoSpaceDN w:val="0"/>
              <w:adjustRightInd w:val="0"/>
              <w:rPr>
                <w:rFonts w:ascii="Calibri" w:eastAsia="Times New Roman" w:hAnsi="Calibri" w:cs="Calibri"/>
                <w:b/>
                <w:sz w:val="20"/>
                <w:szCs w:val="20"/>
                <w:lang w:eastAsia="pl-PL"/>
              </w:rPr>
            </w:pPr>
            <w:r>
              <w:rPr>
                <w:rFonts w:ascii="Calibri" w:eastAsia="Times New Roman" w:hAnsi="Calibri" w:cs="Calibri"/>
                <w:b/>
                <w:sz w:val="20"/>
                <w:szCs w:val="20"/>
                <w:lang w:eastAsia="pl-PL"/>
              </w:rPr>
              <w:lastRenderedPageBreak/>
              <w:t>Uwaga nieuwzględniona</w:t>
            </w:r>
          </w:p>
          <w:p w14:paraId="680B6F1D" w14:textId="77777777" w:rsidR="001E4ADA" w:rsidRDefault="001E4ADA" w:rsidP="00AB6479">
            <w:pPr>
              <w:autoSpaceDE w:val="0"/>
              <w:autoSpaceDN w:val="0"/>
              <w:adjustRightInd w:val="0"/>
              <w:spacing w:line="276" w:lineRule="auto"/>
              <w:rPr>
                <w:rFonts w:ascii="Calibri" w:eastAsia="Times New Roman" w:hAnsi="Calibri" w:cs="Calibri"/>
                <w:bCs/>
                <w:i/>
                <w:iCs/>
                <w:sz w:val="20"/>
                <w:szCs w:val="20"/>
                <w:lang w:eastAsia="pl-PL"/>
              </w:rPr>
            </w:pPr>
            <w:r w:rsidRPr="001E4ADA">
              <w:rPr>
                <w:rFonts w:ascii="Calibri" w:eastAsia="Times New Roman" w:hAnsi="Calibri" w:cs="Calibri"/>
                <w:bCs/>
                <w:i/>
                <w:iCs/>
                <w:sz w:val="20"/>
                <w:szCs w:val="20"/>
                <w:lang w:eastAsia="pl-PL"/>
              </w:rPr>
              <w:t>Analogiczna uwaga pkt 3 niniejszej tabeli.</w:t>
            </w:r>
          </w:p>
          <w:p w14:paraId="4ABCC930" w14:textId="77777777" w:rsidR="0059064C" w:rsidRDefault="0059064C" w:rsidP="00AB6479">
            <w:pPr>
              <w:autoSpaceDE w:val="0"/>
              <w:autoSpaceDN w:val="0"/>
              <w:adjustRightInd w:val="0"/>
              <w:spacing w:line="276" w:lineRule="auto"/>
              <w:rPr>
                <w:rFonts w:ascii="Calibri" w:eastAsia="Times New Roman" w:hAnsi="Calibri" w:cs="Calibri"/>
                <w:bCs/>
                <w:i/>
                <w:iCs/>
                <w:sz w:val="20"/>
                <w:szCs w:val="20"/>
                <w:lang w:eastAsia="pl-PL"/>
              </w:rPr>
            </w:pPr>
          </w:p>
          <w:p w14:paraId="0AC17ADE" w14:textId="0C898C78" w:rsidR="0076449B" w:rsidRDefault="0076449B" w:rsidP="0076449B">
            <w:pPr>
              <w:autoSpaceDE w:val="0"/>
              <w:autoSpaceDN w:val="0"/>
              <w:adjustRightInd w:val="0"/>
              <w:spacing w:line="276" w:lineRule="auto"/>
              <w:jc w:val="both"/>
              <w:rPr>
                <w:rFonts w:ascii="Calibri" w:eastAsia="Times New Roman" w:hAnsi="Calibri" w:cs="Calibri"/>
                <w:bCs/>
                <w:sz w:val="20"/>
                <w:szCs w:val="20"/>
                <w:lang w:eastAsia="pl-PL"/>
              </w:rPr>
            </w:pPr>
            <w:r w:rsidRPr="00713A27">
              <w:rPr>
                <w:rFonts w:ascii="Calibri" w:eastAsia="Times New Roman" w:hAnsi="Calibri" w:cs="Calibri"/>
                <w:bCs/>
                <w:sz w:val="20"/>
                <w:szCs w:val="20"/>
                <w:lang w:eastAsia="pl-PL"/>
              </w:rPr>
              <w:t xml:space="preserve">Zgodnie z proponowanym art. 654 k.p.c. przepisy dotyczące postępowania w </w:t>
            </w:r>
            <w:r w:rsidRPr="00713A27">
              <w:rPr>
                <w:rFonts w:ascii="Calibri" w:eastAsia="Times New Roman" w:hAnsi="Calibri" w:cs="Calibri"/>
                <w:bCs/>
                <w:sz w:val="20"/>
                <w:szCs w:val="20"/>
                <w:lang w:eastAsia="pl-PL"/>
              </w:rPr>
              <w:lastRenderedPageBreak/>
              <w:t>przedmiocie ogłoszenia testamentu (tj. art. 646 i n. k.p.c.) będzie się stosowało odpowiednio nie tylko do pisma stwierdzającego treść testamentu ustnego, ale też do trwałego nośnika danych, na którym utrwalona została treść testamentu ustnego. Oznacza to m.in., że osoba, u której znajduje się podpisane własnoręcznie przez testatora pismo stwierdzające treść testamentu ustnego, będzie obowiązana złożyć je w sądzie spadku, gdy dowie się o śmierci spadkodawcy, chyba że złożyła je u notariusza. Z tego też względu w proponowanym art. 95</w:t>
            </w:r>
            <w:r w:rsidR="00037D85">
              <w:rPr>
                <w:rFonts w:ascii="Calibri" w:eastAsia="Times New Roman" w:hAnsi="Calibri" w:cs="Calibri"/>
                <w:bCs/>
                <w:sz w:val="20"/>
                <w:szCs w:val="20"/>
                <w:lang w:eastAsia="pl-PL"/>
              </w:rPr>
              <w:t>4</w:t>
            </w:r>
            <w:r w:rsidR="00037D85" w:rsidRPr="00037D85">
              <w:rPr>
                <w:rFonts w:ascii="Calibri" w:eastAsia="Times New Roman" w:hAnsi="Calibri" w:cs="Calibri"/>
                <w:bCs/>
                <w:sz w:val="20"/>
                <w:szCs w:val="20"/>
                <w:vertAlign w:val="superscript"/>
                <w:lang w:eastAsia="pl-PL"/>
              </w:rPr>
              <w:t>1</w:t>
            </w:r>
            <w:r w:rsidRPr="00713A27">
              <w:rPr>
                <w:rFonts w:ascii="Calibri" w:eastAsia="Times New Roman" w:hAnsi="Calibri" w:cs="Calibri"/>
                <w:bCs/>
                <w:sz w:val="20"/>
                <w:szCs w:val="20"/>
                <w:lang w:eastAsia="pl-PL"/>
              </w:rPr>
              <w:t xml:space="preserve"> § </w:t>
            </w:r>
            <w:r w:rsidR="00037D85">
              <w:rPr>
                <w:rFonts w:ascii="Calibri" w:eastAsia="Times New Roman" w:hAnsi="Calibri" w:cs="Calibri"/>
                <w:bCs/>
                <w:sz w:val="20"/>
                <w:szCs w:val="20"/>
                <w:lang w:eastAsia="pl-PL"/>
              </w:rPr>
              <w:t xml:space="preserve">3 </w:t>
            </w:r>
            <w:proofErr w:type="spellStart"/>
            <w:r w:rsidR="00037D85">
              <w:rPr>
                <w:rFonts w:ascii="Calibri" w:eastAsia="Times New Roman" w:hAnsi="Calibri" w:cs="Calibri"/>
                <w:bCs/>
                <w:sz w:val="20"/>
                <w:szCs w:val="20"/>
                <w:lang w:eastAsia="pl-PL"/>
              </w:rPr>
              <w:t>zd</w:t>
            </w:r>
            <w:proofErr w:type="spellEnd"/>
            <w:r w:rsidR="00037D85">
              <w:rPr>
                <w:rFonts w:ascii="Calibri" w:eastAsia="Times New Roman" w:hAnsi="Calibri" w:cs="Calibri"/>
                <w:bCs/>
                <w:sz w:val="20"/>
                <w:szCs w:val="20"/>
                <w:lang w:eastAsia="pl-PL"/>
              </w:rPr>
              <w:t>. 2</w:t>
            </w:r>
            <w:r w:rsidRPr="00713A27">
              <w:rPr>
                <w:rFonts w:ascii="Calibri" w:eastAsia="Times New Roman" w:hAnsi="Calibri" w:cs="Calibri"/>
                <w:bCs/>
                <w:sz w:val="20"/>
                <w:szCs w:val="20"/>
                <w:lang w:eastAsia="pl-PL"/>
              </w:rPr>
              <w:t xml:space="preserve"> k.c. (w przeciwieństwie do proponowanego art. 95</w:t>
            </w:r>
            <w:r w:rsidR="00037D85">
              <w:rPr>
                <w:rFonts w:ascii="Calibri" w:eastAsia="Times New Roman" w:hAnsi="Calibri" w:cs="Calibri"/>
                <w:bCs/>
                <w:sz w:val="20"/>
                <w:szCs w:val="20"/>
                <w:lang w:eastAsia="pl-PL"/>
              </w:rPr>
              <w:t>4</w:t>
            </w:r>
            <w:r w:rsidR="00037D85" w:rsidRPr="00037D85">
              <w:rPr>
                <w:rFonts w:ascii="Calibri" w:eastAsia="Times New Roman" w:hAnsi="Calibri" w:cs="Calibri"/>
                <w:bCs/>
                <w:sz w:val="20"/>
                <w:szCs w:val="20"/>
                <w:vertAlign w:val="superscript"/>
                <w:lang w:eastAsia="pl-PL"/>
              </w:rPr>
              <w:t>1</w:t>
            </w:r>
            <w:r w:rsidRPr="00713A27">
              <w:rPr>
                <w:rFonts w:ascii="Calibri" w:eastAsia="Times New Roman" w:hAnsi="Calibri" w:cs="Calibri"/>
                <w:bCs/>
                <w:sz w:val="20"/>
                <w:szCs w:val="20"/>
                <w:lang w:eastAsia="pl-PL"/>
              </w:rPr>
              <w:t xml:space="preserve"> § 3</w:t>
            </w:r>
            <w:r w:rsidR="00037D85">
              <w:rPr>
                <w:rFonts w:ascii="Calibri" w:eastAsia="Times New Roman" w:hAnsi="Calibri" w:cs="Calibri"/>
                <w:bCs/>
                <w:sz w:val="20"/>
                <w:szCs w:val="20"/>
                <w:lang w:eastAsia="pl-PL"/>
              </w:rPr>
              <w:t xml:space="preserve"> </w:t>
            </w:r>
            <w:proofErr w:type="spellStart"/>
            <w:r w:rsidR="00037D85">
              <w:rPr>
                <w:rFonts w:ascii="Calibri" w:eastAsia="Times New Roman" w:hAnsi="Calibri" w:cs="Calibri"/>
                <w:bCs/>
                <w:sz w:val="20"/>
                <w:szCs w:val="20"/>
                <w:lang w:eastAsia="pl-PL"/>
              </w:rPr>
              <w:t>zd</w:t>
            </w:r>
            <w:proofErr w:type="spellEnd"/>
            <w:r w:rsidR="00037D85">
              <w:rPr>
                <w:rFonts w:ascii="Calibri" w:eastAsia="Times New Roman" w:hAnsi="Calibri" w:cs="Calibri"/>
                <w:bCs/>
                <w:sz w:val="20"/>
                <w:szCs w:val="20"/>
                <w:lang w:eastAsia="pl-PL"/>
              </w:rPr>
              <w:t>. 3</w:t>
            </w:r>
            <w:r w:rsidRPr="00713A27">
              <w:rPr>
                <w:rFonts w:ascii="Calibri" w:eastAsia="Times New Roman" w:hAnsi="Calibri" w:cs="Calibri"/>
                <w:bCs/>
                <w:sz w:val="20"/>
                <w:szCs w:val="20"/>
                <w:lang w:eastAsia="pl-PL"/>
              </w:rPr>
              <w:t xml:space="preserve"> k.c.) nie było potrzeby wprowadzania szczególnego terminu zawitego do złożenia takiego pisma do sądu spadku albo notariusza i uzależniania od zachowania tego terminu możliwości stwierdzenia treści testamentu ustnego.</w:t>
            </w:r>
          </w:p>
          <w:p w14:paraId="3B934E78" w14:textId="77777777" w:rsidR="0076449B" w:rsidRDefault="0076449B" w:rsidP="0076449B">
            <w:pPr>
              <w:autoSpaceDE w:val="0"/>
              <w:autoSpaceDN w:val="0"/>
              <w:adjustRightInd w:val="0"/>
              <w:spacing w:line="276" w:lineRule="auto"/>
              <w:jc w:val="both"/>
              <w:rPr>
                <w:rFonts w:ascii="Calibri" w:eastAsia="Times New Roman" w:hAnsi="Calibri" w:cs="Calibri"/>
                <w:bCs/>
                <w:sz w:val="20"/>
                <w:szCs w:val="20"/>
                <w:lang w:eastAsia="pl-PL"/>
              </w:rPr>
            </w:pPr>
          </w:p>
          <w:p w14:paraId="29B72E6F" w14:textId="7DA4620D" w:rsidR="00D06BC3" w:rsidRPr="006C0013" w:rsidRDefault="0076449B" w:rsidP="006C0013">
            <w:pPr>
              <w:autoSpaceDE w:val="0"/>
              <w:autoSpaceDN w:val="0"/>
              <w:adjustRightInd w:val="0"/>
              <w:spacing w:line="276" w:lineRule="auto"/>
              <w:jc w:val="both"/>
              <w:rPr>
                <w:rFonts w:ascii="Calibri" w:eastAsia="Times New Roman" w:hAnsi="Calibri" w:cs="Calibri"/>
                <w:bCs/>
                <w:sz w:val="20"/>
                <w:szCs w:val="20"/>
                <w:lang w:eastAsia="pl-PL"/>
              </w:rPr>
            </w:pPr>
            <w:r>
              <w:rPr>
                <w:rFonts w:ascii="Calibri" w:eastAsia="Times New Roman" w:hAnsi="Calibri" w:cs="Calibri"/>
                <w:bCs/>
                <w:sz w:val="20"/>
                <w:szCs w:val="20"/>
                <w:lang w:eastAsia="pl-PL"/>
              </w:rPr>
              <w:t>O</w:t>
            </w:r>
            <w:r w:rsidRPr="0056761A">
              <w:rPr>
                <w:rFonts w:ascii="Calibri" w:eastAsia="Times New Roman" w:hAnsi="Calibri" w:cs="Calibri"/>
                <w:bCs/>
                <w:sz w:val="20"/>
                <w:szCs w:val="20"/>
                <w:lang w:eastAsia="pl-PL"/>
              </w:rPr>
              <w:t xml:space="preserve">graniczenie w </w:t>
            </w:r>
            <w:r w:rsidRPr="00713A27">
              <w:rPr>
                <w:rFonts w:ascii="Calibri" w:eastAsia="Times New Roman" w:hAnsi="Calibri" w:cs="Calibri"/>
                <w:bCs/>
                <w:sz w:val="20"/>
                <w:szCs w:val="20"/>
                <w:lang w:eastAsia="pl-PL"/>
              </w:rPr>
              <w:t>proponowanym art. 95</w:t>
            </w:r>
            <w:r w:rsidR="00037D85">
              <w:rPr>
                <w:rFonts w:ascii="Calibri" w:eastAsia="Times New Roman" w:hAnsi="Calibri" w:cs="Calibri"/>
                <w:bCs/>
                <w:sz w:val="20"/>
                <w:szCs w:val="20"/>
                <w:lang w:eastAsia="pl-PL"/>
              </w:rPr>
              <w:t>4</w:t>
            </w:r>
            <w:r w:rsidR="00037D85" w:rsidRPr="00037D85">
              <w:rPr>
                <w:rFonts w:ascii="Calibri" w:eastAsia="Times New Roman" w:hAnsi="Calibri" w:cs="Calibri"/>
                <w:bCs/>
                <w:sz w:val="20"/>
                <w:szCs w:val="20"/>
                <w:vertAlign w:val="superscript"/>
                <w:lang w:eastAsia="pl-PL"/>
              </w:rPr>
              <w:t>1</w:t>
            </w:r>
            <w:r w:rsidRPr="00713A27">
              <w:rPr>
                <w:rFonts w:ascii="Calibri" w:eastAsia="Times New Roman" w:hAnsi="Calibri" w:cs="Calibri"/>
                <w:bCs/>
                <w:sz w:val="20"/>
                <w:szCs w:val="20"/>
                <w:lang w:eastAsia="pl-PL"/>
              </w:rPr>
              <w:t xml:space="preserve"> § </w:t>
            </w:r>
            <w:r w:rsidR="00037D85">
              <w:rPr>
                <w:rFonts w:ascii="Calibri" w:eastAsia="Times New Roman" w:hAnsi="Calibri" w:cs="Calibri"/>
                <w:bCs/>
                <w:sz w:val="20"/>
                <w:szCs w:val="20"/>
                <w:lang w:eastAsia="pl-PL"/>
              </w:rPr>
              <w:t xml:space="preserve">3 </w:t>
            </w:r>
            <w:proofErr w:type="spellStart"/>
            <w:r w:rsidR="00037D85">
              <w:rPr>
                <w:rFonts w:ascii="Calibri" w:eastAsia="Times New Roman" w:hAnsi="Calibri" w:cs="Calibri"/>
                <w:bCs/>
                <w:sz w:val="20"/>
                <w:szCs w:val="20"/>
                <w:lang w:eastAsia="pl-PL"/>
              </w:rPr>
              <w:t>zd</w:t>
            </w:r>
            <w:proofErr w:type="spellEnd"/>
            <w:r w:rsidR="00037D85">
              <w:rPr>
                <w:rFonts w:ascii="Calibri" w:eastAsia="Times New Roman" w:hAnsi="Calibri" w:cs="Calibri"/>
                <w:bCs/>
                <w:sz w:val="20"/>
                <w:szCs w:val="20"/>
                <w:lang w:eastAsia="pl-PL"/>
              </w:rPr>
              <w:t>. 3</w:t>
            </w:r>
            <w:r w:rsidRPr="00713A27">
              <w:rPr>
                <w:rFonts w:ascii="Calibri" w:eastAsia="Times New Roman" w:hAnsi="Calibri" w:cs="Calibri"/>
                <w:bCs/>
                <w:sz w:val="20"/>
                <w:szCs w:val="20"/>
                <w:lang w:eastAsia="pl-PL"/>
              </w:rPr>
              <w:t xml:space="preserve"> k.c. </w:t>
            </w:r>
            <w:r w:rsidRPr="0056761A">
              <w:rPr>
                <w:rFonts w:ascii="Calibri" w:eastAsia="Times New Roman" w:hAnsi="Calibri" w:cs="Calibri"/>
                <w:bCs/>
                <w:sz w:val="20"/>
                <w:szCs w:val="20"/>
                <w:lang w:eastAsia="pl-PL"/>
              </w:rPr>
              <w:t xml:space="preserve"> możliwości stwierdzania treści testamentu ustnego relatywnie krótkim terminem zawitym </w:t>
            </w:r>
            <w:r>
              <w:rPr>
                <w:rFonts w:ascii="Calibri" w:eastAsia="Times New Roman" w:hAnsi="Calibri" w:cs="Calibri"/>
                <w:bCs/>
                <w:sz w:val="20"/>
                <w:szCs w:val="20"/>
                <w:lang w:eastAsia="pl-PL"/>
              </w:rPr>
              <w:t xml:space="preserve">jest z kolei uzasadnione i </w:t>
            </w:r>
            <w:r w:rsidRPr="0056761A">
              <w:rPr>
                <w:rFonts w:ascii="Calibri" w:eastAsia="Times New Roman" w:hAnsi="Calibri" w:cs="Calibri"/>
                <w:bCs/>
                <w:sz w:val="20"/>
                <w:szCs w:val="20"/>
                <w:lang w:eastAsia="pl-PL"/>
              </w:rPr>
              <w:t>ma na celu ograniczenie prób fałszowania takiego testamentu wiele lat po śmierci spadkodawcy</w:t>
            </w:r>
            <w:r>
              <w:rPr>
                <w:rFonts w:ascii="Calibri" w:eastAsia="Times New Roman" w:hAnsi="Calibri" w:cs="Calibri"/>
                <w:bCs/>
                <w:sz w:val="20"/>
                <w:szCs w:val="20"/>
                <w:lang w:eastAsia="pl-PL"/>
              </w:rPr>
              <w:t>.</w:t>
            </w:r>
          </w:p>
        </w:tc>
      </w:tr>
      <w:tr w:rsidR="00922F6F" w:rsidRPr="00AB6479" w14:paraId="5A2AED4D" w14:textId="77777777" w:rsidTr="00B241C8">
        <w:trPr>
          <w:jc w:val="center"/>
        </w:trPr>
        <w:tc>
          <w:tcPr>
            <w:tcW w:w="562" w:type="dxa"/>
          </w:tcPr>
          <w:p w14:paraId="12824B63" w14:textId="54F75B59" w:rsidR="00922F6F" w:rsidRPr="00AB6479" w:rsidRDefault="001119D3" w:rsidP="00AB6479">
            <w:pPr>
              <w:spacing w:before="120" w:line="276" w:lineRule="auto"/>
              <w:ind w:right="-534"/>
              <w:rPr>
                <w:rFonts w:ascii="Calibri" w:hAnsi="Calibri" w:cs="Calibri"/>
                <w:bCs/>
                <w:sz w:val="20"/>
                <w:szCs w:val="20"/>
              </w:rPr>
            </w:pPr>
            <w:r>
              <w:rPr>
                <w:rFonts w:ascii="Calibri" w:hAnsi="Calibri" w:cs="Calibri"/>
                <w:bCs/>
                <w:sz w:val="20"/>
                <w:szCs w:val="20"/>
              </w:rPr>
              <w:lastRenderedPageBreak/>
              <w:t>10</w:t>
            </w:r>
            <w:r w:rsidR="00922F6F" w:rsidRPr="00AB6479">
              <w:rPr>
                <w:rFonts w:ascii="Calibri" w:hAnsi="Calibri" w:cs="Calibri"/>
                <w:bCs/>
                <w:sz w:val="20"/>
                <w:szCs w:val="20"/>
              </w:rPr>
              <w:t>.</w:t>
            </w:r>
          </w:p>
        </w:tc>
        <w:tc>
          <w:tcPr>
            <w:tcW w:w="1843" w:type="dxa"/>
            <w:vAlign w:val="center"/>
          </w:tcPr>
          <w:p w14:paraId="2B92E1B1" w14:textId="435D2442"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SN</w:t>
            </w:r>
          </w:p>
        </w:tc>
        <w:tc>
          <w:tcPr>
            <w:tcW w:w="1843" w:type="dxa"/>
            <w:vAlign w:val="center"/>
          </w:tcPr>
          <w:p w14:paraId="7C94B32F" w14:textId="4D8E235D" w:rsidR="00574142" w:rsidRPr="00AB6479" w:rsidRDefault="003B09B8"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 xml:space="preserve">Art. 1 pkt </w:t>
            </w:r>
            <w:r w:rsidR="00574142" w:rsidRPr="00AB6479">
              <w:rPr>
                <w:rFonts w:ascii="Calibri" w:hAnsi="Calibri" w:cs="Calibri"/>
                <w:bCs/>
                <w:sz w:val="20"/>
                <w:szCs w:val="20"/>
              </w:rPr>
              <w:t>9</w:t>
            </w:r>
            <w:r w:rsidR="00AE1667" w:rsidRPr="00AB6479">
              <w:rPr>
                <w:rFonts w:ascii="Calibri" w:hAnsi="Calibri" w:cs="Calibri"/>
                <w:bCs/>
                <w:sz w:val="20"/>
                <w:szCs w:val="20"/>
              </w:rPr>
              <w:t xml:space="preserve"> projektu</w:t>
            </w:r>
          </w:p>
          <w:p w14:paraId="3CE91D24" w14:textId="32C0B265" w:rsidR="00922F6F" w:rsidRPr="00AB6479" w:rsidRDefault="00934499"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w:t>
            </w:r>
            <w:r w:rsidR="00574142" w:rsidRPr="00AB6479">
              <w:rPr>
                <w:rFonts w:ascii="Calibri" w:hAnsi="Calibri" w:cs="Calibri"/>
                <w:bCs/>
                <w:sz w:val="20"/>
                <w:szCs w:val="20"/>
              </w:rPr>
              <w:t>a</w:t>
            </w:r>
            <w:r w:rsidR="00922F6F" w:rsidRPr="00AB6479">
              <w:rPr>
                <w:rFonts w:ascii="Calibri" w:hAnsi="Calibri" w:cs="Calibri"/>
                <w:bCs/>
                <w:sz w:val="20"/>
                <w:szCs w:val="20"/>
              </w:rPr>
              <w:t>rt. 957 k.c.</w:t>
            </w:r>
            <w:r w:rsidRPr="00AB6479">
              <w:rPr>
                <w:rFonts w:ascii="Calibri" w:hAnsi="Calibri" w:cs="Calibri"/>
                <w:bCs/>
                <w:sz w:val="20"/>
                <w:szCs w:val="20"/>
              </w:rPr>
              <w:t>)</w:t>
            </w:r>
          </w:p>
        </w:tc>
        <w:tc>
          <w:tcPr>
            <w:tcW w:w="5670" w:type="dxa"/>
            <w:vAlign w:val="center"/>
          </w:tcPr>
          <w:p w14:paraId="311D73DD" w14:textId="7390B71A" w:rsidR="00922F6F" w:rsidRPr="00AB6479" w:rsidRDefault="00922F6F" w:rsidP="00AB6479">
            <w:pPr>
              <w:spacing w:line="276" w:lineRule="auto"/>
              <w:jc w:val="both"/>
              <w:rPr>
                <w:rFonts w:ascii="Calibri" w:eastAsia="Times New Roman" w:hAnsi="Calibri" w:cs="Calibri"/>
                <w:bCs/>
                <w:sz w:val="20"/>
                <w:szCs w:val="20"/>
                <w:lang w:eastAsia="pl-PL"/>
              </w:rPr>
            </w:pPr>
            <w:r w:rsidRPr="00AB6479">
              <w:rPr>
                <w:rFonts w:ascii="Calibri" w:eastAsia="Times New Roman" w:hAnsi="Calibri" w:cs="Calibri"/>
                <w:bCs/>
                <w:sz w:val="20"/>
                <w:szCs w:val="20"/>
                <w:lang w:eastAsia="pl-PL"/>
              </w:rPr>
              <w:t>Nie budzą wątpliwości nowe – w porównaniu z obecnym stanem prawnym – wyłączenia od możliwości bycia świadkiem testamentu. Natomiast nie jest oczywiste dlaczego niektóre osoby, co do zasady wyłączone od możliwości bycia świadkiem, mogą skutecznie nim być, gdy w danym stanie faktycznym zostanie wykazana ich bezstronność jako świadków, natomiast odnośnie do innych wyłączonych w art. 957 § 2 k.c. możliwość wykazania bezstronności nie została przewidziana. [Na przykład dopuszczona jest możliwość udowodnienia bezstronności jako świadka testamentu osoby, dla której w tym testamencie została przewidziana korzyść (art. 957 § 1 k.c.), ale takiej możliwości nie przewidziano dla stanu faktycznego, w którym świadkiem byłby np. były (rozwiedziony) małżonek osoby, dla której w testamencie została przewidziana korzyść, bądź powinowaty 4 stopnia osoby, dla której przewidziano korzyść (art. 597 § 2 pkt 1, pkt 2)].</w:t>
            </w:r>
          </w:p>
          <w:p w14:paraId="6605DE0A" w14:textId="0C2A2AB5" w:rsidR="00922F6F" w:rsidRPr="00AB6479" w:rsidRDefault="00922F6F" w:rsidP="00AB6479">
            <w:pPr>
              <w:spacing w:line="276" w:lineRule="auto"/>
              <w:jc w:val="both"/>
              <w:rPr>
                <w:rFonts w:ascii="Calibri" w:eastAsia="Times New Roman" w:hAnsi="Calibri" w:cs="Calibri"/>
                <w:bCs/>
                <w:sz w:val="20"/>
                <w:szCs w:val="20"/>
                <w:lang w:eastAsia="pl-PL"/>
              </w:rPr>
            </w:pPr>
            <w:r w:rsidRPr="00AB6479">
              <w:rPr>
                <w:rFonts w:ascii="Calibri" w:eastAsia="Times New Roman" w:hAnsi="Calibri" w:cs="Calibri"/>
                <w:bCs/>
                <w:sz w:val="20"/>
                <w:szCs w:val="20"/>
                <w:lang w:eastAsia="pl-PL"/>
              </w:rPr>
              <w:t>Jest wysoce prawdopodobne, że rozumienie „braku uzasadnionych wątpliwości co do bezstronności” osoby wyłączonej – co do zasady – z możliwości bycia świadkiem testamentu, która jednak była potraktowana jako świadek i w jej obecności spadkodawca złożył swoje oświadczenie woli, gdyby projektowany zapis stał się obowiązującym prawem, będzie bardzo sporne. Brak bowiem kryteriów badania „bezstronności”.</w:t>
            </w:r>
          </w:p>
          <w:p w14:paraId="4DCDCAC6" w14:textId="145651BD" w:rsidR="00922F6F" w:rsidRPr="00AB6479" w:rsidRDefault="00922F6F" w:rsidP="00AB6479">
            <w:pPr>
              <w:spacing w:line="276" w:lineRule="auto"/>
              <w:jc w:val="both"/>
              <w:rPr>
                <w:rFonts w:ascii="Calibri" w:eastAsia="Times New Roman" w:hAnsi="Calibri" w:cs="Calibri"/>
                <w:bCs/>
                <w:sz w:val="20"/>
                <w:szCs w:val="20"/>
                <w:lang w:eastAsia="pl-PL"/>
              </w:rPr>
            </w:pPr>
            <w:r w:rsidRPr="00AB6479">
              <w:rPr>
                <w:rFonts w:ascii="Calibri" w:eastAsia="Times New Roman" w:hAnsi="Calibri" w:cs="Calibri"/>
                <w:bCs/>
                <w:sz w:val="20"/>
                <w:szCs w:val="20"/>
                <w:lang w:eastAsia="pl-PL"/>
              </w:rPr>
              <w:t xml:space="preserve">Wydaje się celowe rozważenie, czy w związku z tym </w:t>
            </w:r>
            <w:r w:rsidRPr="005D77B1">
              <w:rPr>
                <w:rFonts w:ascii="Calibri" w:eastAsia="Times New Roman" w:hAnsi="Calibri" w:cs="Calibri"/>
                <w:b/>
                <w:sz w:val="20"/>
                <w:szCs w:val="20"/>
                <w:lang w:eastAsia="pl-PL"/>
              </w:rPr>
              <w:t>rozwiązaniem lepszym nie byłaby rezygnacja z takiej możliwości</w:t>
            </w:r>
            <w:r w:rsidRPr="00AB6479">
              <w:rPr>
                <w:rFonts w:ascii="Calibri" w:eastAsia="Times New Roman" w:hAnsi="Calibri" w:cs="Calibri"/>
                <w:bCs/>
                <w:sz w:val="20"/>
                <w:szCs w:val="20"/>
                <w:lang w:eastAsia="pl-PL"/>
              </w:rPr>
              <w:t xml:space="preserve">. (Aktualnie jej nie ma). Wyłączenia z możliwości bycia świadkiem testamentu określonych osób byłyby wówczas jednoznaczne, co zwiększałoby pewność prawa. „Ceną” za to zapewne byłoby utrudnienie dla </w:t>
            </w:r>
            <w:r w:rsidRPr="00AB6479">
              <w:rPr>
                <w:rFonts w:ascii="Calibri" w:eastAsia="Times New Roman" w:hAnsi="Calibri" w:cs="Calibri"/>
                <w:bCs/>
                <w:sz w:val="20"/>
                <w:szCs w:val="20"/>
                <w:lang w:eastAsia="pl-PL"/>
              </w:rPr>
              <w:lastRenderedPageBreak/>
              <w:t xml:space="preserve">spadkodawców oraz brak pewnej „elastyczności”, jaką może zapewnić zaprojektowane rozwiązanie. </w:t>
            </w:r>
          </w:p>
          <w:p w14:paraId="560FBFC0" w14:textId="4AEE2BA1" w:rsidR="00922F6F" w:rsidRPr="00AB6479" w:rsidRDefault="00922F6F" w:rsidP="00AB6479">
            <w:pPr>
              <w:spacing w:line="276" w:lineRule="auto"/>
              <w:jc w:val="both"/>
              <w:rPr>
                <w:rFonts w:ascii="Calibri" w:eastAsia="Times New Roman" w:hAnsi="Calibri" w:cs="Calibri"/>
                <w:bCs/>
                <w:sz w:val="20"/>
                <w:szCs w:val="20"/>
                <w:lang w:eastAsia="pl-PL"/>
              </w:rPr>
            </w:pPr>
            <w:r w:rsidRPr="00AB6479">
              <w:rPr>
                <w:rFonts w:ascii="Calibri" w:eastAsia="Times New Roman" w:hAnsi="Calibri" w:cs="Calibri"/>
                <w:bCs/>
                <w:sz w:val="20"/>
                <w:szCs w:val="20"/>
                <w:lang w:eastAsia="pl-PL"/>
              </w:rPr>
              <w:t>O ile „brak uzasadnionych wątpliwości co do bezstronności” świadka zostałby zachowany, to chyba byłoby właściwe aby dotyczył wszystkich potencjalnych świadków, o których mowa w projektowanym art. 957 § 2 k.c. co wymagałoby innego sformułowania tego przepisu.</w:t>
            </w:r>
          </w:p>
        </w:tc>
        <w:tc>
          <w:tcPr>
            <w:tcW w:w="4076" w:type="dxa"/>
          </w:tcPr>
          <w:p w14:paraId="3067A6DC" w14:textId="7955ADDC" w:rsidR="001E1F69" w:rsidRDefault="0059064C" w:rsidP="006C0013">
            <w:pPr>
              <w:spacing w:line="276" w:lineRule="auto"/>
              <w:jc w:val="both"/>
              <w:rPr>
                <w:rFonts w:eastAsia="Times New Roman" w:cstheme="minorHAnsi"/>
                <w:b/>
                <w:bCs/>
                <w:sz w:val="20"/>
                <w:szCs w:val="20"/>
                <w:lang w:eastAsia="pl-PL"/>
              </w:rPr>
            </w:pPr>
            <w:r>
              <w:rPr>
                <w:rFonts w:eastAsia="Times New Roman" w:cstheme="minorHAnsi"/>
                <w:b/>
                <w:bCs/>
                <w:sz w:val="20"/>
                <w:szCs w:val="20"/>
                <w:lang w:eastAsia="pl-PL"/>
              </w:rPr>
              <w:lastRenderedPageBreak/>
              <w:t>Uwaga częściowo uwzględniona</w:t>
            </w:r>
          </w:p>
          <w:p w14:paraId="4885C7E0" w14:textId="0B47E79C" w:rsidR="00DA5CF2" w:rsidRPr="00037D85" w:rsidRDefault="00037D85" w:rsidP="00037D85">
            <w:pPr>
              <w:spacing w:line="276" w:lineRule="auto"/>
              <w:jc w:val="both"/>
              <w:rPr>
                <w:rFonts w:eastAsia="Times New Roman" w:cstheme="minorHAnsi"/>
                <w:sz w:val="20"/>
                <w:szCs w:val="20"/>
                <w:lang w:eastAsia="pl-PL"/>
              </w:rPr>
            </w:pPr>
            <w:r w:rsidRPr="00037D85">
              <w:rPr>
                <w:rFonts w:eastAsia="Times New Roman" w:cstheme="minorHAnsi"/>
                <w:sz w:val="20"/>
                <w:szCs w:val="20"/>
                <w:lang w:eastAsia="pl-PL"/>
              </w:rPr>
              <w:t>Na wstępie zauważyć należy, że uwaga opiera się na nieprawidłowym odczytaniu proponowanego art. 957 § 2 k.c. We wszystkich 5 przypadkach objętych tym przepisem możliwe będzie wykazywanie, że mimo iż osoba bliska świadkowi testamentu otrzymała z niego korzyść, nie wywołuje to wątpliwości co do bezstronności danego świadka.</w:t>
            </w:r>
          </w:p>
          <w:p w14:paraId="547BA126" w14:textId="77777777" w:rsidR="00037D85" w:rsidRDefault="00037D85" w:rsidP="00DA5CF2">
            <w:pPr>
              <w:spacing w:line="276" w:lineRule="auto"/>
              <w:jc w:val="both"/>
              <w:rPr>
                <w:rFonts w:ascii="Calibri" w:eastAsia="Times New Roman" w:hAnsi="Calibri" w:cs="Calibri"/>
                <w:bCs/>
                <w:sz w:val="20"/>
                <w:szCs w:val="20"/>
                <w:lang w:eastAsia="pl-PL"/>
              </w:rPr>
            </w:pPr>
          </w:p>
          <w:p w14:paraId="64E55FC0" w14:textId="02369C77" w:rsidR="00DA5CF2" w:rsidRDefault="00037D85" w:rsidP="00DA5CF2">
            <w:pPr>
              <w:spacing w:line="276" w:lineRule="auto"/>
              <w:jc w:val="both"/>
              <w:rPr>
                <w:rFonts w:eastAsia="Times New Roman" w:cstheme="minorHAnsi"/>
                <w:sz w:val="20"/>
                <w:szCs w:val="20"/>
                <w:lang w:eastAsia="pl-PL"/>
              </w:rPr>
            </w:pPr>
            <w:r>
              <w:rPr>
                <w:rFonts w:ascii="Calibri" w:eastAsia="Times New Roman" w:hAnsi="Calibri" w:cs="Calibri"/>
                <w:bCs/>
                <w:sz w:val="20"/>
                <w:szCs w:val="20"/>
                <w:lang w:eastAsia="pl-PL"/>
              </w:rPr>
              <w:t xml:space="preserve">Co do posługiwania się przez projektowany przepis pojęciem „braku uzasadnionych wątpliwości co do bezstronności” to proponowane </w:t>
            </w:r>
            <w:r w:rsidR="00050438">
              <w:rPr>
                <w:rFonts w:ascii="Calibri" w:eastAsia="Times New Roman" w:hAnsi="Calibri" w:cs="Calibri"/>
                <w:bCs/>
                <w:sz w:val="20"/>
                <w:szCs w:val="20"/>
                <w:lang w:eastAsia="pl-PL"/>
              </w:rPr>
              <w:t xml:space="preserve">rozwiązanie wynika z celowej decyzji </w:t>
            </w:r>
            <w:r w:rsidR="00050438" w:rsidRPr="00713A27">
              <w:rPr>
                <w:rFonts w:eastAsia="Times New Roman" w:cstheme="minorHAnsi"/>
                <w:sz w:val="20"/>
                <w:szCs w:val="20"/>
                <w:lang w:eastAsia="pl-PL"/>
              </w:rPr>
              <w:t>Zesp</w:t>
            </w:r>
            <w:r w:rsidR="00050438">
              <w:rPr>
                <w:rFonts w:eastAsia="Times New Roman" w:cstheme="minorHAnsi"/>
                <w:sz w:val="20"/>
                <w:szCs w:val="20"/>
                <w:lang w:eastAsia="pl-PL"/>
              </w:rPr>
              <w:t>ołu</w:t>
            </w:r>
            <w:r w:rsidR="00050438" w:rsidRPr="00713A27">
              <w:rPr>
                <w:rFonts w:eastAsia="Times New Roman" w:cstheme="minorHAnsi"/>
                <w:sz w:val="20"/>
                <w:szCs w:val="20"/>
                <w:lang w:eastAsia="pl-PL"/>
              </w:rPr>
              <w:t xml:space="preserve"> problemow</w:t>
            </w:r>
            <w:r w:rsidR="00050438">
              <w:rPr>
                <w:rFonts w:eastAsia="Times New Roman" w:cstheme="minorHAnsi"/>
                <w:sz w:val="20"/>
                <w:szCs w:val="20"/>
                <w:lang w:eastAsia="pl-PL"/>
              </w:rPr>
              <w:t xml:space="preserve">ego </w:t>
            </w:r>
            <w:r w:rsidR="00050438" w:rsidRPr="00713A27">
              <w:rPr>
                <w:rFonts w:eastAsia="Times New Roman" w:cstheme="minorHAnsi"/>
                <w:sz w:val="20"/>
                <w:szCs w:val="20"/>
                <w:lang w:eastAsia="pl-PL"/>
              </w:rPr>
              <w:t>do spraw prawa spadkowego Komisji Kodyfikacyjnej Prawa Cywilnego</w:t>
            </w:r>
            <w:r w:rsidR="00050438">
              <w:rPr>
                <w:rFonts w:eastAsia="Times New Roman" w:cstheme="minorHAnsi"/>
                <w:sz w:val="20"/>
                <w:szCs w:val="20"/>
                <w:lang w:eastAsia="pl-PL"/>
              </w:rPr>
              <w:t xml:space="preserve">.  </w:t>
            </w:r>
            <w:r>
              <w:rPr>
                <w:rFonts w:eastAsia="Times New Roman" w:cstheme="minorHAnsi"/>
                <w:sz w:val="20"/>
                <w:szCs w:val="20"/>
                <w:lang w:eastAsia="pl-PL"/>
              </w:rPr>
              <w:t>Tym niemniej, uznano</w:t>
            </w:r>
            <w:r w:rsidR="00DA5CF2" w:rsidRPr="006C0013">
              <w:rPr>
                <w:rFonts w:eastAsia="Times New Roman" w:cstheme="minorHAnsi"/>
                <w:sz w:val="20"/>
                <w:szCs w:val="20"/>
                <w:lang w:eastAsia="pl-PL"/>
              </w:rPr>
              <w:t xml:space="preserve">, że pojęcie „uzasadnionych wątpliwości” powinno pozostać jedynie w art. 957 § 3 k.c., gdyż na jego tle to osoba powołująca się na wyłączenie danej osoby od bycia świadkiem powinna musieć wykazać co do niej „uzasadnione wątpliwości”, a nie tylko zwykłe „wątpliwości” co do bezstronności (a więc powinna dostatecznie uzasadnić wątpliwości co do wyłączenia danej osoby od bycia świadkiem). Natomiast w wypadkach określonych w art. 957 § 1, 2 i 4 k.c. powinien istnieć „brak wątpliwości” w ogólności </w:t>
            </w:r>
            <w:r w:rsidR="00DA5CF2" w:rsidRPr="006C0013">
              <w:rPr>
                <w:rFonts w:eastAsia="Times New Roman" w:cstheme="minorHAnsi"/>
                <w:sz w:val="20"/>
                <w:szCs w:val="20"/>
                <w:lang w:eastAsia="pl-PL"/>
              </w:rPr>
              <w:lastRenderedPageBreak/>
              <w:t xml:space="preserve">(a więc „jakichkolwiek” a nie tylko „uzasadnionych”) co do bezstronności danego świadka, aby uznać, że mimo otrzymania przez niego lub jakąkolwiek inną osobę mu potencjalnie bliską korzyści ze spadku może być on jednak świadkiem testamentu. Po zmianie jeszcze bardziej utrudniać to będzie wykazanie dowodowo braku istnienia takich wątpliwości co do bezstronności świadka przez osobę, która się na to powołuje. Ciężar udowodnienia braku takich wątpliwości nałożony jest bowiem na ten podmiot, który wywodzi z tego faktu skutki prawne. </w:t>
            </w:r>
          </w:p>
          <w:p w14:paraId="4408DBA3" w14:textId="77777777" w:rsidR="00DA5CF2" w:rsidRPr="006C0013" w:rsidRDefault="00DA5CF2" w:rsidP="006C0013">
            <w:pPr>
              <w:spacing w:line="276" w:lineRule="auto"/>
              <w:jc w:val="both"/>
              <w:rPr>
                <w:rFonts w:eastAsia="Times New Roman" w:cstheme="minorHAnsi"/>
                <w:sz w:val="20"/>
                <w:szCs w:val="20"/>
                <w:lang w:eastAsia="pl-PL"/>
              </w:rPr>
            </w:pPr>
          </w:p>
          <w:p w14:paraId="353C0224" w14:textId="6F4AF7A0" w:rsidR="00922F6F" w:rsidRPr="00037D85" w:rsidRDefault="00DA5CF2" w:rsidP="001E1F69">
            <w:pPr>
              <w:spacing w:line="276" w:lineRule="auto"/>
              <w:jc w:val="both"/>
              <w:rPr>
                <w:rFonts w:eastAsia="Times New Roman" w:cstheme="minorHAnsi"/>
                <w:sz w:val="20"/>
                <w:szCs w:val="20"/>
                <w:lang w:eastAsia="pl-PL"/>
              </w:rPr>
            </w:pPr>
            <w:r w:rsidRPr="006C0013">
              <w:rPr>
                <w:rFonts w:eastAsia="Times New Roman" w:cstheme="minorHAnsi"/>
                <w:sz w:val="20"/>
                <w:szCs w:val="20"/>
                <w:lang w:eastAsia="pl-PL"/>
              </w:rPr>
              <w:t>Uzasadnienie projektu uzupełniono też o wyraźne opisanie problemu, jaki ma rozwiązywać ta regulacja oraz wyraźne opisanie przypadków, w których nie będą powstawały wątpliwości co do braku bezstronności świadków otrzymujących korzyść z testamentu</w:t>
            </w:r>
            <w:r w:rsidR="00037D85">
              <w:rPr>
                <w:rFonts w:eastAsia="Times New Roman" w:cstheme="minorHAnsi"/>
                <w:sz w:val="20"/>
                <w:szCs w:val="20"/>
                <w:lang w:eastAsia="pl-PL"/>
              </w:rPr>
              <w:t>.</w:t>
            </w:r>
          </w:p>
        </w:tc>
      </w:tr>
      <w:tr w:rsidR="003B09B8" w:rsidRPr="00AB6479" w14:paraId="0313B5F8" w14:textId="77777777" w:rsidTr="00B241C8">
        <w:trPr>
          <w:jc w:val="center"/>
        </w:trPr>
        <w:tc>
          <w:tcPr>
            <w:tcW w:w="562" w:type="dxa"/>
          </w:tcPr>
          <w:p w14:paraId="34BC99D8" w14:textId="1169BDA8" w:rsidR="003B09B8" w:rsidRPr="00AB6479" w:rsidRDefault="00AB6479" w:rsidP="00AB6479">
            <w:pPr>
              <w:spacing w:before="120" w:line="276" w:lineRule="auto"/>
              <w:ind w:right="-534"/>
              <w:rPr>
                <w:rFonts w:ascii="Calibri" w:hAnsi="Calibri" w:cs="Calibri"/>
                <w:bCs/>
                <w:sz w:val="20"/>
                <w:szCs w:val="20"/>
              </w:rPr>
            </w:pPr>
            <w:r>
              <w:rPr>
                <w:rFonts w:ascii="Calibri" w:hAnsi="Calibri" w:cs="Calibri"/>
                <w:bCs/>
                <w:sz w:val="20"/>
                <w:szCs w:val="20"/>
              </w:rPr>
              <w:lastRenderedPageBreak/>
              <w:t>1</w:t>
            </w:r>
            <w:r w:rsidR="001119D3">
              <w:rPr>
                <w:rFonts w:ascii="Calibri" w:hAnsi="Calibri" w:cs="Calibri"/>
                <w:bCs/>
                <w:sz w:val="20"/>
                <w:szCs w:val="20"/>
              </w:rPr>
              <w:t>1</w:t>
            </w:r>
            <w:r>
              <w:rPr>
                <w:rFonts w:ascii="Calibri" w:hAnsi="Calibri" w:cs="Calibri"/>
                <w:bCs/>
                <w:sz w:val="20"/>
                <w:szCs w:val="20"/>
              </w:rPr>
              <w:t>.</w:t>
            </w:r>
          </w:p>
        </w:tc>
        <w:tc>
          <w:tcPr>
            <w:tcW w:w="1843" w:type="dxa"/>
            <w:vAlign w:val="center"/>
          </w:tcPr>
          <w:p w14:paraId="4266D4CD" w14:textId="3241BB10" w:rsidR="003B09B8" w:rsidRPr="00AB6479" w:rsidRDefault="00AB6479"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IWS</w:t>
            </w:r>
          </w:p>
        </w:tc>
        <w:tc>
          <w:tcPr>
            <w:tcW w:w="1843" w:type="dxa"/>
            <w:vAlign w:val="center"/>
          </w:tcPr>
          <w:p w14:paraId="1294EEFE" w14:textId="6E50124E" w:rsidR="003B09B8" w:rsidRPr="00AB6479" w:rsidRDefault="003B09B8"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2 pkt 1 projektu</w:t>
            </w:r>
            <w:r w:rsidR="00177AD2">
              <w:rPr>
                <w:rFonts w:ascii="Calibri" w:hAnsi="Calibri" w:cs="Calibri"/>
                <w:bCs/>
                <w:sz w:val="20"/>
                <w:szCs w:val="20"/>
              </w:rPr>
              <w:t xml:space="preserve"> </w:t>
            </w:r>
            <w:r w:rsidR="00177AD2" w:rsidRPr="00177AD2">
              <w:rPr>
                <w:rFonts w:ascii="Calibri" w:hAnsi="Calibri" w:cs="Calibri"/>
                <w:bCs/>
                <w:i/>
                <w:iCs/>
                <w:sz w:val="18"/>
                <w:szCs w:val="18"/>
              </w:rPr>
              <w:t>(omyłkowo wskazano art. 1 pkt 5)</w:t>
            </w:r>
            <w:r w:rsidRPr="00AB6479">
              <w:rPr>
                <w:rFonts w:ascii="Calibri" w:hAnsi="Calibri" w:cs="Calibri"/>
                <w:bCs/>
                <w:sz w:val="20"/>
                <w:szCs w:val="20"/>
              </w:rPr>
              <w:t xml:space="preserve"> </w:t>
            </w:r>
          </w:p>
          <w:p w14:paraId="7DFE946F" w14:textId="076642F3" w:rsidR="003B09B8" w:rsidRPr="00AB6479" w:rsidRDefault="003B09B8" w:rsidP="00AB6479">
            <w:pPr>
              <w:spacing w:before="120" w:after="120" w:line="276" w:lineRule="auto"/>
              <w:jc w:val="center"/>
              <w:rPr>
                <w:rFonts w:ascii="Calibri" w:hAnsi="Calibri" w:cs="Calibri"/>
                <w:bCs/>
                <w:sz w:val="20"/>
                <w:szCs w:val="20"/>
              </w:rPr>
            </w:pPr>
            <w:r w:rsidRPr="00AB6479">
              <w:rPr>
                <w:rFonts w:ascii="Calibri" w:hAnsi="Calibri" w:cs="Calibri"/>
                <w:bCs/>
                <w:sz w:val="20"/>
                <w:szCs w:val="20"/>
              </w:rPr>
              <w:t>(art. 651 k.p.c.)</w:t>
            </w:r>
          </w:p>
        </w:tc>
        <w:tc>
          <w:tcPr>
            <w:tcW w:w="5670" w:type="dxa"/>
            <w:vAlign w:val="center"/>
          </w:tcPr>
          <w:p w14:paraId="2A916FF8" w14:textId="783DA1DC" w:rsidR="003B09B8" w:rsidRPr="00AB6479" w:rsidRDefault="003B09B8" w:rsidP="00AB6479">
            <w:pPr>
              <w:spacing w:line="276" w:lineRule="auto"/>
              <w:jc w:val="both"/>
              <w:rPr>
                <w:rFonts w:ascii="Calibri" w:eastAsia="Times New Roman" w:hAnsi="Calibri" w:cs="Calibri"/>
                <w:bCs/>
                <w:sz w:val="20"/>
                <w:szCs w:val="20"/>
                <w:lang w:eastAsia="pl-PL"/>
              </w:rPr>
            </w:pPr>
            <w:r w:rsidRPr="00AB6479">
              <w:rPr>
                <w:rFonts w:ascii="Calibri" w:eastAsia="Times New Roman" w:hAnsi="Calibri" w:cs="Calibri"/>
                <w:bCs/>
                <w:sz w:val="20"/>
                <w:szCs w:val="20"/>
                <w:lang w:eastAsia="pl-PL"/>
              </w:rPr>
              <w:t xml:space="preserve">Wątpliwości budzi proponowane brzmienie art. 651 </w:t>
            </w:r>
            <w:proofErr w:type="spellStart"/>
            <w:r w:rsidRPr="00AB6479">
              <w:rPr>
                <w:rFonts w:ascii="Calibri" w:eastAsia="Times New Roman" w:hAnsi="Calibri" w:cs="Calibri"/>
                <w:bCs/>
                <w:sz w:val="20"/>
                <w:szCs w:val="20"/>
                <w:lang w:eastAsia="pl-PL"/>
              </w:rPr>
              <w:t>zd</w:t>
            </w:r>
            <w:proofErr w:type="spellEnd"/>
            <w:r w:rsidRPr="00AB6479">
              <w:rPr>
                <w:rFonts w:ascii="Calibri" w:eastAsia="Times New Roman" w:hAnsi="Calibri" w:cs="Calibri"/>
                <w:bCs/>
                <w:sz w:val="20"/>
                <w:szCs w:val="20"/>
                <w:lang w:eastAsia="pl-PL"/>
              </w:rPr>
              <w:t>. 3 k.p.c. ograniczające obowiązkowe elementy protokołu otwarcia i ogłoszenia testamentu tylko do stwierdzenia treści oświadczenia spadkodawcy. W protokole tym powinna być stwierdzona możliwość identyfikacji spadkodawcy, liczba świadków oraz dane świadków zidentyfikowanych na podstawie nagrania, aby w protokole po pierwszym jego odtworzeniu musiały być sprawdzone</w:t>
            </w:r>
            <w:r w:rsidR="00F419AB">
              <w:rPr>
                <w:rFonts w:ascii="Calibri" w:eastAsia="Times New Roman" w:hAnsi="Calibri" w:cs="Calibri"/>
                <w:bCs/>
                <w:sz w:val="20"/>
                <w:szCs w:val="20"/>
                <w:lang w:eastAsia="pl-PL"/>
              </w:rPr>
              <w:t xml:space="preserve"> </w:t>
            </w:r>
            <w:r w:rsidRPr="00AB6479">
              <w:rPr>
                <w:rFonts w:ascii="Calibri" w:eastAsia="Times New Roman" w:hAnsi="Calibri" w:cs="Calibri"/>
                <w:bCs/>
                <w:sz w:val="20"/>
                <w:szCs w:val="20"/>
                <w:lang w:eastAsia="pl-PL"/>
              </w:rPr>
              <w:lastRenderedPageBreak/>
              <w:t xml:space="preserve">i odnotowane wszystkie przesłanki warunkujące ważność testamentu sporządzonego w tej formie. </w:t>
            </w:r>
          </w:p>
        </w:tc>
        <w:tc>
          <w:tcPr>
            <w:tcW w:w="4076" w:type="dxa"/>
          </w:tcPr>
          <w:p w14:paraId="246C9B6D" w14:textId="52B8B6AF" w:rsidR="006A7B54" w:rsidRDefault="00724DDB" w:rsidP="00AB6479">
            <w:pPr>
              <w:spacing w:line="276" w:lineRule="auto"/>
              <w:jc w:val="both"/>
              <w:rPr>
                <w:rFonts w:ascii="Calibri" w:hAnsi="Calibri" w:cs="Calibri"/>
                <w:b/>
                <w:sz w:val="20"/>
                <w:szCs w:val="20"/>
              </w:rPr>
            </w:pPr>
            <w:r>
              <w:rPr>
                <w:rFonts w:ascii="Calibri" w:hAnsi="Calibri" w:cs="Calibri"/>
                <w:b/>
                <w:sz w:val="20"/>
                <w:szCs w:val="20"/>
              </w:rPr>
              <w:lastRenderedPageBreak/>
              <w:t>Uwaga uwzględniona</w:t>
            </w:r>
          </w:p>
          <w:p w14:paraId="52C3032F" w14:textId="5C43B8BA" w:rsidR="006A7B54" w:rsidRPr="006C0013" w:rsidRDefault="006A7B54" w:rsidP="006A7B54">
            <w:pPr>
              <w:spacing w:line="276" w:lineRule="auto"/>
              <w:jc w:val="both"/>
              <w:rPr>
                <w:rFonts w:ascii="Calibri" w:hAnsi="Calibri" w:cs="Calibri"/>
                <w:bCs/>
                <w:sz w:val="20"/>
                <w:szCs w:val="20"/>
              </w:rPr>
            </w:pPr>
            <w:bookmarkStart w:id="0" w:name="_Hlk220059845"/>
            <w:r w:rsidRPr="006C0013">
              <w:rPr>
                <w:rFonts w:ascii="Calibri" w:hAnsi="Calibri" w:cs="Calibri"/>
                <w:bCs/>
                <w:sz w:val="20"/>
                <w:szCs w:val="20"/>
              </w:rPr>
              <w:t>Przyjęto, że w protokole otwarcia i ogłoszenia testamentu, którego treść została stwierdzona zgodnie z art. 952 § 3 albo art. 954</w:t>
            </w:r>
            <w:r w:rsidRPr="006C0013">
              <w:rPr>
                <w:rFonts w:ascii="Calibri" w:hAnsi="Calibri" w:cs="Calibri"/>
                <w:bCs/>
                <w:sz w:val="20"/>
                <w:szCs w:val="20"/>
                <w:vertAlign w:val="superscript"/>
              </w:rPr>
              <w:t>1</w:t>
            </w:r>
            <w:r w:rsidRPr="006C0013">
              <w:rPr>
                <w:rFonts w:ascii="Calibri" w:hAnsi="Calibri" w:cs="Calibri"/>
                <w:bCs/>
                <w:sz w:val="20"/>
                <w:szCs w:val="20"/>
              </w:rPr>
              <w:t xml:space="preserve"> § 3 zdanie trzecie Kodeksu cywilnego, zamieszcza się również informacje umożliwiające identyfikację spadkodawcy oraz świadków, a także treść oświadczenia spadkodawcy</w:t>
            </w:r>
            <w:bookmarkEnd w:id="0"/>
            <w:r w:rsidRPr="006C0013">
              <w:rPr>
                <w:rFonts w:ascii="Calibri" w:hAnsi="Calibri" w:cs="Calibri"/>
                <w:bCs/>
                <w:sz w:val="20"/>
                <w:szCs w:val="20"/>
              </w:rPr>
              <w:t xml:space="preserve">. </w:t>
            </w:r>
          </w:p>
          <w:p w14:paraId="28814A7F" w14:textId="6DB206EA" w:rsidR="00724DDB" w:rsidRPr="00F419AB" w:rsidRDefault="006A7B54" w:rsidP="00F419AB">
            <w:pPr>
              <w:spacing w:line="276" w:lineRule="auto"/>
              <w:jc w:val="both"/>
              <w:rPr>
                <w:rFonts w:ascii="Calibri" w:hAnsi="Calibri" w:cs="Calibri"/>
                <w:bCs/>
                <w:sz w:val="20"/>
                <w:szCs w:val="20"/>
              </w:rPr>
            </w:pPr>
            <w:r>
              <w:rPr>
                <w:rFonts w:ascii="Calibri" w:hAnsi="Calibri" w:cs="Calibri"/>
                <w:bCs/>
                <w:sz w:val="20"/>
                <w:szCs w:val="20"/>
              </w:rPr>
              <w:lastRenderedPageBreak/>
              <w:t>Przeważył za tym fakt, że z</w:t>
            </w:r>
            <w:r w:rsidR="00B30A9C" w:rsidRPr="00B30A9C">
              <w:rPr>
                <w:rFonts w:ascii="Calibri" w:hAnsi="Calibri" w:cs="Calibri"/>
                <w:bCs/>
                <w:sz w:val="20"/>
                <w:szCs w:val="20"/>
              </w:rPr>
              <w:t xml:space="preserve"> uwagi na fakt, że regulacja dotycząca możliwości stwierdzenia treści testamentu </w:t>
            </w:r>
            <w:r w:rsidR="004B4C0C">
              <w:rPr>
                <w:rFonts w:ascii="Calibri" w:hAnsi="Calibri" w:cs="Calibri"/>
                <w:bCs/>
                <w:sz w:val="20"/>
                <w:szCs w:val="20"/>
              </w:rPr>
              <w:t>poprzez nagranie audiowizualne jest rozwiązaniem nowym, zasadne jest zachowanie pewnych podwyższonych środków ostrożności celem ustalenia treści oświadczenia woli testatora. Po</w:t>
            </w:r>
            <w:r>
              <w:rPr>
                <w:rFonts w:ascii="Calibri" w:hAnsi="Calibri" w:cs="Calibri"/>
                <w:bCs/>
                <w:sz w:val="20"/>
                <w:szCs w:val="20"/>
              </w:rPr>
              <w:t>nadto po</w:t>
            </w:r>
            <w:r w:rsidR="004B4C0C">
              <w:rPr>
                <w:rFonts w:ascii="Calibri" w:hAnsi="Calibri" w:cs="Calibri"/>
                <w:bCs/>
                <w:sz w:val="20"/>
                <w:szCs w:val="20"/>
              </w:rPr>
              <w:t xml:space="preserve"> upływie pewnego czasu może nie być możliwości odtworzenia nagrania, dlatego już przy pierwszym odtworzeniu należy odnotować wszystkie okoliczności warunkujące ważność testamentu. </w:t>
            </w:r>
          </w:p>
        </w:tc>
      </w:tr>
      <w:tr w:rsidR="00922F6F" w:rsidRPr="00AB6479" w14:paraId="280BF54E" w14:textId="77777777" w:rsidTr="00B241C8">
        <w:trPr>
          <w:jc w:val="center"/>
        </w:trPr>
        <w:tc>
          <w:tcPr>
            <w:tcW w:w="562" w:type="dxa"/>
          </w:tcPr>
          <w:p w14:paraId="60BC01C3" w14:textId="59B92EFB" w:rsidR="00922F6F" w:rsidRPr="00AB6479" w:rsidRDefault="00AB6479" w:rsidP="00AB6479">
            <w:pPr>
              <w:spacing w:before="120" w:line="276" w:lineRule="auto"/>
              <w:ind w:right="-534"/>
              <w:rPr>
                <w:rFonts w:ascii="Calibri" w:hAnsi="Calibri" w:cs="Calibri"/>
                <w:bCs/>
                <w:sz w:val="20"/>
                <w:szCs w:val="20"/>
              </w:rPr>
            </w:pPr>
            <w:r>
              <w:rPr>
                <w:rFonts w:ascii="Calibri" w:hAnsi="Calibri" w:cs="Calibri"/>
                <w:bCs/>
                <w:sz w:val="20"/>
                <w:szCs w:val="20"/>
              </w:rPr>
              <w:lastRenderedPageBreak/>
              <w:t>1</w:t>
            </w:r>
            <w:r w:rsidR="001119D3">
              <w:rPr>
                <w:rFonts w:ascii="Calibri" w:hAnsi="Calibri" w:cs="Calibri"/>
                <w:bCs/>
                <w:sz w:val="20"/>
                <w:szCs w:val="20"/>
              </w:rPr>
              <w:t>2</w:t>
            </w:r>
            <w:r>
              <w:rPr>
                <w:rFonts w:ascii="Calibri" w:hAnsi="Calibri" w:cs="Calibri"/>
                <w:bCs/>
                <w:sz w:val="20"/>
                <w:szCs w:val="20"/>
              </w:rPr>
              <w:t>.</w:t>
            </w:r>
          </w:p>
        </w:tc>
        <w:tc>
          <w:tcPr>
            <w:tcW w:w="1843" w:type="dxa"/>
            <w:vAlign w:val="center"/>
          </w:tcPr>
          <w:p w14:paraId="279C8F57" w14:textId="16F6342C" w:rsidR="00922F6F" w:rsidRPr="00AB6479" w:rsidRDefault="00922F6F" w:rsidP="00AB6479">
            <w:pPr>
              <w:spacing w:before="120" w:after="120" w:line="276" w:lineRule="auto"/>
              <w:jc w:val="center"/>
              <w:rPr>
                <w:rFonts w:ascii="Calibri" w:hAnsi="Calibri" w:cs="Calibri"/>
                <w:b/>
                <w:sz w:val="20"/>
                <w:szCs w:val="20"/>
              </w:rPr>
            </w:pPr>
            <w:r w:rsidRPr="00AB6479">
              <w:rPr>
                <w:rFonts w:ascii="Calibri" w:hAnsi="Calibri" w:cs="Calibri"/>
                <w:b/>
                <w:sz w:val="20"/>
                <w:szCs w:val="20"/>
              </w:rPr>
              <w:t>Rzecznik Praw Obywatelskich</w:t>
            </w:r>
          </w:p>
        </w:tc>
        <w:tc>
          <w:tcPr>
            <w:tcW w:w="1843" w:type="dxa"/>
            <w:vAlign w:val="center"/>
          </w:tcPr>
          <w:p w14:paraId="22A7BB83" w14:textId="77777777" w:rsidR="00922F6F" w:rsidRPr="00331839" w:rsidRDefault="003B09B8" w:rsidP="00AB6479">
            <w:pPr>
              <w:spacing w:before="120" w:after="120" w:line="276" w:lineRule="auto"/>
              <w:jc w:val="center"/>
              <w:rPr>
                <w:rFonts w:ascii="Calibri" w:hAnsi="Calibri" w:cs="Calibri"/>
                <w:bCs/>
                <w:sz w:val="20"/>
                <w:szCs w:val="20"/>
                <w:lang w:val="de-DE"/>
              </w:rPr>
            </w:pPr>
            <w:r w:rsidRPr="00331839">
              <w:rPr>
                <w:rFonts w:ascii="Calibri" w:hAnsi="Calibri" w:cs="Calibri"/>
                <w:bCs/>
                <w:sz w:val="20"/>
                <w:szCs w:val="20"/>
                <w:lang w:val="de-DE"/>
              </w:rPr>
              <w:t xml:space="preserve">Art. 2 </w:t>
            </w:r>
            <w:proofErr w:type="spellStart"/>
            <w:r w:rsidRPr="00331839">
              <w:rPr>
                <w:rFonts w:ascii="Calibri" w:hAnsi="Calibri" w:cs="Calibri"/>
                <w:bCs/>
                <w:sz w:val="20"/>
                <w:szCs w:val="20"/>
                <w:lang w:val="de-DE"/>
              </w:rPr>
              <w:t>pkt</w:t>
            </w:r>
            <w:proofErr w:type="spellEnd"/>
            <w:r w:rsidRPr="00331839">
              <w:rPr>
                <w:rFonts w:ascii="Calibri" w:hAnsi="Calibri" w:cs="Calibri"/>
                <w:bCs/>
                <w:sz w:val="20"/>
                <w:szCs w:val="20"/>
                <w:lang w:val="de-DE"/>
              </w:rPr>
              <w:t xml:space="preserve"> </w:t>
            </w:r>
            <w:r w:rsidR="00934499" w:rsidRPr="00331839">
              <w:rPr>
                <w:rFonts w:ascii="Calibri" w:hAnsi="Calibri" w:cs="Calibri"/>
                <w:bCs/>
                <w:sz w:val="20"/>
                <w:szCs w:val="20"/>
                <w:lang w:val="de-DE"/>
              </w:rPr>
              <w:t>8</w:t>
            </w:r>
          </w:p>
          <w:p w14:paraId="3C33C835" w14:textId="481C2739" w:rsidR="00934499" w:rsidRPr="00331839" w:rsidRDefault="00934499" w:rsidP="00AB6479">
            <w:pPr>
              <w:spacing w:before="120" w:after="120" w:line="276" w:lineRule="auto"/>
              <w:jc w:val="center"/>
              <w:rPr>
                <w:rFonts w:ascii="Calibri" w:hAnsi="Calibri" w:cs="Calibri"/>
                <w:bCs/>
                <w:sz w:val="20"/>
                <w:szCs w:val="20"/>
                <w:lang w:val="de-DE"/>
              </w:rPr>
            </w:pPr>
            <w:r w:rsidRPr="00331839">
              <w:rPr>
                <w:rFonts w:ascii="Calibri" w:hAnsi="Calibri" w:cs="Calibri"/>
                <w:bCs/>
                <w:sz w:val="20"/>
                <w:szCs w:val="20"/>
                <w:lang w:val="de-DE"/>
              </w:rPr>
              <w:t>(art. 679</w:t>
            </w:r>
            <w:r w:rsidRPr="00331839">
              <w:rPr>
                <w:rFonts w:ascii="Calibri" w:hAnsi="Calibri" w:cs="Calibri"/>
                <w:bCs/>
                <w:sz w:val="20"/>
                <w:szCs w:val="20"/>
                <w:vertAlign w:val="superscript"/>
                <w:lang w:val="de-DE"/>
              </w:rPr>
              <w:t>1</w:t>
            </w:r>
            <w:r w:rsidRPr="00331839">
              <w:rPr>
                <w:rFonts w:ascii="Calibri" w:hAnsi="Calibri" w:cs="Calibri"/>
                <w:bCs/>
                <w:sz w:val="20"/>
                <w:szCs w:val="20"/>
                <w:lang w:val="de-DE"/>
              </w:rPr>
              <w:t xml:space="preserve"> </w:t>
            </w:r>
            <w:proofErr w:type="spellStart"/>
            <w:r w:rsidRPr="00331839">
              <w:rPr>
                <w:rFonts w:ascii="Calibri" w:hAnsi="Calibri" w:cs="Calibri"/>
                <w:bCs/>
                <w:sz w:val="20"/>
                <w:szCs w:val="20"/>
                <w:lang w:val="de-DE"/>
              </w:rPr>
              <w:t>k.p.c</w:t>
            </w:r>
            <w:proofErr w:type="spellEnd"/>
            <w:r w:rsidRPr="00331839">
              <w:rPr>
                <w:rFonts w:ascii="Calibri" w:hAnsi="Calibri" w:cs="Calibri"/>
                <w:bCs/>
                <w:sz w:val="20"/>
                <w:szCs w:val="20"/>
                <w:lang w:val="de-DE"/>
              </w:rPr>
              <w:t>.)</w:t>
            </w:r>
          </w:p>
        </w:tc>
        <w:tc>
          <w:tcPr>
            <w:tcW w:w="5670" w:type="dxa"/>
            <w:vAlign w:val="center"/>
          </w:tcPr>
          <w:p w14:paraId="29947DA9" w14:textId="7E3C3527" w:rsidR="00922F6F" w:rsidRPr="00AB6479" w:rsidRDefault="00922F6F" w:rsidP="00AB6479">
            <w:pPr>
              <w:spacing w:line="276" w:lineRule="auto"/>
              <w:jc w:val="both"/>
              <w:rPr>
                <w:rFonts w:ascii="Calibri" w:eastAsia="Times New Roman" w:hAnsi="Calibri" w:cs="Calibri"/>
                <w:bCs/>
                <w:sz w:val="20"/>
                <w:szCs w:val="20"/>
                <w:lang w:eastAsia="pl-PL"/>
              </w:rPr>
            </w:pPr>
            <w:r w:rsidRPr="00AB6479">
              <w:rPr>
                <w:rFonts w:ascii="Calibri" w:eastAsia="Times New Roman" w:hAnsi="Calibri" w:cs="Calibri"/>
                <w:bCs/>
                <w:sz w:val="20"/>
                <w:szCs w:val="20"/>
                <w:lang w:eastAsia="pl-PL"/>
              </w:rPr>
              <w:t>Co do zasady gwarancję dla sądów zapobieżenia wydaniu kolejnego postanowienia spadkowego w tej samej sprawie, może stanowić wprowadzenie obowiązku ujawnienia w Rejestrze Spadkowym informacji o toczącym się postanowieniu spadkowym już na etapie złożenia wniosku o stwierdzenie nabycia spadku, jak też obowiązku ujawnienia informacji o złożeniu wniosku o zmianę lub uchylenie rozstrzygnięcia spadkowego. Proszę jednak o rozważenie rozszerzenia tegoż obowiązku także na kwestię wszczęcia postępowania z urzędu o uchylenie kolejnego postanowienia spadkowego, zgodnie z projektowaną regulacją. Wydaje się, że dla pełnego zabezpieczenia danych w Rejestrze, z punktu widzenia zapewnienia ochrony przed wydaniem kolejnego postanowienia spadkowego w „starych” sprawach, może to mieć znaczenie, o ile w samym Rejestrze nie ma informacji o pierwszym postanowieniu spadkowym, wydanym w sprawie.</w:t>
            </w:r>
          </w:p>
        </w:tc>
        <w:tc>
          <w:tcPr>
            <w:tcW w:w="4076" w:type="dxa"/>
          </w:tcPr>
          <w:p w14:paraId="03848C2B" w14:textId="45DF4136" w:rsidR="00FD1538" w:rsidRDefault="00C86063" w:rsidP="00AB6479">
            <w:pPr>
              <w:spacing w:line="276" w:lineRule="auto"/>
              <w:jc w:val="both"/>
              <w:rPr>
                <w:rFonts w:ascii="Calibri" w:hAnsi="Calibri" w:cs="Calibri"/>
                <w:b/>
                <w:sz w:val="20"/>
                <w:szCs w:val="20"/>
              </w:rPr>
            </w:pPr>
            <w:r w:rsidRPr="00C86063">
              <w:rPr>
                <w:rFonts w:ascii="Calibri" w:hAnsi="Calibri" w:cs="Calibri"/>
                <w:b/>
                <w:sz w:val="20"/>
                <w:szCs w:val="20"/>
              </w:rPr>
              <w:t>Uwaga uwzględniona</w:t>
            </w:r>
          </w:p>
          <w:p w14:paraId="03E79F7F" w14:textId="308FC9E4" w:rsidR="00FD1538" w:rsidRPr="006C0013" w:rsidRDefault="00FD1538" w:rsidP="00AB6479">
            <w:pPr>
              <w:spacing w:line="276" w:lineRule="auto"/>
              <w:jc w:val="both"/>
              <w:rPr>
                <w:rFonts w:ascii="Calibri" w:hAnsi="Calibri" w:cs="Calibri"/>
                <w:bCs/>
                <w:sz w:val="20"/>
                <w:szCs w:val="20"/>
                <w:vertAlign w:val="superscript"/>
              </w:rPr>
            </w:pPr>
            <w:r w:rsidRPr="006C0013">
              <w:rPr>
                <w:rFonts w:ascii="Calibri" w:hAnsi="Calibri" w:cs="Calibri"/>
                <w:bCs/>
                <w:sz w:val="20"/>
                <w:szCs w:val="20"/>
              </w:rPr>
              <w:t>Dokonano zmiany projektowanego art. 679</w:t>
            </w:r>
            <w:r w:rsidRPr="006C0013">
              <w:rPr>
                <w:rFonts w:ascii="Calibri" w:hAnsi="Calibri" w:cs="Calibri"/>
                <w:bCs/>
                <w:sz w:val="20"/>
                <w:szCs w:val="20"/>
                <w:vertAlign w:val="superscript"/>
              </w:rPr>
              <w:t>1</w:t>
            </w:r>
            <w:r w:rsidRPr="006C0013">
              <w:rPr>
                <w:rFonts w:ascii="Calibri" w:hAnsi="Calibri" w:cs="Calibri"/>
                <w:bCs/>
                <w:sz w:val="20"/>
                <w:szCs w:val="20"/>
              </w:rPr>
              <w:t xml:space="preserve"> k.p.c. oraz w konsekwencji w art. 95ha ustawy Prawo o notariacie dodano nowy punkt 2</w:t>
            </w:r>
            <w:r w:rsidRPr="006C0013">
              <w:rPr>
                <w:rFonts w:ascii="Calibri" w:hAnsi="Calibri" w:cs="Calibri"/>
                <w:bCs/>
                <w:sz w:val="20"/>
                <w:szCs w:val="20"/>
                <w:vertAlign w:val="superscript"/>
              </w:rPr>
              <w:t>2.</w:t>
            </w:r>
          </w:p>
          <w:p w14:paraId="40A57F28" w14:textId="49F80BF7" w:rsidR="00C86063" w:rsidRPr="00AB6479" w:rsidRDefault="00C86063" w:rsidP="00AB6479">
            <w:pPr>
              <w:spacing w:line="276" w:lineRule="auto"/>
              <w:jc w:val="both"/>
              <w:rPr>
                <w:rFonts w:ascii="Calibri" w:hAnsi="Calibri" w:cs="Calibri"/>
                <w:bCs/>
                <w:color w:val="365F91" w:themeColor="accent1" w:themeShade="BF"/>
                <w:sz w:val="20"/>
                <w:szCs w:val="20"/>
              </w:rPr>
            </w:pPr>
          </w:p>
        </w:tc>
      </w:tr>
      <w:tr w:rsidR="00922F6F" w:rsidRPr="00AB6479" w14:paraId="1CA5AB4D" w14:textId="77777777" w:rsidTr="009C7937">
        <w:trPr>
          <w:jc w:val="center"/>
        </w:trPr>
        <w:tc>
          <w:tcPr>
            <w:tcW w:w="13994" w:type="dxa"/>
            <w:gridSpan w:val="5"/>
            <w:shd w:val="clear" w:color="auto" w:fill="DBE5F1" w:themeFill="accent1" w:themeFillTint="33"/>
          </w:tcPr>
          <w:p w14:paraId="24A9AEDA" w14:textId="5134C805" w:rsidR="00922F6F" w:rsidRPr="00AB6479" w:rsidRDefault="00922F6F" w:rsidP="00AB6479">
            <w:pPr>
              <w:spacing w:before="120" w:after="120" w:line="276" w:lineRule="auto"/>
              <w:jc w:val="center"/>
              <w:rPr>
                <w:rFonts w:ascii="Calibri" w:hAnsi="Calibri" w:cs="Calibri"/>
                <w:bCs/>
                <w:color w:val="000000" w:themeColor="text1"/>
                <w:sz w:val="20"/>
                <w:szCs w:val="20"/>
              </w:rPr>
            </w:pPr>
            <w:r w:rsidRPr="00AB6479">
              <w:rPr>
                <w:rFonts w:ascii="Calibri" w:hAnsi="Calibri" w:cs="Calibri"/>
                <w:bCs/>
                <w:color w:val="000000" w:themeColor="text1"/>
                <w:sz w:val="20"/>
                <w:szCs w:val="20"/>
              </w:rPr>
              <w:lastRenderedPageBreak/>
              <w:t>Uwagi do uzasadnienia projektu</w:t>
            </w:r>
          </w:p>
        </w:tc>
      </w:tr>
      <w:tr w:rsidR="00922F6F" w:rsidRPr="00AB6479" w14:paraId="2156F658" w14:textId="77777777" w:rsidTr="00B241C8">
        <w:trPr>
          <w:jc w:val="center"/>
        </w:trPr>
        <w:tc>
          <w:tcPr>
            <w:tcW w:w="562" w:type="dxa"/>
          </w:tcPr>
          <w:p w14:paraId="79AAA3D9" w14:textId="3DE50848" w:rsidR="00922F6F" w:rsidRPr="00AB6479" w:rsidRDefault="00922F6F" w:rsidP="00AB6479">
            <w:pPr>
              <w:spacing w:before="120" w:line="276" w:lineRule="auto"/>
              <w:ind w:right="-534"/>
              <w:rPr>
                <w:rFonts w:ascii="Calibri" w:hAnsi="Calibri" w:cs="Calibri"/>
                <w:bCs/>
                <w:sz w:val="20"/>
                <w:szCs w:val="20"/>
              </w:rPr>
            </w:pPr>
            <w:r w:rsidRPr="00AB6479">
              <w:rPr>
                <w:rFonts w:ascii="Calibri" w:hAnsi="Calibri" w:cs="Calibri"/>
                <w:bCs/>
                <w:sz w:val="20"/>
                <w:szCs w:val="20"/>
              </w:rPr>
              <w:t>1.</w:t>
            </w:r>
          </w:p>
        </w:tc>
        <w:tc>
          <w:tcPr>
            <w:tcW w:w="1843" w:type="dxa"/>
            <w:vAlign w:val="center"/>
          </w:tcPr>
          <w:p w14:paraId="225CC122" w14:textId="77777777" w:rsidR="00922F6F" w:rsidRPr="00AB6479" w:rsidRDefault="00922F6F" w:rsidP="00AB6479">
            <w:pPr>
              <w:spacing w:before="120" w:after="120" w:line="276" w:lineRule="auto"/>
              <w:jc w:val="center"/>
              <w:rPr>
                <w:rFonts w:ascii="Calibri" w:hAnsi="Calibri" w:cs="Calibri"/>
                <w:bCs/>
                <w:sz w:val="20"/>
                <w:szCs w:val="20"/>
              </w:rPr>
            </w:pPr>
          </w:p>
        </w:tc>
        <w:tc>
          <w:tcPr>
            <w:tcW w:w="1843" w:type="dxa"/>
            <w:vAlign w:val="center"/>
          </w:tcPr>
          <w:p w14:paraId="5B69EE39" w14:textId="77777777" w:rsidR="00922F6F" w:rsidRPr="00AB6479" w:rsidRDefault="00922F6F" w:rsidP="00AB6479">
            <w:pPr>
              <w:spacing w:before="120" w:after="120" w:line="276" w:lineRule="auto"/>
              <w:jc w:val="center"/>
              <w:rPr>
                <w:rFonts w:ascii="Calibri" w:hAnsi="Calibri" w:cs="Calibri"/>
                <w:bCs/>
                <w:sz w:val="20"/>
                <w:szCs w:val="20"/>
              </w:rPr>
            </w:pPr>
          </w:p>
        </w:tc>
        <w:tc>
          <w:tcPr>
            <w:tcW w:w="5670" w:type="dxa"/>
            <w:vAlign w:val="center"/>
          </w:tcPr>
          <w:p w14:paraId="09E4D561" w14:textId="77777777" w:rsidR="00922F6F" w:rsidRPr="00AB6479" w:rsidRDefault="00922F6F" w:rsidP="00AB6479">
            <w:pPr>
              <w:spacing w:line="276" w:lineRule="auto"/>
              <w:ind w:firstLine="708"/>
              <w:jc w:val="center"/>
              <w:rPr>
                <w:rFonts w:ascii="Calibri" w:eastAsia="Times New Roman" w:hAnsi="Calibri" w:cs="Calibri"/>
                <w:bCs/>
                <w:sz w:val="20"/>
                <w:szCs w:val="20"/>
                <w:lang w:eastAsia="pl-PL"/>
              </w:rPr>
            </w:pPr>
          </w:p>
        </w:tc>
        <w:tc>
          <w:tcPr>
            <w:tcW w:w="4076" w:type="dxa"/>
          </w:tcPr>
          <w:p w14:paraId="2ADAA775" w14:textId="77777777" w:rsidR="00922F6F" w:rsidRPr="00AB6479" w:rsidRDefault="00922F6F" w:rsidP="00AB6479">
            <w:pPr>
              <w:spacing w:before="120" w:after="120" w:line="276" w:lineRule="auto"/>
              <w:jc w:val="center"/>
              <w:rPr>
                <w:rFonts w:ascii="Calibri" w:eastAsia="Times New Roman" w:hAnsi="Calibri" w:cs="Calibri"/>
                <w:bCs/>
                <w:sz w:val="20"/>
                <w:szCs w:val="20"/>
                <w:lang w:eastAsia="pl-PL"/>
              </w:rPr>
            </w:pPr>
          </w:p>
        </w:tc>
      </w:tr>
      <w:tr w:rsidR="00922F6F" w:rsidRPr="00AB6479" w14:paraId="62827CBE" w14:textId="77777777" w:rsidTr="009C7937">
        <w:trPr>
          <w:jc w:val="center"/>
        </w:trPr>
        <w:tc>
          <w:tcPr>
            <w:tcW w:w="13994" w:type="dxa"/>
            <w:gridSpan w:val="5"/>
            <w:shd w:val="clear" w:color="auto" w:fill="DBE5F1" w:themeFill="accent1" w:themeFillTint="33"/>
          </w:tcPr>
          <w:p w14:paraId="6DD01354" w14:textId="00E3688E" w:rsidR="00922F6F" w:rsidRPr="00AB6479" w:rsidRDefault="00922F6F" w:rsidP="00AB6479">
            <w:pPr>
              <w:spacing w:before="120" w:after="120" w:line="276" w:lineRule="auto"/>
              <w:jc w:val="center"/>
              <w:rPr>
                <w:rFonts w:ascii="Calibri" w:eastAsia="Times New Roman" w:hAnsi="Calibri" w:cs="Calibri"/>
                <w:bCs/>
                <w:sz w:val="20"/>
                <w:szCs w:val="20"/>
                <w:lang w:eastAsia="pl-PL"/>
              </w:rPr>
            </w:pPr>
            <w:r w:rsidRPr="00AB6479">
              <w:rPr>
                <w:rFonts w:ascii="Calibri" w:hAnsi="Calibri" w:cs="Calibri"/>
                <w:bCs/>
                <w:color w:val="000000" w:themeColor="text1"/>
                <w:sz w:val="20"/>
                <w:szCs w:val="20"/>
              </w:rPr>
              <w:t>Uwagi do Oceny Skutków Regulacji</w:t>
            </w:r>
          </w:p>
        </w:tc>
      </w:tr>
      <w:tr w:rsidR="00922F6F" w:rsidRPr="00AB6479" w14:paraId="70AF4D21" w14:textId="77777777" w:rsidTr="00B241C8">
        <w:tblPrEx>
          <w:jc w:val="left"/>
        </w:tblPrEx>
        <w:tc>
          <w:tcPr>
            <w:tcW w:w="562" w:type="dxa"/>
          </w:tcPr>
          <w:p w14:paraId="2A511012" w14:textId="182C5783" w:rsidR="00922F6F" w:rsidRPr="00AB6479" w:rsidRDefault="00922F6F" w:rsidP="00AB6479">
            <w:pPr>
              <w:spacing w:before="120" w:line="276" w:lineRule="auto"/>
              <w:ind w:right="-534"/>
              <w:rPr>
                <w:rFonts w:ascii="Calibri" w:hAnsi="Calibri" w:cs="Calibri"/>
                <w:bCs/>
                <w:sz w:val="20"/>
                <w:szCs w:val="20"/>
              </w:rPr>
            </w:pPr>
            <w:r w:rsidRPr="00AB6479">
              <w:rPr>
                <w:rFonts w:ascii="Calibri" w:hAnsi="Calibri" w:cs="Calibri"/>
                <w:bCs/>
                <w:sz w:val="20"/>
                <w:szCs w:val="20"/>
              </w:rPr>
              <w:t>1.</w:t>
            </w:r>
          </w:p>
        </w:tc>
        <w:tc>
          <w:tcPr>
            <w:tcW w:w="1843" w:type="dxa"/>
          </w:tcPr>
          <w:p w14:paraId="02E25544" w14:textId="77777777" w:rsidR="00922F6F" w:rsidRPr="00AB6479" w:rsidRDefault="00922F6F" w:rsidP="00AB6479">
            <w:pPr>
              <w:spacing w:before="120" w:after="120" w:line="276" w:lineRule="auto"/>
              <w:jc w:val="center"/>
              <w:rPr>
                <w:rFonts w:ascii="Calibri" w:hAnsi="Calibri" w:cs="Calibri"/>
                <w:bCs/>
                <w:sz w:val="20"/>
                <w:szCs w:val="20"/>
              </w:rPr>
            </w:pPr>
          </w:p>
        </w:tc>
        <w:tc>
          <w:tcPr>
            <w:tcW w:w="1843" w:type="dxa"/>
          </w:tcPr>
          <w:p w14:paraId="3FEDB332" w14:textId="77777777" w:rsidR="00922F6F" w:rsidRPr="00AB6479" w:rsidRDefault="00922F6F" w:rsidP="00AB6479">
            <w:pPr>
              <w:spacing w:before="120" w:after="120" w:line="276" w:lineRule="auto"/>
              <w:jc w:val="center"/>
              <w:rPr>
                <w:rFonts w:ascii="Calibri" w:hAnsi="Calibri" w:cs="Calibri"/>
                <w:bCs/>
                <w:sz w:val="20"/>
                <w:szCs w:val="20"/>
              </w:rPr>
            </w:pPr>
          </w:p>
        </w:tc>
        <w:tc>
          <w:tcPr>
            <w:tcW w:w="5670" w:type="dxa"/>
          </w:tcPr>
          <w:p w14:paraId="1D00666D" w14:textId="77777777" w:rsidR="00922F6F" w:rsidRPr="00AB6479" w:rsidRDefault="00922F6F" w:rsidP="00AB6479">
            <w:pPr>
              <w:spacing w:line="276" w:lineRule="auto"/>
              <w:ind w:firstLine="708"/>
              <w:jc w:val="center"/>
              <w:rPr>
                <w:rFonts w:ascii="Calibri" w:eastAsia="Times New Roman" w:hAnsi="Calibri" w:cs="Calibri"/>
                <w:bCs/>
                <w:sz w:val="20"/>
                <w:szCs w:val="20"/>
                <w:lang w:eastAsia="pl-PL"/>
              </w:rPr>
            </w:pPr>
          </w:p>
        </w:tc>
        <w:tc>
          <w:tcPr>
            <w:tcW w:w="4076" w:type="dxa"/>
          </w:tcPr>
          <w:p w14:paraId="3366253C" w14:textId="77777777" w:rsidR="00922F6F" w:rsidRPr="00AB6479" w:rsidRDefault="00922F6F" w:rsidP="00AB6479">
            <w:pPr>
              <w:spacing w:before="120" w:after="120" w:line="276" w:lineRule="auto"/>
              <w:jc w:val="center"/>
              <w:rPr>
                <w:rFonts w:ascii="Calibri" w:eastAsia="Times New Roman" w:hAnsi="Calibri" w:cs="Calibri"/>
                <w:bCs/>
                <w:sz w:val="20"/>
                <w:szCs w:val="20"/>
                <w:lang w:eastAsia="pl-PL"/>
              </w:rPr>
            </w:pPr>
          </w:p>
        </w:tc>
      </w:tr>
    </w:tbl>
    <w:p w14:paraId="3263BA22" w14:textId="77777777" w:rsidR="009A3389" w:rsidRPr="00AB6479" w:rsidRDefault="009A3389" w:rsidP="00AB6479">
      <w:pPr>
        <w:rPr>
          <w:rFonts w:ascii="Calibri" w:hAnsi="Calibri" w:cs="Calibri"/>
          <w:bCs/>
          <w:sz w:val="20"/>
          <w:szCs w:val="20"/>
        </w:rPr>
      </w:pPr>
    </w:p>
    <w:sectPr w:rsidR="009A3389" w:rsidRPr="00AB6479" w:rsidSect="001F3A0F">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18BE92" w14:textId="77777777" w:rsidR="00991D89" w:rsidRDefault="00991D89" w:rsidP="00735AA5">
      <w:pPr>
        <w:spacing w:after="0" w:line="240" w:lineRule="auto"/>
      </w:pPr>
      <w:r>
        <w:separator/>
      </w:r>
    </w:p>
  </w:endnote>
  <w:endnote w:type="continuationSeparator" w:id="0">
    <w:p w14:paraId="2E329F66" w14:textId="77777777" w:rsidR="00991D89" w:rsidRDefault="00991D89" w:rsidP="00735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61002A87" w:usb1="80000000" w:usb2="00000008" w:usb3="00000000" w:csb0="0001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451909213"/>
      <w:docPartObj>
        <w:docPartGallery w:val="Page Numbers (Bottom of Page)"/>
        <w:docPartUnique/>
      </w:docPartObj>
    </w:sdtPr>
    <w:sdtEndPr/>
    <w:sdtContent>
      <w:p w14:paraId="3D1313F4" w14:textId="77777777" w:rsidR="000B346A" w:rsidRPr="000B346A" w:rsidRDefault="00E738A5">
        <w:pPr>
          <w:pStyle w:val="Stopka"/>
          <w:jc w:val="right"/>
          <w:rPr>
            <w:rFonts w:ascii="Arial" w:hAnsi="Arial" w:cs="Arial"/>
            <w:sz w:val="18"/>
          </w:rPr>
        </w:pPr>
        <w:r>
          <w:rPr>
            <w:rFonts w:ascii="Arial" w:hAnsi="Arial" w:cs="Arial"/>
            <w:sz w:val="18"/>
          </w:rPr>
          <w:t>S</w:t>
        </w:r>
        <w:r w:rsidR="000B346A" w:rsidRPr="000B346A">
          <w:rPr>
            <w:rFonts w:ascii="Arial" w:hAnsi="Arial" w:cs="Arial"/>
            <w:sz w:val="18"/>
          </w:rPr>
          <w:t xml:space="preserve">trona | </w:t>
        </w:r>
        <w:r w:rsidR="000B346A" w:rsidRPr="000B346A">
          <w:rPr>
            <w:rFonts w:ascii="Arial" w:hAnsi="Arial" w:cs="Arial"/>
            <w:sz w:val="18"/>
          </w:rPr>
          <w:fldChar w:fldCharType="begin"/>
        </w:r>
        <w:r w:rsidR="000B346A" w:rsidRPr="000B346A">
          <w:rPr>
            <w:rFonts w:ascii="Arial" w:hAnsi="Arial" w:cs="Arial"/>
            <w:sz w:val="18"/>
          </w:rPr>
          <w:instrText>PAGE   \* MERGEFORMAT</w:instrText>
        </w:r>
        <w:r w:rsidR="000B346A" w:rsidRPr="000B346A">
          <w:rPr>
            <w:rFonts w:ascii="Arial" w:hAnsi="Arial" w:cs="Arial"/>
            <w:sz w:val="18"/>
          </w:rPr>
          <w:fldChar w:fldCharType="separate"/>
        </w:r>
        <w:r w:rsidR="00E23A7D">
          <w:rPr>
            <w:rFonts w:ascii="Arial" w:hAnsi="Arial" w:cs="Arial"/>
            <w:noProof/>
            <w:sz w:val="18"/>
          </w:rPr>
          <w:t>1</w:t>
        </w:r>
        <w:r w:rsidR="000B346A" w:rsidRPr="000B346A">
          <w:rPr>
            <w:rFonts w:ascii="Arial" w:hAnsi="Arial" w:cs="Arial"/>
            <w:sz w:val="18"/>
          </w:rPr>
          <w:fldChar w:fldCharType="end"/>
        </w:r>
        <w:r w:rsidR="000B346A" w:rsidRPr="000B346A">
          <w:rPr>
            <w:rFonts w:ascii="Arial" w:hAnsi="Arial" w:cs="Arial"/>
            <w:sz w:val="18"/>
          </w:rPr>
          <w:t xml:space="preserve"> </w:t>
        </w:r>
      </w:p>
    </w:sdtContent>
  </w:sdt>
  <w:p w14:paraId="1FF13A2E" w14:textId="77777777" w:rsidR="00735AA5" w:rsidRDefault="00735A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39190" w14:textId="77777777" w:rsidR="00991D89" w:rsidRDefault="00991D89" w:rsidP="00735AA5">
      <w:pPr>
        <w:spacing w:after="0" w:line="240" w:lineRule="auto"/>
      </w:pPr>
      <w:r>
        <w:separator/>
      </w:r>
    </w:p>
  </w:footnote>
  <w:footnote w:type="continuationSeparator" w:id="0">
    <w:p w14:paraId="4C4A4B34" w14:textId="77777777" w:rsidR="00991D89" w:rsidRDefault="00991D89" w:rsidP="00735A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Look w:val="04A0" w:firstRow="1" w:lastRow="0" w:firstColumn="1" w:lastColumn="0" w:noHBand="0" w:noVBand="1"/>
    </w:tblPr>
    <w:tblGrid>
      <w:gridCol w:w="553"/>
      <w:gridCol w:w="1913"/>
      <w:gridCol w:w="1866"/>
      <w:gridCol w:w="5551"/>
      <w:gridCol w:w="4111"/>
    </w:tblGrid>
    <w:tr w:rsidR="00136551" w:rsidRPr="00C519CA" w14:paraId="25235B4B" w14:textId="77777777" w:rsidTr="00CF31A7">
      <w:trPr>
        <w:trHeight w:val="592"/>
        <w:jc w:val="center"/>
      </w:trPr>
      <w:tc>
        <w:tcPr>
          <w:tcW w:w="554" w:type="dxa"/>
          <w:vAlign w:val="center"/>
        </w:tcPr>
        <w:p w14:paraId="3079F5C1" w14:textId="77777777" w:rsidR="00136551" w:rsidRPr="00C519CA" w:rsidRDefault="00136551" w:rsidP="00136551">
          <w:pPr>
            <w:jc w:val="center"/>
            <w:rPr>
              <w:rFonts w:ascii="Times New Roman" w:hAnsi="Times New Roman" w:cs="Times New Roman"/>
            </w:rPr>
          </w:pPr>
          <w:r w:rsidRPr="00C519CA">
            <w:rPr>
              <w:rFonts w:ascii="Times New Roman" w:hAnsi="Times New Roman" w:cs="Times New Roman"/>
              <w:b/>
            </w:rPr>
            <w:t>Lp</w:t>
          </w:r>
          <w:r w:rsidRPr="00C519CA">
            <w:rPr>
              <w:rFonts w:ascii="Times New Roman" w:hAnsi="Times New Roman" w:cs="Times New Roman"/>
            </w:rPr>
            <w:t>.</w:t>
          </w:r>
        </w:p>
      </w:tc>
      <w:tc>
        <w:tcPr>
          <w:tcW w:w="1931" w:type="dxa"/>
          <w:vAlign w:val="center"/>
        </w:tcPr>
        <w:p w14:paraId="51D5B69E" w14:textId="77777777" w:rsidR="00136551" w:rsidRPr="00C519CA" w:rsidRDefault="00136551" w:rsidP="00136551">
          <w:pPr>
            <w:spacing w:after="60"/>
            <w:jc w:val="center"/>
            <w:rPr>
              <w:rFonts w:ascii="Times New Roman" w:hAnsi="Times New Roman" w:cs="Times New Roman"/>
              <w:b/>
              <w:bCs/>
            </w:rPr>
          </w:pPr>
          <w:r w:rsidRPr="00C519CA">
            <w:rPr>
              <w:rFonts w:ascii="Times New Roman" w:hAnsi="Times New Roman" w:cs="Times New Roman"/>
              <w:b/>
              <w:bCs/>
            </w:rPr>
            <w:t>Podmiot zgłaszający uwagę</w:t>
          </w:r>
        </w:p>
      </w:tc>
      <w:tc>
        <w:tcPr>
          <w:tcW w:w="1876" w:type="dxa"/>
          <w:vAlign w:val="center"/>
        </w:tcPr>
        <w:p w14:paraId="0ECBAC82" w14:textId="67138AD3" w:rsidR="00136551" w:rsidRPr="00C519CA" w:rsidRDefault="00136551" w:rsidP="00136551">
          <w:pPr>
            <w:jc w:val="center"/>
            <w:rPr>
              <w:rFonts w:ascii="Times New Roman" w:hAnsi="Times New Roman" w:cs="Times New Roman"/>
            </w:rPr>
          </w:pPr>
          <w:r w:rsidRPr="00C519CA">
            <w:rPr>
              <w:rFonts w:ascii="Times New Roman" w:hAnsi="Times New Roman" w:cs="Times New Roman"/>
              <w:b/>
              <w:bCs/>
            </w:rPr>
            <w:t xml:space="preserve">Jednostka redakcyjna </w:t>
          </w:r>
          <w:r w:rsidR="005807F5" w:rsidRPr="00C519CA">
            <w:rPr>
              <w:rFonts w:ascii="Times New Roman" w:hAnsi="Times New Roman" w:cs="Times New Roman"/>
              <w:b/>
              <w:bCs/>
            </w:rPr>
            <w:t>projektu/</w:t>
          </w:r>
          <w:r w:rsidRPr="00C519CA">
            <w:rPr>
              <w:rFonts w:ascii="Times New Roman" w:hAnsi="Times New Roman" w:cs="Times New Roman"/>
              <w:b/>
              <w:bCs/>
            </w:rPr>
            <w:br/>
            <w:t>Str</w:t>
          </w:r>
          <w:r w:rsidR="00963B6A" w:rsidRPr="00C519CA">
            <w:rPr>
              <w:rFonts w:ascii="Times New Roman" w:hAnsi="Times New Roman" w:cs="Times New Roman"/>
              <w:b/>
              <w:bCs/>
            </w:rPr>
            <w:t>ona</w:t>
          </w:r>
          <w:r w:rsidRPr="00C519CA">
            <w:rPr>
              <w:rFonts w:ascii="Times New Roman" w:hAnsi="Times New Roman" w:cs="Times New Roman"/>
              <w:b/>
              <w:bCs/>
            </w:rPr>
            <w:t xml:space="preserve"> uzasadnienia</w:t>
          </w:r>
          <w:r w:rsidR="005807F5" w:rsidRPr="00C519CA">
            <w:rPr>
              <w:rFonts w:ascii="Times New Roman" w:hAnsi="Times New Roman" w:cs="Times New Roman"/>
              <w:b/>
              <w:bCs/>
            </w:rPr>
            <w:t>/</w:t>
          </w:r>
          <w:r w:rsidRPr="00C519CA">
            <w:rPr>
              <w:rFonts w:ascii="Times New Roman" w:hAnsi="Times New Roman" w:cs="Times New Roman"/>
              <w:b/>
              <w:bCs/>
            </w:rPr>
            <w:br/>
            <w:t>Pkt OSR</w:t>
          </w:r>
        </w:p>
      </w:tc>
      <w:tc>
        <w:tcPr>
          <w:tcW w:w="5670" w:type="dxa"/>
          <w:vAlign w:val="center"/>
        </w:tcPr>
        <w:p w14:paraId="36A5BA4A" w14:textId="3004F453" w:rsidR="00136551" w:rsidRPr="00C519CA" w:rsidRDefault="00136551" w:rsidP="00136551">
          <w:pPr>
            <w:jc w:val="center"/>
            <w:rPr>
              <w:rFonts w:ascii="Times New Roman" w:hAnsi="Times New Roman" w:cs="Times New Roman"/>
            </w:rPr>
          </w:pPr>
          <w:r w:rsidRPr="00C519CA">
            <w:rPr>
              <w:rFonts w:ascii="Times New Roman" w:hAnsi="Times New Roman" w:cs="Times New Roman"/>
              <w:b/>
              <w:bCs/>
            </w:rPr>
            <w:t xml:space="preserve">Treść </w:t>
          </w:r>
          <w:r w:rsidR="00CA7C31" w:rsidRPr="00C519CA">
            <w:rPr>
              <w:rFonts w:ascii="Times New Roman" w:hAnsi="Times New Roman" w:cs="Times New Roman"/>
              <w:b/>
              <w:bCs/>
            </w:rPr>
            <w:t>uwagi oraz</w:t>
          </w:r>
          <w:r w:rsidR="005807F5" w:rsidRPr="00C519CA">
            <w:rPr>
              <w:rFonts w:ascii="Times New Roman" w:hAnsi="Times New Roman" w:cs="Times New Roman"/>
              <w:b/>
              <w:bCs/>
            </w:rPr>
            <w:t xml:space="preserve"> p</w:t>
          </w:r>
          <w:r w:rsidRPr="00C519CA">
            <w:rPr>
              <w:rFonts w:ascii="Times New Roman" w:hAnsi="Times New Roman" w:cs="Times New Roman"/>
              <w:b/>
              <w:bCs/>
            </w:rPr>
            <w:t>ropozycja z</w:t>
          </w:r>
          <w:r w:rsidR="005807F5" w:rsidRPr="00C519CA">
            <w:rPr>
              <w:rFonts w:ascii="Times New Roman" w:hAnsi="Times New Roman" w:cs="Times New Roman"/>
              <w:b/>
              <w:bCs/>
            </w:rPr>
            <w:t>miany</w:t>
          </w:r>
        </w:p>
      </w:tc>
      <w:tc>
        <w:tcPr>
          <w:tcW w:w="4189" w:type="dxa"/>
        </w:tcPr>
        <w:p w14:paraId="0EE8722A" w14:textId="77777777" w:rsidR="00136551" w:rsidRPr="00C519CA" w:rsidRDefault="00136551" w:rsidP="00136551">
          <w:pPr>
            <w:jc w:val="center"/>
            <w:rPr>
              <w:rFonts w:ascii="Times New Roman" w:hAnsi="Times New Roman" w:cs="Times New Roman"/>
              <w:b/>
              <w:bCs/>
              <w:i/>
            </w:rPr>
          </w:pPr>
        </w:p>
        <w:p w14:paraId="06708177" w14:textId="5FB44390" w:rsidR="00136551" w:rsidRPr="00C519CA" w:rsidRDefault="00136551" w:rsidP="00136551">
          <w:pPr>
            <w:jc w:val="center"/>
            <w:rPr>
              <w:rFonts w:ascii="Times New Roman" w:hAnsi="Times New Roman" w:cs="Times New Roman"/>
              <w:b/>
              <w:bCs/>
            </w:rPr>
          </w:pPr>
          <w:r w:rsidRPr="00C519CA">
            <w:rPr>
              <w:rFonts w:ascii="Times New Roman" w:hAnsi="Times New Roman" w:cs="Times New Roman"/>
              <w:b/>
              <w:bCs/>
            </w:rPr>
            <w:t xml:space="preserve">Stanowisko </w:t>
          </w:r>
          <w:r w:rsidR="003514BB" w:rsidRPr="00C519CA">
            <w:rPr>
              <w:rFonts w:ascii="Times New Roman" w:hAnsi="Times New Roman" w:cs="Times New Roman"/>
              <w:b/>
              <w:bCs/>
            </w:rPr>
            <w:t>MS</w:t>
          </w:r>
        </w:p>
      </w:tc>
    </w:tr>
  </w:tbl>
  <w:p w14:paraId="58721467" w14:textId="77777777" w:rsidR="00136551" w:rsidRDefault="0013655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F4422"/>
    <w:multiLevelType w:val="hybridMultilevel"/>
    <w:tmpl w:val="1EA4D2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DB3421"/>
    <w:multiLevelType w:val="hybridMultilevel"/>
    <w:tmpl w:val="3F3C3062"/>
    <w:lvl w:ilvl="0" w:tplc="0415000F">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1F69C8"/>
    <w:multiLevelType w:val="hybridMultilevel"/>
    <w:tmpl w:val="401489DE"/>
    <w:lvl w:ilvl="0" w:tplc="2408B1AA">
      <w:start w:val="2"/>
      <w:numFmt w:val="decimal"/>
      <w:lvlText w:val="%1)"/>
      <w:lvlJc w:val="left"/>
      <w:pPr>
        <w:ind w:left="69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3" w15:restartNumberingAfterBreak="0">
    <w:nsid w:val="102E7131"/>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4" w15:restartNumberingAfterBreak="0">
    <w:nsid w:val="15772F5C"/>
    <w:multiLevelType w:val="hybridMultilevel"/>
    <w:tmpl w:val="62AA7BF8"/>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5" w15:restartNumberingAfterBreak="0">
    <w:nsid w:val="1784680D"/>
    <w:multiLevelType w:val="hybridMultilevel"/>
    <w:tmpl w:val="2BB4171C"/>
    <w:lvl w:ilvl="0" w:tplc="BAE6A3BE">
      <w:start w:val="1"/>
      <w:numFmt w:val="decimal"/>
      <w:lvlText w:val="%1)"/>
      <w:lvlJc w:val="left"/>
      <w:pPr>
        <w:ind w:left="336" w:hanging="360"/>
      </w:pPr>
      <w:rPr>
        <w:rFonts w:hint="default"/>
      </w:rPr>
    </w:lvl>
    <w:lvl w:ilvl="1" w:tplc="04150019" w:tentative="1">
      <w:start w:val="1"/>
      <w:numFmt w:val="lowerLetter"/>
      <w:lvlText w:val="%2."/>
      <w:lvlJc w:val="left"/>
      <w:pPr>
        <w:ind w:left="1056" w:hanging="360"/>
      </w:pPr>
    </w:lvl>
    <w:lvl w:ilvl="2" w:tplc="0415001B" w:tentative="1">
      <w:start w:val="1"/>
      <w:numFmt w:val="lowerRoman"/>
      <w:lvlText w:val="%3."/>
      <w:lvlJc w:val="right"/>
      <w:pPr>
        <w:ind w:left="1776" w:hanging="180"/>
      </w:pPr>
    </w:lvl>
    <w:lvl w:ilvl="3" w:tplc="0415000F" w:tentative="1">
      <w:start w:val="1"/>
      <w:numFmt w:val="decimal"/>
      <w:lvlText w:val="%4."/>
      <w:lvlJc w:val="left"/>
      <w:pPr>
        <w:ind w:left="2496" w:hanging="360"/>
      </w:pPr>
    </w:lvl>
    <w:lvl w:ilvl="4" w:tplc="04150019" w:tentative="1">
      <w:start w:val="1"/>
      <w:numFmt w:val="lowerLetter"/>
      <w:lvlText w:val="%5."/>
      <w:lvlJc w:val="left"/>
      <w:pPr>
        <w:ind w:left="3216" w:hanging="360"/>
      </w:pPr>
    </w:lvl>
    <w:lvl w:ilvl="5" w:tplc="0415001B" w:tentative="1">
      <w:start w:val="1"/>
      <w:numFmt w:val="lowerRoman"/>
      <w:lvlText w:val="%6."/>
      <w:lvlJc w:val="right"/>
      <w:pPr>
        <w:ind w:left="3936" w:hanging="180"/>
      </w:pPr>
    </w:lvl>
    <w:lvl w:ilvl="6" w:tplc="0415000F" w:tentative="1">
      <w:start w:val="1"/>
      <w:numFmt w:val="decimal"/>
      <w:lvlText w:val="%7."/>
      <w:lvlJc w:val="left"/>
      <w:pPr>
        <w:ind w:left="4656" w:hanging="360"/>
      </w:pPr>
    </w:lvl>
    <w:lvl w:ilvl="7" w:tplc="04150019" w:tentative="1">
      <w:start w:val="1"/>
      <w:numFmt w:val="lowerLetter"/>
      <w:lvlText w:val="%8."/>
      <w:lvlJc w:val="left"/>
      <w:pPr>
        <w:ind w:left="5376" w:hanging="360"/>
      </w:pPr>
    </w:lvl>
    <w:lvl w:ilvl="8" w:tplc="0415001B" w:tentative="1">
      <w:start w:val="1"/>
      <w:numFmt w:val="lowerRoman"/>
      <w:lvlText w:val="%9."/>
      <w:lvlJc w:val="right"/>
      <w:pPr>
        <w:ind w:left="6096" w:hanging="180"/>
      </w:pPr>
    </w:lvl>
  </w:abstractNum>
  <w:abstractNum w:abstractNumId="6" w15:restartNumberingAfterBreak="0">
    <w:nsid w:val="1F484FB4"/>
    <w:multiLevelType w:val="hybridMultilevel"/>
    <w:tmpl w:val="49FA505E"/>
    <w:lvl w:ilvl="0" w:tplc="8B141934">
      <w:start w:val="20"/>
      <w:numFmt w:val="decimal"/>
      <w:lvlText w:val="%1"/>
      <w:lvlJc w:val="left"/>
      <w:pPr>
        <w:ind w:left="696" w:hanging="360"/>
      </w:pPr>
      <w:rPr>
        <w:rFonts w:hint="default"/>
      </w:rPr>
    </w:lvl>
    <w:lvl w:ilvl="1" w:tplc="04150019" w:tentative="1">
      <w:start w:val="1"/>
      <w:numFmt w:val="lowerLetter"/>
      <w:lvlText w:val="%2."/>
      <w:lvlJc w:val="left"/>
      <w:pPr>
        <w:ind w:left="1416" w:hanging="360"/>
      </w:pPr>
    </w:lvl>
    <w:lvl w:ilvl="2" w:tplc="0415001B" w:tentative="1">
      <w:start w:val="1"/>
      <w:numFmt w:val="lowerRoman"/>
      <w:lvlText w:val="%3."/>
      <w:lvlJc w:val="right"/>
      <w:pPr>
        <w:ind w:left="2136" w:hanging="180"/>
      </w:pPr>
    </w:lvl>
    <w:lvl w:ilvl="3" w:tplc="0415000F" w:tentative="1">
      <w:start w:val="1"/>
      <w:numFmt w:val="decimal"/>
      <w:lvlText w:val="%4."/>
      <w:lvlJc w:val="left"/>
      <w:pPr>
        <w:ind w:left="2856" w:hanging="360"/>
      </w:pPr>
    </w:lvl>
    <w:lvl w:ilvl="4" w:tplc="04150019" w:tentative="1">
      <w:start w:val="1"/>
      <w:numFmt w:val="lowerLetter"/>
      <w:lvlText w:val="%5."/>
      <w:lvlJc w:val="left"/>
      <w:pPr>
        <w:ind w:left="3576" w:hanging="360"/>
      </w:pPr>
    </w:lvl>
    <w:lvl w:ilvl="5" w:tplc="0415001B" w:tentative="1">
      <w:start w:val="1"/>
      <w:numFmt w:val="lowerRoman"/>
      <w:lvlText w:val="%6."/>
      <w:lvlJc w:val="right"/>
      <w:pPr>
        <w:ind w:left="4296" w:hanging="180"/>
      </w:pPr>
    </w:lvl>
    <w:lvl w:ilvl="6" w:tplc="0415000F" w:tentative="1">
      <w:start w:val="1"/>
      <w:numFmt w:val="decimal"/>
      <w:lvlText w:val="%7."/>
      <w:lvlJc w:val="left"/>
      <w:pPr>
        <w:ind w:left="5016" w:hanging="360"/>
      </w:pPr>
    </w:lvl>
    <w:lvl w:ilvl="7" w:tplc="04150019" w:tentative="1">
      <w:start w:val="1"/>
      <w:numFmt w:val="lowerLetter"/>
      <w:lvlText w:val="%8."/>
      <w:lvlJc w:val="left"/>
      <w:pPr>
        <w:ind w:left="5736" w:hanging="360"/>
      </w:pPr>
    </w:lvl>
    <w:lvl w:ilvl="8" w:tplc="0415001B" w:tentative="1">
      <w:start w:val="1"/>
      <w:numFmt w:val="lowerRoman"/>
      <w:lvlText w:val="%9."/>
      <w:lvlJc w:val="right"/>
      <w:pPr>
        <w:ind w:left="6456" w:hanging="180"/>
      </w:pPr>
    </w:lvl>
  </w:abstractNum>
  <w:abstractNum w:abstractNumId="7" w15:restartNumberingAfterBreak="0">
    <w:nsid w:val="2035363E"/>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8" w15:restartNumberingAfterBreak="0">
    <w:nsid w:val="331572DA"/>
    <w:multiLevelType w:val="hybridMultilevel"/>
    <w:tmpl w:val="BDA056DE"/>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9" w15:restartNumberingAfterBreak="0">
    <w:nsid w:val="416D46F4"/>
    <w:multiLevelType w:val="hybridMultilevel"/>
    <w:tmpl w:val="91BEBE3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0" w15:restartNumberingAfterBreak="0">
    <w:nsid w:val="42F74FD3"/>
    <w:multiLevelType w:val="hybridMultilevel"/>
    <w:tmpl w:val="BAF4D54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1" w15:restartNumberingAfterBreak="0">
    <w:nsid w:val="49A45834"/>
    <w:multiLevelType w:val="multilevel"/>
    <w:tmpl w:val="082E21AE"/>
    <w:lvl w:ilvl="0">
      <w:start w:val="1"/>
      <w:numFmt w:val="decimal"/>
      <w:lvlText w:val="%1)"/>
      <w:lvlJc w:val="left"/>
      <w:pPr>
        <w:ind w:left="36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4C3D7A92"/>
    <w:multiLevelType w:val="hybridMultilevel"/>
    <w:tmpl w:val="A7086286"/>
    <w:lvl w:ilvl="0" w:tplc="81422714">
      <w:start w:val="1"/>
      <w:numFmt w:val="decimal"/>
      <w:lvlText w:val="%1)"/>
      <w:lvlJc w:val="left"/>
      <w:pPr>
        <w:ind w:left="870" w:hanging="360"/>
      </w:pPr>
      <w:rPr>
        <w:rFonts w:cs="Times New Roman" w:hint="default"/>
      </w:rPr>
    </w:lvl>
    <w:lvl w:ilvl="1" w:tplc="04150019" w:tentative="1">
      <w:start w:val="1"/>
      <w:numFmt w:val="lowerLetter"/>
      <w:lvlText w:val="%2."/>
      <w:lvlJc w:val="left"/>
      <w:pPr>
        <w:ind w:left="1590" w:hanging="360"/>
      </w:pPr>
    </w:lvl>
    <w:lvl w:ilvl="2" w:tplc="0415001B" w:tentative="1">
      <w:start w:val="1"/>
      <w:numFmt w:val="lowerRoman"/>
      <w:lvlText w:val="%3."/>
      <w:lvlJc w:val="right"/>
      <w:pPr>
        <w:ind w:left="2310" w:hanging="180"/>
      </w:pPr>
    </w:lvl>
    <w:lvl w:ilvl="3" w:tplc="0415000F" w:tentative="1">
      <w:start w:val="1"/>
      <w:numFmt w:val="decimal"/>
      <w:lvlText w:val="%4."/>
      <w:lvlJc w:val="left"/>
      <w:pPr>
        <w:ind w:left="3030" w:hanging="360"/>
      </w:pPr>
    </w:lvl>
    <w:lvl w:ilvl="4" w:tplc="04150019" w:tentative="1">
      <w:start w:val="1"/>
      <w:numFmt w:val="lowerLetter"/>
      <w:lvlText w:val="%5."/>
      <w:lvlJc w:val="left"/>
      <w:pPr>
        <w:ind w:left="3750" w:hanging="360"/>
      </w:pPr>
    </w:lvl>
    <w:lvl w:ilvl="5" w:tplc="0415001B" w:tentative="1">
      <w:start w:val="1"/>
      <w:numFmt w:val="lowerRoman"/>
      <w:lvlText w:val="%6."/>
      <w:lvlJc w:val="right"/>
      <w:pPr>
        <w:ind w:left="4470" w:hanging="180"/>
      </w:pPr>
    </w:lvl>
    <w:lvl w:ilvl="6" w:tplc="0415000F" w:tentative="1">
      <w:start w:val="1"/>
      <w:numFmt w:val="decimal"/>
      <w:lvlText w:val="%7."/>
      <w:lvlJc w:val="left"/>
      <w:pPr>
        <w:ind w:left="5190" w:hanging="360"/>
      </w:pPr>
    </w:lvl>
    <w:lvl w:ilvl="7" w:tplc="04150019" w:tentative="1">
      <w:start w:val="1"/>
      <w:numFmt w:val="lowerLetter"/>
      <w:lvlText w:val="%8."/>
      <w:lvlJc w:val="left"/>
      <w:pPr>
        <w:ind w:left="5910" w:hanging="360"/>
      </w:pPr>
    </w:lvl>
    <w:lvl w:ilvl="8" w:tplc="0415001B" w:tentative="1">
      <w:start w:val="1"/>
      <w:numFmt w:val="lowerRoman"/>
      <w:lvlText w:val="%9."/>
      <w:lvlJc w:val="right"/>
      <w:pPr>
        <w:ind w:left="6630" w:hanging="180"/>
      </w:pPr>
    </w:lvl>
  </w:abstractNum>
  <w:abstractNum w:abstractNumId="13" w15:restartNumberingAfterBreak="0">
    <w:nsid w:val="4D2C5E34"/>
    <w:multiLevelType w:val="hybridMultilevel"/>
    <w:tmpl w:val="EE0A94B4"/>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4" w15:restartNumberingAfterBreak="0">
    <w:nsid w:val="4EC052B0"/>
    <w:multiLevelType w:val="hybridMultilevel"/>
    <w:tmpl w:val="1F14AFD0"/>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5" w15:restartNumberingAfterBreak="0">
    <w:nsid w:val="53DD0B2E"/>
    <w:multiLevelType w:val="hybridMultilevel"/>
    <w:tmpl w:val="6C7EC00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A800F7F"/>
    <w:multiLevelType w:val="hybridMultilevel"/>
    <w:tmpl w:val="EE0A94B4"/>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7" w15:restartNumberingAfterBreak="0">
    <w:nsid w:val="6C7109D4"/>
    <w:multiLevelType w:val="hybridMultilevel"/>
    <w:tmpl w:val="F4C82F44"/>
    <w:lvl w:ilvl="0" w:tplc="BBC653A2">
      <w:start w:val="1"/>
      <w:numFmt w:val="decimal"/>
      <w:lvlText w:val="%1)"/>
      <w:lvlJc w:val="left"/>
      <w:pPr>
        <w:ind w:left="321" w:hanging="360"/>
      </w:pPr>
      <w:rPr>
        <w:rFonts w:hint="default"/>
        <w:color w:val="000000" w:themeColor="text1"/>
      </w:rPr>
    </w:lvl>
    <w:lvl w:ilvl="1" w:tplc="04150019" w:tentative="1">
      <w:start w:val="1"/>
      <w:numFmt w:val="lowerLetter"/>
      <w:lvlText w:val="%2."/>
      <w:lvlJc w:val="left"/>
      <w:pPr>
        <w:ind w:left="1041" w:hanging="360"/>
      </w:pPr>
    </w:lvl>
    <w:lvl w:ilvl="2" w:tplc="0415001B" w:tentative="1">
      <w:start w:val="1"/>
      <w:numFmt w:val="lowerRoman"/>
      <w:lvlText w:val="%3."/>
      <w:lvlJc w:val="right"/>
      <w:pPr>
        <w:ind w:left="1761" w:hanging="180"/>
      </w:pPr>
    </w:lvl>
    <w:lvl w:ilvl="3" w:tplc="0415000F" w:tentative="1">
      <w:start w:val="1"/>
      <w:numFmt w:val="decimal"/>
      <w:lvlText w:val="%4."/>
      <w:lvlJc w:val="left"/>
      <w:pPr>
        <w:ind w:left="2481" w:hanging="360"/>
      </w:pPr>
    </w:lvl>
    <w:lvl w:ilvl="4" w:tplc="04150019" w:tentative="1">
      <w:start w:val="1"/>
      <w:numFmt w:val="lowerLetter"/>
      <w:lvlText w:val="%5."/>
      <w:lvlJc w:val="left"/>
      <w:pPr>
        <w:ind w:left="3201" w:hanging="360"/>
      </w:pPr>
    </w:lvl>
    <w:lvl w:ilvl="5" w:tplc="0415001B" w:tentative="1">
      <w:start w:val="1"/>
      <w:numFmt w:val="lowerRoman"/>
      <w:lvlText w:val="%6."/>
      <w:lvlJc w:val="right"/>
      <w:pPr>
        <w:ind w:left="3921" w:hanging="180"/>
      </w:pPr>
    </w:lvl>
    <w:lvl w:ilvl="6" w:tplc="0415000F" w:tentative="1">
      <w:start w:val="1"/>
      <w:numFmt w:val="decimal"/>
      <w:lvlText w:val="%7."/>
      <w:lvlJc w:val="left"/>
      <w:pPr>
        <w:ind w:left="4641" w:hanging="360"/>
      </w:pPr>
    </w:lvl>
    <w:lvl w:ilvl="7" w:tplc="04150019" w:tentative="1">
      <w:start w:val="1"/>
      <w:numFmt w:val="lowerLetter"/>
      <w:lvlText w:val="%8."/>
      <w:lvlJc w:val="left"/>
      <w:pPr>
        <w:ind w:left="5361" w:hanging="360"/>
      </w:pPr>
    </w:lvl>
    <w:lvl w:ilvl="8" w:tplc="0415001B" w:tentative="1">
      <w:start w:val="1"/>
      <w:numFmt w:val="lowerRoman"/>
      <w:lvlText w:val="%9."/>
      <w:lvlJc w:val="right"/>
      <w:pPr>
        <w:ind w:left="6081" w:hanging="180"/>
      </w:pPr>
    </w:lvl>
  </w:abstractNum>
  <w:abstractNum w:abstractNumId="18" w15:restartNumberingAfterBreak="0">
    <w:nsid w:val="703E54E6"/>
    <w:multiLevelType w:val="hybridMultilevel"/>
    <w:tmpl w:val="1F14AFD0"/>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9" w15:restartNumberingAfterBreak="0">
    <w:nsid w:val="72253848"/>
    <w:multiLevelType w:val="hybridMultilevel"/>
    <w:tmpl w:val="8F10F6AE"/>
    <w:lvl w:ilvl="0" w:tplc="C7B04F10">
      <w:start w:val="2"/>
      <w:numFmt w:val="decimal"/>
      <w:lvlText w:val="%1)"/>
      <w:lvlJc w:val="left"/>
      <w:pPr>
        <w:ind w:left="336" w:hanging="360"/>
      </w:pPr>
      <w:rPr>
        <w:rFonts w:hint="default"/>
      </w:rPr>
    </w:lvl>
    <w:lvl w:ilvl="1" w:tplc="04150019" w:tentative="1">
      <w:start w:val="1"/>
      <w:numFmt w:val="lowerLetter"/>
      <w:lvlText w:val="%2."/>
      <w:lvlJc w:val="left"/>
      <w:pPr>
        <w:ind w:left="1056" w:hanging="360"/>
      </w:pPr>
    </w:lvl>
    <w:lvl w:ilvl="2" w:tplc="0415001B" w:tentative="1">
      <w:start w:val="1"/>
      <w:numFmt w:val="lowerRoman"/>
      <w:lvlText w:val="%3."/>
      <w:lvlJc w:val="right"/>
      <w:pPr>
        <w:ind w:left="1776" w:hanging="180"/>
      </w:pPr>
    </w:lvl>
    <w:lvl w:ilvl="3" w:tplc="0415000F" w:tentative="1">
      <w:start w:val="1"/>
      <w:numFmt w:val="decimal"/>
      <w:lvlText w:val="%4."/>
      <w:lvlJc w:val="left"/>
      <w:pPr>
        <w:ind w:left="2496" w:hanging="360"/>
      </w:pPr>
    </w:lvl>
    <w:lvl w:ilvl="4" w:tplc="04150019" w:tentative="1">
      <w:start w:val="1"/>
      <w:numFmt w:val="lowerLetter"/>
      <w:lvlText w:val="%5."/>
      <w:lvlJc w:val="left"/>
      <w:pPr>
        <w:ind w:left="3216" w:hanging="360"/>
      </w:pPr>
    </w:lvl>
    <w:lvl w:ilvl="5" w:tplc="0415001B" w:tentative="1">
      <w:start w:val="1"/>
      <w:numFmt w:val="lowerRoman"/>
      <w:lvlText w:val="%6."/>
      <w:lvlJc w:val="right"/>
      <w:pPr>
        <w:ind w:left="3936" w:hanging="180"/>
      </w:pPr>
    </w:lvl>
    <w:lvl w:ilvl="6" w:tplc="0415000F" w:tentative="1">
      <w:start w:val="1"/>
      <w:numFmt w:val="decimal"/>
      <w:lvlText w:val="%7."/>
      <w:lvlJc w:val="left"/>
      <w:pPr>
        <w:ind w:left="4656" w:hanging="360"/>
      </w:pPr>
    </w:lvl>
    <w:lvl w:ilvl="7" w:tplc="04150019" w:tentative="1">
      <w:start w:val="1"/>
      <w:numFmt w:val="lowerLetter"/>
      <w:lvlText w:val="%8."/>
      <w:lvlJc w:val="left"/>
      <w:pPr>
        <w:ind w:left="5376" w:hanging="360"/>
      </w:pPr>
    </w:lvl>
    <w:lvl w:ilvl="8" w:tplc="0415001B" w:tentative="1">
      <w:start w:val="1"/>
      <w:numFmt w:val="lowerRoman"/>
      <w:lvlText w:val="%9."/>
      <w:lvlJc w:val="right"/>
      <w:pPr>
        <w:ind w:left="6096" w:hanging="180"/>
      </w:pPr>
    </w:lvl>
  </w:abstractNum>
  <w:abstractNum w:abstractNumId="20" w15:restartNumberingAfterBreak="0">
    <w:nsid w:val="764744B3"/>
    <w:multiLevelType w:val="hybridMultilevel"/>
    <w:tmpl w:val="363600DC"/>
    <w:lvl w:ilvl="0" w:tplc="FF98001A">
      <w:start w:val="1"/>
      <w:numFmt w:val="decimal"/>
      <w:lvlText w:val="%1)"/>
      <w:lvlJc w:val="left"/>
      <w:pPr>
        <w:ind w:left="405" w:hanging="360"/>
      </w:pPr>
      <w:rPr>
        <w:rFonts w:hint="default"/>
        <w:u w:val="none"/>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21" w15:restartNumberingAfterBreak="0">
    <w:nsid w:val="7B47264F"/>
    <w:multiLevelType w:val="hybridMultilevel"/>
    <w:tmpl w:val="222087AA"/>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EC81B9E"/>
    <w:multiLevelType w:val="hybridMultilevel"/>
    <w:tmpl w:val="DAFC9EEA"/>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num w:numId="1" w16cid:durableId="287207255">
    <w:abstractNumId w:val="5"/>
  </w:num>
  <w:num w:numId="2" w16cid:durableId="1340422648">
    <w:abstractNumId w:val="6"/>
  </w:num>
  <w:num w:numId="3" w16cid:durableId="1489403357">
    <w:abstractNumId w:val="19"/>
  </w:num>
  <w:num w:numId="4" w16cid:durableId="1062871744">
    <w:abstractNumId w:val="2"/>
  </w:num>
  <w:num w:numId="5" w16cid:durableId="947738351">
    <w:abstractNumId w:val="20"/>
  </w:num>
  <w:num w:numId="6" w16cid:durableId="1578973470">
    <w:abstractNumId w:val="17"/>
  </w:num>
  <w:num w:numId="7" w16cid:durableId="1939407580">
    <w:abstractNumId w:val="0"/>
  </w:num>
  <w:num w:numId="8" w16cid:durableId="1526165476">
    <w:abstractNumId w:val="1"/>
  </w:num>
  <w:num w:numId="9" w16cid:durableId="1088967255">
    <w:abstractNumId w:val="15"/>
  </w:num>
  <w:num w:numId="10" w16cid:durableId="764762538">
    <w:abstractNumId w:val="8"/>
  </w:num>
  <w:num w:numId="11" w16cid:durableId="926306318">
    <w:abstractNumId w:val="22"/>
  </w:num>
  <w:num w:numId="12" w16cid:durableId="627324417">
    <w:abstractNumId w:val="21"/>
  </w:num>
  <w:num w:numId="13" w16cid:durableId="521671258">
    <w:abstractNumId w:val="16"/>
  </w:num>
  <w:num w:numId="14" w16cid:durableId="42750966">
    <w:abstractNumId w:val="13"/>
  </w:num>
  <w:num w:numId="15" w16cid:durableId="1574507069">
    <w:abstractNumId w:val="9"/>
  </w:num>
  <w:num w:numId="16" w16cid:durableId="1898517217">
    <w:abstractNumId w:val="4"/>
  </w:num>
  <w:num w:numId="17" w16cid:durableId="1110052646">
    <w:abstractNumId w:val="11"/>
  </w:num>
  <w:num w:numId="18" w16cid:durableId="564028639">
    <w:abstractNumId w:val="12"/>
  </w:num>
  <w:num w:numId="19" w16cid:durableId="1670522119">
    <w:abstractNumId w:val="10"/>
  </w:num>
  <w:num w:numId="20" w16cid:durableId="1732996602">
    <w:abstractNumId w:val="7"/>
  </w:num>
  <w:num w:numId="21" w16cid:durableId="265769594">
    <w:abstractNumId w:val="3"/>
  </w:num>
  <w:num w:numId="22" w16cid:durableId="396318302">
    <w:abstractNumId w:val="18"/>
  </w:num>
  <w:num w:numId="23" w16cid:durableId="132685730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157"/>
    <w:rsid w:val="000002F3"/>
    <w:rsid w:val="0000211D"/>
    <w:rsid w:val="00004164"/>
    <w:rsid w:val="00011106"/>
    <w:rsid w:val="00011567"/>
    <w:rsid w:val="00012945"/>
    <w:rsid w:val="0001501B"/>
    <w:rsid w:val="000153D6"/>
    <w:rsid w:val="000161F5"/>
    <w:rsid w:val="00017F99"/>
    <w:rsid w:val="00020FD0"/>
    <w:rsid w:val="0002291B"/>
    <w:rsid w:val="00025748"/>
    <w:rsid w:val="00025C63"/>
    <w:rsid w:val="000361E2"/>
    <w:rsid w:val="00037D85"/>
    <w:rsid w:val="00050438"/>
    <w:rsid w:val="00055B56"/>
    <w:rsid w:val="000566FC"/>
    <w:rsid w:val="000662BB"/>
    <w:rsid w:val="0008152F"/>
    <w:rsid w:val="000839A3"/>
    <w:rsid w:val="00084004"/>
    <w:rsid w:val="00084817"/>
    <w:rsid w:val="00084A2A"/>
    <w:rsid w:val="00085E2E"/>
    <w:rsid w:val="000911E2"/>
    <w:rsid w:val="00091F2A"/>
    <w:rsid w:val="00094FBC"/>
    <w:rsid w:val="00095C31"/>
    <w:rsid w:val="000A0304"/>
    <w:rsid w:val="000A32E5"/>
    <w:rsid w:val="000B1157"/>
    <w:rsid w:val="000B346A"/>
    <w:rsid w:val="000C00BA"/>
    <w:rsid w:val="000C0D8B"/>
    <w:rsid w:val="000C2E71"/>
    <w:rsid w:val="000D0674"/>
    <w:rsid w:val="000D3780"/>
    <w:rsid w:val="000D5447"/>
    <w:rsid w:val="000D5B0B"/>
    <w:rsid w:val="000E0EC7"/>
    <w:rsid w:val="000F3DBB"/>
    <w:rsid w:val="000F60F2"/>
    <w:rsid w:val="000F7DC4"/>
    <w:rsid w:val="00102793"/>
    <w:rsid w:val="00103B27"/>
    <w:rsid w:val="001119D3"/>
    <w:rsid w:val="001132E7"/>
    <w:rsid w:val="001146C0"/>
    <w:rsid w:val="00133753"/>
    <w:rsid w:val="001361B5"/>
    <w:rsid w:val="00136551"/>
    <w:rsid w:val="00140448"/>
    <w:rsid w:val="00141978"/>
    <w:rsid w:val="00151C2E"/>
    <w:rsid w:val="00156C94"/>
    <w:rsid w:val="0016621F"/>
    <w:rsid w:val="0016769D"/>
    <w:rsid w:val="00172AE3"/>
    <w:rsid w:val="00176BB9"/>
    <w:rsid w:val="00177AD2"/>
    <w:rsid w:val="00177EC3"/>
    <w:rsid w:val="00180529"/>
    <w:rsid w:val="00186B6F"/>
    <w:rsid w:val="00187E3D"/>
    <w:rsid w:val="00190C60"/>
    <w:rsid w:val="0019322F"/>
    <w:rsid w:val="00193AB3"/>
    <w:rsid w:val="001A5FEF"/>
    <w:rsid w:val="001B5124"/>
    <w:rsid w:val="001E01AE"/>
    <w:rsid w:val="001E080D"/>
    <w:rsid w:val="001E1B06"/>
    <w:rsid w:val="001E1F69"/>
    <w:rsid w:val="001E4ADA"/>
    <w:rsid w:val="001F0431"/>
    <w:rsid w:val="001F3A0F"/>
    <w:rsid w:val="001F4958"/>
    <w:rsid w:val="001F51B9"/>
    <w:rsid w:val="001F5502"/>
    <w:rsid w:val="00201B9A"/>
    <w:rsid w:val="0020383B"/>
    <w:rsid w:val="00207F66"/>
    <w:rsid w:val="00211E49"/>
    <w:rsid w:val="00242233"/>
    <w:rsid w:val="0024476B"/>
    <w:rsid w:val="00244A55"/>
    <w:rsid w:val="00252F32"/>
    <w:rsid w:val="002632D0"/>
    <w:rsid w:val="002662EA"/>
    <w:rsid w:val="00271B94"/>
    <w:rsid w:val="002724CC"/>
    <w:rsid w:val="0028475B"/>
    <w:rsid w:val="00290430"/>
    <w:rsid w:val="002936DB"/>
    <w:rsid w:val="0029593D"/>
    <w:rsid w:val="002968CB"/>
    <w:rsid w:val="002A11F8"/>
    <w:rsid w:val="002A3F06"/>
    <w:rsid w:val="002A6ED8"/>
    <w:rsid w:val="002B028D"/>
    <w:rsid w:val="002B5ADA"/>
    <w:rsid w:val="002C46ED"/>
    <w:rsid w:val="002C53B8"/>
    <w:rsid w:val="002D47E6"/>
    <w:rsid w:val="002D5195"/>
    <w:rsid w:val="002D6188"/>
    <w:rsid w:val="002E0918"/>
    <w:rsid w:val="002F252D"/>
    <w:rsid w:val="002F302C"/>
    <w:rsid w:val="002F6EA3"/>
    <w:rsid w:val="00322BC5"/>
    <w:rsid w:val="003243F9"/>
    <w:rsid w:val="00325D9B"/>
    <w:rsid w:val="00331839"/>
    <w:rsid w:val="00333081"/>
    <w:rsid w:val="0033797A"/>
    <w:rsid w:val="00341295"/>
    <w:rsid w:val="003462B1"/>
    <w:rsid w:val="0035091B"/>
    <w:rsid w:val="003514BB"/>
    <w:rsid w:val="003565A1"/>
    <w:rsid w:val="0036044B"/>
    <w:rsid w:val="00362159"/>
    <w:rsid w:val="003706A6"/>
    <w:rsid w:val="00382828"/>
    <w:rsid w:val="00395B94"/>
    <w:rsid w:val="003A430E"/>
    <w:rsid w:val="003B09B8"/>
    <w:rsid w:val="003C1000"/>
    <w:rsid w:val="003C5142"/>
    <w:rsid w:val="003D1CAB"/>
    <w:rsid w:val="003D2B9E"/>
    <w:rsid w:val="003D2F6B"/>
    <w:rsid w:val="003D7D21"/>
    <w:rsid w:val="003E2723"/>
    <w:rsid w:val="003E5D74"/>
    <w:rsid w:val="003F0432"/>
    <w:rsid w:val="003F148E"/>
    <w:rsid w:val="003F2063"/>
    <w:rsid w:val="003F2ED2"/>
    <w:rsid w:val="00400E97"/>
    <w:rsid w:val="00414EA2"/>
    <w:rsid w:val="004337B5"/>
    <w:rsid w:val="00443077"/>
    <w:rsid w:val="00452E52"/>
    <w:rsid w:val="004577CA"/>
    <w:rsid w:val="00462F0E"/>
    <w:rsid w:val="00466401"/>
    <w:rsid w:val="004851FD"/>
    <w:rsid w:val="0049171F"/>
    <w:rsid w:val="00491BC4"/>
    <w:rsid w:val="004977F7"/>
    <w:rsid w:val="004A28E0"/>
    <w:rsid w:val="004B1553"/>
    <w:rsid w:val="004B1644"/>
    <w:rsid w:val="004B4C0C"/>
    <w:rsid w:val="004E0816"/>
    <w:rsid w:val="004E1B67"/>
    <w:rsid w:val="004E7994"/>
    <w:rsid w:val="004F5F18"/>
    <w:rsid w:val="0050045E"/>
    <w:rsid w:val="005040BC"/>
    <w:rsid w:val="005054C0"/>
    <w:rsid w:val="0051434B"/>
    <w:rsid w:val="0052487E"/>
    <w:rsid w:val="00537F4C"/>
    <w:rsid w:val="005418E2"/>
    <w:rsid w:val="005451E2"/>
    <w:rsid w:val="00545CD3"/>
    <w:rsid w:val="005471C2"/>
    <w:rsid w:val="00550A77"/>
    <w:rsid w:val="00550EAD"/>
    <w:rsid w:val="00555265"/>
    <w:rsid w:val="0056498F"/>
    <w:rsid w:val="0056761A"/>
    <w:rsid w:val="0057151E"/>
    <w:rsid w:val="005719A4"/>
    <w:rsid w:val="00574142"/>
    <w:rsid w:val="005756BE"/>
    <w:rsid w:val="00576D40"/>
    <w:rsid w:val="00580288"/>
    <w:rsid w:val="005807F5"/>
    <w:rsid w:val="00584233"/>
    <w:rsid w:val="0058530C"/>
    <w:rsid w:val="0059064C"/>
    <w:rsid w:val="00592953"/>
    <w:rsid w:val="005A5459"/>
    <w:rsid w:val="005A7AD5"/>
    <w:rsid w:val="005B1808"/>
    <w:rsid w:val="005C0119"/>
    <w:rsid w:val="005C23F7"/>
    <w:rsid w:val="005C644D"/>
    <w:rsid w:val="005D442D"/>
    <w:rsid w:val="005D77B1"/>
    <w:rsid w:val="005F787D"/>
    <w:rsid w:val="00602CEE"/>
    <w:rsid w:val="0060415D"/>
    <w:rsid w:val="00604D0B"/>
    <w:rsid w:val="00611583"/>
    <w:rsid w:val="006156DE"/>
    <w:rsid w:val="006174C8"/>
    <w:rsid w:val="00621334"/>
    <w:rsid w:val="006354CF"/>
    <w:rsid w:val="006375BD"/>
    <w:rsid w:val="00644344"/>
    <w:rsid w:val="00650E16"/>
    <w:rsid w:val="006542E4"/>
    <w:rsid w:val="00656D86"/>
    <w:rsid w:val="00662C4D"/>
    <w:rsid w:val="006669AD"/>
    <w:rsid w:val="0067271E"/>
    <w:rsid w:val="00674BCF"/>
    <w:rsid w:val="006771BA"/>
    <w:rsid w:val="00682C1C"/>
    <w:rsid w:val="00692FA8"/>
    <w:rsid w:val="0069368F"/>
    <w:rsid w:val="006A7B54"/>
    <w:rsid w:val="006B1362"/>
    <w:rsid w:val="006C0013"/>
    <w:rsid w:val="006C2BC9"/>
    <w:rsid w:val="006C3C41"/>
    <w:rsid w:val="006C42B2"/>
    <w:rsid w:val="006C7692"/>
    <w:rsid w:val="006C7994"/>
    <w:rsid w:val="006D0AE4"/>
    <w:rsid w:val="006E3E8F"/>
    <w:rsid w:val="006E3EDA"/>
    <w:rsid w:val="006F0D7B"/>
    <w:rsid w:val="006F1155"/>
    <w:rsid w:val="006F4EEA"/>
    <w:rsid w:val="006F6137"/>
    <w:rsid w:val="007018E8"/>
    <w:rsid w:val="007106CE"/>
    <w:rsid w:val="00724DDB"/>
    <w:rsid w:val="00726872"/>
    <w:rsid w:val="00730C35"/>
    <w:rsid w:val="00733997"/>
    <w:rsid w:val="00735AA5"/>
    <w:rsid w:val="00741A58"/>
    <w:rsid w:val="00742660"/>
    <w:rsid w:val="00751B0F"/>
    <w:rsid w:val="00756A51"/>
    <w:rsid w:val="00760051"/>
    <w:rsid w:val="0076077D"/>
    <w:rsid w:val="0076449B"/>
    <w:rsid w:val="007653FF"/>
    <w:rsid w:val="00766C63"/>
    <w:rsid w:val="00766F26"/>
    <w:rsid w:val="00767E6D"/>
    <w:rsid w:val="00772512"/>
    <w:rsid w:val="00791FE5"/>
    <w:rsid w:val="00797252"/>
    <w:rsid w:val="007A0ED7"/>
    <w:rsid w:val="007A627A"/>
    <w:rsid w:val="007A7EE2"/>
    <w:rsid w:val="007B1BB1"/>
    <w:rsid w:val="007C2560"/>
    <w:rsid w:val="007D0B00"/>
    <w:rsid w:val="007E4CBE"/>
    <w:rsid w:val="007F2040"/>
    <w:rsid w:val="007F39C0"/>
    <w:rsid w:val="007F4D8B"/>
    <w:rsid w:val="00814CE9"/>
    <w:rsid w:val="008203CF"/>
    <w:rsid w:val="00825732"/>
    <w:rsid w:val="00825F44"/>
    <w:rsid w:val="00830132"/>
    <w:rsid w:val="00831113"/>
    <w:rsid w:val="0083519A"/>
    <w:rsid w:val="00835615"/>
    <w:rsid w:val="008401D5"/>
    <w:rsid w:val="00852D75"/>
    <w:rsid w:val="008531D9"/>
    <w:rsid w:val="00865AF4"/>
    <w:rsid w:val="008740B7"/>
    <w:rsid w:val="00875F88"/>
    <w:rsid w:val="008842F2"/>
    <w:rsid w:val="008911D0"/>
    <w:rsid w:val="008A34A4"/>
    <w:rsid w:val="008B7B47"/>
    <w:rsid w:val="008C7048"/>
    <w:rsid w:val="008D2200"/>
    <w:rsid w:val="008E3179"/>
    <w:rsid w:val="008F13E8"/>
    <w:rsid w:val="00901ADD"/>
    <w:rsid w:val="00902DF6"/>
    <w:rsid w:val="00921BC2"/>
    <w:rsid w:val="00922F6F"/>
    <w:rsid w:val="00925F56"/>
    <w:rsid w:val="00933852"/>
    <w:rsid w:val="00934499"/>
    <w:rsid w:val="00934E34"/>
    <w:rsid w:val="00941156"/>
    <w:rsid w:val="009463C3"/>
    <w:rsid w:val="009532CB"/>
    <w:rsid w:val="00954430"/>
    <w:rsid w:val="00954DA6"/>
    <w:rsid w:val="00956084"/>
    <w:rsid w:val="00957335"/>
    <w:rsid w:val="00961F40"/>
    <w:rsid w:val="00963B6A"/>
    <w:rsid w:val="009672B1"/>
    <w:rsid w:val="009743F9"/>
    <w:rsid w:val="009755EC"/>
    <w:rsid w:val="009768E8"/>
    <w:rsid w:val="00980C3C"/>
    <w:rsid w:val="00983A14"/>
    <w:rsid w:val="0098485F"/>
    <w:rsid w:val="00991D89"/>
    <w:rsid w:val="009923E7"/>
    <w:rsid w:val="009A3389"/>
    <w:rsid w:val="009C39F6"/>
    <w:rsid w:val="009C45A9"/>
    <w:rsid w:val="009C7937"/>
    <w:rsid w:val="009D02A7"/>
    <w:rsid w:val="009D18BA"/>
    <w:rsid w:val="009D2044"/>
    <w:rsid w:val="009D30E0"/>
    <w:rsid w:val="009D37DC"/>
    <w:rsid w:val="009D4953"/>
    <w:rsid w:val="009D75AA"/>
    <w:rsid w:val="009E286A"/>
    <w:rsid w:val="009F0A47"/>
    <w:rsid w:val="00A006BB"/>
    <w:rsid w:val="00A11E28"/>
    <w:rsid w:val="00A1326C"/>
    <w:rsid w:val="00A22E06"/>
    <w:rsid w:val="00A24DD1"/>
    <w:rsid w:val="00A3318A"/>
    <w:rsid w:val="00A34D83"/>
    <w:rsid w:val="00A407A4"/>
    <w:rsid w:val="00A51985"/>
    <w:rsid w:val="00A53CBC"/>
    <w:rsid w:val="00A5555A"/>
    <w:rsid w:val="00A61639"/>
    <w:rsid w:val="00A64143"/>
    <w:rsid w:val="00A64F0A"/>
    <w:rsid w:val="00A65542"/>
    <w:rsid w:val="00A70204"/>
    <w:rsid w:val="00A92454"/>
    <w:rsid w:val="00AA3456"/>
    <w:rsid w:val="00AB6479"/>
    <w:rsid w:val="00AC0365"/>
    <w:rsid w:val="00AC0C3C"/>
    <w:rsid w:val="00AC1691"/>
    <w:rsid w:val="00AC3FF6"/>
    <w:rsid w:val="00AD2E3B"/>
    <w:rsid w:val="00AD4DE7"/>
    <w:rsid w:val="00AD661E"/>
    <w:rsid w:val="00AD7E59"/>
    <w:rsid w:val="00AE1667"/>
    <w:rsid w:val="00AF2DCB"/>
    <w:rsid w:val="00AF5CDF"/>
    <w:rsid w:val="00B0068C"/>
    <w:rsid w:val="00B03A96"/>
    <w:rsid w:val="00B0487A"/>
    <w:rsid w:val="00B07CBE"/>
    <w:rsid w:val="00B10FAC"/>
    <w:rsid w:val="00B15F59"/>
    <w:rsid w:val="00B165E5"/>
    <w:rsid w:val="00B240E3"/>
    <w:rsid w:val="00B241C8"/>
    <w:rsid w:val="00B30A9C"/>
    <w:rsid w:val="00B3322F"/>
    <w:rsid w:val="00B42B95"/>
    <w:rsid w:val="00B4688A"/>
    <w:rsid w:val="00B54306"/>
    <w:rsid w:val="00B572DC"/>
    <w:rsid w:val="00B6038D"/>
    <w:rsid w:val="00B6142A"/>
    <w:rsid w:val="00B6721F"/>
    <w:rsid w:val="00B72216"/>
    <w:rsid w:val="00B809BB"/>
    <w:rsid w:val="00B919AF"/>
    <w:rsid w:val="00B936C2"/>
    <w:rsid w:val="00BA173B"/>
    <w:rsid w:val="00BA785D"/>
    <w:rsid w:val="00BB2FF9"/>
    <w:rsid w:val="00BC144D"/>
    <w:rsid w:val="00BD1AB7"/>
    <w:rsid w:val="00BD3F71"/>
    <w:rsid w:val="00BD6AA6"/>
    <w:rsid w:val="00BD6B6A"/>
    <w:rsid w:val="00BE380E"/>
    <w:rsid w:val="00BF78B9"/>
    <w:rsid w:val="00C06FA7"/>
    <w:rsid w:val="00C12E96"/>
    <w:rsid w:val="00C14830"/>
    <w:rsid w:val="00C14B5D"/>
    <w:rsid w:val="00C2074A"/>
    <w:rsid w:val="00C22A1F"/>
    <w:rsid w:val="00C30452"/>
    <w:rsid w:val="00C33EAD"/>
    <w:rsid w:val="00C3403B"/>
    <w:rsid w:val="00C4017B"/>
    <w:rsid w:val="00C519CA"/>
    <w:rsid w:val="00C56D34"/>
    <w:rsid w:val="00C60BA3"/>
    <w:rsid w:val="00C63F1E"/>
    <w:rsid w:val="00C70BF5"/>
    <w:rsid w:val="00C71CAF"/>
    <w:rsid w:val="00C74037"/>
    <w:rsid w:val="00C86063"/>
    <w:rsid w:val="00C8705A"/>
    <w:rsid w:val="00C87F8B"/>
    <w:rsid w:val="00C933AD"/>
    <w:rsid w:val="00C972A5"/>
    <w:rsid w:val="00CA0BC8"/>
    <w:rsid w:val="00CA2A44"/>
    <w:rsid w:val="00CA7C31"/>
    <w:rsid w:val="00CB010F"/>
    <w:rsid w:val="00CB559C"/>
    <w:rsid w:val="00CB5636"/>
    <w:rsid w:val="00CB651E"/>
    <w:rsid w:val="00CC1D54"/>
    <w:rsid w:val="00CE1C18"/>
    <w:rsid w:val="00CE3975"/>
    <w:rsid w:val="00CE5444"/>
    <w:rsid w:val="00CE590D"/>
    <w:rsid w:val="00CE74C5"/>
    <w:rsid w:val="00D014F7"/>
    <w:rsid w:val="00D02157"/>
    <w:rsid w:val="00D067CA"/>
    <w:rsid w:val="00D06BC3"/>
    <w:rsid w:val="00D11479"/>
    <w:rsid w:val="00D115B4"/>
    <w:rsid w:val="00D14F34"/>
    <w:rsid w:val="00D17E1B"/>
    <w:rsid w:val="00D23483"/>
    <w:rsid w:val="00D3265D"/>
    <w:rsid w:val="00D33769"/>
    <w:rsid w:val="00D34082"/>
    <w:rsid w:val="00D345DF"/>
    <w:rsid w:val="00D45D78"/>
    <w:rsid w:val="00D53619"/>
    <w:rsid w:val="00D54DB1"/>
    <w:rsid w:val="00D64733"/>
    <w:rsid w:val="00D75ACA"/>
    <w:rsid w:val="00D95599"/>
    <w:rsid w:val="00DA5CF2"/>
    <w:rsid w:val="00DB1C03"/>
    <w:rsid w:val="00DB37E5"/>
    <w:rsid w:val="00DB5DD4"/>
    <w:rsid w:val="00DC3932"/>
    <w:rsid w:val="00DC53ED"/>
    <w:rsid w:val="00DE186F"/>
    <w:rsid w:val="00E1050E"/>
    <w:rsid w:val="00E1573E"/>
    <w:rsid w:val="00E23A7D"/>
    <w:rsid w:val="00E23F26"/>
    <w:rsid w:val="00E2744F"/>
    <w:rsid w:val="00E3126A"/>
    <w:rsid w:val="00E35677"/>
    <w:rsid w:val="00E3630E"/>
    <w:rsid w:val="00E418E8"/>
    <w:rsid w:val="00E45467"/>
    <w:rsid w:val="00E45A3F"/>
    <w:rsid w:val="00E502AB"/>
    <w:rsid w:val="00E511EC"/>
    <w:rsid w:val="00E64FC4"/>
    <w:rsid w:val="00E67BF3"/>
    <w:rsid w:val="00E7267B"/>
    <w:rsid w:val="00E738A5"/>
    <w:rsid w:val="00E75014"/>
    <w:rsid w:val="00E7699F"/>
    <w:rsid w:val="00E81469"/>
    <w:rsid w:val="00E92DC4"/>
    <w:rsid w:val="00EA3277"/>
    <w:rsid w:val="00EB2E3E"/>
    <w:rsid w:val="00EB3D0E"/>
    <w:rsid w:val="00EB5B1E"/>
    <w:rsid w:val="00EC33A8"/>
    <w:rsid w:val="00EC43A2"/>
    <w:rsid w:val="00EC7543"/>
    <w:rsid w:val="00ED0778"/>
    <w:rsid w:val="00ED1CCF"/>
    <w:rsid w:val="00EF0179"/>
    <w:rsid w:val="00EF240D"/>
    <w:rsid w:val="00EF3099"/>
    <w:rsid w:val="00F02D0E"/>
    <w:rsid w:val="00F10E5E"/>
    <w:rsid w:val="00F11CBF"/>
    <w:rsid w:val="00F213E9"/>
    <w:rsid w:val="00F35DDF"/>
    <w:rsid w:val="00F419AB"/>
    <w:rsid w:val="00F420A0"/>
    <w:rsid w:val="00F422C8"/>
    <w:rsid w:val="00F43BBA"/>
    <w:rsid w:val="00F466C4"/>
    <w:rsid w:val="00F46BB7"/>
    <w:rsid w:val="00F61C16"/>
    <w:rsid w:val="00F73229"/>
    <w:rsid w:val="00F745F6"/>
    <w:rsid w:val="00F80086"/>
    <w:rsid w:val="00F80AAF"/>
    <w:rsid w:val="00F81237"/>
    <w:rsid w:val="00F81CBC"/>
    <w:rsid w:val="00F82A06"/>
    <w:rsid w:val="00F8314C"/>
    <w:rsid w:val="00F8595F"/>
    <w:rsid w:val="00F90B95"/>
    <w:rsid w:val="00FA251F"/>
    <w:rsid w:val="00FA47E1"/>
    <w:rsid w:val="00FC2700"/>
    <w:rsid w:val="00FD05C7"/>
    <w:rsid w:val="00FD1538"/>
    <w:rsid w:val="00FD21E7"/>
    <w:rsid w:val="00FD42A3"/>
    <w:rsid w:val="00FD481C"/>
    <w:rsid w:val="00FD4AAB"/>
    <w:rsid w:val="00FD7445"/>
    <w:rsid w:val="00FD7CD5"/>
    <w:rsid w:val="00FF0E71"/>
    <w:rsid w:val="00FF2888"/>
    <w:rsid w:val="00FF381F"/>
    <w:rsid w:val="00FF4480"/>
    <w:rsid w:val="00FF5B67"/>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AAD5C"/>
  <w15:docId w15:val="{D585241F-67E6-4E3E-BD64-3CB70F73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2">
    <w:name w:val="heading 2"/>
    <w:basedOn w:val="Normalny"/>
    <w:next w:val="Normalny"/>
    <w:link w:val="Nagwek2Znak"/>
    <w:uiPriority w:val="9"/>
    <w:unhideWhenUsed/>
    <w:qFormat/>
    <w:rsid w:val="004A28E0"/>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177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3706A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706A6"/>
    <w:rPr>
      <w:rFonts w:ascii="Tahoma" w:hAnsi="Tahoma" w:cs="Tahoma"/>
      <w:sz w:val="16"/>
      <w:szCs w:val="16"/>
    </w:rPr>
  </w:style>
  <w:style w:type="paragraph" w:customStyle="1" w:styleId="TYTUAKTUprzedmiotregulacjiustawylubrozporzdzenia">
    <w:name w:val="TYTUŁ_AKTU – przedmiot regulacji ustawy lub rozporządzenia"/>
    <w:next w:val="Normalny"/>
    <w:uiPriority w:val="6"/>
    <w:qFormat/>
    <w:rsid w:val="003706A6"/>
    <w:pPr>
      <w:keepNext/>
      <w:suppressAutoHyphens/>
      <w:spacing w:before="120" w:after="360" w:line="360" w:lineRule="auto"/>
      <w:jc w:val="center"/>
    </w:pPr>
    <w:rPr>
      <w:rFonts w:ascii="Times" w:eastAsia="Times New Roman" w:hAnsi="Times" w:cs="Arial"/>
      <w:b/>
      <w:bCs/>
      <w:sz w:val="24"/>
      <w:szCs w:val="24"/>
      <w:lang w:eastAsia="pl-PL"/>
    </w:rPr>
  </w:style>
  <w:style w:type="paragraph" w:customStyle="1" w:styleId="ARTartustawynprozporzdzenia">
    <w:name w:val="ART(§) – art. ustawy (§ np. rozporządzenia)"/>
    <w:uiPriority w:val="11"/>
    <w:qFormat/>
    <w:rsid w:val="00983A14"/>
    <w:pPr>
      <w:suppressAutoHyphens/>
      <w:autoSpaceDE w:val="0"/>
      <w:autoSpaceDN w:val="0"/>
      <w:adjustRightInd w:val="0"/>
      <w:spacing w:before="120" w:after="0" w:line="360" w:lineRule="auto"/>
      <w:ind w:firstLine="510"/>
      <w:jc w:val="both"/>
    </w:pPr>
    <w:rPr>
      <w:rFonts w:ascii="Times" w:eastAsia="Times New Roman" w:hAnsi="Times" w:cs="Arial"/>
      <w:sz w:val="24"/>
      <w:szCs w:val="20"/>
      <w:lang w:eastAsia="pl-PL"/>
    </w:rPr>
  </w:style>
  <w:style w:type="paragraph" w:customStyle="1" w:styleId="PKTpunkt">
    <w:name w:val="PKT – punkt"/>
    <w:uiPriority w:val="13"/>
    <w:qFormat/>
    <w:rsid w:val="00983A14"/>
    <w:pPr>
      <w:spacing w:after="0" w:line="360" w:lineRule="auto"/>
      <w:ind w:left="510" w:hanging="510"/>
      <w:jc w:val="both"/>
    </w:pPr>
    <w:rPr>
      <w:rFonts w:ascii="Times" w:eastAsia="Times New Roman" w:hAnsi="Times" w:cs="Arial"/>
      <w:bCs/>
      <w:sz w:val="24"/>
      <w:szCs w:val="20"/>
      <w:lang w:eastAsia="pl-PL"/>
    </w:rPr>
  </w:style>
  <w:style w:type="character" w:styleId="Odwoaniedokomentarza">
    <w:name w:val="annotation reference"/>
    <w:uiPriority w:val="99"/>
    <w:semiHidden/>
    <w:rsid w:val="00983A14"/>
    <w:rPr>
      <w:sz w:val="16"/>
      <w:szCs w:val="16"/>
    </w:rPr>
  </w:style>
  <w:style w:type="paragraph" w:styleId="Tekstkomentarza">
    <w:name w:val="annotation text"/>
    <w:basedOn w:val="Normalny"/>
    <w:link w:val="TekstkomentarzaZnak"/>
    <w:uiPriority w:val="99"/>
    <w:semiHidden/>
    <w:rsid w:val="00983A14"/>
    <w:pPr>
      <w:widowControl w:val="0"/>
      <w:autoSpaceDE w:val="0"/>
      <w:autoSpaceDN w:val="0"/>
      <w:adjustRightInd w:val="0"/>
      <w:spacing w:after="0" w:line="360" w:lineRule="auto"/>
    </w:pPr>
    <w:rPr>
      <w:rFonts w:ascii="Times" w:eastAsia="Times New Roman" w:hAnsi="Times" w:cs="Times New Roman"/>
      <w:sz w:val="24"/>
      <w:szCs w:val="24"/>
      <w:lang w:eastAsia="pl-PL"/>
    </w:rPr>
  </w:style>
  <w:style w:type="character" w:customStyle="1" w:styleId="TekstkomentarzaZnak">
    <w:name w:val="Tekst komentarza Znak"/>
    <w:basedOn w:val="Domylnaczcionkaakapitu"/>
    <w:link w:val="Tekstkomentarza"/>
    <w:uiPriority w:val="99"/>
    <w:semiHidden/>
    <w:rsid w:val="00983A14"/>
    <w:rPr>
      <w:rFonts w:ascii="Times" w:eastAsia="Times New Roman" w:hAnsi="Times" w:cs="Times New Roman"/>
      <w:sz w:val="24"/>
      <w:szCs w:val="24"/>
      <w:lang w:eastAsia="pl-PL"/>
    </w:rPr>
  </w:style>
  <w:style w:type="character" w:customStyle="1" w:styleId="Ppogrubienie">
    <w:name w:val="_P_ – pogrubienie"/>
    <w:uiPriority w:val="1"/>
    <w:qFormat/>
    <w:rsid w:val="00983A14"/>
    <w:rPr>
      <w:b/>
    </w:rPr>
  </w:style>
  <w:style w:type="paragraph" w:styleId="Akapitzlist">
    <w:name w:val="List Paragraph"/>
    <w:basedOn w:val="Normalny"/>
    <w:uiPriority w:val="72"/>
    <w:qFormat/>
    <w:rsid w:val="00983A14"/>
    <w:pPr>
      <w:ind w:left="720"/>
      <w:contextualSpacing/>
    </w:pPr>
  </w:style>
  <w:style w:type="paragraph" w:customStyle="1" w:styleId="USTustnpkodeksu">
    <w:name w:val="UST(§) – ust. (§ np. kodeksu)"/>
    <w:basedOn w:val="ARTartustawynprozporzdzenia"/>
    <w:uiPriority w:val="12"/>
    <w:qFormat/>
    <w:rsid w:val="009A3389"/>
    <w:pPr>
      <w:spacing w:before="0"/>
    </w:pPr>
    <w:rPr>
      <w:bCs/>
    </w:rPr>
  </w:style>
  <w:style w:type="paragraph" w:styleId="Nagwek">
    <w:name w:val="header"/>
    <w:basedOn w:val="Normalny"/>
    <w:link w:val="NagwekZnak"/>
    <w:uiPriority w:val="99"/>
    <w:unhideWhenUsed/>
    <w:rsid w:val="00735A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35AA5"/>
  </w:style>
  <w:style w:type="paragraph" w:styleId="Stopka">
    <w:name w:val="footer"/>
    <w:basedOn w:val="Normalny"/>
    <w:link w:val="StopkaZnak"/>
    <w:uiPriority w:val="99"/>
    <w:unhideWhenUsed/>
    <w:rsid w:val="00735A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35AA5"/>
  </w:style>
  <w:style w:type="character" w:customStyle="1" w:styleId="Nagwek2Znak">
    <w:name w:val="Nagłówek 2 Znak"/>
    <w:basedOn w:val="Domylnaczcionkaakapitu"/>
    <w:link w:val="Nagwek2"/>
    <w:uiPriority w:val="9"/>
    <w:rsid w:val="004A28E0"/>
    <w:rPr>
      <w:rFonts w:asciiTheme="majorHAnsi" w:eastAsiaTheme="majorEastAsia" w:hAnsiTheme="majorHAnsi" w:cstheme="majorBidi"/>
      <w:b/>
      <w:bCs/>
      <w:color w:val="4F81BD" w:themeColor="accent1"/>
      <w:sz w:val="26"/>
      <w:szCs w:val="26"/>
    </w:rPr>
  </w:style>
  <w:style w:type="paragraph" w:styleId="Tekstprzypisudolnego">
    <w:name w:val="footnote text"/>
    <w:basedOn w:val="Normalny"/>
    <w:link w:val="TekstprzypisudolnegoZnak"/>
    <w:rsid w:val="00B54306"/>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B54306"/>
    <w:rPr>
      <w:rFonts w:ascii="Times New Roman" w:eastAsia="Times New Roman" w:hAnsi="Times New Roman" w:cs="Times New Roman"/>
      <w:sz w:val="20"/>
      <w:szCs w:val="20"/>
      <w:lang w:eastAsia="pl-PL"/>
    </w:rPr>
  </w:style>
  <w:style w:type="character" w:styleId="Odwoanieprzypisudolnego">
    <w:name w:val="footnote reference"/>
    <w:aliases w:val="FZ"/>
    <w:rsid w:val="00B54306"/>
    <w:rPr>
      <w:vertAlign w:val="superscript"/>
    </w:rPr>
  </w:style>
  <w:style w:type="character" w:customStyle="1" w:styleId="articletitle">
    <w:name w:val="articletitle"/>
    <w:basedOn w:val="Domylnaczcionkaakapitu"/>
    <w:rsid w:val="00011106"/>
  </w:style>
  <w:style w:type="paragraph" w:styleId="Tematkomentarza">
    <w:name w:val="annotation subject"/>
    <w:basedOn w:val="Tekstkomentarza"/>
    <w:next w:val="Tekstkomentarza"/>
    <w:link w:val="TematkomentarzaZnak"/>
    <w:uiPriority w:val="99"/>
    <w:semiHidden/>
    <w:unhideWhenUsed/>
    <w:rsid w:val="00BF78B9"/>
    <w:pPr>
      <w:widowControl/>
      <w:autoSpaceDE/>
      <w:autoSpaceDN/>
      <w:adjustRightInd/>
      <w:spacing w:after="200" w:line="240" w:lineRule="auto"/>
    </w:pPr>
    <w:rPr>
      <w:rFonts w:asciiTheme="minorHAnsi" w:eastAsiaTheme="minorHAnsi" w:hAnsiTheme="minorHAnsi" w:cstheme="minorBidi"/>
      <w:b/>
      <w:bCs/>
      <w:sz w:val="20"/>
      <w:szCs w:val="20"/>
      <w:lang w:eastAsia="en-US"/>
    </w:rPr>
  </w:style>
  <w:style w:type="character" w:customStyle="1" w:styleId="TematkomentarzaZnak">
    <w:name w:val="Temat komentarza Znak"/>
    <w:basedOn w:val="TekstkomentarzaZnak"/>
    <w:link w:val="Tematkomentarza"/>
    <w:uiPriority w:val="99"/>
    <w:semiHidden/>
    <w:rsid w:val="00BF78B9"/>
    <w:rPr>
      <w:rFonts w:ascii="Times" w:eastAsia="Times New Roman" w:hAnsi="Times" w:cs="Times New Roman"/>
      <w:b/>
      <w:bCs/>
      <w:sz w:val="20"/>
      <w:szCs w:val="20"/>
      <w:lang w:eastAsia="pl-PL"/>
    </w:rPr>
  </w:style>
  <w:style w:type="paragraph" w:styleId="Tekstprzypisukocowego">
    <w:name w:val="endnote text"/>
    <w:basedOn w:val="Normalny"/>
    <w:link w:val="TekstprzypisukocowegoZnak"/>
    <w:uiPriority w:val="99"/>
    <w:semiHidden/>
    <w:unhideWhenUsed/>
    <w:rsid w:val="00F8314C"/>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8314C"/>
    <w:rPr>
      <w:sz w:val="20"/>
      <w:szCs w:val="20"/>
    </w:rPr>
  </w:style>
  <w:style w:type="character" w:styleId="Odwoanieprzypisukocowego">
    <w:name w:val="endnote reference"/>
    <w:basedOn w:val="Domylnaczcionkaakapitu"/>
    <w:uiPriority w:val="99"/>
    <w:semiHidden/>
    <w:unhideWhenUsed/>
    <w:rsid w:val="00F8314C"/>
    <w:rPr>
      <w:vertAlign w:val="superscript"/>
    </w:rPr>
  </w:style>
  <w:style w:type="paragraph" w:styleId="Poprawka">
    <w:name w:val="Revision"/>
    <w:hidden/>
    <w:uiPriority w:val="99"/>
    <w:semiHidden/>
    <w:rsid w:val="0033183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0463">
      <w:bodyDiv w:val="1"/>
      <w:marLeft w:val="0"/>
      <w:marRight w:val="0"/>
      <w:marTop w:val="0"/>
      <w:marBottom w:val="0"/>
      <w:divBdr>
        <w:top w:val="none" w:sz="0" w:space="0" w:color="auto"/>
        <w:left w:val="none" w:sz="0" w:space="0" w:color="auto"/>
        <w:bottom w:val="none" w:sz="0" w:space="0" w:color="auto"/>
        <w:right w:val="none" w:sz="0" w:space="0" w:color="auto"/>
      </w:divBdr>
    </w:div>
    <w:div w:id="621884763">
      <w:bodyDiv w:val="1"/>
      <w:marLeft w:val="0"/>
      <w:marRight w:val="0"/>
      <w:marTop w:val="0"/>
      <w:marBottom w:val="0"/>
      <w:divBdr>
        <w:top w:val="none" w:sz="0" w:space="0" w:color="auto"/>
        <w:left w:val="none" w:sz="0" w:space="0" w:color="auto"/>
        <w:bottom w:val="none" w:sz="0" w:space="0" w:color="auto"/>
        <w:right w:val="none" w:sz="0" w:space="0" w:color="auto"/>
      </w:divBdr>
    </w:div>
    <w:div w:id="679042920">
      <w:bodyDiv w:val="1"/>
      <w:marLeft w:val="0"/>
      <w:marRight w:val="0"/>
      <w:marTop w:val="0"/>
      <w:marBottom w:val="0"/>
      <w:divBdr>
        <w:top w:val="none" w:sz="0" w:space="0" w:color="auto"/>
        <w:left w:val="none" w:sz="0" w:space="0" w:color="auto"/>
        <w:bottom w:val="none" w:sz="0" w:space="0" w:color="auto"/>
        <w:right w:val="none" w:sz="0" w:space="0" w:color="auto"/>
      </w:divBdr>
      <w:divsChild>
        <w:div w:id="663898829">
          <w:marLeft w:val="0"/>
          <w:marRight w:val="0"/>
          <w:marTop w:val="0"/>
          <w:marBottom w:val="0"/>
          <w:divBdr>
            <w:top w:val="none" w:sz="0" w:space="0" w:color="auto"/>
            <w:left w:val="none" w:sz="0" w:space="0" w:color="auto"/>
            <w:bottom w:val="none" w:sz="0" w:space="0" w:color="auto"/>
            <w:right w:val="none" w:sz="0" w:space="0" w:color="auto"/>
          </w:divBdr>
          <w:divsChild>
            <w:div w:id="1882786991">
              <w:marLeft w:val="0"/>
              <w:marRight w:val="0"/>
              <w:marTop w:val="150"/>
              <w:marBottom w:val="168"/>
              <w:divBdr>
                <w:top w:val="none" w:sz="0" w:space="0" w:color="auto"/>
                <w:left w:val="none" w:sz="0" w:space="0" w:color="auto"/>
                <w:bottom w:val="none" w:sz="0" w:space="0" w:color="auto"/>
                <w:right w:val="none" w:sz="0" w:space="0" w:color="auto"/>
              </w:divBdr>
            </w:div>
            <w:div w:id="975067058">
              <w:marLeft w:val="0"/>
              <w:marRight w:val="0"/>
              <w:marTop w:val="0"/>
              <w:marBottom w:val="0"/>
              <w:divBdr>
                <w:top w:val="none" w:sz="0" w:space="0" w:color="auto"/>
                <w:left w:val="none" w:sz="0" w:space="0" w:color="auto"/>
                <w:bottom w:val="none" w:sz="0" w:space="0" w:color="auto"/>
                <w:right w:val="none" w:sz="0" w:space="0" w:color="auto"/>
              </w:divBdr>
              <w:divsChild>
                <w:div w:id="300578502">
                  <w:marLeft w:val="0"/>
                  <w:marRight w:val="0"/>
                  <w:marTop w:val="105"/>
                  <w:marBottom w:val="0"/>
                  <w:divBdr>
                    <w:top w:val="none" w:sz="0" w:space="0" w:color="auto"/>
                    <w:left w:val="none" w:sz="0" w:space="0" w:color="auto"/>
                    <w:bottom w:val="none" w:sz="0" w:space="0" w:color="auto"/>
                    <w:right w:val="none" w:sz="0" w:space="0" w:color="auto"/>
                  </w:divBdr>
                </w:div>
              </w:divsChild>
            </w:div>
            <w:div w:id="430931067">
              <w:marLeft w:val="0"/>
              <w:marRight w:val="0"/>
              <w:marTop w:val="0"/>
              <w:marBottom w:val="0"/>
              <w:divBdr>
                <w:top w:val="none" w:sz="0" w:space="0" w:color="auto"/>
                <w:left w:val="none" w:sz="0" w:space="0" w:color="auto"/>
                <w:bottom w:val="none" w:sz="0" w:space="0" w:color="auto"/>
                <w:right w:val="none" w:sz="0" w:space="0" w:color="auto"/>
              </w:divBdr>
              <w:divsChild>
                <w:div w:id="1999990375">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 w:id="507866251">
          <w:marLeft w:val="0"/>
          <w:marRight w:val="0"/>
          <w:marTop w:val="0"/>
          <w:marBottom w:val="0"/>
          <w:divBdr>
            <w:top w:val="none" w:sz="0" w:space="0" w:color="auto"/>
            <w:left w:val="none" w:sz="0" w:space="0" w:color="auto"/>
            <w:bottom w:val="none" w:sz="0" w:space="0" w:color="auto"/>
            <w:right w:val="none" w:sz="0" w:space="0" w:color="auto"/>
          </w:divBdr>
          <w:divsChild>
            <w:div w:id="1050573500">
              <w:marLeft w:val="0"/>
              <w:marRight w:val="0"/>
              <w:marTop w:val="150"/>
              <w:marBottom w:val="168"/>
              <w:divBdr>
                <w:top w:val="none" w:sz="0" w:space="0" w:color="auto"/>
                <w:left w:val="none" w:sz="0" w:space="0" w:color="auto"/>
                <w:bottom w:val="none" w:sz="0" w:space="0" w:color="auto"/>
                <w:right w:val="none" w:sz="0" w:space="0" w:color="auto"/>
              </w:divBdr>
            </w:div>
          </w:divsChild>
        </w:div>
        <w:div w:id="220406077">
          <w:marLeft w:val="0"/>
          <w:marRight w:val="0"/>
          <w:marTop w:val="0"/>
          <w:marBottom w:val="0"/>
          <w:divBdr>
            <w:top w:val="none" w:sz="0" w:space="0" w:color="auto"/>
            <w:left w:val="none" w:sz="0" w:space="0" w:color="auto"/>
            <w:bottom w:val="none" w:sz="0" w:space="0" w:color="auto"/>
            <w:right w:val="none" w:sz="0" w:space="0" w:color="auto"/>
          </w:divBdr>
          <w:divsChild>
            <w:div w:id="933131996">
              <w:marLeft w:val="0"/>
              <w:marRight w:val="0"/>
              <w:marTop w:val="150"/>
              <w:marBottom w:val="168"/>
              <w:divBdr>
                <w:top w:val="none" w:sz="0" w:space="0" w:color="auto"/>
                <w:left w:val="none" w:sz="0" w:space="0" w:color="auto"/>
                <w:bottom w:val="none" w:sz="0" w:space="0" w:color="auto"/>
                <w:right w:val="none" w:sz="0" w:space="0" w:color="auto"/>
              </w:divBdr>
            </w:div>
            <w:div w:id="1230769022">
              <w:marLeft w:val="0"/>
              <w:marRight w:val="0"/>
              <w:marTop w:val="0"/>
              <w:marBottom w:val="0"/>
              <w:divBdr>
                <w:top w:val="none" w:sz="0" w:space="0" w:color="auto"/>
                <w:left w:val="none" w:sz="0" w:space="0" w:color="auto"/>
                <w:bottom w:val="none" w:sz="0" w:space="0" w:color="auto"/>
                <w:right w:val="none" w:sz="0" w:space="0" w:color="auto"/>
              </w:divBdr>
              <w:divsChild>
                <w:div w:id="1959605637">
                  <w:marLeft w:val="0"/>
                  <w:marRight w:val="0"/>
                  <w:marTop w:val="105"/>
                  <w:marBottom w:val="0"/>
                  <w:divBdr>
                    <w:top w:val="none" w:sz="0" w:space="0" w:color="auto"/>
                    <w:left w:val="none" w:sz="0" w:space="0" w:color="auto"/>
                    <w:bottom w:val="none" w:sz="0" w:space="0" w:color="auto"/>
                    <w:right w:val="none" w:sz="0" w:space="0" w:color="auto"/>
                  </w:divBdr>
                </w:div>
              </w:divsChild>
            </w:div>
            <w:div w:id="1741560637">
              <w:marLeft w:val="0"/>
              <w:marRight w:val="0"/>
              <w:marTop w:val="0"/>
              <w:marBottom w:val="0"/>
              <w:divBdr>
                <w:top w:val="none" w:sz="0" w:space="0" w:color="auto"/>
                <w:left w:val="none" w:sz="0" w:space="0" w:color="auto"/>
                <w:bottom w:val="none" w:sz="0" w:space="0" w:color="auto"/>
                <w:right w:val="none" w:sz="0" w:space="0" w:color="auto"/>
              </w:divBdr>
              <w:divsChild>
                <w:div w:id="1684210267">
                  <w:marLeft w:val="0"/>
                  <w:marRight w:val="0"/>
                  <w:marTop w:val="105"/>
                  <w:marBottom w:val="0"/>
                  <w:divBdr>
                    <w:top w:val="none" w:sz="0" w:space="0" w:color="auto"/>
                    <w:left w:val="none" w:sz="0" w:space="0" w:color="auto"/>
                    <w:bottom w:val="none" w:sz="0" w:space="0" w:color="auto"/>
                    <w:right w:val="none" w:sz="0" w:space="0" w:color="auto"/>
                  </w:divBdr>
                </w:div>
              </w:divsChild>
            </w:div>
          </w:divsChild>
        </w:div>
      </w:divsChild>
    </w:div>
    <w:div w:id="1155299224">
      <w:bodyDiv w:val="1"/>
      <w:marLeft w:val="0"/>
      <w:marRight w:val="0"/>
      <w:marTop w:val="0"/>
      <w:marBottom w:val="0"/>
      <w:divBdr>
        <w:top w:val="none" w:sz="0" w:space="0" w:color="auto"/>
        <w:left w:val="none" w:sz="0" w:space="0" w:color="auto"/>
        <w:bottom w:val="none" w:sz="0" w:space="0" w:color="auto"/>
        <w:right w:val="none" w:sz="0" w:space="0" w:color="auto"/>
      </w:divBdr>
    </w:div>
    <w:div w:id="1251231102">
      <w:bodyDiv w:val="1"/>
      <w:marLeft w:val="0"/>
      <w:marRight w:val="0"/>
      <w:marTop w:val="0"/>
      <w:marBottom w:val="0"/>
      <w:divBdr>
        <w:top w:val="none" w:sz="0" w:space="0" w:color="auto"/>
        <w:left w:val="none" w:sz="0" w:space="0" w:color="auto"/>
        <w:bottom w:val="none" w:sz="0" w:space="0" w:color="auto"/>
        <w:right w:val="none" w:sz="0" w:space="0" w:color="auto"/>
      </w:divBdr>
    </w:div>
    <w:div w:id="1390494770">
      <w:bodyDiv w:val="1"/>
      <w:marLeft w:val="0"/>
      <w:marRight w:val="0"/>
      <w:marTop w:val="0"/>
      <w:marBottom w:val="0"/>
      <w:divBdr>
        <w:top w:val="none" w:sz="0" w:space="0" w:color="auto"/>
        <w:left w:val="none" w:sz="0" w:space="0" w:color="auto"/>
        <w:bottom w:val="none" w:sz="0" w:space="0" w:color="auto"/>
        <w:right w:val="none" w:sz="0" w:space="0" w:color="auto"/>
      </w:divBdr>
    </w:div>
    <w:div w:id="1454714331">
      <w:bodyDiv w:val="1"/>
      <w:marLeft w:val="0"/>
      <w:marRight w:val="0"/>
      <w:marTop w:val="0"/>
      <w:marBottom w:val="0"/>
      <w:divBdr>
        <w:top w:val="none" w:sz="0" w:space="0" w:color="auto"/>
        <w:left w:val="none" w:sz="0" w:space="0" w:color="auto"/>
        <w:bottom w:val="none" w:sz="0" w:space="0" w:color="auto"/>
        <w:right w:val="none" w:sz="0" w:space="0" w:color="auto"/>
      </w:divBdr>
    </w:div>
    <w:div w:id="154732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9E344-A28A-4946-AA5C-CEB1547ED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3377</Words>
  <Characters>20264</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23594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 Kaniuka</dc:creator>
  <cp:lastModifiedBy>Autor</cp:lastModifiedBy>
  <cp:revision>2</cp:revision>
  <cp:lastPrinted>2025-12-02T06:44:00Z</cp:lastPrinted>
  <dcterms:created xsi:type="dcterms:W3CDTF">2026-07-14T05:36:00Z</dcterms:created>
  <dcterms:modified xsi:type="dcterms:W3CDTF">2026-07-14T05:36:00Z</dcterms:modified>
</cp:coreProperties>
</file>