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jc w:val="center"/>
        <w:tblLook w:val="04A0" w:firstRow="1" w:lastRow="0" w:firstColumn="1" w:lastColumn="0" w:noHBand="0" w:noVBand="1"/>
      </w:tblPr>
      <w:tblGrid>
        <w:gridCol w:w="562"/>
        <w:gridCol w:w="1843"/>
        <w:gridCol w:w="1843"/>
        <w:gridCol w:w="5670"/>
        <w:gridCol w:w="4076"/>
      </w:tblGrid>
      <w:tr w:rsidR="00E35677" w:rsidRPr="00D103B4" w14:paraId="56E089F6" w14:textId="77777777" w:rsidTr="00F94422">
        <w:trPr>
          <w:trHeight w:val="592"/>
          <w:jc w:val="center"/>
        </w:trPr>
        <w:tc>
          <w:tcPr>
            <w:tcW w:w="13994" w:type="dxa"/>
            <w:gridSpan w:val="5"/>
            <w:shd w:val="clear" w:color="auto" w:fill="95B3D7" w:themeFill="accent1" w:themeFillTint="99"/>
            <w:vAlign w:val="center"/>
          </w:tcPr>
          <w:p w14:paraId="262AE6AF" w14:textId="0C496262" w:rsidR="00E35677" w:rsidRPr="00D103B4" w:rsidRDefault="00411C67" w:rsidP="009D0E2C">
            <w:pPr>
              <w:spacing w:line="276" w:lineRule="auto"/>
              <w:jc w:val="center"/>
              <w:rPr>
                <w:rFonts w:cstheme="minorHAnsi"/>
                <w:b/>
                <w:sz w:val="20"/>
                <w:szCs w:val="20"/>
                <w:lang w:eastAsia="pl-PL"/>
              </w:rPr>
            </w:pPr>
            <w:r w:rsidRPr="00D103B4">
              <w:rPr>
                <w:rFonts w:cstheme="minorHAnsi"/>
                <w:b/>
                <w:sz w:val="20"/>
                <w:szCs w:val="20"/>
                <w:lang w:eastAsia="pl-PL"/>
              </w:rPr>
              <w:t xml:space="preserve">Uwagi </w:t>
            </w:r>
            <w:r w:rsidR="00E35677" w:rsidRPr="00D103B4">
              <w:rPr>
                <w:rFonts w:cstheme="minorHAnsi"/>
                <w:b/>
                <w:sz w:val="20"/>
                <w:szCs w:val="20"/>
                <w:lang w:eastAsia="pl-PL"/>
              </w:rPr>
              <w:t xml:space="preserve">do projektu </w:t>
            </w:r>
            <w:r w:rsidR="00741A58" w:rsidRPr="00D103B4">
              <w:rPr>
                <w:rFonts w:cstheme="minorHAnsi"/>
                <w:b/>
                <w:sz w:val="20"/>
                <w:szCs w:val="20"/>
                <w:lang w:eastAsia="pl-PL"/>
              </w:rPr>
              <w:t xml:space="preserve">ustawy </w:t>
            </w:r>
            <w:r w:rsidR="006D0AE4" w:rsidRPr="00D103B4">
              <w:rPr>
                <w:rFonts w:cstheme="minorHAnsi"/>
                <w:b/>
                <w:sz w:val="20"/>
                <w:szCs w:val="20"/>
                <w:lang w:eastAsia="pl-PL"/>
              </w:rPr>
              <w:t>o zmianie ustawy – Kodeks cywilny</w:t>
            </w:r>
            <w:r w:rsidR="00C519CA" w:rsidRPr="00D103B4">
              <w:rPr>
                <w:rFonts w:cstheme="minorHAnsi"/>
                <w:b/>
                <w:sz w:val="20"/>
                <w:szCs w:val="20"/>
                <w:lang w:eastAsia="pl-PL"/>
              </w:rPr>
              <w:t xml:space="preserve"> oraz niektórych innych ustaw</w:t>
            </w:r>
            <w:r w:rsidR="006D0AE4" w:rsidRPr="00D103B4">
              <w:rPr>
                <w:rFonts w:cstheme="minorHAnsi"/>
                <w:b/>
                <w:sz w:val="20"/>
                <w:szCs w:val="20"/>
                <w:lang w:eastAsia="pl-PL"/>
              </w:rPr>
              <w:t xml:space="preserve"> </w:t>
            </w:r>
            <w:r w:rsidR="003514BB" w:rsidRPr="00D103B4">
              <w:rPr>
                <w:rFonts w:cstheme="minorHAnsi"/>
                <w:b/>
                <w:sz w:val="20"/>
                <w:szCs w:val="20"/>
                <w:lang w:eastAsia="pl-PL"/>
              </w:rPr>
              <w:t>(UD</w:t>
            </w:r>
            <w:r w:rsidR="00C519CA" w:rsidRPr="00D103B4">
              <w:rPr>
                <w:rFonts w:cstheme="minorHAnsi"/>
                <w:b/>
                <w:sz w:val="20"/>
                <w:szCs w:val="20"/>
                <w:lang w:eastAsia="pl-PL"/>
              </w:rPr>
              <w:t xml:space="preserve"> 3</w:t>
            </w:r>
            <w:r w:rsidR="00C519CA" w:rsidRPr="00D103B4">
              <w:rPr>
                <w:rFonts w:cstheme="minorHAnsi"/>
                <w:b/>
                <w:sz w:val="20"/>
                <w:szCs w:val="20"/>
                <w:shd w:val="clear" w:color="auto" w:fill="95B3D7" w:themeFill="accent1" w:themeFillTint="99"/>
                <w:lang w:eastAsia="pl-PL"/>
              </w:rPr>
              <w:t>0</w:t>
            </w:r>
            <w:r w:rsidR="003514BB" w:rsidRPr="00D103B4">
              <w:rPr>
                <w:rFonts w:cstheme="minorHAnsi"/>
                <w:b/>
                <w:sz w:val="20"/>
                <w:szCs w:val="20"/>
                <w:shd w:val="clear" w:color="auto" w:fill="95B3D7" w:themeFill="accent1" w:themeFillTint="99"/>
                <w:lang w:eastAsia="pl-PL"/>
              </w:rPr>
              <w:t>)</w:t>
            </w:r>
            <w:r w:rsidR="00E35677" w:rsidRPr="00D103B4">
              <w:rPr>
                <w:rFonts w:cstheme="minorHAnsi"/>
                <w:sz w:val="20"/>
                <w:szCs w:val="20"/>
                <w:lang w:eastAsia="pl-PL"/>
              </w:rPr>
              <w:br/>
            </w:r>
            <w:r w:rsidR="00E35677" w:rsidRPr="008507AE">
              <w:rPr>
                <w:rFonts w:cstheme="minorHAnsi"/>
                <w:b/>
                <w:bCs/>
                <w:sz w:val="20"/>
                <w:szCs w:val="20"/>
                <w:lang w:eastAsia="pl-PL"/>
              </w:rPr>
              <w:t xml:space="preserve">(projekt z dnia </w:t>
            </w:r>
            <w:r w:rsidR="00C519CA" w:rsidRPr="008507AE">
              <w:rPr>
                <w:rFonts w:cstheme="minorHAnsi"/>
                <w:b/>
                <w:bCs/>
                <w:sz w:val="20"/>
                <w:szCs w:val="20"/>
                <w:lang w:eastAsia="pl-PL"/>
              </w:rPr>
              <w:t>2</w:t>
            </w:r>
            <w:r w:rsidR="003C5142" w:rsidRPr="008507AE">
              <w:rPr>
                <w:rFonts w:cstheme="minorHAnsi"/>
                <w:b/>
                <w:bCs/>
                <w:sz w:val="20"/>
                <w:szCs w:val="20"/>
                <w:lang w:eastAsia="pl-PL"/>
              </w:rPr>
              <w:t>8</w:t>
            </w:r>
            <w:r w:rsidR="003D2B9E" w:rsidRPr="008507AE">
              <w:rPr>
                <w:rFonts w:cstheme="minorHAnsi"/>
                <w:b/>
                <w:bCs/>
                <w:sz w:val="20"/>
                <w:szCs w:val="20"/>
                <w:lang w:eastAsia="pl-PL"/>
              </w:rPr>
              <w:t xml:space="preserve"> października </w:t>
            </w:r>
            <w:r w:rsidR="00E23A7D" w:rsidRPr="008507AE">
              <w:rPr>
                <w:rFonts w:cstheme="minorHAnsi"/>
                <w:b/>
                <w:bCs/>
                <w:sz w:val="20"/>
                <w:szCs w:val="20"/>
                <w:lang w:eastAsia="pl-PL"/>
              </w:rPr>
              <w:t>202</w:t>
            </w:r>
            <w:r w:rsidR="00C519CA" w:rsidRPr="008507AE">
              <w:rPr>
                <w:rFonts w:cstheme="minorHAnsi"/>
                <w:b/>
                <w:bCs/>
                <w:sz w:val="20"/>
                <w:szCs w:val="20"/>
                <w:lang w:eastAsia="pl-PL"/>
              </w:rPr>
              <w:t>5</w:t>
            </w:r>
            <w:r w:rsidR="00E35677" w:rsidRPr="008507AE">
              <w:rPr>
                <w:rFonts w:cstheme="minorHAnsi"/>
                <w:b/>
                <w:bCs/>
                <w:sz w:val="20"/>
                <w:szCs w:val="20"/>
                <w:lang w:eastAsia="pl-PL"/>
              </w:rPr>
              <w:t xml:space="preserve"> r.)</w:t>
            </w:r>
            <w:r w:rsidR="009E23E8" w:rsidRPr="008507AE">
              <w:rPr>
                <w:rFonts w:cstheme="minorHAnsi"/>
                <w:b/>
                <w:bCs/>
                <w:sz w:val="20"/>
                <w:szCs w:val="20"/>
                <w:lang w:eastAsia="pl-PL"/>
              </w:rPr>
              <w:t xml:space="preserve"> – konsultacje publiczne</w:t>
            </w:r>
          </w:p>
        </w:tc>
      </w:tr>
      <w:tr w:rsidR="008842F2" w:rsidRPr="00D103B4" w14:paraId="0F5D1353" w14:textId="77777777" w:rsidTr="0070618D">
        <w:trPr>
          <w:jc w:val="center"/>
        </w:trPr>
        <w:tc>
          <w:tcPr>
            <w:tcW w:w="13994" w:type="dxa"/>
            <w:gridSpan w:val="5"/>
            <w:shd w:val="clear" w:color="auto" w:fill="DBE5F1" w:themeFill="accent1" w:themeFillTint="33"/>
          </w:tcPr>
          <w:p w14:paraId="7F1979A8" w14:textId="750782F5" w:rsidR="008842F2" w:rsidRPr="00D103B4" w:rsidRDefault="008842F2" w:rsidP="009D0E2C">
            <w:pPr>
              <w:spacing w:before="120" w:after="120" w:line="276" w:lineRule="auto"/>
              <w:jc w:val="center"/>
              <w:rPr>
                <w:rFonts w:cstheme="minorHAnsi"/>
                <w:b/>
                <w:bCs/>
                <w:color w:val="365F91" w:themeColor="accent1" w:themeShade="BF"/>
                <w:sz w:val="20"/>
                <w:szCs w:val="20"/>
              </w:rPr>
            </w:pPr>
            <w:r w:rsidRPr="00D103B4">
              <w:rPr>
                <w:rFonts w:cstheme="minorHAnsi"/>
                <w:b/>
                <w:bCs/>
                <w:color w:val="000000" w:themeColor="text1"/>
                <w:sz w:val="20"/>
                <w:szCs w:val="20"/>
              </w:rPr>
              <w:t xml:space="preserve">Uwagi </w:t>
            </w:r>
            <w:r w:rsidR="00865AF4" w:rsidRPr="00D103B4">
              <w:rPr>
                <w:rFonts w:cstheme="minorHAnsi"/>
                <w:b/>
                <w:bCs/>
                <w:color w:val="000000" w:themeColor="text1"/>
                <w:sz w:val="20"/>
                <w:szCs w:val="20"/>
              </w:rPr>
              <w:t>ogólne</w:t>
            </w:r>
          </w:p>
        </w:tc>
      </w:tr>
      <w:tr w:rsidR="00252F32" w:rsidRPr="00D103B4" w14:paraId="2746B0BC" w14:textId="77777777" w:rsidTr="00B241C8">
        <w:trPr>
          <w:jc w:val="center"/>
        </w:trPr>
        <w:tc>
          <w:tcPr>
            <w:tcW w:w="562" w:type="dxa"/>
          </w:tcPr>
          <w:p w14:paraId="65537CAC" w14:textId="4511823A" w:rsidR="003E5D74" w:rsidRPr="00D103B4" w:rsidRDefault="00252F32" w:rsidP="009D0E2C">
            <w:pPr>
              <w:spacing w:before="120" w:line="276" w:lineRule="auto"/>
              <w:ind w:right="-534"/>
              <w:rPr>
                <w:rFonts w:cstheme="minorHAnsi"/>
                <w:b/>
                <w:sz w:val="20"/>
                <w:szCs w:val="20"/>
              </w:rPr>
            </w:pPr>
            <w:r w:rsidRPr="00D103B4">
              <w:rPr>
                <w:rFonts w:cstheme="minorHAnsi"/>
                <w:b/>
                <w:sz w:val="20"/>
                <w:szCs w:val="20"/>
              </w:rPr>
              <w:t>1.</w:t>
            </w:r>
          </w:p>
        </w:tc>
        <w:tc>
          <w:tcPr>
            <w:tcW w:w="1843" w:type="dxa"/>
            <w:vAlign w:val="center"/>
          </w:tcPr>
          <w:p w14:paraId="4EE2AD99" w14:textId="602AD08E" w:rsidR="003E5D74" w:rsidRPr="00D103B4" w:rsidRDefault="00EF4885" w:rsidP="009D0E2C">
            <w:pPr>
              <w:spacing w:before="120" w:after="120" w:line="276" w:lineRule="auto"/>
              <w:jc w:val="center"/>
              <w:rPr>
                <w:rFonts w:cstheme="minorHAnsi"/>
                <w:b/>
                <w:bCs/>
                <w:sz w:val="20"/>
                <w:szCs w:val="20"/>
              </w:rPr>
            </w:pPr>
            <w:r w:rsidRPr="00D103B4">
              <w:rPr>
                <w:rFonts w:cstheme="minorHAnsi"/>
                <w:b/>
                <w:bCs/>
                <w:sz w:val="20"/>
                <w:szCs w:val="20"/>
              </w:rPr>
              <w:t>Konferencja Episkopatu Polski</w:t>
            </w:r>
          </w:p>
        </w:tc>
        <w:tc>
          <w:tcPr>
            <w:tcW w:w="1843" w:type="dxa"/>
            <w:vAlign w:val="center"/>
          </w:tcPr>
          <w:p w14:paraId="692A9BA0" w14:textId="7A1FB9C8" w:rsidR="003E5D74" w:rsidRPr="00D103B4" w:rsidRDefault="003E5D74" w:rsidP="009D0E2C">
            <w:pPr>
              <w:spacing w:before="120" w:after="120" w:line="276" w:lineRule="auto"/>
              <w:jc w:val="center"/>
              <w:rPr>
                <w:rFonts w:cstheme="minorHAnsi"/>
                <w:sz w:val="20"/>
                <w:szCs w:val="20"/>
              </w:rPr>
            </w:pPr>
          </w:p>
        </w:tc>
        <w:tc>
          <w:tcPr>
            <w:tcW w:w="5670" w:type="dxa"/>
            <w:vAlign w:val="center"/>
          </w:tcPr>
          <w:p w14:paraId="120EB93D" w14:textId="77777777" w:rsidR="003E5D74" w:rsidRPr="00D103B4" w:rsidRDefault="00EF4885" w:rsidP="005D142E">
            <w:pPr>
              <w:spacing w:after="120" w:line="276" w:lineRule="auto"/>
              <w:jc w:val="both"/>
              <w:rPr>
                <w:rFonts w:cstheme="minorHAnsi"/>
                <w:sz w:val="20"/>
                <w:szCs w:val="20"/>
              </w:rPr>
            </w:pPr>
            <w:r w:rsidRPr="00D103B4">
              <w:rPr>
                <w:rFonts w:cstheme="minorHAnsi"/>
                <w:sz w:val="20"/>
                <w:szCs w:val="20"/>
              </w:rPr>
              <w:t xml:space="preserve">Propozycje zmian obowiązujących przepisów zawarte w przygotowanym i przedstawionym do konsultacji </w:t>
            </w:r>
            <w:r w:rsidRPr="00D103B4">
              <w:rPr>
                <w:rFonts w:cstheme="minorHAnsi"/>
                <w:i/>
                <w:sz w:val="20"/>
                <w:szCs w:val="20"/>
              </w:rPr>
              <w:t xml:space="preserve">Projekcie </w:t>
            </w:r>
            <w:r w:rsidRPr="00D103B4">
              <w:rPr>
                <w:rFonts w:cstheme="minorHAnsi"/>
                <w:sz w:val="20"/>
                <w:szCs w:val="20"/>
              </w:rPr>
              <w:t xml:space="preserve">z dnia 28 października 2025 r. zawierającym zmiany </w:t>
            </w:r>
            <w:r w:rsidRPr="00D103B4">
              <w:rPr>
                <w:rFonts w:cstheme="minorHAnsi"/>
                <w:i/>
                <w:sz w:val="20"/>
                <w:szCs w:val="20"/>
              </w:rPr>
              <w:t>do Kodeksu cywilnego oraz niektórych innych ustaw</w:t>
            </w:r>
            <w:r w:rsidRPr="00D103B4">
              <w:rPr>
                <w:rFonts w:cstheme="minorHAnsi"/>
                <w:sz w:val="20"/>
                <w:szCs w:val="20"/>
              </w:rPr>
              <w:t xml:space="preserve"> w zdecydowanej większości zasługują na aprobatę. Projektowane zmiany, zwłaszcza w zakresie dopuszczalnych form testamentu, były już od długiego czasu oczekiwane i z uznaniem należy odnieść się do efektu prac nad nowym kształtem rozwiązań normatywnych w prawie spadkowym. </w:t>
            </w:r>
            <w:r w:rsidRPr="00D103B4">
              <w:rPr>
                <w:rFonts w:cstheme="minorHAnsi"/>
                <w:b/>
                <w:bCs/>
                <w:sz w:val="20"/>
                <w:szCs w:val="20"/>
              </w:rPr>
              <w:t>Warto również wprowadzić w tym kontekście przepis dotyczący ochrony tajemnicy duszpasterskiej</w:t>
            </w:r>
            <w:r w:rsidRPr="00D103B4">
              <w:rPr>
                <w:rFonts w:cstheme="minorHAnsi"/>
                <w:sz w:val="20"/>
                <w:szCs w:val="20"/>
              </w:rPr>
              <w:t>.</w:t>
            </w:r>
          </w:p>
          <w:p w14:paraId="5372BBC3" w14:textId="77777777" w:rsidR="006D0FB8" w:rsidRPr="00D103B4" w:rsidRDefault="006D0FB8" w:rsidP="009D0E2C">
            <w:pPr>
              <w:pStyle w:val="paragraphscxw78527537bcx2"/>
              <w:shd w:val="clear" w:color="auto" w:fill="FFFFFF"/>
              <w:spacing w:before="0" w:beforeAutospacing="0" w:after="0" w:afterAutospacing="0" w:line="276" w:lineRule="auto"/>
              <w:jc w:val="both"/>
              <w:textAlignment w:val="baseline"/>
              <w:rPr>
                <w:rFonts w:asciiTheme="minorHAnsi" w:hAnsiTheme="minorHAnsi" w:cstheme="minorHAnsi"/>
                <w:sz w:val="20"/>
                <w:szCs w:val="20"/>
              </w:rPr>
            </w:pPr>
            <w:r w:rsidRPr="00D103B4">
              <w:rPr>
                <w:rFonts w:asciiTheme="minorHAnsi" w:hAnsiTheme="minorHAnsi" w:cstheme="minorHAnsi"/>
                <w:sz w:val="20"/>
                <w:szCs w:val="20"/>
              </w:rPr>
              <w:t>Warto byłoby dodać w odpowiednim miejscu przepis o treści „</w:t>
            </w:r>
            <w:r w:rsidRPr="00D103B4">
              <w:rPr>
                <w:rFonts w:asciiTheme="minorHAnsi" w:hAnsiTheme="minorHAnsi" w:cstheme="minorHAnsi"/>
                <w:b/>
                <w:sz w:val="20"/>
                <w:szCs w:val="20"/>
              </w:rPr>
              <w:t>W postępowaniu spadkowym duchowny, który nie jest świadkiem testamentu w rozumieniu art.  956 § 1 Kodeksu cywilnego, może odmówić zeznań co do faktów lub okoliczności, które poznał wyłącznie podczas wykonywania posługi duszpasterskiej</w:t>
            </w:r>
            <w:r w:rsidRPr="00D103B4">
              <w:rPr>
                <w:rFonts w:asciiTheme="minorHAnsi" w:hAnsiTheme="minorHAnsi" w:cstheme="minorHAnsi"/>
                <w:sz w:val="20"/>
                <w:szCs w:val="20"/>
              </w:rPr>
              <w:t>”.</w:t>
            </w:r>
          </w:p>
          <w:p w14:paraId="7399FCA8" w14:textId="67F26371" w:rsidR="006D0FB8" w:rsidRPr="00D103B4" w:rsidRDefault="006D0FB8" w:rsidP="009D0E2C">
            <w:pPr>
              <w:pStyle w:val="paragraphscxw78527537bcx2"/>
              <w:shd w:val="clear" w:color="auto" w:fill="FFFFFF"/>
              <w:spacing w:before="0" w:beforeAutospacing="0" w:after="0" w:afterAutospacing="0" w:line="276" w:lineRule="auto"/>
              <w:jc w:val="both"/>
              <w:textAlignment w:val="baseline"/>
              <w:rPr>
                <w:rFonts w:asciiTheme="minorHAnsi" w:hAnsiTheme="minorHAnsi" w:cstheme="minorHAnsi"/>
                <w:sz w:val="20"/>
                <w:szCs w:val="20"/>
              </w:rPr>
            </w:pPr>
            <w:r w:rsidRPr="00D103B4">
              <w:rPr>
                <w:rFonts w:asciiTheme="minorHAnsi" w:hAnsiTheme="minorHAnsi" w:cstheme="minorHAnsi"/>
                <w:sz w:val="20"/>
                <w:szCs w:val="20"/>
              </w:rPr>
              <w:t xml:space="preserve">Zdarza się, iż w toku postępowania spadkowego powołuje się do złożenia zeznań duchownego, który na krótko przed śmiercią spadkodawcy udzielał mu posługi religijnej, bardzo często w obliczu zbliżającej się śmierci. W tym czasie często jest sporządzany testament w formie ustnej. Duchowny powoływany bywa do złożenia zeznań na temat faktów i okoliczności, które towarzyszą sporządzeniu takiego testamentu (np. stanu świadomości spadkodawcy, jego zachowań w tym wypowiedzi na temat </w:t>
            </w:r>
            <w:r w:rsidRPr="00D103B4">
              <w:rPr>
                <w:rFonts w:asciiTheme="minorHAnsi" w:hAnsiTheme="minorHAnsi" w:cstheme="minorHAnsi"/>
                <w:sz w:val="20"/>
                <w:szCs w:val="20"/>
              </w:rPr>
              <w:lastRenderedPageBreak/>
              <w:t>potencjalnych spadkobierców). Duchowni nierzadko wzbraniają się przed składaniem zeznań na temat okoliczności, w których testament został sporządzony, uznając, iż wymaganie złożenia wyjaśnień godzi w objętą dyskrecją duszpasterską wiedzę nabytą podczas świadczonej posługi religijnej, nawet jeśli nie była to spowiedź w ścisłym znaczeniu tego słowa, której dotyczy tajemnica chroniona m.in. w art. 261 § 2 k.p.c. Podczas sprawowania posługi religijnej przez duchownego wobec człowieka stojącego w obliczu śmierci nie zawsze można oddzielić spowiedź od rozmowy duszpasterskiej z umierającym.</w:t>
            </w:r>
            <w:r w:rsidR="00B62BF7">
              <w:rPr>
                <w:rFonts w:asciiTheme="minorHAnsi" w:hAnsiTheme="minorHAnsi" w:cstheme="minorHAnsi"/>
                <w:sz w:val="20"/>
                <w:szCs w:val="20"/>
              </w:rPr>
              <w:t xml:space="preserve"> </w:t>
            </w:r>
          </w:p>
          <w:p w14:paraId="757EAA8B" w14:textId="58DDCCC7" w:rsidR="006D0FB8" w:rsidRPr="00D103B4" w:rsidRDefault="006D0FB8" w:rsidP="009D0E2C">
            <w:pPr>
              <w:pStyle w:val="paragraphscxw78527537bcx2"/>
              <w:shd w:val="clear" w:color="auto" w:fill="FFFFFF"/>
              <w:spacing w:before="0" w:beforeAutospacing="0" w:after="0" w:afterAutospacing="0" w:line="276" w:lineRule="auto"/>
              <w:jc w:val="both"/>
              <w:textAlignment w:val="baseline"/>
              <w:rPr>
                <w:rFonts w:asciiTheme="minorHAnsi" w:hAnsiTheme="minorHAnsi" w:cstheme="minorHAnsi"/>
                <w:sz w:val="20"/>
                <w:szCs w:val="20"/>
              </w:rPr>
            </w:pPr>
            <w:r w:rsidRPr="00D103B4">
              <w:rPr>
                <w:rFonts w:asciiTheme="minorHAnsi" w:hAnsiTheme="minorHAnsi" w:cstheme="minorHAnsi"/>
                <w:sz w:val="20"/>
                <w:szCs w:val="20"/>
              </w:rPr>
              <w:t>W doktrynie prawniczej, zwłaszcza w piśmiennictwie z dziedziny prawa wyznaniowego, w ostatnich latach podnosi się potrzebę wprowadzenia do prawa polskiego instytucji tajemnicy duszpasterskiej , która na wzór innych tajemnic zawodowych chroniłaby zarówno osobę powierzającą w szczególnych okolicznościach informacje, należące do kategorii dóbr osobistych, jak i duchownego depozytariusza otrzymanych treści, który z racji pełnionego zawodu czy funkcji winien cieszyć się społecznym zaufaniem Porządki prawne niektórych państw zawierają przepisy regulujące ochronę tajemnicy zawodowej duchownego (tajemnicy duszpasterskiej) – tak w procedurze karnej, jak i cywilnej. Tego rodzaju wyraźne normy znajdują się np. w systemach prawa niemieckiego (Zivilprozessordnung – § 383, ust. 1, pkt 4 oraz Strafprozessordnung – § 53 ust. 1, pkt 1), włoskiego (Codice di procedura penale – art. 200, pkt 1/a). W innych krajach duchowni włączeni się do grona osób, których tajemnica zawodowa podlega ochronie prawnej (Szwecja, Szwajcaria, Holandia).</w:t>
            </w:r>
            <w:r w:rsidR="00B62BF7">
              <w:rPr>
                <w:rFonts w:asciiTheme="minorHAnsi" w:hAnsiTheme="minorHAnsi" w:cstheme="minorHAnsi"/>
                <w:sz w:val="20"/>
                <w:szCs w:val="20"/>
              </w:rPr>
              <w:t xml:space="preserve"> </w:t>
            </w:r>
            <w:r w:rsidRPr="00D103B4">
              <w:rPr>
                <w:rFonts w:asciiTheme="minorHAnsi" w:hAnsiTheme="minorHAnsi" w:cstheme="minorHAnsi"/>
                <w:sz w:val="20"/>
                <w:szCs w:val="20"/>
              </w:rPr>
              <w:t xml:space="preserve">W niektórych państwach uznaje się prawo duchownego do odmowy zeznań na </w:t>
            </w:r>
            <w:r w:rsidRPr="00D103B4">
              <w:rPr>
                <w:rFonts w:asciiTheme="minorHAnsi" w:hAnsiTheme="minorHAnsi" w:cstheme="minorHAnsi"/>
                <w:sz w:val="20"/>
                <w:szCs w:val="20"/>
              </w:rPr>
              <w:lastRenderedPageBreak/>
              <w:t>temat informacji uzyskanych w związku z pełnieniem innych niż spowiedź czynności duszpasterskich w oparciu o podpisaną umowę międzynarodową ze Stolicą Apostolską – tak jest m. in. w Austrii, Portugalii, Hiszpanii i na Słowacji. </w:t>
            </w:r>
          </w:p>
          <w:p w14:paraId="17619DE5" w14:textId="77777777" w:rsidR="006D0FB8" w:rsidRPr="00D103B4" w:rsidRDefault="006D0FB8" w:rsidP="009D0E2C">
            <w:pPr>
              <w:pStyle w:val="paragraphscxw78527537bcx2"/>
              <w:shd w:val="clear" w:color="auto" w:fill="FFFFFF"/>
              <w:spacing w:before="0" w:beforeAutospacing="0" w:after="0" w:afterAutospacing="0" w:line="276" w:lineRule="auto"/>
              <w:jc w:val="both"/>
              <w:textAlignment w:val="baseline"/>
              <w:rPr>
                <w:rFonts w:asciiTheme="minorHAnsi" w:hAnsiTheme="minorHAnsi" w:cstheme="minorHAnsi"/>
                <w:sz w:val="20"/>
                <w:szCs w:val="20"/>
              </w:rPr>
            </w:pPr>
            <w:r w:rsidRPr="00D103B4">
              <w:rPr>
                <w:rFonts w:asciiTheme="minorHAnsi" w:hAnsiTheme="minorHAnsi" w:cstheme="minorHAnsi"/>
                <w:sz w:val="20"/>
                <w:szCs w:val="20"/>
              </w:rPr>
              <w:t>Okoliczności sporządzenia testamentu ustnego – w nowelizowanej ustawie mają ograniczać się do sytuacji, w których zachodzi obawa rychłej śmierci spadkodawcy – przemawiają za ustanowieniem zakazu dowodowego w przedmiocie treści informacji przekazanych duchownemu. W sytuacji terminalnej człowiek znajduje się w stanie szczególnej wrażliwości psychicznej, egzystencjalnej i emocjonalnej. Rozmowa z duchownym bywa ostatnią formą wyrażenia swojego stanu duchowego, wewnętrznych lęków, próśb, ale także najbardziej intymnych informacji o życiu osobistym i relacjach z innymi. Są to najczęściej informacje, które nigdy nie zostałyby wypowiedziane publicznie ani w warunkach procesowych. Godność człowieka w ostatnich chwilach życia powinna być chroniona w sposób szczególny. Posługa religijna wobec osoby umierającej jest praktyczną realizacją jej wolności religijnej, a prawna gwarancja poszanowania tajemnicy duszpasterskiej w postaci zakazu dowodowego przysłuży się pełniejszej integralności i większej efektywności ochrony praw związanych z wolnością sumienia i wyznania. Proponowany przepis stanowi także ochronę zaufania koniecznego dla skutecznego wykonywania posługi duszpasterskiej. </w:t>
            </w:r>
          </w:p>
          <w:p w14:paraId="22A1292F" w14:textId="5005C941" w:rsidR="006D0FB8" w:rsidRPr="00D103B4" w:rsidRDefault="006D0FB8" w:rsidP="00F94422">
            <w:pPr>
              <w:pStyle w:val="paragraphscxw78527537bcx2"/>
              <w:shd w:val="clear" w:color="auto" w:fill="FFFFFF"/>
              <w:spacing w:before="0" w:beforeAutospacing="0" w:after="0" w:afterAutospacing="0" w:line="276" w:lineRule="auto"/>
              <w:jc w:val="both"/>
              <w:textAlignment w:val="baseline"/>
              <w:rPr>
                <w:rFonts w:asciiTheme="minorHAnsi" w:hAnsiTheme="minorHAnsi" w:cstheme="minorHAnsi"/>
                <w:sz w:val="20"/>
                <w:szCs w:val="20"/>
              </w:rPr>
            </w:pPr>
            <w:r w:rsidRPr="00D103B4">
              <w:rPr>
                <w:rFonts w:asciiTheme="minorHAnsi" w:hAnsiTheme="minorHAnsi" w:cstheme="minorHAnsi"/>
                <w:sz w:val="20"/>
                <w:szCs w:val="20"/>
              </w:rPr>
              <w:t xml:space="preserve">Propozycja przedstawiana przez Konferencję Episkopatu Polski nie zmierza do zupełnego wykluczenia duchownego z funkcji świadka testamentu. Jeżeli spadkodawca pragnąłby, aby duchowny był jednym ze świadków, a duchowny nie wyraża co do tego sprzeciwu, </w:t>
            </w:r>
            <w:r w:rsidRPr="00D103B4">
              <w:rPr>
                <w:rFonts w:asciiTheme="minorHAnsi" w:hAnsiTheme="minorHAnsi" w:cstheme="minorHAnsi"/>
                <w:sz w:val="20"/>
                <w:szCs w:val="20"/>
              </w:rPr>
              <w:lastRenderedPageBreak/>
              <w:t>z pełną świadomością, iż nie chodzi o akt posługi religijnej, może należeć do grona świadków.</w:t>
            </w:r>
            <w:r w:rsidR="00B62BF7">
              <w:rPr>
                <w:rFonts w:asciiTheme="minorHAnsi" w:hAnsiTheme="minorHAnsi" w:cstheme="minorHAnsi"/>
                <w:sz w:val="20"/>
                <w:szCs w:val="20"/>
              </w:rPr>
              <w:t xml:space="preserve"> </w:t>
            </w:r>
          </w:p>
        </w:tc>
        <w:tc>
          <w:tcPr>
            <w:tcW w:w="4076" w:type="dxa"/>
          </w:tcPr>
          <w:p w14:paraId="322B0BC9" w14:textId="77777777" w:rsidR="007E347E" w:rsidRDefault="00DB1180" w:rsidP="007E347E">
            <w:pPr>
              <w:spacing w:line="276" w:lineRule="auto"/>
              <w:rPr>
                <w:rFonts w:cstheme="minorHAnsi"/>
                <w:b/>
                <w:bCs/>
                <w:sz w:val="20"/>
                <w:szCs w:val="20"/>
              </w:rPr>
            </w:pPr>
            <w:r w:rsidRPr="00DB1180">
              <w:rPr>
                <w:rFonts w:cstheme="minorHAnsi"/>
                <w:b/>
                <w:bCs/>
                <w:sz w:val="20"/>
                <w:szCs w:val="20"/>
              </w:rPr>
              <w:lastRenderedPageBreak/>
              <w:t>Uwaga nieuwzględniona</w:t>
            </w:r>
          </w:p>
          <w:p w14:paraId="04891040" w14:textId="55EE4DC9" w:rsidR="00A96C61" w:rsidRPr="007E347E" w:rsidRDefault="00A96C61" w:rsidP="007E347E">
            <w:pPr>
              <w:spacing w:line="276" w:lineRule="auto"/>
              <w:rPr>
                <w:rFonts w:cstheme="minorHAnsi"/>
                <w:b/>
                <w:bCs/>
                <w:sz w:val="20"/>
                <w:szCs w:val="20"/>
              </w:rPr>
            </w:pPr>
            <w:r>
              <w:rPr>
                <w:rFonts w:cstheme="minorHAnsi"/>
                <w:sz w:val="20"/>
                <w:szCs w:val="20"/>
              </w:rPr>
              <w:t xml:space="preserve">Co do zasady uwaga </w:t>
            </w:r>
            <w:r w:rsidR="00DB1180">
              <w:rPr>
                <w:rFonts w:cstheme="minorHAnsi"/>
                <w:sz w:val="20"/>
                <w:szCs w:val="20"/>
              </w:rPr>
              <w:t xml:space="preserve">ta </w:t>
            </w:r>
            <w:r>
              <w:rPr>
                <w:rFonts w:cstheme="minorHAnsi"/>
                <w:sz w:val="20"/>
                <w:szCs w:val="20"/>
              </w:rPr>
              <w:t xml:space="preserve">wykracza poza zakres regulacji objętej projektem. </w:t>
            </w:r>
          </w:p>
          <w:p w14:paraId="4C75A479" w14:textId="609DFDED" w:rsidR="00B77230" w:rsidRDefault="00B77230" w:rsidP="00593690">
            <w:pPr>
              <w:spacing w:before="240" w:after="120" w:line="276" w:lineRule="auto"/>
              <w:jc w:val="both"/>
              <w:rPr>
                <w:rFonts w:cstheme="minorHAnsi"/>
                <w:sz w:val="20"/>
                <w:szCs w:val="20"/>
              </w:rPr>
            </w:pPr>
            <w:r>
              <w:rPr>
                <w:rFonts w:cstheme="minorHAnsi"/>
                <w:sz w:val="20"/>
                <w:szCs w:val="20"/>
              </w:rPr>
              <w:t xml:space="preserve">Dodatkowo </w:t>
            </w:r>
            <w:r w:rsidR="00593690">
              <w:rPr>
                <w:rFonts w:cstheme="minorHAnsi"/>
                <w:sz w:val="20"/>
                <w:szCs w:val="20"/>
              </w:rPr>
              <w:t xml:space="preserve">należy wskazać, że </w:t>
            </w:r>
            <w:r>
              <w:rPr>
                <w:rFonts w:cstheme="minorHAnsi"/>
                <w:sz w:val="20"/>
                <w:szCs w:val="20"/>
              </w:rPr>
              <w:t xml:space="preserve">ewentualne wprowadzenie do polskiego prawa tajemnicy duszpasterskiej jako tajemnicy zawodowej zasadniczo </w:t>
            </w:r>
            <w:r w:rsidR="00DB1180" w:rsidRPr="00307896">
              <w:rPr>
                <w:rFonts w:cstheme="minorHAnsi"/>
                <w:sz w:val="20"/>
                <w:szCs w:val="20"/>
              </w:rPr>
              <w:t>wykracza poza zakres właściwości Ministerstwa Sprawiedliwości.</w:t>
            </w:r>
          </w:p>
          <w:p w14:paraId="1BB5C4AC" w14:textId="0127F62E" w:rsidR="00B77230" w:rsidRPr="00D103B4" w:rsidRDefault="00B77230" w:rsidP="00A96C61">
            <w:pPr>
              <w:spacing w:before="240" w:after="120" w:line="276" w:lineRule="auto"/>
              <w:rPr>
                <w:rFonts w:cstheme="minorHAnsi"/>
                <w:sz w:val="20"/>
                <w:szCs w:val="20"/>
              </w:rPr>
            </w:pPr>
          </w:p>
        </w:tc>
      </w:tr>
      <w:tr w:rsidR="006A5418" w:rsidRPr="00D103B4" w14:paraId="4F85A8B5" w14:textId="77777777" w:rsidTr="00B241C8">
        <w:trPr>
          <w:jc w:val="center"/>
        </w:trPr>
        <w:tc>
          <w:tcPr>
            <w:tcW w:w="562" w:type="dxa"/>
          </w:tcPr>
          <w:p w14:paraId="717B2CD0" w14:textId="50C35393" w:rsidR="006A5418" w:rsidRPr="00D103B4" w:rsidRDefault="00D103B4" w:rsidP="009D0E2C">
            <w:pPr>
              <w:spacing w:before="120"/>
              <w:ind w:right="-534"/>
              <w:rPr>
                <w:rFonts w:cstheme="minorHAnsi"/>
                <w:b/>
                <w:sz w:val="20"/>
                <w:szCs w:val="20"/>
              </w:rPr>
            </w:pPr>
            <w:r>
              <w:rPr>
                <w:rFonts w:cstheme="minorHAnsi"/>
                <w:b/>
                <w:sz w:val="20"/>
                <w:szCs w:val="20"/>
              </w:rPr>
              <w:lastRenderedPageBreak/>
              <w:t>2.</w:t>
            </w:r>
          </w:p>
        </w:tc>
        <w:tc>
          <w:tcPr>
            <w:tcW w:w="1843" w:type="dxa"/>
            <w:vAlign w:val="center"/>
          </w:tcPr>
          <w:p w14:paraId="1D732512" w14:textId="38E30E59" w:rsidR="006A5418" w:rsidRPr="00D103B4" w:rsidRDefault="006A5418" w:rsidP="009D0E2C">
            <w:pPr>
              <w:spacing w:before="120" w:after="120"/>
              <w:jc w:val="center"/>
              <w:rPr>
                <w:rFonts w:cstheme="minorHAnsi"/>
                <w:b/>
                <w:bCs/>
                <w:sz w:val="20"/>
                <w:szCs w:val="20"/>
              </w:rPr>
            </w:pPr>
            <w:r w:rsidRPr="00D103B4">
              <w:rPr>
                <w:rFonts w:cstheme="minorHAnsi"/>
                <w:b/>
                <w:bCs/>
                <w:sz w:val="20"/>
                <w:szCs w:val="20"/>
              </w:rPr>
              <w:t>Krajowa Rada Notarialna (KRN)</w:t>
            </w:r>
          </w:p>
        </w:tc>
        <w:tc>
          <w:tcPr>
            <w:tcW w:w="1843" w:type="dxa"/>
            <w:vAlign w:val="center"/>
          </w:tcPr>
          <w:p w14:paraId="6561E09B" w14:textId="77777777" w:rsidR="006A5418" w:rsidRPr="00D103B4" w:rsidRDefault="006A5418" w:rsidP="009D0E2C">
            <w:pPr>
              <w:spacing w:before="120" w:after="120"/>
              <w:jc w:val="center"/>
              <w:rPr>
                <w:rFonts w:cstheme="minorHAnsi"/>
                <w:sz w:val="20"/>
                <w:szCs w:val="20"/>
              </w:rPr>
            </w:pPr>
          </w:p>
        </w:tc>
        <w:tc>
          <w:tcPr>
            <w:tcW w:w="5670" w:type="dxa"/>
            <w:vAlign w:val="center"/>
          </w:tcPr>
          <w:p w14:paraId="76F27591" w14:textId="2823674F" w:rsidR="006A5418" w:rsidRPr="00D103B4" w:rsidRDefault="006A5418" w:rsidP="006A5418">
            <w:pPr>
              <w:pStyle w:val="Style3"/>
              <w:widowControl/>
              <w:tabs>
                <w:tab w:val="left" w:pos="979"/>
              </w:tabs>
              <w:spacing w:line="276" w:lineRule="auto"/>
              <w:ind w:right="29" w:firstLine="0"/>
              <w:rPr>
                <w:rFonts w:asciiTheme="minorHAnsi" w:hAnsiTheme="minorHAnsi" w:cstheme="minorHAnsi"/>
                <w:sz w:val="20"/>
                <w:szCs w:val="20"/>
              </w:rPr>
            </w:pPr>
            <w:r w:rsidRPr="00D103B4">
              <w:rPr>
                <w:rFonts w:asciiTheme="minorHAnsi" w:hAnsiTheme="minorHAnsi" w:cstheme="minorHAnsi"/>
                <w:sz w:val="20"/>
                <w:szCs w:val="20"/>
              </w:rPr>
              <w:t xml:space="preserve">Zawężenie możliwości sporządzenia </w:t>
            </w:r>
            <w:r w:rsidRPr="00D103B4">
              <w:rPr>
                <w:rStyle w:val="FontStyle15"/>
                <w:rFonts w:asciiTheme="minorHAnsi" w:hAnsiTheme="minorHAnsi" w:cstheme="minorHAnsi"/>
              </w:rPr>
              <w:t xml:space="preserve">testamentu ustnego również należy uznać za pożądane. </w:t>
            </w:r>
            <w:r w:rsidRPr="00D103B4">
              <w:rPr>
                <w:rStyle w:val="FontStyle13"/>
                <w:rFonts w:asciiTheme="minorHAnsi" w:hAnsiTheme="minorHAnsi" w:cstheme="minorHAnsi"/>
              </w:rPr>
              <w:t xml:space="preserve">W opinii Krajowej Rady Notarialnej być może bardziej zasadne byłoby nawet zupełne zrezygnowanie z formy testamentu ustnego: z doświadczeń notariuszy wynika bowiem, że częstokroć stanowi ona pole do nadużyć </w:t>
            </w:r>
            <w:r w:rsidRPr="00D103B4">
              <w:rPr>
                <w:rStyle w:val="FontStyle15"/>
                <w:rFonts w:asciiTheme="minorHAnsi" w:hAnsiTheme="minorHAnsi" w:cstheme="minorHAnsi"/>
              </w:rPr>
              <w:t xml:space="preserve">(przykładowo, po odmowie sporządzenia testamentu notarialnego przez notariusza z uwagi na brak </w:t>
            </w:r>
            <w:r w:rsidRPr="00D103B4">
              <w:rPr>
                <w:rStyle w:val="FontStyle14"/>
                <w:rFonts w:asciiTheme="minorHAnsi" w:hAnsiTheme="minorHAnsi" w:cstheme="minorHAnsi"/>
              </w:rPr>
              <w:t xml:space="preserve">animus </w:t>
            </w:r>
            <w:r w:rsidR="00516470">
              <w:rPr>
                <w:rStyle w:val="FontStyle14"/>
                <w:rFonts w:asciiTheme="minorHAnsi" w:hAnsiTheme="minorHAnsi" w:cstheme="minorHAnsi"/>
              </w:rPr>
              <w:t>t</w:t>
            </w:r>
            <w:r w:rsidRPr="00D103B4">
              <w:rPr>
                <w:rStyle w:val="FontStyle14"/>
                <w:rFonts w:asciiTheme="minorHAnsi" w:hAnsiTheme="minorHAnsi" w:cstheme="minorHAnsi"/>
              </w:rPr>
              <w:t xml:space="preserve">estandi </w:t>
            </w:r>
            <w:r w:rsidRPr="00D103B4">
              <w:rPr>
                <w:rStyle w:val="FontStyle15"/>
                <w:rFonts w:asciiTheme="minorHAnsi" w:hAnsiTheme="minorHAnsi" w:cstheme="minorHAnsi"/>
              </w:rPr>
              <w:t>po stronie testatora, czy jego niezdolność do wyrażenia woli, zainteresowani bliscy podejmują kroki mające na celu ujęcie rzekomej woli niedoszłego testatora w ramy testamentu ustnego).</w:t>
            </w:r>
          </w:p>
        </w:tc>
        <w:tc>
          <w:tcPr>
            <w:tcW w:w="4076" w:type="dxa"/>
          </w:tcPr>
          <w:p w14:paraId="6CBD7EB3" w14:textId="1858F310" w:rsidR="006A5418" w:rsidRDefault="001309E0" w:rsidP="007E347E">
            <w:pPr>
              <w:rPr>
                <w:rFonts w:cstheme="minorHAnsi"/>
                <w:b/>
                <w:bCs/>
                <w:sz w:val="20"/>
                <w:szCs w:val="20"/>
              </w:rPr>
            </w:pPr>
            <w:r w:rsidRPr="001309E0">
              <w:rPr>
                <w:rFonts w:cstheme="minorHAnsi"/>
                <w:b/>
                <w:bCs/>
                <w:sz w:val="20"/>
                <w:szCs w:val="20"/>
              </w:rPr>
              <w:t>Uwaga nieuwzględniona</w:t>
            </w:r>
          </w:p>
          <w:p w14:paraId="4E954505" w14:textId="65B53F9D" w:rsidR="001309E0" w:rsidRPr="00D103B4" w:rsidRDefault="00DB1180" w:rsidP="007E347E">
            <w:pPr>
              <w:jc w:val="both"/>
              <w:rPr>
                <w:rFonts w:cstheme="minorHAnsi"/>
                <w:sz w:val="20"/>
                <w:szCs w:val="20"/>
              </w:rPr>
            </w:pPr>
            <w:r w:rsidRPr="004F0B65">
              <w:rPr>
                <w:rFonts w:cstheme="minorHAnsi"/>
                <w:sz w:val="20"/>
                <w:szCs w:val="20"/>
              </w:rPr>
              <w:t>Za nieprzekonujące uznano argumenty za usunięciem z Kodeksu cywilnego formy testamentu</w:t>
            </w:r>
            <w:r>
              <w:rPr>
                <w:rFonts w:cstheme="minorHAnsi"/>
                <w:sz w:val="20"/>
                <w:szCs w:val="20"/>
              </w:rPr>
              <w:t xml:space="preserve"> ustnego</w:t>
            </w:r>
            <w:r w:rsidRPr="004F0B65">
              <w:rPr>
                <w:rFonts w:cstheme="minorHAnsi"/>
                <w:sz w:val="20"/>
                <w:szCs w:val="20"/>
              </w:rPr>
              <w:t xml:space="preserve">. Testator powinien mieć możliwość sporządzenia testamentu w tych przypadkach szczególnych i nagłych, w których zagraża mu śmierć lub utrata zdolności do testowania, a nie jest w stanie sporządzić testamentu w formie zwykłej (np. na skutek wypadku samochodowego czy zawału serca). Konieczne było jednak zawężenie sytuacji, w których sporządzenie takiego testamentu jest dopuszczalne oraz ograniczenie sposobów stwierdzenia jego treści. W szczególności możliwość sporządzenia testamentu ustnego </w:t>
            </w:r>
            <w:r>
              <w:rPr>
                <w:rFonts w:cstheme="minorHAnsi"/>
                <w:sz w:val="20"/>
                <w:szCs w:val="20"/>
              </w:rPr>
              <w:t>ograniczono</w:t>
            </w:r>
            <w:r w:rsidRPr="004F0B65">
              <w:rPr>
                <w:rFonts w:cstheme="minorHAnsi"/>
                <w:sz w:val="20"/>
                <w:szCs w:val="20"/>
              </w:rPr>
              <w:t xml:space="preserve"> do przypadków wywołanych przez okoliczności o charakterze szczególnym i nagłym, na skutek których zachowanie zwykłej formy testamentu jest niemożliwe albo nadmiernie utrudnione, gdy jednocześnie zachodzi obawa rychłej śmierci spadkodawcy.</w:t>
            </w:r>
          </w:p>
        </w:tc>
      </w:tr>
      <w:tr w:rsidR="00C84EF1" w:rsidRPr="00D103B4" w14:paraId="42535163" w14:textId="77777777" w:rsidTr="00B241C8">
        <w:trPr>
          <w:jc w:val="center"/>
        </w:trPr>
        <w:tc>
          <w:tcPr>
            <w:tcW w:w="562" w:type="dxa"/>
          </w:tcPr>
          <w:p w14:paraId="78A1CF52" w14:textId="2EA885C0" w:rsidR="00C84EF1" w:rsidRPr="00D103B4" w:rsidRDefault="00D103B4" w:rsidP="009D0E2C">
            <w:pPr>
              <w:spacing w:before="120"/>
              <w:ind w:right="-534"/>
              <w:rPr>
                <w:rFonts w:cstheme="minorHAnsi"/>
                <w:b/>
                <w:sz w:val="20"/>
                <w:szCs w:val="20"/>
              </w:rPr>
            </w:pPr>
            <w:r>
              <w:rPr>
                <w:rFonts w:cstheme="minorHAnsi"/>
                <w:b/>
                <w:sz w:val="20"/>
                <w:szCs w:val="20"/>
              </w:rPr>
              <w:t>3.</w:t>
            </w:r>
          </w:p>
        </w:tc>
        <w:tc>
          <w:tcPr>
            <w:tcW w:w="1843" w:type="dxa"/>
            <w:vAlign w:val="center"/>
          </w:tcPr>
          <w:p w14:paraId="50553DF0" w14:textId="77777777" w:rsidR="00C84EF1" w:rsidRPr="00C84EF1" w:rsidRDefault="00C84EF1" w:rsidP="00C84EF1">
            <w:pPr>
              <w:spacing w:before="120" w:after="120"/>
              <w:jc w:val="center"/>
              <w:rPr>
                <w:rFonts w:cstheme="minorHAnsi"/>
                <w:sz w:val="20"/>
                <w:szCs w:val="20"/>
              </w:rPr>
            </w:pPr>
          </w:p>
          <w:p w14:paraId="729B6A8E" w14:textId="57F519DB" w:rsidR="00C84EF1" w:rsidRPr="00D103B4" w:rsidRDefault="00C84EF1" w:rsidP="00C84EF1">
            <w:pPr>
              <w:spacing w:before="120" w:after="120"/>
              <w:jc w:val="center"/>
              <w:rPr>
                <w:rFonts w:cstheme="minorHAnsi"/>
                <w:sz w:val="20"/>
                <w:szCs w:val="20"/>
              </w:rPr>
            </w:pPr>
            <w:r w:rsidRPr="00D103B4">
              <w:rPr>
                <w:rFonts w:cstheme="minorHAnsi"/>
                <w:sz w:val="20"/>
                <w:szCs w:val="20"/>
              </w:rPr>
              <w:t xml:space="preserve"> </w:t>
            </w:r>
            <w:r w:rsidRPr="00D103B4">
              <w:rPr>
                <w:rFonts w:cstheme="minorHAnsi"/>
                <w:b/>
                <w:bCs/>
                <w:sz w:val="20"/>
                <w:szCs w:val="20"/>
              </w:rPr>
              <w:t>Stowarzyszenie Notariuszy Rzeczypospolitej Polskiej</w:t>
            </w:r>
          </w:p>
        </w:tc>
        <w:tc>
          <w:tcPr>
            <w:tcW w:w="1843" w:type="dxa"/>
            <w:vAlign w:val="center"/>
          </w:tcPr>
          <w:p w14:paraId="4F53CDD5" w14:textId="77777777" w:rsidR="00C84EF1" w:rsidRPr="00D103B4" w:rsidRDefault="00C84EF1" w:rsidP="009D0E2C">
            <w:pPr>
              <w:spacing w:before="120" w:after="120"/>
              <w:jc w:val="center"/>
              <w:rPr>
                <w:rFonts w:cstheme="minorHAnsi"/>
                <w:sz w:val="20"/>
                <w:szCs w:val="20"/>
              </w:rPr>
            </w:pPr>
          </w:p>
        </w:tc>
        <w:tc>
          <w:tcPr>
            <w:tcW w:w="5670" w:type="dxa"/>
            <w:vAlign w:val="center"/>
          </w:tcPr>
          <w:p w14:paraId="5D0C5525" w14:textId="60F242F8" w:rsidR="00C84EF1" w:rsidRPr="00D103B4" w:rsidRDefault="00C84EF1" w:rsidP="007E347E">
            <w:pPr>
              <w:pStyle w:val="Style3"/>
              <w:widowControl/>
              <w:tabs>
                <w:tab w:val="left" w:pos="979"/>
              </w:tabs>
              <w:spacing w:line="276" w:lineRule="auto"/>
              <w:ind w:right="29" w:firstLine="0"/>
              <w:rPr>
                <w:rFonts w:asciiTheme="minorHAnsi" w:hAnsiTheme="minorHAnsi" w:cstheme="minorHAnsi"/>
                <w:sz w:val="20"/>
                <w:szCs w:val="20"/>
              </w:rPr>
            </w:pPr>
            <w:r w:rsidRPr="00D103B4">
              <w:rPr>
                <w:rFonts w:asciiTheme="minorHAnsi" w:hAnsiTheme="minorHAnsi" w:cstheme="minorHAnsi"/>
                <w:sz w:val="20"/>
                <w:szCs w:val="20"/>
              </w:rPr>
              <w:t xml:space="preserve">Na samym wstępie chcemy wskazać, że Projekt Ustawy był przedmiotem konsultacji, w czasie których SNRP zajęło stanowisko wyrażone w Uchwale nr 39/VII/2024 Zarządu Głównego Stowarzyszenia Notariuszy Rzeczypospolitej Polskiej z dnia dniu 4 lipca 2024 r. W zakresie, w którym aktualna wersja projektu zbieżna jest z wersją już zaopiniowaną ZG SNRP w pełni podtrzymuje wyrażone w powyższej uchwale stanowisko i uwagi. W szczególności przypominamy, iż proponowane rozwiązania </w:t>
            </w:r>
            <w:r w:rsidRPr="00D103B4">
              <w:rPr>
                <w:rFonts w:asciiTheme="minorHAnsi" w:hAnsiTheme="minorHAnsi" w:cstheme="minorHAnsi"/>
                <w:sz w:val="20"/>
                <w:szCs w:val="20"/>
              </w:rPr>
              <w:lastRenderedPageBreak/>
              <w:t xml:space="preserve">dotyczące testamentu audiowizualnego są nowatorskie w skali europejskiej, a w świetle prężnego i szybkiego rozwoju technologii </w:t>
            </w:r>
            <w:r w:rsidRPr="00D103B4">
              <w:rPr>
                <w:rFonts w:asciiTheme="minorHAnsi" w:hAnsiTheme="minorHAnsi" w:cstheme="minorHAnsi"/>
                <w:i/>
                <w:iCs/>
                <w:sz w:val="20"/>
                <w:szCs w:val="20"/>
              </w:rPr>
              <w:t>deepfake</w:t>
            </w:r>
            <w:r w:rsidRPr="00D103B4">
              <w:rPr>
                <w:rFonts w:asciiTheme="minorHAnsi" w:hAnsiTheme="minorHAnsi" w:cstheme="minorHAnsi"/>
                <w:sz w:val="20"/>
                <w:szCs w:val="20"/>
              </w:rPr>
              <w:t>, testament audiowizualny jest wysoce podatny na stosunkowo tanią, acz efektywną manipulację. Technologia ta pozwala już teraz na generowanie przez sztuczną inteligencję wysoce realistycznego obrazu konkretnej osoby wraz dźwiękiem oddającym w pełni brzmienie, barwę głosu i indywidualny styl mówienia, a to wszystko na podstawie niewielkiego skrawka danych wyjściowych (próbki obrazu i dźwięku). Technologia ta jest coraz trudniejsza do wykrycia - bez ponoszenia znacząco wyższych nakładów w stosunku do kosztów jej użycia. Co więcej słaba rozdzielczość plików audiowideo (a taka będzie zazwyczaj występowała – zważywszy na okoliczności, w których testament audiowizualny będzie w intencji projektodawcy sporządzany) ułatwia dokonanie trudnej do wykrycia manipulacji. Tym samym uważamy, iż wdrożenie testamentu audiowizualnego do polskiego porządku prawnego wymaga wysokiego poziomu ostrożności i daleko idącego sceptycyzmu.</w:t>
            </w:r>
          </w:p>
        </w:tc>
        <w:tc>
          <w:tcPr>
            <w:tcW w:w="4076" w:type="dxa"/>
          </w:tcPr>
          <w:p w14:paraId="0D84358C" w14:textId="1F2C876B" w:rsidR="00C84EF1" w:rsidRDefault="002B55AD" w:rsidP="007E347E">
            <w:pPr>
              <w:rPr>
                <w:rFonts w:cstheme="minorHAnsi"/>
                <w:b/>
                <w:bCs/>
                <w:sz w:val="20"/>
                <w:szCs w:val="20"/>
              </w:rPr>
            </w:pPr>
            <w:r w:rsidRPr="002B55AD">
              <w:rPr>
                <w:rFonts w:cstheme="minorHAnsi"/>
                <w:b/>
                <w:bCs/>
                <w:sz w:val="20"/>
                <w:szCs w:val="20"/>
              </w:rPr>
              <w:lastRenderedPageBreak/>
              <w:t>Uwaga nieuwzględniona</w:t>
            </w:r>
          </w:p>
          <w:p w14:paraId="4AC9E10E" w14:textId="3C226F63" w:rsidR="002B55AD" w:rsidRDefault="002B55AD" w:rsidP="004A1DA3">
            <w:pPr>
              <w:jc w:val="both"/>
              <w:rPr>
                <w:rFonts w:cstheme="minorHAnsi"/>
                <w:sz w:val="20"/>
                <w:szCs w:val="20"/>
              </w:rPr>
            </w:pPr>
            <w:r w:rsidRPr="002B55AD">
              <w:rPr>
                <w:rFonts w:cstheme="minorHAnsi"/>
                <w:sz w:val="20"/>
                <w:szCs w:val="20"/>
              </w:rPr>
              <w:t>Obecna wersja projektu nie przewiduje formy testamentu audiowizualnego, a jedynie dodatkowy sposób stwierdzenia treści testamentu ustnego.</w:t>
            </w:r>
            <w:r>
              <w:rPr>
                <w:rFonts w:cstheme="minorHAnsi"/>
                <w:sz w:val="20"/>
                <w:szCs w:val="20"/>
              </w:rPr>
              <w:t xml:space="preserve"> Obie formy stwierdzenia testamentu zaprojektowano jako równoważne.</w:t>
            </w:r>
            <w:r w:rsidR="00B62BF7">
              <w:rPr>
                <w:rFonts w:cstheme="minorHAnsi"/>
                <w:sz w:val="20"/>
                <w:szCs w:val="20"/>
              </w:rPr>
              <w:t xml:space="preserve"> </w:t>
            </w:r>
            <w:r w:rsidRPr="002B55AD">
              <w:rPr>
                <w:rFonts w:cstheme="minorHAnsi"/>
                <w:sz w:val="20"/>
                <w:szCs w:val="20"/>
              </w:rPr>
              <w:t xml:space="preserve">Zagrożenia, o których mowa w uwadze zostały uwzględnione przy formułowaniu nowej regulacji i zostały omówione w uzasadnieniu. </w:t>
            </w:r>
            <w:r w:rsidRPr="00964CA4">
              <w:rPr>
                <w:rFonts w:cstheme="minorHAnsi"/>
                <w:sz w:val="20"/>
                <w:szCs w:val="20"/>
              </w:rPr>
              <w:lastRenderedPageBreak/>
              <w:t xml:space="preserve">Należy </w:t>
            </w:r>
            <w:r w:rsidR="00964CA4" w:rsidRPr="00964CA4">
              <w:rPr>
                <w:rFonts w:cstheme="minorHAnsi"/>
                <w:sz w:val="20"/>
                <w:szCs w:val="20"/>
              </w:rPr>
              <w:t xml:space="preserve">dodatkowo </w:t>
            </w:r>
            <w:r w:rsidRPr="00964CA4">
              <w:rPr>
                <w:rFonts w:cstheme="minorHAnsi"/>
                <w:sz w:val="20"/>
                <w:szCs w:val="20"/>
              </w:rPr>
              <w:t xml:space="preserve">wskazać, że ryzyko sfałszowania treści testamentu ustnego, </w:t>
            </w:r>
            <w:r w:rsidR="00964CA4" w:rsidRPr="00964CA4">
              <w:rPr>
                <w:rFonts w:cstheme="minorHAnsi"/>
                <w:sz w:val="20"/>
                <w:szCs w:val="20"/>
              </w:rPr>
              <w:t>którą</w:t>
            </w:r>
            <w:r w:rsidRPr="00964CA4">
              <w:rPr>
                <w:rFonts w:cstheme="minorHAnsi"/>
                <w:sz w:val="20"/>
                <w:szCs w:val="20"/>
              </w:rPr>
              <w:t xml:space="preserve"> </w:t>
            </w:r>
            <w:r w:rsidR="00964CA4" w:rsidRPr="00964CA4">
              <w:rPr>
                <w:rFonts w:cstheme="minorHAnsi"/>
                <w:sz w:val="20"/>
                <w:szCs w:val="20"/>
              </w:rPr>
              <w:t>utrwalono</w:t>
            </w:r>
            <w:r w:rsidRPr="00964CA4">
              <w:rPr>
                <w:rFonts w:cstheme="minorHAnsi"/>
                <w:sz w:val="20"/>
                <w:szCs w:val="20"/>
              </w:rPr>
              <w:t xml:space="preserve"> za pomocą urządzenia </w:t>
            </w:r>
            <w:r w:rsidR="00964CA4" w:rsidRPr="00964CA4">
              <w:rPr>
                <w:rFonts w:cstheme="minorHAnsi"/>
                <w:sz w:val="20"/>
                <w:szCs w:val="20"/>
              </w:rPr>
              <w:t xml:space="preserve">rejestrującego obraz i dźwięk </w:t>
            </w:r>
            <w:r w:rsidRPr="00964CA4">
              <w:rPr>
                <w:rFonts w:cstheme="minorHAnsi"/>
                <w:sz w:val="20"/>
                <w:szCs w:val="20"/>
              </w:rPr>
              <w:t xml:space="preserve">na </w:t>
            </w:r>
            <w:r w:rsidR="00964CA4" w:rsidRPr="00964CA4">
              <w:rPr>
                <w:rFonts w:cstheme="minorHAnsi"/>
                <w:sz w:val="20"/>
                <w:szCs w:val="20"/>
              </w:rPr>
              <w:t xml:space="preserve">trwałym </w:t>
            </w:r>
            <w:r w:rsidRPr="00964CA4">
              <w:rPr>
                <w:rFonts w:cstheme="minorHAnsi"/>
                <w:sz w:val="20"/>
                <w:szCs w:val="20"/>
              </w:rPr>
              <w:t xml:space="preserve">nośniku </w:t>
            </w:r>
            <w:r w:rsidR="00964CA4" w:rsidRPr="00964CA4">
              <w:rPr>
                <w:rFonts w:cstheme="minorHAnsi"/>
                <w:sz w:val="20"/>
                <w:szCs w:val="20"/>
              </w:rPr>
              <w:t>danych,</w:t>
            </w:r>
            <w:r w:rsidRPr="00964CA4">
              <w:rPr>
                <w:rFonts w:cstheme="minorHAnsi"/>
                <w:sz w:val="20"/>
                <w:szCs w:val="20"/>
              </w:rPr>
              <w:t xml:space="preserve"> </w:t>
            </w:r>
            <w:r w:rsidR="00964CA4" w:rsidRPr="00964CA4">
              <w:rPr>
                <w:rFonts w:cstheme="minorHAnsi"/>
                <w:sz w:val="20"/>
                <w:szCs w:val="20"/>
              </w:rPr>
              <w:t xml:space="preserve">zminimalizowano poprzez obowiązek utrwalenia oświadczenia woli spadkodawcy w sposób umożliwiający identyfikację spadkodawcy i co najmniej trzech świadków, co </w:t>
            </w:r>
            <w:r w:rsidR="00964CA4" w:rsidRPr="00E36976">
              <w:rPr>
                <w:rFonts w:cstheme="minorHAnsi"/>
                <w:i/>
                <w:iCs/>
                <w:sz w:val="20"/>
                <w:szCs w:val="20"/>
              </w:rPr>
              <w:t>de facto</w:t>
            </w:r>
            <w:r w:rsidR="00964CA4" w:rsidRPr="00964CA4">
              <w:rPr>
                <w:rFonts w:cstheme="minorHAnsi"/>
                <w:sz w:val="20"/>
                <w:szCs w:val="20"/>
              </w:rPr>
              <w:t xml:space="preserve"> sprowadzało się będzie do objęcia tych osób obrazem wideo. </w:t>
            </w:r>
          </w:p>
          <w:p w14:paraId="3D2B5471" w14:textId="1C1A17EA" w:rsidR="00964CA4" w:rsidRPr="00964CA4" w:rsidRDefault="00964CA4" w:rsidP="007E347E">
            <w:pPr>
              <w:spacing w:before="240"/>
              <w:jc w:val="both"/>
              <w:rPr>
                <w:rFonts w:cstheme="minorHAnsi"/>
                <w:sz w:val="20"/>
                <w:szCs w:val="20"/>
              </w:rPr>
            </w:pPr>
            <w:r>
              <w:rPr>
                <w:rFonts w:cstheme="minorHAnsi"/>
                <w:sz w:val="20"/>
                <w:szCs w:val="20"/>
              </w:rPr>
              <w:t xml:space="preserve">Obawa przed ewentualnym fałszerstwem </w:t>
            </w:r>
            <w:r w:rsidR="00362096">
              <w:rPr>
                <w:rFonts w:cstheme="minorHAnsi"/>
                <w:sz w:val="20"/>
                <w:szCs w:val="20"/>
              </w:rPr>
              <w:t xml:space="preserve">nagrań </w:t>
            </w:r>
            <w:r>
              <w:rPr>
                <w:rFonts w:cstheme="minorHAnsi"/>
                <w:sz w:val="20"/>
                <w:szCs w:val="20"/>
              </w:rPr>
              <w:t>nie wydaje się wystarczającym argumentem do wprowadzenia rozwiązań wykorzystujących nowe technologie</w:t>
            </w:r>
            <w:r w:rsidR="00362096">
              <w:rPr>
                <w:rFonts w:cstheme="minorHAnsi"/>
                <w:sz w:val="20"/>
                <w:szCs w:val="20"/>
              </w:rPr>
              <w:t>, tym bardziej, że rozwiązania te są wprowadzane ostrożnie – jedynie w kontekście testamentu szczególnego, jakim jest testament ustny i jedynie jako jedna z form stwierdzenia treści takiego testamentu.</w:t>
            </w:r>
            <w:r w:rsidR="00B62BF7">
              <w:rPr>
                <w:rFonts w:cstheme="minorHAnsi"/>
                <w:sz w:val="20"/>
                <w:szCs w:val="20"/>
              </w:rPr>
              <w:t xml:space="preserve"> </w:t>
            </w:r>
          </w:p>
        </w:tc>
      </w:tr>
      <w:tr w:rsidR="00EC7C35" w:rsidRPr="00D103B4" w14:paraId="49CB186E" w14:textId="77777777" w:rsidTr="00B241C8">
        <w:trPr>
          <w:jc w:val="center"/>
        </w:trPr>
        <w:tc>
          <w:tcPr>
            <w:tcW w:w="562" w:type="dxa"/>
          </w:tcPr>
          <w:p w14:paraId="687AD8E6" w14:textId="6A3BD21E" w:rsidR="00EC7C35" w:rsidRPr="00D103B4" w:rsidRDefault="00D103B4" w:rsidP="009D0E2C">
            <w:pPr>
              <w:spacing w:before="120"/>
              <w:ind w:right="-534"/>
              <w:rPr>
                <w:rFonts w:cstheme="minorHAnsi"/>
                <w:b/>
                <w:sz w:val="20"/>
                <w:szCs w:val="20"/>
              </w:rPr>
            </w:pPr>
            <w:r>
              <w:rPr>
                <w:rFonts w:cstheme="minorHAnsi"/>
                <w:b/>
                <w:sz w:val="20"/>
                <w:szCs w:val="20"/>
              </w:rPr>
              <w:lastRenderedPageBreak/>
              <w:t>4.</w:t>
            </w:r>
          </w:p>
        </w:tc>
        <w:tc>
          <w:tcPr>
            <w:tcW w:w="1843" w:type="dxa"/>
            <w:vAlign w:val="center"/>
          </w:tcPr>
          <w:p w14:paraId="7F3737F5" w14:textId="75F916BD" w:rsidR="00EC7C35" w:rsidRPr="00D103B4" w:rsidRDefault="00EC7C35" w:rsidP="00EC7C35">
            <w:pPr>
              <w:spacing w:before="120" w:after="120"/>
              <w:jc w:val="center"/>
              <w:rPr>
                <w:rFonts w:cstheme="minorHAnsi"/>
                <w:b/>
                <w:bCs/>
                <w:sz w:val="20"/>
                <w:szCs w:val="20"/>
              </w:rPr>
            </w:pPr>
            <w:r w:rsidRPr="00D103B4">
              <w:rPr>
                <w:rFonts w:cstheme="minorHAnsi"/>
                <w:b/>
                <w:bCs/>
                <w:sz w:val="20"/>
                <w:szCs w:val="20"/>
              </w:rPr>
              <w:t xml:space="preserve">Sąd Apelacyjny w Łodzi </w:t>
            </w:r>
          </w:p>
          <w:p w14:paraId="4BDFCEB7" w14:textId="38FC8944" w:rsidR="00EC7C35" w:rsidRPr="00D103B4" w:rsidRDefault="00EC7C35" w:rsidP="00EC7C35">
            <w:pPr>
              <w:spacing w:before="120" w:after="120"/>
              <w:jc w:val="center"/>
              <w:rPr>
                <w:rFonts w:cstheme="minorHAnsi"/>
                <w:sz w:val="20"/>
                <w:szCs w:val="20"/>
              </w:rPr>
            </w:pPr>
            <w:r w:rsidRPr="00D103B4">
              <w:rPr>
                <w:rFonts w:cstheme="minorHAnsi"/>
                <w:sz w:val="20"/>
                <w:szCs w:val="20"/>
              </w:rPr>
              <w:t>- uwaga Sądu Rejonowego dla Łodzi-Śródmieścia w Łodzi</w:t>
            </w:r>
          </w:p>
        </w:tc>
        <w:tc>
          <w:tcPr>
            <w:tcW w:w="1843" w:type="dxa"/>
            <w:vAlign w:val="center"/>
          </w:tcPr>
          <w:p w14:paraId="640A102E" w14:textId="77777777" w:rsidR="00EC7C35" w:rsidRPr="00D103B4" w:rsidRDefault="00EC7C35" w:rsidP="009D0E2C">
            <w:pPr>
              <w:spacing w:before="120" w:after="120"/>
              <w:jc w:val="center"/>
              <w:rPr>
                <w:rFonts w:cstheme="minorHAnsi"/>
                <w:sz w:val="20"/>
                <w:szCs w:val="20"/>
              </w:rPr>
            </w:pPr>
          </w:p>
        </w:tc>
        <w:tc>
          <w:tcPr>
            <w:tcW w:w="5670" w:type="dxa"/>
            <w:vAlign w:val="center"/>
          </w:tcPr>
          <w:p w14:paraId="711B9C69" w14:textId="14F4CD57" w:rsidR="00EC7C35" w:rsidRPr="00D103B4" w:rsidRDefault="00EC7C35" w:rsidP="00C84EF1">
            <w:pPr>
              <w:pStyle w:val="Style3"/>
              <w:widowControl/>
              <w:tabs>
                <w:tab w:val="left" w:pos="979"/>
              </w:tabs>
              <w:spacing w:line="276" w:lineRule="auto"/>
              <w:ind w:right="29" w:firstLine="0"/>
              <w:rPr>
                <w:rFonts w:asciiTheme="minorHAnsi" w:hAnsiTheme="minorHAnsi" w:cstheme="minorHAnsi"/>
                <w:sz w:val="20"/>
                <w:szCs w:val="20"/>
              </w:rPr>
            </w:pPr>
            <w:r w:rsidRPr="00D103B4">
              <w:rPr>
                <w:rFonts w:asciiTheme="minorHAnsi" w:hAnsiTheme="minorHAnsi" w:cstheme="minorHAnsi"/>
                <w:sz w:val="20"/>
                <w:szCs w:val="20"/>
              </w:rPr>
              <w:t>W ocenie konsultującego projektowana regulacj</w:t>
            </w:r>
            <w:r w:rsidR="00362096">
              <w:rPr>
                <w:rFonts w:asciiTheme="minorHAnsi" w:hAnsiTheme="minorHAnsi" w:cstheme="minorHAnsi"/>
                <w:sz w:val="20"/>
                <w:szCs w:val="20"/>
              </w:rPr>
              <w:t>a</w:t>
            </w:r>
            <w:r w:rsidRPr="00D103B4">
              <w:rPr>
                <w:rFonts w:asciiTheme="minorHAnsi" w:hAnsiTheme="minorHAnsi" w:cstheme="minorHAnsi"/>
                <w:sz w:val="20"/>
                <w:szCs w:val="20"/>
              </w:rPr>
              <w:t xml:space="preserve"> jest potrzebna wyłącznie częściowo, co dotyczy likwidacji testamentów alograficznych oraz ustawowej regulacji testamentów wojskowych, a także regulacji dotyczącej postępowań w przypadku występowania kilku tytułów spadkowych. Odnośnie „formy audiowizualnej” testamentu, w ocenie konsultującego, projektowana regulacja nie przyczyni się w żaden sposób do skuteczniejszego realizowania ostatniej woli spadkodawców, projektodawca zdaje się nie brać pod uwagę coraz większego znaczenia narzędzi związanych ze sztuczną inteligencją, zdolnych do </w:t>
            </w:r>
            <w:r w:rsidRPr="00D103B4">
              <w:rPr>
                <w:rFonts w:asciiTheme="minorHAnsi" w:hAnsiTheme="minorHAnsi" w:cstheme="minorHAnsi"/>
                <w:sz w:val="20"/>
                <w:szCs w:val="20"/>
              </w:rPr>
              <w:lastRenderedPageBreak/>
              <w:t>modyfikowania oraz kreowania zarówno obrazu i dźwięku, co musi powodować podnoszenie zarzutów pod kątem prawdziwości utrwalonego testamentu i może skutkować długimi i kosztownymi postępowaniami w tym przedmiocie z wykorzystaniem biegłych o słabo dostępnych specjalizacjach.</w:t>
            </w:r>
          </w:p>
        </w:tc>
        <w:tc>
          <w:tcPr>
            <w:tcW w:w="4076" w:type="dxa"/>
          </w:tcPr>
          <w:p w14:paraId="3FD4C349" w14:textId="23B7E8AF" w:rsidR="00EC7C35" w:rsidRPr="0013745A" w:rsidRDefault="0013745A" w:rsidP="007E347E">
            <w:pPr>
              <w:rPr>
                <w:rFonts w:cstheme="minorHAnsi"/>
                <w:b/>
                <w:bCs/>
                <w:sz w:val="20"/>
                <w:szCs w:val="20"/>
              </w:rPr>
            </w:pPr>
            <w:r w:rsidRPr="0013745A">
              <w:rPr>
                <w:rFonts w:cstheme="minorHAnsi"/>
                <w:b/>
                <w:bCs/>
                <w:sz w:val="20"/>
                <w:szCs w:val="20"/>
              </w:rPr>
              <w:lastRenderedPageBreak/>
              <w:t>Uwaga nieuwzględniona</w:t>
            </w:r>
          </w:p>
          <w:p w14:paraId="4B4C50F8" w14:textId="5E91DF65" w:rsidR="0013745A" w:rsidRPr="007E347E" w:rsidRDefault="0013745A" w:rsidP="007E347E">
            <w:pPr>
              <w:spacing w:before="240" w:after="120"/>
              <w:rPr>
                <w:rFonts w:cstheme="minorHAnsi"/>
                <w:sz w:val="20"/>
                <w:szCs w:val="20"/>
              </w:rPr>
            </w:pPr>
            <w:r w:rsidRPr="007E347E">
              <w:rPr>
                <w:rFonts w:cstheme="minorHAnsi"/>
                <w:sz w:val="20"/>
                <w:szCs w:val="20"/>
              </w:rPr>
              <w:t xml:space="preserve">Argumentacja jak w p. 3 tabeli. </w:t>
            </w:r>
          </w:p>
        </w:tc>
      </w:tr>
      <w:tr w:rsidR="005D0644" w:rsidRPr="00D103B4" w14:paraId="38D3BF04" w14:textId="77777777" w:rsidTr="00B241C8">
        <w:trPr>
          <w:jc w:val="center"/>
        </w:trPr>
        <w:tc>
          <w:tcPr>
            <w:tcW w:w="562" w:type="dxa"/>
          </w:tcPr>
          <w:p w14:paraId="4A083831" w14:textId="47849BEE" w:rsidR="005D0644" w:rsidRPr="00D103B4" w:rsidRDefault="00D103B4" w:rsidP="009D0E2C">
            <w:pPr>
              <w:spacing w:before="120"/>
              <w:ind w:right="-534"/>
              <w:rPr>
                <w:rFonts w:cstheme="minorHAnsi"/>
                <w:b/>
                <w:sz w:val="20"/>
                <w:szCs w:val="20"/>
              </w:rPr>
            </w:pPr>
            <w:r>
              <w:rPr>
                <w:rFonts w:cstheme="minorHAnsi"/>
                <w:b/>
                <w:sz w:val="20"/>
                <w:szCs w:val="20"/>
              </w:rPr>
              <w:t>5.</w:t>
            </w:r>
          </w:p>
        </w:tc>
        <w:tc>
          <w:tcPr>
            <w:tcW w:w="1843" w:type="dxa"/>
            <w:vAlign w:val="center"/>
          </w:tcPr>
          <w:p w14:paraId="0ABF475B" w14:textId="77777777" w:rsidR="005D0644" w:rsidRPr="00D103B4" w:rsidRDefault="005D0644" w:rsidP="00C84EF1">
            <w:pPr>
              <w:spacing w:before="120" w:after="120"/>
              <w:jc w:val="center"/>
              <w:rPr>
                <w:rFonts w:cstheme="minorHAnsi"/>
                <w:b/>
                <w:bCs/>
                <w:sz w:val="20"/>
                <w:szCs w:val="20"/>
              </w:rPr>
            </w:pPr>
            <w:r w:rsidRPr="00D103B4">
              <w:rPr>
                <w:rFonts w:cstheme="minorHAnsi"/>
                <w:b/>
                <w:bCs/>
                <w:sz w:val="20"/>
                <w:szCs w:val="20"/>
              </w:rPr>
              <w:t xml:space="preserve">Sąd Apelacyjny w Katowicach </w:t>
            </w:r>
          </w:p>
          <w:p w14:paraId="38609ED8" w14:textId="000D9A43" w:rsidR="005D0644" w:rsidRPr="00D103B4" w:rsidRDefault="00A16065" w:rsidP="00C84EF1">
            <w:pPr>
              <w:spacing w:before="120" w:after="120"/>
              <w:jc w:val="center"/>
              <w:rPr>
                <w:rFonts w:cstheme="minorHAnsi"/>
                <w:sz w:val="20"/>
                <w:szCs w:val="20"/>
              </w:rPr>
            </w:pPr>
            <w:r w:rsidRPr="00D103B4">
              <w:rPr>
                <w:rFonts w:cstheme="minorHAnsi"/>
                <w:sz w:val="20"/>
                <w:szCs w:val="20"/>
              </w:rPr>
              <w:t xml:space="preserve">- uwaga </w:t>
            </w:r>
            <w:r w:rsidR="005D0644" w:rsidRPr="00D103B4">
              <w:rPr>
                <w:rFonts w:cstheme="minorHAnsi"/>
                <w:sz w:val="20"/>
                <w:szCs w:val="20"/>
              </w:rPr>
              <w:t>Sąd</w:t>
            </w:r>
            <w:r w:rsidRPr="00D103B4">
              <w:rPr>
                <w:rFonts w:cstheme="minorHAnsi"/>
                <w:sz w:val="20"/>
                <w:szCs w:val="20"/>
              </w:rPr>
              <w:t>u</w:t>
            </w:r>
            <w:r w:rsidR="005D0644" w:rsidRPr="00D103B4">
              <w:rPr>
                <w:rFonts w:cstheme="minorHAnsi"/>
                <w:sz w:val="20"/>
                <w:szCs w:val="20"/>
              </w:rPr>
              <w:t xml:space="preserve"> Rejonow</w:t>
            </w:r>
            <w:r w:rsidRPr="00D103B4">
              <w:rPr>
                <w:rFonts w:cstheme="minorHAnsi"/>
                <w:sz w:val="20"/>
                <w:szCs w:val="20"/>
              </w:rPr>
              <w:t>ego</w:t>
            </w:r>
            <w:r w:rsidR="005D0644" w:rsidRPr="00D103B4">
              <w:rPr>
                <w:rFonts w:cstheme="minorHAnsi"/>
                <w:sz w:val="20"/>
                <w:szCs w:val="20"/>
              </w:rPr>
              <w:t xml:space="preserve"> w Dąbrowie Górniczej </w:t>
            </w:r>
          </w:p>
        </w:tc>
        <w:tc>
          <w:tcPr>
            <w:tcW w:w="1843" w:type="dxa"/>
            <w:vAlign w:val="center"/>
          </w:tcPr>
          <w:p w14:paraId="6DBAA5A6" w14:textId="77777777" w:rsidR="005D0644" w:rsidRPr="00D103B4" w:rsidRDefault="005D0644" w:rsidP="009D0E2C">
            <w:pPr>
              <w:spacing w:before="120" w:after="120"/>
              <w:jc w:val="center"/>
              <w:rPr>
                <w:rFonts w:cstheme="minorHAnsi"/>
                <w:sz w:val="20"/>
                <w:szCs w:val="20"/>
              </w:rPr>
            </w:pPr>
          </w:p>
        </w:tc>
        <w:tc>
          <w:tcPr>
            <w:tcW w:w="5670" w:type="dxa"/>
            <w:vAlign w:val="center"/>
          </w:tcPr>
          <w:p w14:paraId="67960B89" w14:textId="02ADB67B" w:rsidR="00BE4C84" w:rsidRPr="00D103B4" w:rsidRDefault="00BE4C84" w:rsidP="00A3659B">
            <w:pPr>
              <w:autoSpaceDE w:val="0"/>
              <w:autoSpaceDN w:val="0"/>
              <w:adjustRightInd w:val="0"/>
              <w:spacing w:line="276" w:lineRule="auto"/>
              <w:jc w:val="both"/>
              <w:rPr>
                <w:rFonts w:cstheme="minorHAnsi"/>
                <w:sz w:val="20"/>
                <w:szCs w:val="20"/>
              </w:rPr>
            </w:pPr>
            <w:r w:rsidRPr="00D103B4">
              <w:rPr>
                <w:rFonts w:cstheme="minorHAnsi"/>
                <w:sz w:val="20"/>
                <w:szCs w:val="20"/>
              </w:rPr>
              <w:t>Wprowadzenie dodatkowego wymogu dla wnioskującego o stwierdzenie nabyci</w:t>
            </w:r>
            <w:r w:rsidR="005479E5">
              <w:rPr>
                <w:rFonts w:cstheme="minorHAnsi"/>
                <w:sz w:val="20"/>
                <w:szCs w:val="20"/>
              </w:rPr>
              <w:t>a</w:t>
            </w:r>
            <w:r w:rsidRPr="00D103B4">
              <w:rPr>
                <w:rFonts w:cstheme="minorHAnsi"/>
                <w:sz w:val="20"/>
                <w:szCs w:val="20"/>
              </w:rPr>
              <w:t xml:space="preserve"> spadku wierzyciela spadkodawcy poprzez dodanie w art. 1025 Kodeksu cywilnego - nowej jednostki w postaci § 1 z ind. 1 w brzmieniu:</w:t>
            </w:r>
          </w:p>
          <w:p w14:paraId="497D8257" w14:textId="77777777" w:rsidR="005D0644" w:rsidRPr="00D103B4" w:rsidRDefault="00BE4C84" w:rsidP="00A3659B">
            <w:pPr>
              <w:autoSpaceDE w:val="0"/>
              <w:autoSpaceDN w:val="0"/>
              <w:adjustRightInd w:val="0"/>
              <w:spacing w:line="276" w:lineRule="auto"/>
              <w:jc w:val="both"/>
              <w:rPr>
                <w:rFonts w:cstheme="minorHAnsi"/>
                <w:i/>
                <w:iCs/>
                <w:sz w:val="20"/>
                <w:szCs w:val="20"/>
              </w:rPr>
            </w:pPr>
            <w:r w:rsidRPr="00D103B4">
              <w:rPr>
                <w:rFonts w:cstheme="minorHAnsi"/>
                <w:i/>
                <w:iCs/>
                <w:sz w:val="20"/>
                <w:szCs w:val="20"/>
              </w:rPr>
              <w:t>Wykazanie interesu prawnego wywodzonego z przysługiwania wierzytelności pieniężnej względem zmarłego winno nastąpić poprzez uprawdopodobnienie, że w skład spadku wchodzi jakiekolwiek mienie mogące podlegać egzekucji – w szczególności poprzez przedłożenie protokołu spisu inwentarza lub wykazu inwentarza.</w:t>
            </w:r>
          </w:p>
          <w:p w14:paraId="165AD07A" w14:textId="77777777" w:rsidR="00BE4C84" w:rsidRPr="00BE4C84" w:rsidRDefault="00BE4C84" w:rsidP="00A3659B">
            <w:pPr>
              <w:autoSpaceDE w:val="0"/>
              <w:autoSpaceDN w:val="0"/>
              <w:adjustRightInd w:val="0"/>
              <w:spacing w:line="276" w:lineRule="auto"/>
              <w:jc w:val="both"/>
              <w:rPr>
                <w:rFonts w:cstheme="minorHAnsi"/>
                <w:i/>
                <w:iCs/>
                <w:sz w:val="20"/>
                <w:szCs w:val="20"/>
              </w:rPr>
            </w:pPr>
            <w:r w:rsidRPr="00BE4C84">
              <w:rPr>
                <w:rFonts w:cstheme="minorHAnsi"/>
                <w:i/>
                <w:iCs/>
                <w:sz w:val="20"/>
                <w:szCs w:val="20"/>
              </w:rPr>
              <w:t>Uzasadnienie zmiany:</w:t>
            </w:r>
          </w:p>
          <w:p w14:paraId="79447F2B" w14:textId="021A0983" w:rsidR="00BE4C84" w:rsidRPr="00D103B4" w:rsidRDefault="00BE4C84" w:rsidP="00A3659B">
            <w:pPr>
              <w:autoSpaceDE w:val="0"/>
              <w:autoSpaceDN w:val="0"/>
              <w:adjustRightInd w:val="0"/>
              <w:spacing w:line="276" w:lineRule="auto"/>
              <w:jc w:val="both"/>
              <w:rPr>
                <w:rFonts w:cstheme="minorHAnsi"/>
                <w:sz w:val="20"/>
                <w:szCs w:val="20"/>
              </w:rPr>
            </w:pPr>
            <w:r w:rsidRPr="00BE4C84">
              <w:rPr>
                <w:rFonts w:cstheme="minorHAnsi"/>
                <w:sz w:val="20"/>
                <w:szCs w:val="20"/>
              </w:rPr>
              <w:t>W obecnym stanie do sądów rejonowych wpływają znaczne ilości wniosków o stwierdzenie</w:t>
            </w:r>
            <w:r w:rsidRPr="00D103B4">
              <w:rPr>
                <w:rFonts w:cstheme="minorHAnsi"/>
                <w:sz w:val="20"/>
                <w:szCs w:val="20"/>
              </w:rPr>
              <w:t xml:space="preserve"> </w:t>
            </w:r>
            <w:r w:rsidRPr="00BE4C84">
              <w:rPr>
                <w:rFonts w:cstheme="minorHAnsi"/>
                <w:sz w:val="20"/>
                <w:szCs w:val="20"/>
              </w:rPr>
              <w:t>nabycia spadku składanych przez wnioskodawców, którzy swój interes</w:t>
            </w:r>
            <w:r w:rsidRPr="00D103B4">
              <w:rPr>
                <w:rFonts w:cstheme="minorHAnsi"/>
                <w:sz w:val="20"/>
                <w:szCs w:val="20"/>
              </w:rPr>
              <w:t xml:space="preserve"> </w:t>
            </w:r>
            <w:r w:rsidRPr="00BE4C84">
              <w:rPr>
                <w:rFonts w:cstheme="minorHAnsi"/>
                <w:sz w:val="20"/>
                <w:szCs w:val="20"/>
              </w:rPr>
              <w:t>prawny wywodzą z</w:t>
            </w:r>
            <w:r w:rsidRPr="00D103B4">
              <w:rPr>
                <w:rFonts w:cstheme="minorHAnsi"/>
                <w:sz w:val="20"/>
                <w:szCs w:val="20"/>
              </w:rPr>
              <w:t xml:space="preserve"> </w:t>
            </w:r>
            <w:r w:rsidRPr="00BE4C84">
              <w:rPr>
                <w:rFonts w:cstheme="minorHAnsi"/>
                <w:sz w:val="20"/>
                <w:szCs w:val="20"/>
              </w:rPr>
              <w:t>przysługiwania im wierzytelności pieniężnej względem spadkodawcy. Niejednokrotnie w toku</w:t>
            </w:r>
            <w:r w:rsidRPr="00D103B4">
              <w:rPr>
                <w:rFonts w:cstheme="minorHAnsi"/>
                <w:sz w:val="20"/>
                <w:szCs w:val="20"/>
              </w:rPr>
              <w:t xml:space="preserve"> </w:t>
            </w:r>
            <w:r w:rsidRPr="00BE4C84">
              <w:rPr>
                <w:rFonts w:cstheme="minorHAnsi"/>
                <w:sz w:val="20"/>
                <w:szCs w:val="20"/>
              </w:rPr>
              <w:t>postępowania okazuje się, że zmarły nie posiadał żadnego majątku a w skład spadku wchodzą</w:t>
            </w:r>
            <w:r w:rsidRPr="00D103B4">
              <w:rPr>
                <w:rFonts w:cstheme="minorHAnsi"/>
                <w:sz w:val="20"/>
                <w:szCs w:val="20"/>
              </w:rPr>
              <w:t xml:space="preserve"> </w:t>
            </w:r>
            <w:r w:rsidRPr="00BE4C84">
              <w:rPr>
                <w:rFonts w:cstheme="minorHAnsi"/>
                <w:sz w:val="20"/>
                <w:szCs w:val="20"/>
              </w:rPr>
              <w:t>jedynie długi. Pomimo tego wnioskodawca popiera wniosek nie zważając na fakt</w:t>
            </w:r>
            <w:r w:rsidRPr="00D103B4">
              <w:rPr>
                <w:rFonts w:cstheme="minorHAnsi"/>
                <w:sz w:val="20"/>
                <w:szCs w:val="20"/>
              </w:rPr>
              <w:t xml:space="preserve"> </w:t>
            </w:r>
            <w:r w:rsidRPr="00BE4C84">
              <w:rPr>
                <w:rFonts w:cstheme="minorHAnsi"/>
                <w:sz w:val="20"/>
                <w:szCs w:val="20"/>
              </w:rPr>
              <w:t>ewentualnego dziedziczenia z dobrodziejstwem inwentarza. Powyższe generuje szereg</w:t>
            </w:r>
            <w:r w:rsidR="00970A12">
              <w:rPr>
                <w:rFonts w:cstheme="minorHAnsi"/>
                <w:sz w:val="20"/>
                <w:szCs w:val="20"/>
              </w:rPr>
              <w:t xml:space="preserve"> </w:t>
            </w:r>
            <w:r w:rsidRPr="00BE4C84">
              <w:rPr>
                <w:rFonts w:cstheme="minorHAnsi"/>
                <w:sz w:val="20"/>
                <w:szCs w:val="20"/>
              </w:rPr>
              <w:t>czynności sądu związanych z poszukiwaniem spadkobierców, wzywaniem ich do udziału</w:t>
            </w:r>
            <w:r w:rsidRPr="00D103B4">
              <w:rPr>
                <w:rFonts w:cstheme="minorHAnsi"/>
                <w:sz w:val="20"/>
                <w:szCs w:val="20"/>
              </w:rPr>
              <w:t xml:space="preserve"> </w:t>
            </w:r>
            <w:r w:rsidRPr="00BE4C84">
              <w:rPr>
                <w:rFonts w:cstheme="minorHAnsi"/>
                <w:sz w:val="20"/>
                <w:szCs w:val="20"/>
              </w:rPr>
              <w:t>w sprawie, doręczaniem im korespondencji, a następnie odbieraniem oświadczeń</w:t>
            </w:r>
            <w:r w:rsidRPr="00D103B4">
              <w:rPr>
                <w:rFonts w:cstheme="minorHAnsi"/>
                <w:sz w:val="20"/>
                <w:szCs w:val="20"/>
              </w:rPr>
              <w:t xml:space="preserve"> o odrzuceniu spadku.</w:t>
            </w:r>
          </w:p>
          <w:p w14:paraId="5B17B572" w14:textId="293CF66C" w:rsidR="00A3659B" w:rsidRPr="00A3659B" w:rsidRDefault="00A3659B" w:rsidP="00A3659B">
            <w:pPr>
              <w:autoSpaceDE w:val="0"/>
              <w:autoSpaceDN w:val="0"/>
              <w:adjustRightInd w:val="0"/>
              <w:spacing w:line="276" w:lineRule="auto"/>
              <w:jc w:val="both"/>
              <w:rPr>
                <w:rFonts w:cstheme="minorHAnsi"/>
                <w:sz w:val="20"/>
                <w:szCs w:val="20"/>
              </w:rPr>
            </w:pPr>
            <w:r w:rsidRPr="00A3659B">
              <w:rPr>
                <w:rFonts w:cstheme="minorHAnsi"/>
                <w:sz w:val="20"/>
                <w:szCs w:val="20"/>
              </w:rPr>
              <w:lastRenderedPageBreak/>
              <w:t>W skrajnych przypadkach zdarza się, iż postepowanie toczy się przez wiele lat, a spadek</w:t>
            </w:r>
            <w:r w:rsidRPr="00D103B4">
              <w:rPr>
                <w:rFonts w:cstheme="minorHAnsi"/>
                <w:sz w:val="20"/>
                <w:szCs w:val="20"/>
              </w:rPr>
              <w:t xml:space="preserve"> </w:t>
            </w:r>
            <w:r w:rsidRPr="00A3659B">
              <w:rPr>
                <w:rFonts w:cstheme="minorHAnsi"/>
                <w:sz w:val="20"/>
                <w:szCs w:val="20"/>
              </w:rPr>
              <w:t>kolejno odrzuca kilkudziesięciu potencjalnych spadkobierców. Stwierdzenie przez Sąd,</w:t>
            </w:r>
            <w:r w:rsidRPr="00D103B4">
              <w:rPr>
                <w:rFonts w:cstheme="minorHAnsi"/>
                <w:sz w:val="20"/>
                <w:szCs w:val="20"/>
              </w:rPr>
              <w:t xml:space="preserve"> </w:t>
            </w:r>
            <w:r w:rsidRPr="00A3659B">
              <w:rPr>
                <w:rFonts w:cstheme="minorHAnsi"/>
                <w:sz w:val="20"/>
                <w:szCs w:val="20"/>
              </w:rPr>
              <w:t>że spadek nabyły określone osoby generuje kolejne postępowania – dotyczące sporządzenia</w:t>
            </w:r>
            <w:r w:rsidRPr="00D103B4">
              <w:rPr>
                <w:rFonts w:cstheme="minorHAnsi"/>
                <w:sz w:val="20"/>
                <w:szCs w:val="20"/>
              </w:rPr>
              <w:t xml:space="preserve"> </w:t>
            </w:r>
            <w:r w:rsidRPr="00A3659B">
              <w:rPr>
                <w:rFonts w:cstheme="minorHAnsi"/>
                <w:sz w:val="20"/>
                <w:szCs w:val="20"/>
              </w:rPr>
              <w:t>spisu inwentarza, albo wykazu inwentarza – dla wykazania, że wierzyciel i tak nie ma</w:t>
            </w:r>
            <w:r w:rsidRPr="00D103B4">
              <w:rPr>
                <w:rFonts w:cstheme="minorHAnsi"/>
                <w:sz w:val="20"/>
                <w:szCs w:val="20"/>
              </w:rPr>
              <w:t xml:space="preserve"> </w:t>
            </w:r>
            <w:r w:rsidRPr="00A3659B">
              <w:rPr>
                <w:rFonts w:cstheme="minorHAnsi"/>
                <w:sz w:val="20"/>
                <w:szCs w:val="20"/>
              </w:rPr>
              <w:t>możliwości prowadzenia skutecznej egzekucji z uwagi na brak jakiegokolwiek majątku.</w:t>
            </w:r>
            <w:r w:rsidRPr="00D103B4">
              <w:rPr>
                <w:rFonts w:cstheme="minorHAnsi"/>
                <w:sz w:val="20"/>
                <w:szCs w:val="20"/>
              </w:rPr>
              <w:t xml:space="preserve"> </w:t>
            </w:r>
            <w:r w:rsidRPr="00A3659B">
              <w:rPr>
                <w:rFonts w:cstheme="minorHAnsi"/>
                <w:sz w:val="20"/>
                <w:szCs w:val="20"/>
              </w:rPr>
              <w:t>Wszystkie te czynności przysparzają więc znaczną ilość pracy sądom a obywatelom kosztów</w:t>
            </w:r>
            <w:r w:rsidRPr="00D103B4">
              <w:rPr>
                <w:rFonts w:cstheme="minorHAnsi"/>
                <w:sz w:val="20"/>
                <w:szCs w:val="20"/>
              </w:rPr>
              <w:t xml:space="preserve"> </w:t>
            </w:r>
            <w:r w:rsidRPr="00A3659B">
              <w:rPr>
                <w:rFonts w:cstheme="minorHAnsi"/>
                <w:sz w:val="20"/>
                <w:szCs w:val="20"/>
              </w:rPr>
              <w:t>składanych oświadczeń o odrzuceniu spadku.</w:t>
            </w:r>
            <w:r w:rsidRPr="00D103B4">
              <w:rPr>
                <w:rFonts w:cstheme="minorHAnsi"/>
                <w:sz w:val="20"/>
                <w:szCs w:val="20"/>
              </w:rPr>
              <w:t xml:space="preserve"> </w:t>
            </w:r>
            <w:r w:rsidRPr="00A3659B">
              <w:rPr>
                <w:rFonts w:cstheme="minorHAnsi"/>
                <w:sz w:val="20"/>
                <w:szCs w:val="20"/>
              </w:rPr>
              <w:t>Zaproponowana zmiana polegałaby na wprowadzeniu wymogu, że wnioskodawca – wierzyciel</w:t>
            </w:r>
            <w:r w:rsidRPr="00D103B4">
              <w:rPr>
                <w:rFonts w:cstheme="minorHAnsi"/>
                <w:sz w:val="20"/>
                <w:szCs w:val="20"/>
              </w:rPr>
              <w:t xml:space="preserve"> </w:t>
            </w:r>
            <w:r w:rsidRPr="00A3659B">
              <w:rPr>
                <w:rFonts w:cstheme="minorHAnsi"/>
                <w:sz w:val="20"/>
                <w:szCs w:val="20"/>
              </w:rPr>
              <w:t>wierzytelności pieniężnej wobec spadkodawcy swój interes prawny musiałby wykazać poprzez</w:t>
            </w:r>
            <w:r w:rsidRPr="00D103B4">
              <w:rPr>
                <w:rFonts w:cstheme="minorHAnsi"/>
                <w:sz w:val="20"/>
                <w:szCs w:val="20"/>
              </w:rPr>
              <w:t xml:space="preserve"> </w:t>
            </w:r>
            <w:r w:rsidRPr="00A3659B">
              <w:rPr>
                <w:rFonts w:cstheme="minorHAnsi"/>
                <w:sz w:val="20"/>
                <w:szCs w:val="20"/>
              </w:rPr>
              <w:t>uprawdopodobnienie, że w skład spadku wchodzi jakiekolwiek mienie mogące podlegać</w:t>
            </w:r>
            <w:r w:rsidRPr="00D103B4">
              <w:rPr>
                <w:rFonts w:cstheme="minorHAnsi"/>
                <w:sz w:val="20"/>
                <w:szCs w:val="20"/>
              </w:rPr>
              <w:t xml:space="preserve"> </w:t>
            </w:r>
            <w:r w:rsidRPr="00A3659B">
              <w:rPr>
                <w:rFonts w:cstheme="minorHAnsi"/>
                <w:sz w:val="20"/>
                <w:szCs w:val="20"/>
              </w:rPr>
              <w:t>egzekucji. Powyższe nie stanowi nadmiernego obciążenia wnioskodawcy, albowiem</w:t>
            </w:r>
            <w:r w:rsidRPr="00D103B4">
              <w:rPr>
                <w:rFonts w:cstheme="minorHAnsi"/>
                <w:sz w:val="20"/>
                <w:szCs w:val="20"/>
              </w:rPr>
              <w:t xml:space="preserve"> </w:t>
            </w:r>
            <w:r w:rsidRPr="00A3659B">
              <w:rPr>
                <w:rFonts w:cstheme="minorHAnsi"/>
                <w:sz w:val="20"/>
                <w:szCs w:val="20"/>
              </w:rPr>
              <w:t>wierzycielowi przysługuje uprawnienie do wnoszenia o sporządzenie spisu inwentarza.</w:t>
            </w:r>
          </w:p>
          <w:p w14:paraId="77FC1BCA" w14:textId="6AC4C91B" w:rsidR="00A3659B" w:rsidRPr="00A3659B" w:rsidRDefault="00A3659B" w:rsidP="00A3659B">
            <w:pPr>
              <w:autoSpaceDE w:val="0"/>
              <w:autoSpaceDN w:val="0"/>
              <w:adjustRightInd w:val="0"/>
              <w:spacing w:line="276" w:lineRule="auto"/>
              <w:jc w:val="both"/>
              <w:rPr>
                <w:rFonts w:cstheme="minorHAnsi"/>
                <w:sz w:val="20"/>
                <w:szCs w:val="20"/>
              </w:rPr>
            </w:pPr>
            <w:r w:rsidRPr="00A3659B">
              <w:rPr>
                <w:rFonts w:cstheme="minorHAnsi"/>
                <w:sz w:val="20"/>
                <w:szCs w:val="20"/>
              </w:rPr>
              <w:t>Przeciwnie nawet – powyższe może uchronić go przez</w:t>
            </w:r>
            <w:r w:rsidRPr="00D103B4">
              <w:rPr>
                <w:rFonts w:cstheme="minorHAnsi"/>
                <w:sz w:val="20"/>
                <w:szCs w:val="20"/>
              </w:rPr>
              <w:t xml:space="preserve"> </w:t>
            </w:r>
            <w:r w:rsidRPr="00A3659B">
              <w:rPr>
                <w:rFonts w:cstheme="minorHAnsi"/>
                <w:sz w:val="20"/>
                <w:szCs w:val="20"/>
              </w:rPr>
              <w:t>zbędnym ponoszeniem kosztów</w:t>
            </w:r>
            <w:r w:rsidRPr="00D103B4">
              <w:rPr>
                <w:rFonts w:cstheme="minorHAnsi"/>
                <w:sz w:val="20"/>
                <w:szCs w:val="20"/>
              </w:rPr>
              <w:t xml:space="preserve"> </w:t>
            </w:r>
            <w:r w:rsidRPr="00A3659B">
              <w:rPr>
                <w:rFonts w:cstheme="minorHAnsi"/>
                <w:sz w:val="20"/>
                <w:szCs w:val="20"/>
              </w:rPr>
              <w:t>postępowania o stwierdzenie nabycia spadku.</w:t>
            </w:r>
          </w:p>
          <w:p w14:paraId="2C71C1B3" w14:textId="0B40F99A" w:rsidR="00A3659B" w:rsidRPr="00D103B4" w:rsidRDefault="00A3659B" w:rsidP="00A3659B">
            <w:pPr>
              <w:autoSpaceDE w:val="0"/>
              <w:autoSpaceDN w:val="0"/>
              <w:adjustRightInd w:val="0"/>
              <w:spacing w:line="276" w:lineRule="auto"/>
              <w:jc w:val="both"/>
              <w:rPr>
                <w:rFonts w:cstheme="minorHAnsi"/>
                <w:sz w:val="20"/>
                <w:szCs w:val="20"/>
              </w:rPr>
            </w:pPr>
            <w:r w:rsidRPr="00A3659B">
              <w:rPr>
                <w:rFonts w:cstheme="minorHAnsi"/>
                <w:sz w:val="20"/>
                <w:szCs w:val="20"/>
              </w:rPr>
              <w:t>Zmiana taka znacznie odciążyłaby sądy cywilnego od przynajmniej części żmudnych</w:t>
            </w:r>
            <w:r w:rsidRPr="00D103B4">
              <w:rPr>
                <w:rFonts w:cstheme="minorHAnsi"/>
                <w:sz w:val="20"/>
                <w:szCs w:val="20"/>
              </w:rPr>
              <w:t xml:space="preserve"> i długotrwałych postępowań w przedmiocie stwierdzenia nabycia spadku.</w:t>
            </w:r>
          </w:p>
        </w:tc>
        <w:tc>
          <w:tcPr>
            <w:tcW w:w="4076" w:type="dxa"/>
          </w:tcPr>
          <w:p w14:paraId="0BE69305" w14:textId="77777777" w:rsidR="00863DFA" w:rsidRDefault="005479E5" w:rsidP="007E347E">
            <w:pPr>
              <w:jc w:val="both"/>
              <w:rPr>
                <w:rFonts w:cstheme="minorHAnsi"/>
                <w:b/>
                <w:bCs/>
                <w:sz w:val="20"/>
                <w:szCs w:val="20"/>
              </w:rPr>
            </w:pPr>
            <w:r w:rsidRPr="00280578">
              <w:rPr>
                <w:rFonts w:cstheme="minorHAnsi"/>
                <w:b/>
                <w:bCs/>
                <w:sz w:val="20"/>
                <w:szCs w:val="20"/>
              </w:rPr>
              <w:lastRenderedPageBreak/>
              <w:t>Uwaga nieuwzględniona.</w:t>
            </w:r>
          </w:p>
          <w:p w14:paraId="6E969812" w14:textId="11E8889D" w:rsidR="00E36976" w:rsidRDefault="005479E5" w:rsidP="00E36976">
            <w:pPr>
              <w:jc w:val="both"/>
              <w:rPr>
                <w:rFonts w:cstheme="minorHAnsi"/>
                <w:sz w:val="20"/>
                <w:szCs w:val="20"/>
              </w:rPr>
            </w:pPr>
            <w:r>
              <w:rPr>
                <w:rFonts w:cstheme="minorHAnsi"/>
                <w:sz w:val="20"/>
                <w:szCs w:val="20"/>
              </w:rPr>
              <w:t>W pierwszym rzędzie wskazać należy, że uwaga</w:t>
            </w:r>
            <w:r w:rsidR="00280578">
              <w:rPr>
                <w:rFonts w:cstheme="minorHAnsi"/>
                <w:sz w:val="20"/>
                <w:szCs w:val="20"/>
              </w:rPr>
              <w:t xml:space="preserve"> wykracza poza zakres regulacji projektu.</w:t>
            </w:r>
            <w:r w:rsidR="00B62BF7">
              <w:rPr>
                <w:rFonts w:cstheme="minorHAnsi"/>
                <w:sz w:val="20"/>
                <w:szCs w:val="20"/>
              </w:rPr>
              <w:t xml:space="preserve"> </w:t>
            </w:r>
          </w:p>
          <w:p w14:paraId="7C5F8BB3" w14:textId="08638FF6" w:rsidR="005479E5" w:rsidRPr="00E36976" w:rsidRDefault="005479E5" w:rsidP="00E36976">
            <w:pPr>
              <w:jc w:val="both"/>
              <w:rPr>
                <w:rFonts w:cstheme="minorHAnsi"/>
                <w:b/>
                <w:bCs/>
                <w:sz w:val="20"/>
                <w:szCs w:val="20"/>
              </w:rPr>
            </w:pPr>
            <w:r>
              <w:rPr>
                <w:rFonts w:cstheme="minorHAnsi"/>
                <w:sz w:val="20"/>
                <w:szCs w:val="20"/>
              </w:rPr>
              <w:t xml:space="preserve">Po drugie kwestia, czy w skład spadku wchodzi jakiekolwiek mienie, jest irrelewantna w postępowaniu o stwierdzenia nabycia spadku. Postępowanie </w:t>
            </w:r>
            <w:r w:rsidR="00280578">
              <w:rPr>
                <w:rFonts w:cstheme="minorHAnsi"/>
                <w:sz w:val="20"/>
                <w:szCs w:val="20"/>
              </w:rPr>
              <w:t>to</w:t>
            </w:r>
            <w:r>
              <w:rPr>
                <w:rFonts w:cstheme="minorHAnsi"/>
                <w:sz w:val="20"/>
                <w:szCs w:val="20"/>
              </w:rPr>
              <w:t xml:space="preserve"> służy wyłącznie ustaleniu spadkobierców, a nie składu majątku spadkowego. </w:t>
            </w:r>
            <w:r>
              <w:rPr>
                <w:rFonts w:cstheme="minorHAnsi"/>
                <w:sz w:val="20"/>
                <w:szCs w:val="20"/>
              </w:rPr>
              <w:br/>
              <w:t>Po trzecie</w:t>
            </w:r>
            <w:r w:rsidR="00280578">
              <w:rPr>
                <w:rFonts w:cstheme="minorHAnsi"/>
                <w:sz w:val="20"/>
                <w:szCs w:val="20"/>
              </w:rPr>
              <w:t xml:space="preserve"> ograniczanie</w:t>
            </w:r>
            <w:r>
              <w:rPr>
                <w:rFonts w:cstheme="minorHAnsi"/>
                <w:sz w:val="20"/>
                <w:szCs w:val="20"/>
              </w:rPr>
              <w:t xml:space="preserve"> legitymacj</w:t>
            </w:r>
            <w:r w:rsidR="00280578">
              <w:rPr>
                <w:rFonts w:cstheme="minorHAnsi"/>
                <w:sz w:val="20"/>
                <w:szCs w:val="20"/>
              </w:rPr>
              <w:t>i</w:t>
            </w:r>
            <w:r>
              <w:rPr>
                <w:rFonts w:cstheme="minorHAnsi"/>
                <w:sz w:val="20"/>
                <w:szCs w:val="20"/>
              </w:rPr>
              <w:t xml:space="preserve"> </w:t>
            </w:r>
            <w:r w:rsidR="00970A12">
              <w:rPr>
                <w:rFonts w:cstheme="minorHAnsi"/>
                <w:sz w:val="20"/>
                <w:szCs w:val="20"/>
              </w:rPr>
              <w:t xml:space="preserve">wierzyciela </w:t>
            </w:r>
            <w:r w:rsidR="00280578">
              <w:rPr>
                <w:rFonts w:cstheme="minorHAnsi"/>
                <w:sz w:val="20"/>
                <w:szCs w:val="20"/>
              </w:rPr>
              <w:t xml:space="preserve">do złożenia wniosku o stwierdzenia nabycia spadku nie wydaje się zasadne. W interesie wszystkich uczestników obrotu prawnego jest to, by krąg spadkobierców został ustalony. </w:t>
            </w:r>
          </w:p>
          <w:p w14:paraId="4EC6593A" w14:textId="6EC89062" w:rsidR="00280578" w:rsidRPr="00280578" w:rsidRDefault="00970A12" w:rsidP="00022A37">
            <w:pPr>
              <w:spacing w:before="240" w:after="120"/>
              <w:jc w:val="both"/>
              <w:rPr>
                <w:rFonts w:cstheme="minorHAnsi"/>
                <w:sz w:val="20"/>
                <w:szCs w:val="20"/>
              </w:rPr>
            </w:pPr>
            <w:r>
              <w:rPr>
                <w:rFonts w:cstheme="minorHAnsi"/>
                <w:sz w:val="20"/>
                <w:szCs w:val="20"/>
              </w:rPr>
              <w:t>I wreszcie</w:t>
            </w:r>
            <w:r w:rsidR="00280578">
              <w:rPr>
                <w:rFonts w:cstheme="minorHAnsi"/>
                <w:sz w:val="20"/>
                <w:szCs w:val="20"/>
              </w:rPr>
              <w:t xml:space="preserve">, de lege lata wierzyciel przed skierowaniem wniosku do sądu o stwierdzenie nabycia spadku </w:t>
            </w:r>
            <w:r w:rsidR="00022A37">
              <w:rPr>
                <w:rFonts w:cstheme="minorHAnsi"/>
                <w:sz w:val="20"/>
                <w:szCs w:val="20"/>
              </w:rPr>
              <w:t xml:space="preserve">może wystąpić o sporządzenie spisu inwentarza (do sądu lub do komornika) – art. 637 </w:t>
            </w:r>
            <w:r w:rsidR="00022A37" w:rsidRPr="00022A37">
              <w:rPr>
                <w:rFonts w:ascii="Times New Roman" w:hAnsi="Times New Roman" w:cs="Times New Roman"/>
                <w:sz w:val="20"/>
                <w:szCs w:val="20"/>
              </w:rPr>
              <w:t>§</w:t>
            </w:r>
            <w:r w:rsidR="00022A37">
              <w:rPr>
                <w:rFonts w:cstheme="minorHAnsi"/>
                <w:sz w:val="20"/>
                <w:szCs w:val="20"/>
              </w:rPr>
              <w:t xml:space="preserve"> 1 k.p.c. </w:t>
            </w:r>
            <w:r w:rsidR="00022A37" w:rsidRPr="00022A37">
              <w:rPr>
                <w:rFonts w:cstheme="minorHAnsi"/>
                <w:i/>
                <w:iCs/>
                <w:sz w:val="20"/>
                <w:szCs w:val="20"/>
              </w:rPr>
              <w:t>(</w:t>
            </w:r>
            <w:r w:rsidR="00280578" w:rsidRPr="00280578">
              <w:rPr>
                <w:rFonts w:cstheme="minorHAnsi"/>
                <w:i/>
                <w:iCs/>
                <w:sz w:val="20"/>
                <w:szCs w:val="20"/>
              </w:rPr>
              <w:t xml:space="preserve">Na wniosek tego, kto uprawdopodobni, że jest spadkobiercą, uprawnionym do zachowku lub zapisobiercą, albo wykonawcy testamentu, tymczasowego przedstawiciela lub wierzyciela mającego pisemny dowód należności przeciwko spadkodawcy sąd spadku wydaje </w:t>
            </w:r>
            <w:r w:rsidR="00280578" w:rsidRPr="00280578">
              <w:rPr>
                <w:rFonts w:cstheme="minorHAnsi"/>
                <w:i/>
                <w:iCs/>
                <w:sz w:val="20"/>
                <w:szCs w:val="20"/>
              </w:rPr>
              <w:lastRenderedPageBreak/>
              <w:t>postanowienie o sporządzeniu spisu inwentarza</w:t>
            </w:r>
            <w:r w:rsidR="00022A37">
              <w:rPr>
                <w:rFonts w:cstheme="minorHAnsi"/>
                <w:sz w:val="20"/>
                <w:szCs w:val="20"/>
              </w:rPr>
              <w:t>)</w:t>
            </w:r>
            <w:r w:rsidR="00280578" w:rsidRPr="00280578">
              <w:rPr>
                <w:rFonts w:cstheme="minorHAnsi"/>
                <w:sz w:val="20"/>
                <w:szCs w:val="20"/>
              </w:rPr>
              <w:t>.</w:t>
            </w:r>
            <w:r w:rsidR="00B62BF7">
              <w:rPr>
                <w:rFonts w:cstheme="minorHAnsi"/>
                <w:sz w:val="20"/>
                <w:szCs w:val="20"/>
              </w:rPr>
              <w:t xml:space="preserve"> </w:t>
            </w:r>
            <w:r w:rsidR="00022A37">
              <w:rPr>
                <w:rFonts w:cstheme="minorHAnsi"/>
                <w:sz w:val="20"/>
                <w:szCs w:val="20"/>
              </w:rPr>
              <w:t>Do decyzji wierzyciela należy, czy złoży następnie – w zależności od stanu spadku – wniosek o stwierdzenie nabycia spadku.</w:t>
            </w:r>
          </w:p>
          <w:p w14:paraId="2320B530" w14:textId="6D3169A0" w:rsidR="00280578" w:rsidRPr="00D103B4" w:rsidRDefault="00280578" w:rsidP="005479E5">
            <w:pPr>
              <w:spacing w:before="240" w:after="120"/>
              <w:jc w:val="center"/>
              <w:rPr>
                <w:rFonts w:cstheme="minorHAnsi"/>
                <w:sz w:val="20"/>
                <w:szCs w:val="20"/>
              </w:rPr>
            </w:pPr>
          </w:p>
        </w:tc>
      </w:tr>
      <w:tr w:rsidR="00865AF4" w:rsidRPr="00D103B4" w14:paraId="4E9A7412" w14:textId="77777777" w:rsidTr="00136868">
        <w:trPr>
          <w:jc w:val="center"/>
        </w:trPr>
        <w:tc>
          <w:tcPr>
            <w:tcW w:w="13994" w:type="dxa"/>
            <w:gridSpan w:val="5"/>
            <w:shd w:val="clear" w:color="auto" w:fill="DBE5F1" w:themeFill="accent1" w:themeFillTint="33"/>
          </w:tcPr>
          <w:p w14:paraId="14DF1E4F" w14:textId="77777777" w:rsidR="00865AF4" w:rsidRPr="00D103B4" w:rsidRDefault="00865AF4" w:rsidP="009D0E2C">
            <w:pPr>
              <w:spacing w:before="120" w:after="120" w:line="276" w:lineRule="auto"/>
              <w:jc w:val="center"/>
              <w:rPr>
                <w:rFonts w:cstheme="minorHAnsi"/>
                <w:i/>
                <w:sz w:val="20"/>
                <w:szCs w:val="20"/>
              </w:rPr>
            </w:pPr>
            <w:r w:rsidRPr="00D103B4">
              <w:rPr>
                <w:rFonts w:cstheme="minorHAnsi"/>
                <w:b/>
                <w:bCs/>
                <w:color w:val="000000" w:themeColor="text1"/>
                <w:sz w:val="20"/>
                <w:szCs w:val="20"/>
              </w:rPr>
              <w:lastRenderedPageBreak/>
              <w:t>Uwagi do projektu ustawy</w:t>
            </w:r>
          </w:p>
        </w:tc>
      </w:tr>
      <w:tr w:rsidR="00252F32" w:rsidRPr="00D103B4" w14:paraId="3A85CEF3" w14:textId="77777777" w:rsidTr="00EF0179">
        <w:trPr>
          <w:trHeight w:val="590"/>
          <w:jc w:val="center"/>
        </w:trPr>
        <w:tc>
          <w:tcPr>
            <w:tcW w:w="562" w:type="dxa"/>
          </w:tcPr>
          <w:p w14:paraId="640AA766" w14:textId="6CF4493D" w:rsidR="00D53619" w:rsidRPr="00D103B4" w:rsidRDefault="00252F32" w:rsidP="009D0E2C">
            <w:pPr>
              <w:spacing w:before="120" w:line="276" w:lineRule="auto"/>
              <w:ind w:right="-534"/>
              <w:rPr>
                <w:rFonts w:cstheme="minorHAnsi"/>
                <w:b/>
                <w:sz w:val="20"/>
                <w:szCs w:val="20"/>
              </w:rPr>
            </w:pPr>
            <w:r w:rsidRPr="00D103B4">
              <w:rPr>
                <w:rFonts w:cstheme="minorHAnsi"/>
                <w:b/>
                <w:sz w:val="20"/>
                <w:szCs w:val="20"/>
              </w:rPr>
              <w:t>1.</w:t>
            </w:r>
          </w:p>
        </w:tc>
        <w:tc>
          <w:tcPr>
            <w:tcW w:w="1843" w:type="dxa"/>
            <w:vAlign w:val="center"/>
          </w:tcPr>
          <w:p w14:paraId="07C4D205" w14:textId="5B76D0D9" w:rsidR="00D53619" w:rsidRPr="00D103B4" w:rsidRDefault="00D97F25" w:rsidP="009D0E2C">
            <w:pPr>
              <w:spacing w:before="120" w:after="120" w:line="276" w:lineRule="auto"/>
              <w:jc w:val="center"/>
              <w:rPr>
                <w:rFonts w:cstheme="minorHAnsi"/>
                <w:b/>
                <w:bCs/>
                <w:sz w:val="20"/>
                <w:szCs w:val="20"/>
              </w:rPr>
            </w:pPr>
            <w:r w:rsidRPr="00D103B4">
              <w:rPr>
                <w:rFonts w:cstheme="minorHAnsi"/>
                <w:b/>
                <w:bCs/>
                <w:sz w:val="20"/>
                <w:szCs w:val="20"/>
              </w:rPr>
              <w:t xml:space="preserve">Ośrodek Badań, Studiów i Legislacji </w:t>
            </w:r>
            <w:r w:rsidRPr="00D103B4">
              <w:rPr>
                <w:rFonts w:cstheme="minorHAnsi"/>
                <w:b/>
                <w:bCs/>
                <w:sz w:val="20"/>
                <w:szCs w:val="20"/>
              </w:rPr>
              <w:lastRenderedPageBreak/>
              <w:t>Krajowej Rady Radców Prawnych</w:t>
            </w:r>
          </w:p>
        </w:tc>
        <w:tc>
          <w:tcPr>
            <w:tcW w:w="1843" w:type="dxa"/>
            <w:vAlign w:val="center"/>
          </w:tcPr>
          <w:p w14:paraId="24B9B4C1" w14:textId="0F3DFF05" w:rsidR="001E080D" w:rsidRPr="00D103B4" w:rsidRDefault="00D97F25" w:rsidP="009D0E2C">
            <w:pPr>
              <w:spacing w:before="120" w:after="120" w:line="276" w:lineRule="auto"/>
              <w:jc w:val="center"/>
              <w:rPr>
                <w:rFonts w:cstheme="minorHAnsi"/>
                <w:sz w:val="20"/>
                <w:szCs w:val="20"/>
              </w:rPr>
            </w:pPr>
            <w:r w:rsidRPr="00D103B4">
              <w:rPr>
                <w:rFonts w:cstheme="minorHAnsi"/>
                <w:sz w:val="20"/>
                <w:szCs w:val="20"/>
              </w:rPr>
              <w:lastRenderedPageBreak/>
              <w:t>Art. 1 pkt 2 projektu</w:t>
            </w:r>
            <w:r w:rsidR="001A55AF" w:rsidRPr="00D103B4">
              <w:rPr>
                <w:rFonts w:cstheme="minorHAnsi"/>
                <w:sz w:val="20"/>
                <w:szCs w:val="20"/>
              </w:rPr>
              <w:t xml:space="preserve"> (art. 95</w:t>
            </w:r>
            <w:r w:rsidR="003170B1" w:rsidRPr="00D103B4">
              <w:rPr>
                <w:rFonts w:cstheme="minorHAnsi"/>
                <w:sz w:val="20"/>
                <w:szCs w:val="20"/>
              </w:rPr>
              <w:t>2</w:t>
            </w:r>
            <w:r w:rsidR="001A55AF" w:rsidRPr="00D103B4">
              <w:rPr>
                <w:rFonts w:cstheme="minorHAnsi"/>
                <w:sz w:val="20"/>
                <w:szCs w:val="20"/>
              </w:rPr>
              <w:t xml:space="preserve"> § </w:t>
            </w:r>
            <w:r w:rsidR="003170B1" w:rsidRPr="00D103B4">
              <w:rPr>
                <w:rFonts w:cstheme="minorHAnsi"/>
                <w:sz w:val="20"/>
                <w:szCs w:val="20"/>
              </w:rPr>
              <w:t>1</w:t>
            </w:r>
            <w:r w:rsidR="001A55AF" w:rsidRPr="00D103B4">
              <w:rPr>
                <w:rFonts w:cstheme="minorHAnsi"/>
                <w:sz w:val="20"/>
                <w:szCs w:val="20"/>
              </w:rPr>
              <w:t xml:space="preserve"> k.c.)</w:t>
            </w:r>
          </w:p>
        </w:tc>
        <w:tc>
          <w:tcPr>
            <w:tcW w:w="5670" w:type="dxa"/>
            <w:vAlign w:val="center"/>
          </w:tcPr>
          <w:p w14:paraId="0C2060FF" w14:textId="77777777" w:rsidR="000002F3" w:rsidRPr="00D103B4" w:rsidRDefault="00F42CE7" w:rsidP="009D0E2C">
            <w:pPr>
              <w:spacing w:line="276" w:lineRule="auto"/>
              <w:jc w:val="both"/>
              <w:rPr>
                <w:rFonts w:eastAsia="Times New Roman" w:cstheme="minorHAnsi"/>
                <w:b/>
                <w:bCs/>
                <w:sz w:val="20"/>
                <w:szCs w:val="20"/>
                <w:lang w:eastAsia="pl-PL"/>
              </w:rPr>
            </w:pPr>
            <w:r w:rsidRPr="00D103B4">
              <w:rPr>
                <w:rFonts w:eastAsia="Times New Roman" w:cstheme="minorHAnsi"/>
                <w:sz w:val="20"/>
                <w:szCs w:val="20"/>
                <w:lang w:eastAsia="pl-PL"/>
              </w:rPr>
              <w:t xml:space="preserve">Celem Projektu deklarowanym w jego uzasadnieniu jest z jednej strony ograniczenie możliwości stosowania testamentu ustnego, a z drugiej – wprowadzenie możliwości utrwalenia testamentu ustnego i wojskowego również za pomocą urządzenia rejestrującego obraz i </w:t>
            </w:r>
            <w:r w:rsidRPr="00D103B4">
              <w:rPr>
                <w:rFonts w:eastAsia="Times New Roman" w:cstheme="minorHAnsi"/>
                <w:sz w:val="20"/>
                <w:szCs w:val="20"/>
                <w:lang w:eastAsia="pl-PL"/>
              </w:rPr>
              <w:lastRenderedPageBreak/>
              <w:t>dźwięk. Proponowane w Projekcie zmiany korespondują z tym celem. Należy jednak rozważyć, czy wymaganie, aby okoliczności uzasadniające sporządzenie testamentu ustnego były „nadzwyczajne” nie spowoduje nadmiernego ograniczenia możliwości skorzystania z tej formy szczególnej. Jeśli przesłanka ta będzie rozumiana w sposób przyjmowany w odniesieniu do tego samego określenia użytego w art. 357</w:t>
            </w:r>
            <w:r w:rsidRPr="00D103B4">
              <w:rPr>
                <w:rFonts w:eastAsia="Times New Roman" w:cstheme="minorHAnsi"/>
                <w:sz w:val="20"/>
                <w:szCs w:val="20"/>
                <w:vertAlign w:val="superscript"/>
                <w:lang w:eastAsia="pl-PL"/>
              </w:rPr>
              <w:t>1</w:t>
            </w:r>
            <w:r w:rsidRPr="00D103B4">
              <w:rPr>
                <w:rFonts w:eastAsia="Times New Roman" w:cstheme="minorHAnsi"/>
                <w:sz w:val="20"/>
                <w:szCs w:val="20"/>
                <w:lang w:eastAsia="pl-PL"/>
              </w:rPr>
              <w:t xml:space="preserve"> k.c., może to spowodować brak możliwości sporządzenia testamentu ustnego w sytuacjach, w których będzie zachodziła rzeczywista potrzeba skorzystania z tej formy. Z tego względu </w:t>
            </w:r>
            <w:r w:rsidRPr="00D103B4">
              <w:rPr>
                <w:rFonts w:eastAsia="Times New Roman" w:cstheme="minorHAnsi"/>
                <w:b/>
                <w:bCs/>
                <w:sz w:val="20"/>
                <w:szCs w:val="20"/>
                <w:lang w:eastAsia="pl-PL"/>
              </w:rPr>
              <w:t>warto rozważyć</w:t>
            </w:r>
            <w:r w:rsidRPr="00D103B4">
              <w:rPr>
                <w:rFonts w:eastAsia="Times New Roman" w:cstheme="minorHAnsi"/>
                <w:sz w:val="20"/>
                <w:szCs w:val="20"/>
                <w:lang w:eastAsia="pl-PL"/>
              </w:rPr>
              <w:t xml:space="preserve"> uzależnienie możliwości skorzystania z tej formy testowania od występowania „</w:t>
            </w:r>
            <w:r w:rsidRPr="00D103B4">
              <w:rPr>
                <w:rFonts w:eastAsia="Times New Roman" w:cstheme="minorHAnsi"/>
                <w:b/>
                <w:bCs/>
                <w:sz w:val="20"/>
                <w:szCs w:val="20"/>
                <w:lang w:eastAsia="pl-PL"/>
              </w:rPr>
              <w:t>szczególnych okoliczności”.</w:t>
            </w:r>
          </w:p>
          <w:p w14:paraId="1AE1C651" w14:textId="77777777" w:rsidR="00C1797B" w:rsidRPr="00D103B4" w:rsidRDefault="00C1797B" w:rsidP="009D0E2C">
            <w:pPr>
              <w:spacing w:line="276" w:lineRule="auto"/>
              <w:jc w:val="both"/>
              <w:rPr>
                <w:rFonts w:eastAsia="Times New Roman" w:cstheme="minorHAnsi"/>
                <w:bCs/>
                <w:sz w:val="20"/>
                <w:szCs w:val="20"/>
                <w:lang w:eastAsia="pl-PL"/>
              </w:rPr>
            </w:pPr>
          </w:p>
          <w:p w14:paraId="475CA530" w14:textId="7810978B" w:rsidR="00C1797B" w:rsidRPr="00D103B4" w:rsidRDefault="00A86CEB" w:rsidP="009D0E2C">
            <w:pPr>
              <w:spacing w:line="276" w:lineRule="auto"/>
              <w:jc w:val="both"/>
              <w:rPr>
                <w:rFonts w:eastAsia="Times New Roman" w:cstheme="minorHAnsi"/>
                <w:bCs/>
                <w:i/>
                <w:iCs/>
                <w:sz w:val="20"/>
                <w:szCs w:val="20"/>
                <w:lang w:eastAsia="pl-PL"/>
              </w:rPr>
            </w:pPr>
            <w:r w:rsidRPr="00D103B4">
              <w:rPr>
                <w:rFonts w:eastAsia="Times New Roman" w:cstheme="minorHAnsi"/>
                <w:bCs/>
                <w:i/>
                <w:iCs/>
                <w:sz w:val="20"/>
                <w:szCs w:val="20"/>
                <w:lang w:eastAsia="pl-PL"/>
              </w:rPr>
              <w:t>U</w:t>
            </w:r>
            <w:r w:rsidR="00C1797B" w:rsidRPr="00D103B4">
              <w:rPr>
                <w:rFonts w:eastAsia="Times New Roman" w:cstheme="minorHAnsi"/>
                <w:bCs/>
                <w:i/>
                <w:iCs/>
                <w:sz w:val="20"/>
                <w:szCs w:val="20"/>
                <w:lang w:eastAsia="pl-PL"/>
              </w:rPr>
              <w:t>zasadnieni</w:t>
            </w:r>
            <w:r w:rsidRPr="00D103B4">
              <w:rPr>
                <w:rFonts w:eastAsia="Times New Roman" w:cstheme="minorHAnsi"/>
                <w:bCs/>
                <w:i/>
                <w:iCs/>
                <w:sz w:val="20"/>
                <w:szCs w:val="20"/>
                <w:lang w:eastAsia="pl-PL"/>
              </w:rPr>
              <w:t>e</w:t>
            </w:r>
            <w:r w:rsidR="00C1797B" w:rsidRPr="00D103B4">
              <w:rPr>
                <w:rFonts w:eastAsia="Times New Roman" w:cstheme="minorHAnsi"/>
                <w:bCs/>
                <w:i/>
                <w:iCs/>
                <w:sz w:val="20"/>
                <w:szCs w:val="20"/>
                <w:lang w:eastAsia="pl-PL"/>
              </w:rPr>
              <w:t xml:space="preserve"> </w:t>
            </w:r>
          </w:p>
          <w:p w14:paraId="475412B0" w14:textId="7B1711DD" w:rsidR="00A86CEB" w:rsidRPr="00D103B4" w:rsidRDefault="00C1797B"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Należy jednak rozważyć, czy wymaganie, aby okoliczności uzasadniające sporządzenie testamentu ustnego były „nadzwyczajne”, nie spowoduje nadmiernego ograniczenia możliwości skorzystania z tej formy testamentu szczególnego. Gdyby art. 952 k.c. wszedł w życie w proponowanym w Projekcie kształcie, to przy jego wykładni należy uwzględnić sposób rozumienia pojęcia „nadzwyczajności” użytego już w k.c. Pojęcie „nadzwyczajności” określa zmianę stosunków, której wystąpienie jest jedną z przesłanek warunkujących możliwość dokonania przez sąd ingerencji w zobowiązanie na podstawie art. 357</w:t>
            </w:r>
            <w:r w:rsidRPr="00D103B4">
              <w:rPr>
                <w:rFonts w:eastAsia="Times New Roman" w:cstheme="minorHAnsi"/>
                <w:sz w:val="20"/>
                <w:szCs w:val="20"/>
                <w:vertAlign w:val="superscript"/>
                <w:lang w:eastAsia="pl-PL"/>
              </w:rPr>
              <w:t>1</w:t>
            </w:r>
            <w:r w:rsidRPr="00D103B4">
              <w:rPr>
                <w:rFonts w:eastAsia="Times New Roman" w:cstheme="minorHAnsi"/>
                <w:sz w:val="20"/>
                <w:szCs w:val="20"/>
                <w:lang w:eastAsia="pl-PL"/>
              </w:rPr>
              <w:t xml:space="preserve"> k.c. W doktrynie prawa cywilnego „nadzwyczajność” zmiany stosunków jest rozumiana jako „wyjątkowa, normalnie niespotykana” [A. Brzozowski [w:] Kodeks cywilny. Tom I. Komentarz. Art. 1 -44910 , red. K. Pietrzykowski, Warszawa 2020, komentarz do art. 3571 , s. </w:t>
            </w:r>
            <w:r w:rsidRPr="00D103B4">
              <w:rPr>
                <w:rFonts w:eastAsia="Times New Roman" w:cstheme="minorHAnsi"/>
                <w:sz w:val="20"/>
                <w:szCs w:val="20"/>
                <w:lang w:eastAsia="pl-PL"/>
              </w:rPr>
              <w:lastRenderedPageBreak/>
              <w:t>1192, Nb 49; P. Machnikowski [w:] Kodeks cywilny. Komentarz, red.: E. Gniewek, P. Machnikowski, Warszawa 2017, komentarz do art. 3571 , s. 660, Nb 7; R. Morek [w:] Komentarze Prawa Prywatnego. Tom IIIA. Kodeks cywilny. Komentarz. Zobowiązania. Część ogólna, red. K. Osajda, Warszawa 2017, komentarz do art. 3571 , s. 119, Nb 19.], „niezwykła, normalnie niespotykana”2</w:t>
            </w:r>
            <w:r w:rsidR="000703D1" w:rsidRPr="00D103B4">
              <w:rPr>
                <w:rFonts w:eastAsia="Times New Roman" w:cstheme="minorHAnsi"/>
                <w:sz w:val="20"/>
                <w:szCs w:val="20"/>
                <w:lang w:eastAsia="pl-PL"/>
              </w:rPr>
              <w:t xml:space="preserve"> [2 A. Olejniczak [w:] Kodeks cywilny. Komentarz Lex. Tom III. Zobowiązania. Część ogólna, red. A. Kidyba, Warszawa 2014, komentarz do art. 3571 , s. 67, Nb 4.]</w:t>
            </w:r>
            <w:r w:rsidRPr="00D103B4">
              <w:rPr>
                <w:rFonts w:eastAsia="Times New Roman" w:cstheme="minorHAnsi"/>
                <w:sz w:val="20"/>
                <w:szCs w:val="20"/>
                <w:lang w:eastAsia="pl-PL"/>
              </w:rPr>
              <w:t xml:space="preserve"> , „rzadka, niezwykła”3</w:t>
            </w:r>
            <w:r w:rsidR="000703D1" w:rsidRPr="00D103B4">
              <w:rPr>
                <w:rFonts w:eastAsia="Times New Roman" w:cstheme="minorHAnsi"/>
                <w:sz w:val="20"/>
                <w:szCs w:val="20"/>
                <w:lang w:eastAsia="pl-PL"/>
              </w:rPr>
              <w:t xml:space="preserve"> [3 R. Strugała [w:] Zobowiązania. Tom I. Przepisy ogólne i powiązane przepisy Księgi I KC. Komentarz, red. P. Machnikowski, Warszawa 2022, komentarz do art. 3571 , s. 1653, Nb 36.]</w:t>
            </w:r>
            <w:r w:rsidRPr="00D103B4">
              <w:rPr>
                <w:rFonts w:eastAsia="Times New Roman" w:cstheme="minorHAnsi"/>
                <w:sz w:val="20"/>
                <w:szCs w:val="20"/>
                <w:lang w:eastAsia="pl-PL"/>
              </w:rPr>
              <w:t xml:space="preserve"> , „rzadka, niebywała, niezwykła”4</w:t>
            </w:r>
            <w:r w:rsidR="000703D1" w:rsidRPr="00D103B4">
              <w:rPr>
                <w:rFonts w:eastAsia="Times New Roman" w:cstheme="minorHAnsi"/>
                <w:sz w:val="20"/>
                <w:szCs w:val="20"/>
                <w:lang w:eastAsia="pl-PL"/>
              </w:rPr>
              <w:t xml:space="preserve"> [4 B. Fuchs [w:] Kodeks cywilny. Komentarz. Tom III. Zobowiązania. Część ogólna (art. 353-534), red.: M. Habdas, M. Fras, Warszawa 2018, komentarz do art. 3571 , s. 74, Nb 7; T. Wiśniewski [w:] Kodeks cywilny. Komentarz. Tom III. Zobowiązania. Część ogólna, red. J. Gudowski, Warszawa 2018, komentarz do art. 3571 , s. 61, Nb 8.]</w:t>
            </w:r>
            <w:r w:rsidRPr="00D103B4">
              <w:rPr>
                <w:rFonts w:eastAsia="Times New Roman" w:cstheme="minorHAnsi"/>
                <w:sz w:val="20"/>
                <w:szCs w:val="20"/>
                <w:lang w:eastAsia="pl-PL"/>
              </w:rPr>
              <w:t>. Wydaje się, że możliwość sporządzenia testamentu w formie ustnej nie powinna zależeć od tego, czy przyczyna uniemożliwiająca lub nadmiernie utrudniająca skorzystanie ze zwykłej formy jest rzadka, czy często występująca, ani czy jest normalnie niespotykana, czy też stanowi aktualizację zwykłych ryzyk życia codziennego, lecz od tego, czy jest tego rodzaju, że usprawiedliwia poszerzenie form testamentów zwykłych o dodatkową formę testamentu szczególnego</w:t>
            </w:r>
            <w:r w:rsidR="001A55AF" w:rsidRPr="00D103B4">
              <w:rPr>
                <w:rFonts w:eastAsia="Times New Roman" w:cstheme="minorHAnsi"/>
                <w:sz w:val="20"/>
                <w:szCs w:val="20"/>
                <w:lang w:eastAsia="pl-PL"/>
              </w:rPr>
              <w:t>,</w:t>
            </w:r>
            <w:r w:rsidRPr="00D103B4">
              <w:rPr>
                <w:rFonts w:eastAsia="Times New Roman" w:cstheme="minorHAnsi"/>
                <w:sz w:val="20"/>
                <w:szCs w:val="20"/>
                <w:lang w:eastAsia="pl-PL"/>
              </w:rPr>
              <w:t xml:space="preserve"> z różnych przyczyn bardziej dostępną niż którakolwiek z form testamentów zwykłych. </w:t>
            </w:r>
          </w:p>
          <w:p w14:paraId="4C548DA5" w14:textId="77777777" w:rsidR="00A86CEB" w:rsidRPr="00D103B4" w:rsidRDefault="00A86CEB" w:rsidP="009D0E2C">
            <w:pPr>
              <w:spacing w:line="276" w:lineRule="auto"/>
              <w:jc w:val="both"/>
              <w:rPr>
                <w:rFonts w:eastAsia="Times New Roman" w:cstheme="minorHAnsi"/>
                <w:sz w:val="20"/>
                <w:szCs w:val="20"/>
                <w:lang w:eastAsia="pl-PL"/>
              </w:rPr>
            </w:pPr>
          </w:p>
          <w:p w14:paraId="18B1AB3F" w14:textId="77777777" w:rsidR="00A86CEB" w:rsidRPr="00D103B4" w:rsidRDefault="00C1797B"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lastRenderedPageBreak/>
              <w:t xml:space="preserve">Przesłanka „nadzwyczajności” okoliczności może przykładowo rodzić wątpliwości, czy pogorszenie stanu zdrowia z powodu choroby testatora znanej mu i trwającej od dłuższego czasu, będzie uzasadniać sporządzenie testamentu ustnego. Analogiczne wątpliwości mogą powstać wtedy, gdy testator – nieuprawniony do sporządzenia testamentu wojskowego – znajdzie się na obszarze od dłuższego czasu ogarniętym konfliktem zbrojnym, objętym katastrofami naturalnymi, czy też na obszarze, na którym permanentnie panują trudne warunki naturalne (obszary wysokogórskie, okołobiegunowe). Przesłanka „nadzwyczajności” okoliczności może uniemożliwiać sporządzenie testamentu ustnego przez dziennikarzy, lekarzy, czy strażaków, którzy pracują niekiedy dłuższy czas na takich obszarach. Gdyby w takich przypadkach z powodu proponowanej przesłanki nadzwyczajności niemożliwe było sporządzenie testamentu ustnego, mogłoby to budzić istotne wątpliwości natury aksjologicznej. </w:t>
            </w:r>
          </w:p>
          <w:p w14:paraId="5FA393CD" w14:textId="77777777" w:rsidR="00A86CEB" w:rsidRPr="00D103B4" w:rsidRDefault="00A86CEB" w:rsidP="009D0E2C">
            <w:pPr>
              <w:spacing w:line="276" w:lineRule="auto"/>
              <w:jc w:val="both"/>
              <w:rPr>
                <w:rFonts w:eastAsia="Times New Roman" w:cstheme="minorHAnsi"/>
                <w:sz w:val="20"/>
                <w:szCs w:val="20"/>
                <w:lang w:eastAsia="pl-PL"/>
              </w:rPr>
            </w:pPr>
          </w:p>
          <w:p w14:paraId="035806AA" w14:textId="7303460F" w:rsidR="00C1797B" w:rsidRPr="00D103B4" w:rsidRDefault="00C1797B"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Ze względu na powyższe warto rozważyć uzależnienie możliwości sporządzenia testamentu ustnego od występowania jedynie szczególnych okoliczności. Wydaje się, że „szczególny” charakter okoliczności uzasadniających sporządzenie testamentu ustnego pozwoli sądom na adekwatne do okoliczności rozstrzyganie w przedmiocie spełnienia się przesłanek skuteczności testamentów ustnych.</w:t>
            </w:r>
          </w:p>
        </w:tc>
        <w:tc>
          <w:tcPr>
            <w:tcW w:w="4076" w:type="dxa"/>
          </w:tcPr>
          <w:p w14:paraId="733B2484" w14:textId="7F847CE0" w:rsidR="00DB1180" w:rsidRPr="00DB1180" w:rsidRDefault="00DB1180" w:rsidP="00DB1180">
            <w:pPr>
              <w:autoSpaceDE w:val="0"/>
              <w:autoSpaceDN w:val="0"/>
              <w:adjustRightInd w:val="0"/>
              <w:spacing w:line="276" w:lineRule="auto"/>
              <w:jc w:val="both"/>
              <w:rPr>
                <w:rFonts w:eastAsia="Times New Roman" w:cstheme="minorHAnsi"/>
                <w:b/>
                <w:bCs/>
                <w:sz w:val="20"/>
                <w:szCs w:val="20"/>
                <w:lang w:eastAsia="pl-PL"/>
              </w:rPr>
            </w:pPr>
            <w:r w:rsidRPr="00DB1180">
              <w:rPr>
                <w:rFonts w:eastAsia="Times New Roman" w:cstheme="minorHAnsi"/>
                <w:b/>
                <w:bCs/>
                <w:sz w:val="20"/>
                <w:szCs w:val="20"/>
                <w:lang w:eastAsia="pl-PL"/>
              </w:rPr>
              <w:lastRenderedPageBreak/>
              <w:t>Uwaga uwzględniona</w:t>
            </w:r>
          </w:p>
          <w:p w14:paraId="3EF4BE1C" w14:textId="06C5091C" w:rsidR="00DB1180" w:rsidRPr="004F0B65" w:rsidRDefault="00DB1180" w:rsidP="00DB1180">
            <w:pPr>
              <w:autoSpaceDE w:val="0"/>
              <w:autoSpaceDN w:val="0"/>
              <w:adjustRightInd w:val="0"/>
              <w:spacing w:line="276" w:lineRule="auto"/>
              <w:jc w:val="both"/>
              <w:rPr>
                <w:rFonts w:eastAsia="Times New Roman" w:cstheme="minorHAnsi"/>
                <w:sz w:val="20"/>
                <w:szCs w:val="20"/>
                <w:lang w:eastAsia="pl-PL"/>
              </w:rPr>
            </w:pPr>
            <w:r w:rsidRPr="004F0B65">
              <w:rPr>
                <w:rFonts w:eastAsia="Times New Roman" w:cstheme="minorHAnsi"/>
                <w:sz w:val="20"/>
                <w:szCs w:val="20"/>
                <w:lang w:eastAsia="pl-PL"/>
              </w:rPr>
              <w:t xml:space="preserve">Zdecydowano się zastąpić pojęcie „okoliczności nadzwyczajne” pierwotnie zastosowanym w </w:t>
            </w:r>
            <w:r w:rsidRPr="004F0B65">
              <w:rPr>
                <w:rFonts w:eastAsia="Times New Roman" w:cstheme="minorHAnsi"/>
                <w:sz w:val="20"/>
                <w:szCs w:val="20"/>
                <w:lang w:eastAsia="pl-PL"/>
              </w:rPr>
              <w:lastRenderedPageBreak/>
              <w:t>projekcie pojęciem „okoliczności szczególne i nagłe”</w:t>
            </w:r>
            <w:r>
              <w:rPr>
                <w:rFonts w:eastAsia="Times New Roman" w:cstheme="minorHAnsi"/>
                <w:sz w:val="20"/>
                <w:szCs w:val="20"/>
                <w:lang w:eastAsia="pl-PL"/>
              </w:rPr>
              <w:t>.</w:t>
            </w:r>
          </w:p>
          <w:p w14:paraId="5614BD4E" w14:textId="77777777" w:rsidR="00934866" w:rsidRPr="00934866" w:rsidRDefault="00934866" w:rsidP="00934866">
            <w:pPr>
              <w:autoSpaceDE w:val="0"/>
              <w:autoSpaceDN w:val="0"/>
              <w:adjustRightInd w:val="0"/>
              <w:spacing w:line="276" w:lineRule="auto"/>
              <w:jc w:val="both"/>
              <w:rPr>
                <w:rFonts w:eastAsia="Times New Roman" w:cstheme="minorHAnsi"/>
                <w:sz w:val="20"/>
                <w:szCs w:val="20"/>
                <w:lang w:eastAsia="pl-PL"/>
              </w:rPr>
            </w:pPr>
          </w:p>
          <w:p w14:paraId="63046439" w14:textId="2EF8C9E4" w:rsidR="00934866" w:rsidRPr="00D103B4" w:rsidRDefault="00934866" w:rsidP="00425F05">
            <w:pPr>
              <w:autoSpaceDE w:val="0"/>
              <w:autoSpaceDN w:val="0"/>
              <w:adjustRightInd w:val="0"/>
              <w:jc w:val="both"/>
              <w:rPr>
                <w:rFonts w:eastAsia="Times New Roman" w:cstheme="minorHAnsi"/>
                <w:b/>
                <w:bCs/>
                <w:sz w:val="20"/>
                <w:szCs w:val="20"/>
                <w:lang w:eastAsia="pl-PL"/>
              </w:rPr>
            </w:pPr>
          </w:p>
        </w:tc>
      </w:tr>
      <w:tr w:rsidR="00FF0AB4" w:rsidRPr="00D103B4" w14:paraId="5EF3A858" w14:textId="77777777" w:rsidTr="00EF0179">
        <w:trPr>
          <w:trHeight w:val="590"/>
          <w:jc w:val="center"/>
        </w:trPr>
        <w:tc>
          <w:tcPr>
            <w:tcW w:w="562" w:type="dxa"/>
          </w:tcPr>
          <w:p w14:paraId="359CE166" w14:textId="1E10CD0A" w:rsidR="00FF0AB4" w:rsidRPr="00D103B4" w:rsidRDefault="00FF0AB4" w:rsidP="009D0E2C">
            <w:pPr>
              <w:spacing w:before="120" w:line="276" w:lineRule="auto"/>
              <w:ind w:right="-534"/>
              <w:rPr>
                <w:rFonts w:cstheme="minorHAnsi"/>
                <w:b/>
                <w:sz w:val="20"/>
                <w:szCs w:val="20"/>
              </w:rPr>
            </w:pPr>
            <w:r w:rsidRPr="00D103B4">
              <w:rPr>
                <w:rFonts w:cstheme="minorHAnsi"/>
                <w:b/>
                <w:sz w:val="20"/>
                <w:szCs w:val="20"/>
              </w:rPr>
              <w:lastRenderedPageBreak/>
              <w:t>2.</w:t>
            </w:r>
          </w:p>
        </w:tc>
        <w:tc>
          <w:tcPr>
            <w:tcW w:w="1843" w:type="dxa"/>
            <w:vAlign w:val="center"/>
          </w:tcPr>
          <w:p w14:paraId="5E7FCC56" w14:textId="3D0745FA" w:rsidR="00FF0AB4" w:rsidRPr="00D103B4" w:rsidRDefault="00FF0AB4" w:rsidP="009D0E2C">
            <w:pPr>
              <w:spacing w:before="120" w:after="120" w:line="276" w:lineRule="auto"/>
              <w:jc w:val="center"/>
              <w:rPr>
                <w:rFonts w:cstheme="minorHAnsi"/>
                <w:b/>
                <w:bCs/>
                <w:sz w:val="20"/>
                <w:szCs w:val="20"/>
              </w:rPr>
            </w:pPr>
            <w:r w:rsidRPr="00D103B4">
              <w:rPr>
                <w:rFonts w:cstheme="minorHAnsi"/>
                <w:b/>
                <w:bCs/>
                <w:sz w:val="20"/>
                <w:szCs w:val="20"/>
              </w:rPr>
              <w:t>Konferencja Episkopatu Polski</w:t>
            </w:r>
          </w:p>
        </w:tc>
        <w:tc>
          <w:tcPr>
            <w:tcW w:w="1843" w:type="dxa"/>
            <w:vAlign w:val="center"/>
          </w:tcPr>
          <w:p w14:paraId="67CEE79D" w14:textId="0596BD0C" w:rsidR="00FF0AB4" w:rsidRPr="00D103B4" w:rsidRDefault="00FF0AB4" w:rsidP="009D0E2C">
            <w:pPr>
              <w:spacing w:before="120" w:after="120" w:line="276" w:lineRule="auto"/>
              <w:jc w:val="center"/>
              <w:rPr>
                <w:rFonts w:cstheme="minorHAnsi"/>
                <w:sz w:val="20"/>
                <w:szCs w:val="20"/>
              </w:rPr>
            </w:pPr>
            <w:r w:rsidRPr="00D103B4">
              <w:rPr>
                <w:rFonts w:cstheme="minorHAnsi"/>
                <w:sz w:val="20"/>
                <w:szCs w:val="20"/>
              </w:rPr>
              <w:t>Art. 1 pkt 2 projektu (art. 952 § 1 k.c.)</w:t>
            </w:r>
          </w:p>
        </w:tc>
        <w:tc>
          <w:tcPr>
            <w:tcW w:w="5670" w:type="dxa"/>
            <w:vAlign w:val="center"/>
          </w:tcPr>
          <w:p w14:paraId="182FD9F1"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Istotna zmiana została zaproponowana w przepisie art. 952 k.c. Jest to, jak należy sądzić, najbardziej oczekiwana zmiana w przepisach Kodeksu cywilnego o formie testamentu. Zachowanie czy też pozostawienie tej formy testamentu (jako testamentu </w:t>
            </w:r>
            <w:r w:rsidRPr="00D103B4">
              <w:rPr>
                <w:rFonts w:eastAsia="Times New Roman" w:cstheme="minorHAnsi"/>
                <w:sz w:val="20"/>
                <w:szCs w:val="20"/>
                <w:lang w:eastAsia="pl-PL"/>
              </w:rPr>
              <w:lastRenderedPageBreak/>
              <w:t xml:space="preserve">szczególnego) ocenić należy ze wszech miar pozytywnie. Nie budzi wątpliwości, że testator powinien mieć możliwość sporządzenia testamentu w sytuacji zagrożenia śmiercią oraz w sytuacji, w której, wskutek zaistnienia szczególnych okoliczności, nie jest w stanie sporządzić testamentu w formie zwykłej. Testament ustny ma ogromne znaczenie praktyczne, jest bowiem najczęściej występującą w obrocie formą testamentów szczególnych, ale też najczęściej rodzącą wątpliwości w procesie wykładni przepisów o formie testamentu. Najczęstsze są również przypadki fałszowania tej formy testamentu. </w:t>
            </w:r>
          </w:p>
          <w:p w14:paraId="7EC8A460"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Konstrukcja prawna testamentu ustnego jest specyficzna o tyle, że w przepisach Kodeksu cywilnego odrębnie uregulowane zostały przesłanki jego ważności i skuteczności. Zmiany zaproponowane w Projekcie dotyczą jednych i drugich, choć to zmiany w przedmiocie sposobów stwierdzenia treści testamentu ustnego wydają się rewolucyjne.</w:t>
            </w:r>
          </w:p>
          <w:p w14:paraId="7256EF0F"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Zmiana dotycząca przesłanek ważności testamentu ustnego jest w istocie powrotem do regulacji przepisów dekretu z 8 października 1946 r. – Prawo spadkowe (Dz. U. Nr 60, poz. 328). </w:t>
            </w:r>
            <w:r w:rsidRPr="00D103B4">
              <w:rPr>
                <w:rFonts w:eastAsia="Times New Roman" w:cstheme="minorHAnsi"/>
                <w:i/>
                <w:iCs/>
                <w:sz w:val="20"/>
                <w:szCs w:val="20"/>
                <w:lang w:eastAsia="pl-PL"/>
              </w:rPr>
              <w:t>De lege lata</w:t>
            </w:r>
            <w:r w:rsidRPr="00D103B4">
              <w:rPr>
                <w:rFonts w:eastAsia="Times New Roman" w:cstheme="minorHAnsi"/>
                <w:sz w:val="20"/>
                <w:szCs w:val="20"/>
                <w:lang w:eastAsia="pl-PL"/>
              </w:rPr>
              <w:t xml:space="preserve"> przesłankami ważności testamentu ustnego (art. 952 § 1 k.c.) są: 1/. niemożność lub znaczna trudność w zachowaniu zwykłej formy testamentu wskutek zaistnienia szczególnych okoliczności albo istnienie obawy rychłej śmierci spadkodawcy; 2/. ustne oświadczenie testatora oraz 3/. jednoczesna obecność co najmniej trzech świadków. Przepis art. 952 § 1 k.c. dopuszcza zatem sporządzenie testamentu ustnego w jednej z trzech alternatywnie określonych sytuacji: gdy istnieje obawa rychłej śmierci spadkodawcy, gdy szczególne okoliczności uniemożliwiają </w:t>
            </w:r>
            <w:r w:rsidRPr="00D103B4">
              <w:rPr>
                <w:rFonts w:eastAsia="Times New Roman" w:cstheme="minorHAnsi"/>
                <w:sz w:val="20"/>
                <w:szCs w:val="20"/>
                <w:lang w:eastAsia="pl-PL"/>
              </w:rPr>
              <w:lastRenderedPageBreak/>
              <w:t>sporządzenie testamentu w zwykłej formie albo gdy okoliczności te bardzo utrudniają skorzystanie ze zwykłej formy testamentu. Wystarczające jest wystąpienie jednej z tych przesłanek.</w:t>
            </w:r>
          </w:p>
          <w:p w14:paraId="0C1DF9C7"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Projektowana zmiana dotycząca okoliczności uzasadniających skorzystanie z formy testamentu ustnego polega na wprowadzeniu wymogu kumulatywnego zaistnienia przesłanek, na kształt art. 82 dekretu z 1946 r., które </w:t>
            </w:r>
            <w:r w:rsidRPr="00D103B4">
              <w:rPr>
                <w:rFonts w:eastAsia="Times New Roman" w:cstheme="minorHAnsi"/>
                <w:i/>
                <w:sz w:val="20"/>
                <w:szCs w:val="20"/>
                <w:lang w:eastAsia="pl-PL"/>
              </w:rPr>
              <w:t>de lege lata</w:t>
            </w:r>
            <w:r w:rsidRPr="00D103B4">
              <w:rPr>
                <w:rFonts w:eastAsia="Times New Roman" w:cstheme="minorHAnsi"/>
                <w:sz w:val="20"/>
                <w:szCs w:val="20"/>
                <w:lang w:eastAsia="pl-PL"/>
              </w:rPr>
              <w:t xml:space="preserve"> zostały ujęte w przepisie art. 952 § 1 k.c. w postaci alternatywny rozłącznej, Zatem, jeśli proponowana zmiana zostanie przyjęta, przepis art. 952 § 1 k.c. będzie miał następujące brzmienie: „</w:t>
            </w:r>
            <w:r w:rsidRPr="00D103B4">
              <w:rPr>
                <w:rFonts w:eastAsia="Times New Roman" w:cstheme="minorHAnsi"/>
                <w:i/>
                <w:iCs/>
                <w:sz w:val="20"/>
                <w:szCs w:val="20"/>
                <w:lang w:eastAsia="pl-PL"/>
              </w:rPr>
              <w:t>Jeśli wskutek nadzwyczajnych okoliczności zachowanie zwykłej formy testamentu jest niemożliwe albo nadmiernie utrudnione, a zachodzi obawa rychłej śmierci spadkodawcy, spadkodawca może oświadczyć ostatnią wolę ustnie przy jednoczesnej obecności co najmniej trzech świadków</w:t>
            </w:r>
            <w:r w:rsidRPr="00D103B4">
              <w:rPr>
                <w:rFonts w:eastAsia="Times New Roman" w:cstheme="minorHAnsi"/>
                <w:sz w:val="20"/>
                <w:szCs w:val="20"/>
                <w:lang w:eastAsia="pl-PL"/>
              </w:rPr>
              <w:t xml:space="preserve">”. </w:t>
            </w:r>
          </w:p>
          <w:p w14:paraId="75040D59" w14:textId="5350BF9A"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Trzy kwestie już na wstępie należy ocenić </w:t>
            </w:r>
            <w:r w:rsidRPr="00D103B4">
              <w:rPr>
                <w:rFonts w:eastAsia="Times New Roman" w:cstheme="minorHAnsi"/>
                <w:b/>
                <w:sz w:val="20"/>
                <w:szCs w:val="20"/>
                <w:lang w:eastAsia="pl-PL"/>
              </w:rPr>
              <w:t>pozytywnie</w:t>
            </w:r>
            <w:r w:rsidRPr="00D103B4">
              <w:rPr>
                <w:rFonts w:eastAsia="Times New Roman" w:cstheme="minorHAnsi"/>
                <w:sz w:val="20"/>
                <w:szCs w:val="20"/>
                <w:lang w:eastAsia="pl-PL"/>
              </w:rPr>
              <w:t xml:space="preserve">. Po pierwsze, </w:t>
            </w:r>
            <w:r w:rsidRPr="00D103B4">
              <w:rPr>
                <w:rFonts w:eastAsia="Times New Roman" w:cstheme="minorHAnsi"/>
                <w:b/>
                <w:sz w:val="20"/>
                <w:szCs w:val="20"/>
                <w:lang w:eastAsia="pl-PL"/>
              </w:rPr>
              <w:t>brak egzemplifikacji</w:t>
            </w:r>
            <w:r w:rsidRPr="00D103B4">
              <w:rPr>
                <w:rFonts w:eastAsia="Times New Roman" w:cstheme="minorHAnsi"/>
                <w:sz w:val="20"/>
                <w:szCs w:val="20"/>
                <w:lang w:eastAsia="pl-PL"/>
              </w:rPr>
              <w:t xml:space="preserve"> w przepisie art. 952 § 1 k.c. </w:t>
            </w:r>
            <w:r w:rsidRPr="00D103B4">
              <w:rPr>
                <w:rFonts w:eastAsia="Times New Roman" w:cstheme="minorHAnsi"/>
                <w:b/>
                <w:sz w:val="20"/>
                <w:szCs w:val="20"/>
                <w:lang w:eastAsia="pl-PL"/>
              </w:rPr>
              <w:t>konkretnych okoliczności szczególnych</w:t>
            </w:r>
            <w:r w:rsidRPr="00D103B4">
              <w:rPr>
                <w:rFonts w:eastAsia="Times New Roman" w:cstheme="minorHAnsi"/>
                <w:sz w:val="20"/>
                <w:szCs w:val="20"/>
                <w:lang w:eastAsia="pl-PL"/>
              </w:rPr>
              <w:t xml:space="preserve">, co jest o tyle zasadne, że i tak niemożliwe byłoby ich enumeratywne wskazanie. Po drugie, </w:t>
            </w:r>
            <w:r w:rsidRPr="00D103B4">
              <w:rPr>
                <w:rFonts w:eastAsia="Times New Roman" w:cstheme="minorHAnsi"/>
                <w:b/>
                <w:sz w:val="20"/>
                <w:szCs w:val="20"/>
                <w:lang w:eastAsia="pl-PL"/>
              </w:rPr>
              <w:t>utrzymanie przesłanki „</w:t>
            </w:r>
            <w:r w:rsidRPr="00D103B4">
              <w:rPr>
                <w:rFonts w:eastAsia="Times New Roman" w:cstheme="minorHAnsi"/>
                <w:b/>
                <w:i/>
                <w:iCs/>
                <w:sz w:val="20"/>
                <w:szCs w:val="20"/>
                <w:lang w:eastAsia="pl-PL"/>
              </w:rPr>
              <w:t>obawy rychłej śmierci spadkodawcy</w:t>
            </w:r>
            <w:r w:rsidRPr="00D103B4">
              <w:rPr>
                <w:rFonts w:eastAsia="Times New Roman" w:cstheme="minorHAnsi"/>
                <w:b/>
                <w:sz w:val="20"/>
                <w:szCs w:val="20"/>
                <w:lang w:eastAsia="pl-PL"/>
              </w:rPr>
              <w:t>”</w:t>
            </w:r>
            <w:r w:rsidRPr="00D103B4">
              <w:rPr>
                <w:rFonts w:eastAsia="Times New Roman" w:cstheme="minorHAnsi"/>
                <w:sz w:val="20"/>
                <w:szCs w:val="20"/>
                <w:lang w:eastAsia="pl-PL"/>
              </w:rPr>
              <w:t xml:space="preserve">, w odniesieniu do której istnieje obszerne, ugruntowane orzecznictwo i piśmiennictwo i chociaż można wyodrębnić trzy stanowiska co do rozumienia tego zwrotu, nie ma wątpliwości, że jedno z nich, uwzględniające przekonanie spadkodawcy co do rychłej śmierci, które musi znaleźć odzwierciedlenie w okolicznościach o charakterze obiektywnym, zwłaszcza wskazaniach wiedzy medycznej, jest stanowiskiem dominującym i, jak się wydaje, ugruntowanym. </w:t>
            </w:r>
          </w:p>
          <w:p w14:paraId="3781092B"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lastRenderedPageBreak/>
              <w:t xml:space="preserve">Mimo występujących rozbieżności poglądów co do obiektywnego lub subiektywnego pojmowania obawy rychłej śmierci, nie budzi także wątpliwości, że nie wystarczy sama obawa śmierci (zwłaszcza że każdy człowiek żyje ze świadomością nieuchronnego zgonu), musi to być obawa śmierci „rychłej”. Tę okoliczność należy wyeksponować w szczególności wtedy, gdy spadkodawca cierpi na ciężką chorobę (np. nowotworową), ale jego stan jest ustabilizowany. Istnieje oczywiście w takich sytuacjach obawa śmierci, i to zarówno oceniana w kategoriach obiektywnych, jak i - zazwyczaj - subiektywnych, jednak przyznanie jej cechy „rychłości” wymaga dodatkowego elementu, np. nagłego pogorszenia się stanu zdrowia. Zatem, przesłankę „obawy rychłej śmierci spadkodawcy” można uznać za spełnioną wówczas, gdy w stanie zdrowia następuje nagłe pogorszenie lub pojawiają się nowe rokowania wskazujące na nadzwyczajną bliskość czasową śmierci spadkodawcy. Stąd nie każda choroba określana jako śmiertelna automatycznie otwiera możliwość sporządzenia testamentu w formie szczególnej. Także sam podeszły wiek spadkodawcy, czyniący bardziej realną obawę zgonu, który może nastąpić w nieodległej przyszłości, nie stwarza automatycznie możliwości skorzystania z tej formy testamentu. </w:t>
            </w:r>
          </w:p>
          <w:p w14:paraId="6C497795"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Po trzecie, spójnik „lub”, który łączył przesłankę w postaci niemożności skorzystania ze zwykłej formy testamentu z nadmierną trudnością w jego sporządzeniu w takiej formie </w:t>
            </w:r>
            <w:r w:rsidRPr="007B3E6F">
              <w:rPr>
                <w:rFonts w:eastAsia="Times New Roman" w:cstheme="minorHAnsi"/>
                <w:bCs/>
                <w:sz w:val="20"/>
                <w:szCs w:val="20"/>
                <w:lang w:eastAsia="pl-PL"/>
              </w:rPr>
              <w:t>zastąpiono spójnikiem „albo” – w istocie przesłanki te nie m</w:t>
            </w:r>
            <w:r w:rsidRPr="00D103B4">
              <w:rPr>
                <w:rFonts w:eastAsia="Times New Roman" w:cstheme="minorHAnsi"/>
                <w:sz w:val="20"/>
                <w:szCs w:val="20"/>
                <w:lang w:eastAsia="pl-PL"/>
              </w:rPr>
              <w:t>ogą istnieć równocześnie.</w:t>
            </w:r>
          </w:p>
          <w:p w14:paraId="597D7B79"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Najistotniejsza, </w:t>
            </w:r>
            <w:r w:rsidRPr="00D103B4">
              <w:rPr>
                <w:rFonts w:eastAsia="Times New Roman" w:cstheme="minorHAnsi"/>
                <w:b/>
                <w:sz w:val="20"/>
                <w:szCs w:val="20"/>
                <w:lang w:eastAsia="pl-PL"/>
              </w:rPr>
              <w:t>jednak wysoce dyskusyjna</w:t>
            </w:r>
            <w:r w:rsidRPr="00D103B4">
              <w:rPr>
                <w:rFonts w:eastAsia="Times New Roman" w:cstheme="minorHAnsi"/>
                <w:sz w:val="20"/>
                <w:szCs w:val="20"/>
                <w:lang w:eastAsia="pl-PL"/>
              </w:rPr>
              <w:t xml:space="preserve">, zmiana dotyczy przesłanki ważności testamentu ustnego w postaci określenia okoliczności, które uzasadniają skorzystanie z tej formy testamentu. </w:t>
            </w:r>
            <w:r w:rsidRPr="00D103B4">
              <w:rPr>
                <w:rFonts w:eastAsia="Times New Roman" w:cstheme="minorHAnsi"/>
                <w:sz w:val="20"/>
                <w:szCs w:val="20"/>
                <w:lang w:eastAsia="pl-PL"/>
              </w:rPr>
              <w:lastRenderedPageBreak/>
              <w:t xml:space="preserve">Można mieć bowiem wątpliwości, czy proponowany kształt przepisu art. 952 § 1 k.c. nie ogranicza spadkodawcy w możliwości skorzystania z tej formy testamentu, a w istocie do skorzystania z prawa do rozrządzenia majątkiem na wypadek śmierci, zgodnie ze swoją wolą. </w:t>
            </w:r>
          </w:p>
          <w:p w14:paraId="3DF6C3F9"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Wydaje się, że spadkodawca (jeśli ma zdolność testowania) powinien mieć realną możliwość realizacji zasady swobody testowania, a zatem sporządzenia (także odwołania) testamentu. W sytuacji, w której spadkodawca nie może skorzystać ze zwykłej formy testamentu wskutek okoliczności szczególnych, i to niezależnie od tego, czy mają charakter obiektywny, czy też leżą jedynie po stronie samego testatora, powinien mieć zapewnioną możliwość testowania. W przeciwnym razie trudno mówić o możliwości zrealizowania prawa podmiotowego do swobodnego testowania. </w:t>
            </w:r>
            <w:r w:rsidRPr="007B3E6F">
              <w:rPr>
                <w:rFonts w:eastAsia="Times New Roman" w:cstheme="minorHAnsi"/>
                <w:b/>
                <w:bCs/>
                <w:sz w:val="20"/>
                <w:szCs w:val="20"/>
                <w:lang w:eastAsia="pl-PL"/>
              </w:rPr>
              <w:t>Ta niemożliwość albo znaczna trudność w skorzystaniu ze zwykłej formy testamentu powinna być wystarczająca dla skorzystania z formy testamentu szczególnego.</w:t>
            </w:r>
            <w:r w:rsidRPr="00D103B4">
              <w:rPr>
                <w:rFonts w:eastAsia="Times New Roman" w:cstheme="minorHAnsi"/>
                <w:sz w:val="20"/>
                <w:szCs w:val="20"/>
                <w:lang w:eastAsia="pl-PL"/>
              </w:rPr>
              <w:t xml:space="preserve"> Podobnie </w:t>
            </w:r>
            <w:r w:rsidRPr="007B3E6F">
              <w:rPr>
                <w:rFonts w:eastAsia="Times New Roman" w:cstheme="minorHAnsi"/>
                <w:b/>
                <w:bCs/>
                <w:sz w:val="20"/>
                <w:szCs w:val="20"/>
                <w:lang w:eastAsia="pl-PL"/>
              </w:rPr>
              <w:t>wystarczającą, samodzielną przesłanką sporządzenia testamentu ustnego powinna być obawa rychłej śmierci spadkodawcy</w:t>
            </w:r>
            <w:r w:rsidRPr="00D103B4">
              <w:rPr>
                <w:rFonts w:eastAsia="Times New Roman" w:cstheme="minorHAnsi"/>
                <w:sz w:val="20"/>
                <w:szCs w:val="20"/>
                <w:lang w:eastAsia="pl-PL"/>
              </w:rPr>
              <w:t>. Fakt nieodległej w czasie śmierci powinien podlegać ocenie w oderwaniu od oceny możliwości czy też trudności sporządzenia testamentu w formie zwykłej spowodowanych szczególnymi okolicznościami. Nie wydaje się celowe, aby pozbawiać możliwości skorzystania z formy testamentu ustnego znajdujących się w stanie obawy rychłej śmierci pacjentów w szpitalach czy też pensjonariuszy w domach spokojnej starości jedynie z uwagi na potencjalną możliwość wezwania do każdej z nich notariusza.</w:t>
            </w:r>
          </w:p>
          <w:p w14:paraId="07987337" w14:textId="56A10A72"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lastRenderedPageBreak/>
              <w:t>Nie wydaje się, aby proponowana zmiana w zakresie przesłanek ważności testamentu ustnego była konieczna dla ostatecznego wykluczenia subiektywnego rozumienia przesłanki obawy rychłej śmierci spadkodawcy. Wprawdzie wskazuje się, że w sytuacji, w której uzasadnienie takiej obawy ma podlegać ocenie ze względu na zaistnienie szczególnych, mających zewnętrzne w stosunku do testatora pochodzenie, okoliczności, to nie powinno budzić wątpliwości, że relatywizacja tej obawy do tych okoliczności wyłącza jej subiektywizację. Jednak z przepisu art. 952 § 1 k.c. to zewnętrzne źródło nadzwyczajnych okoliczności nie wnika, stąd wysoce niepewne wydaje się jednoznaczne rozstrzygnięcie sporu co do sposobu rozumienia przesłanki obawy rych</w:t>
            </w:r>
            <w:r w:rsidR="00FC3A0C" w:rsidRPr="00D103B4">
              <w:rPr>
                <w:rFonts w:eastAsia="Times New Roman" w:cstheme="minorHAnsi"/>
                <w:sz w:val="20"/>
                <w:szCs w:val="20"/>
                <w:lang w:eastAsia="pl-PL"/>
              </w:rPr>
              <w:t>ł</w:t>
            </w:r>
            <w:r w:rsidRPr="00D103B4">
              <w:rPr>
                <w:rFonts w:eastAsia="Times New Roman" w:cstheme="minorHAnsi"/>
                <w:sz w:val="20"/>
                <w:szCs w:val="20"/>
                <w:lang w:eastAsia="pl-PL"/>
              </w:rPr>
              <w:t xml:space="preserve">ej śmierci spadkodawcy. Poza tym, przypadki subiektywnego rozumienia tej przesłanki nie zagrażają bezpieczeństwu obrotu, z uwagi na ograniczoną w czasie moc testamentów szczególnych. Poza tym na marginesie należy dodać, że subiektywne rozumienie obawy rychłej śmierci stanowi pogląd mniejszościowy tak w doktrynie, jak w orzecznictwie. </w:t>
            </w:r>
          </w:p>
        </w:tc>
        <w:tc>
          <w:tcPr>
            <w:tcW w:w="4076" w:type="dxa"/>
          </w:tcPr>
          <w:p w14:paraId="0CF365A8" w14:textId="5608753D" w:rsidR="00FF0AB4" w:rsidRDefault="007B3E6F" w:rsidP="009D0E2C">
            <w:pPr>
              <w:autoSpaceDE w:val="0"/>
              <w:autoSpaceDN w:val="0"/>
              <w:adjustRightInd w:val="0"/>
              <w:spacing w:line="276" w:lineRule="auto"/>
              <w:rPr>
                <w:rFonts w:eastAsia="Times New Roman" w:cstheme="minorHAnsi"/>
                <w:b/>
                <w:bCs/>
                <w:sz w:val="20"/>
                <w:szCs w:val="20"/>
                <w:lang w:eastAsia="pl-PL"/>
              </w:rPr>
            </w:pPr>
            <w:r>
              <w:rPr>
                <w:rFonts w:eastAsia="Times New Roman" w:cstheme="minorHAnsi"/>
                <w:b/>
                <w:bCs/>
                <w:sz w:val="20"/>
                <w:szCs w:val="20"/>
                <w:lang w:eastAsia="pl-PL"/>
              </w:rPr>
              <w:lastRenderedPageBreak/>
              <w:t>Uwaga nieuwzględniona</w:t>
            </w:r>
          </w:p>
          <w:p w14:paraId="2B98747A" w14:textId="2B5902C1" w:rsidR="006211ED" w:rsidRDefault="006211ED" w:rsidP="00B6276C">
            <w:pPr>
              <w:autoSpaceDE w:val="0"/>
              <w:autoSpaceDN w:val="0"/>
              <w:adjustRightInd w:val="0"/>
              <w:spacing w:line="276" w:lineRule="auto"/>
              <w:jc w:val="both"/>
              <w:rPr>
                <w:rFonts w:eastAsia="Times New Roman" w:cstheme="minorHAnsi"/>
                <w:sz w:val="20"/>
                <w:szCs w:val="20"/>
                <w:lang w:eastAsia="pl-PL"/>
              </w:rPr>
            </w:pPr>
            <w:r>
              <w:rPr>
                <w:rFonts w:eastAsia="Times New Roman" w:cstheme="minorHAnsi"/>
                <w:sz w:val="20"/>
                <w:szCs w:val="20"/>
                <w:lang w:eastAsia="pl-PL"/>
              </w:rPr>
              <w:t xml:space="preserve">(zob. uwaga zaczynająca się od fragmentu: </w:t>
            </w:r>
            <w:r w:rsidRPr="006211ED">
              <w:rPr>
                <w:rFonts w:eastAsia="Times New Roman" w:cstheme="minorHAnsi"/>
                <w:i/>
                <w:iCs/>
                <w:sz w:val="20"/>
                <w:szCs w:val="20"/>
                <w:lang w:eastAsia="pl-PL"/>
              </w:rPr>
              <w:t>„Najistotniejsza, jednak wysoce dyskusyjna (…)…”</w:t>
            </w:r>
            <w:r>
              <w:rPr>
                <w:rFonts w:eastAsia="Times New Roman" w:cstheme="minorHAnsi"/>
                <w:i/>
                <w:iCs/>
                <w:sz w:val="20"/>
                <w:szCs w:val="20"/>
                <w:lang w:eastAsia="pl-PL"/>
              </w:rPr>
              <w:t>)</w:t>
            </w:r>
          </w:p>
          <w:p w14:paraId="0020202D" w14:textId="544DA683" w:rsidR="00B6276C" w:rsidRDefault="007B3E6F" w:rsidP="00B6276C">
            <w:pPr>
              <w:autoSpaceDE w:val="0"/>
              <w:autoSpaceDN w:val="0"/>
              <w:adjustRightInd w:val="0"/>
              <w:spacing w:line="276" w:lineRule="auto"/>
              <w:jc w:val="both"/>
              <w:rPr>
                <w:rFonts w:eastAsia="Times New Roman" w:cstheme="minorHAnsi"/>
                <w:b/>
                <w:bCs/>
                <w:sz w:val="20"/>
                <w:szCs w:val="20"/>
                <w:lang w:eastAsia="pl-PL"/>
              </w:rPr>
            </w:pPr>
            <w:r w:rsidRPr="00B6276C">
              <w:rPr>
                <w:rFonts w:eastAsia="Times New Roman" w:cstheme="minorHAnsi"/>
                <w:sz w:val="20"/>
                <w:szCs w:val="20"/>
                <w:lang w:eastAsia="pl-PL"/>
              </w:rPr>
              <w:lastRenderedPageBreak/>
              <w:t>Kierunkowo uwaga stoi w opozycji do założe</w:t>
            </w:r>
            <w:r w:rsidR="00B6276C" w:rsidRPr="00B6276C">
              <w:rPr>
                <w:rFonts w:eastAsia="Times New Roman" w:cstheme="minorHAnsi"/>
                <w:sz w:val="20"/>
                <w:szCs w:val="20"/>
                <w:lang w:eastAsia="pl-PL"/>
              </w:rPr>
              <w:t xml:space="preserve">nia projektu, którym jest zawężenie możliwości sporządzenia testamentów ustnych, by ograniczyć jednocześnie możliwość fałszerstw testamentów. </w:t>
            </w:r>
            <w:r w:rsidR="00D72D85" w:rsidRPr="000E405A">
              <w:rPr>
                <w:rFonts w:eastAsia="Times New Roman" w:cstheme="minorHAnsi"/>
                <w:sz w:val="20"/>
                <w:szCs w:val="20"/>
                <w:lang w:eastAsia="pl-PL"/>
              </w:rPr>
              <w:t xml:space="preserve">Proponowane </w:t>
            </w:r>
            <w:r w:rsidR="00D72D85">
              <w:rPr>
                <w:rFonts w:eastAsia="Times New Roman" w:cstheme="minorHAnsi"/>
                <w:sz w:val="20"/>
                <w:szCs w:val="20"/>
                <w:lang w:eastAsia="pl-PL"/>
              </w:rPr>
              <w:t xml:space="preserve">w projekcie </w:t>
            </w:r>
            <w:r w:rsidR="00D72D85" w:rsidRPr="000E405A">
              <w:rPr>
                <w:rFonts w:eastAsia="Times New Roman" w:cstheme="minorHAnsi"/>
                <w:sz w:val="20"/>
                <w:szCs w:val="20"/>
                <w:lang w:eastAsia="pl-PL"/>
              </w:rPr>
              <w:t>rozwiązani</w:t>
            </w:r>
            <w:r w:rsidR="00D72D85">
              <w:rPr>
                <w:rFonts w:eastAsia="Times New Roman" w:cstheme="minorHAnsi"/>
                <w:sz w:val="20"/>
                <w:szCs w:val="20"/>
                <w:lang w:eastAsia="pl-PL"/>
              </w:rPr>
              <w:t>a</w:t>
            </w:r>
            <w:r w:rsidR="00D72D85" w:rsidRPr="000E405A">
              <w:rPr>
                <w:rFonts w:eastAsia="Times New Roman" w:cstheme="minorHAnsi"/>
                <w:sz w:val="20"/>
                <w:szCs w:val="20"/>
                <w:lang w:eastAsia="pl-PL"/>
              </w:rPr>
              <w:t xml:space="preserve"> wynika</w:t>
            </w:r>
            <w:r w:rsidR="00D72D85">
              <w:rPr>
                <w:rFonts w:eastAsia="Times New Roman" w:cstheme="minorHAnsi"/>
                <w:sz w:val="20"/>
                <w:szCs w:val="20"/>
                <w:lang w:eastAsia="pl-PL"/>
              </w:rPr>
              <w:t>ją</w:t>
            </w:r>
            <w:r w:rsidR="00D72D85" w:rsidRPr="000E405A">
              <w:rPr>
                <w:rFonts w:eastAsia="Times New Roman" w:cstheme="minorHAnsi"/>
                <w:sz w:val="20"/>
                <w:szCs w:val="20"/>
                <w:lang w:eastAsia="pl-PL"/>
              </w:rPr>
              <w:t xml:space="preserve"> z celowej decyzji Zespołu problemowego do spraw prawa spadkowego Komisji Kodyfikacyjnej Prawa Cywilnego.</w:t>
            </w:r>
            <w:r w:rsidR="007E78AE">
              <w:rPr>
                <w:rFonts w:eastAsia="Times New Roman" w:cstheme="minorHAnsi"/>
                <w:sz w:val="20"/>
                <w:szCs w:val="20"/>
                <w:lang w:eastAsia="pl-PL"/>
              </w:rPr>
              <w:t xml:space="preserve"> </w:t>
            </w:r>
            <w:r w:rsidR="00B6276C" w:rsidRPr="00B6276C">
              <w:rPr>
                <w:rFonts w:eastAsia="Times New Roman" w:cstheme="minorHAnsi"/>
                <w:sz w:val="20"/>
                <w:szCs w:val="20"/>
                <w:lang w:eastAsia="pl-PL"/>
              </w:rPr>
              <w:t>Co więcej, wskazana uwaga także w odniesieniu do obecnego brzmienia art. 952 k.c. proponuje dużo większą swobodę co do skorzystania z tej formy testamentu szczególnego – co nie znajduje uzasadnienia w świetle podkreślanych w orzecznictwie i doktrynie fałszerstw testamentów ustnych.</w:t>
            </w:r>
            <w:r w:rsidR="00B6276C">
              <w:rPr>
                <w:rFonts w:eastAsia="Times New Roman" w:cstheme="minorHAnsi"/>
                <w:b/>
                <w:bCs/>
                <w:sz w:val="20"/>
                <w:szCs w:val="20"/>
                <w:lang w:eastAsia="pl-PL"/>
              </w:rPr>
              <w:t xml:space="preserve"> </w:t>
            </w:r>
          </w:p>
          <w:p w14:paraId="19796AC6" w14:textId="77777777" w:rsidR="00DB1180" w:rsidRDefault="00DB1180" w:rsidP="00B6276C">
            <w:pPr>
              <w:autoSpaceDE w:val="0"/>
              <w:autoSpaceDN w:val="0"/>
              <w:adjustRightInd w:val="0"/>
              <w:spacing w:line="276" w:lineRule="auto"/>
              <w:jc w:val="both"/>
              <w:rPr>
                <w:rFonts w:eastAsia="Times New Roman" w:cstheme="minorHAnsi"/>
                <w:b/>
                <w:bCs/>
                <w:sz w:val="20"/>
                <w:szCs w:val="20"/>
                <w:lang w:eastAsia="pl-PL"/>
              </w:rPr>
            </w:pPr>
          </w:p>
          <w:p w14:paraId="7E88BE26" w14:textId="37ABA4FA" w:rsidR="00DB1180" w:rsidRPr="004F0B65" w:rsidRDefault="00DB1180" w:rsidP="00B6276C">
            <w:pPr>
              <w:autoSpaceDE w:val="0"/>
              <w:autoSpaceDN w:val="0"/>
              <w:adjustRightInd w:val="0"/>
              <w:spacing w:line="276" w:lineRule="auto"/>
              <w:jc w:val="both"/>
              <w:rPr>
                <w:rFonts w:eastAsia="Times New Roman" w:cstheme="minorHAnsi"/>
                <w:sz w:val="20"/>
                <w:szCs w:val="20"/>
                <w:lang w:eastAsia="pl-PL"/>
              </w:rPr>
            </w:pPr>
          </w:p>
        </w:tc>
      </w:tr>
      <w:tr w:rsidR="00FC3A0C" w:rsidRPr="00D103B4" w14:paraId="3CF3B3D5" w14:textId="77777777" w:rsidTr="00EF0179">
        <w:trPr>
          <w:trHeight w:val="590"/>
          <w:jc w:val="center"/>
        </w:trPr>
        <w:tc>
          <w:tcPr>
            <w:tcW w:w="562" w:type="dxa"/>
          </w:tcPr>
          <w:p w14:paraId="7F03C6A9" w14:textId="643E673A" w:rsidR="00FC3A0C" w:rsidRPr="00D103B4" w:rsidRDefault="00D103B4" w:rsidP="009D0E2C">
            <w:pPr>
              <w:spacing w:before="120"/>
              <w:ind w:right="-534"/>
              <w:rPr>
                <w:rFonts w:cstheme="minorHAnsi"/>
                <w:b/>
                <w:sz w:val="20"/>
                <w:szCs w:val="20"/>
              </w:rPr>
            </w:pPr>
            <w:r>
              <w:rPr>
                <w:rFonts w:cstheme="minorHAnsi"/>
                <w:b/>
                <w:sz w:val="20"/>
                <w:szCs w:val="20"/>
              </w:rPr>
              <w:lastRenderedPageBreak/>
              <w:t>3.</w:t>
            </w:r>
          </w:p>
        </w:tc>
        <w:tc>
          <w:tcPr>
            <w:tcW w:w="1843" w:type="dxa"/>
            <w:vAlign w:val="center"/>
          </w:tcPr>
          <w:p w14:paraId="1C20E6F7" w14:textId="2DEC3377" w:rsidR="00FC3A0C" w:rsidRPr="00D103B4" w:rsidRDefault="00FC3A0C" w:rsidP="00FC3A0C">
            <w:pPr>
              <w:jc w:val="center"/>
              <w:rPr>
                <w:rFonts w:cstheme="minorHAnsi"/>
                <w:b/>
                <w:bCs/>
                <w:sz w:val="20"/>
                <w:szCs w:val="20"/>
              </w:rPr>
            </w:pPr>
            <w:r w:rsidRPr="00D103B4">
              <w:rPr>
                <w:rFonts w:cstheme="minorHAnsi"/>
                <w:b/>
                <w:bCs/>
                <w:sz w:val="20"/>
                <w:szCs w:val="20"/>
              </w:rPr>
              <w:t>Sąd Apelacyjny w Krakowie</w:t>
            </w:r>
          </w:p>
          <w:p w14:paraId="4EE94472" w14:textId="4F02FDDE" w:rsidR="00FC3A0C" w:rsidRPr="00D103B4" w:rsidRDefault="00FC3A0C" w:rsidP="00FC3A0C">
            <w:pPr>
              <w:spacing w:before="120" w:after="120"/>
              <w:jc w:val="center"/>
              <w:rPr>
                <w:rFonts w:cstheme="minorHAnsi"/>
                <w:b/>
                <w:bCs/>
                <w:sz w:val="20"/>
                <w:szCs w:val="20"/>
              </w:rPr>
            </w:pPr>
            <w:r w:rsidRPr="00D103B4">
              <w:rPr>
                <w:rFonts w:cstheme="minorHAnsi"/>
                <w:sz w:val="20"/>
                <w:szCs w:val="20"/>
              </w:rPr>
              <w:t>- uwaga Sądu Rejonowego dla Krakowa-Podgórza w Krakowie</w:t>
            </w:r>
          </w:p>
        </w:tc>
        <w:tc>
          <w:tcPr>
            <w:tcW w:w="1843" w:type="dxa"/>
            <w:vAlign w:val="center"/>
          </w:tcPr>
          <w:p w14:paraId="65F3976A" w14:textId="1956F529" w:rsidR="00FC3A0C" w:rsidRPr="00D103B4" w:rsidRDefault="00FC3A0C" w:rsidP="009D0E2C">
            <w:pPr>
              <w:spacing w:before="120" w:after="120"/>
              <w:jc w:val="center"/>
              <w:rPr>
                <w:rFonts w:cstheme="minorHAnsi"/>
                <w:sz w:val="20"/>
                <w:szCs w:val="20"/>
              </w:rPr>
            </w:pPr>
            <w:r w:rsidRPr="00D103B4">
              <w:rPr>
                <w:rFonts w:cstheme="minorHAnsi"/>
                <w:sz w:val="20"/>
                <w:szCs w:val="20"/>
              </w:rPr>
              <w:t>Art. 1 pkt 2 projektu (</w:t>
            </w:r>
            <w:r w:rsidRPr="00D103B4">
              <w:rPr>
                <w:rFonts w:eastAsia="Times New Roman" w:cstheme="minorHAnsi"/>
                <w:sz w:val="20"/>
                <w:szCs w:val="20"/>
                <w:lang w:eastAsia="pl-PL"/>
              </w:rPr>
              <w:t>art. 952 § 1 k.c.)</w:t>
            </w:r>
          </w:p>
        </w:tc>
        <w:tc>
          <w:tcPr>
            <w:tcW w:w="5670" w:type="dxa"/>
            <w:vAlign w:val="center"/>
          </w:tcPr>
          <w:p w14:paraId="4D049AB8" w14:textId="18688C50" w:rsidR="00FC3A0C" w:rsidRPr="00D103B4" w:rsidRDefault="00FC3A0C" w:rsidP="009D0E2C">
            <w:pPr>
              <w:jc w:val="both"/>
              <w:rPr>
                <w:rFonts w:eastAsia="Times New Roman" w:cstheme="minorHAnsi"/>
                <w:sz w:val="20"/>
                <w:szCs w:val="20"/>
                <w:lang w:eastAsia="pl-PL"/>
              </w:rPr>
            </w:pPr>
            <w:r w:rsidRPr="00D103B4">
              <w:rPr>
                <w:rFonts w:cstheme="minorHAnsi"/>
                <w:sz w:val="20"/>
                <w:szCs w:val="20"/>
              </w:rPr>
              <w:t>Zachodzą wątpliwości, czy „nadzwyczajną okolicznością” będzie nagłe pogorszenie stanu zdrowia, bezpośrednio zagrażające życiu (zawał, udar, nagłe zaostrzenie objawów przewlekłej choroby), wyłączające u spadkodawcy możliwość pisania i równocześnie niepozostawiające czasu na czynność notarialną. Są to przypadki w praktyce najczęstsze. Uzasadnienie projektu jako przykład nadzwyczajnej okoliczności podaje np. zawał serca na terenie objętym powodzią, czyli stan faktyczny niezwykle rzadki. W takim rozumieniu „nadzwyczajne okoliczności” stają się pokrewne sile wyższej. Przy tak daleko idącym zawężeniu przesłanek testamentu ustnego nasuwa się wątpliwość, czy nie będzie to regulacja w ogóle nie znajdująca zastosowania w praktyce.</w:t>
            </w:r>
          </w:p>
        </w:tc>
        <w:tc>
          <w:tcPr>
            <w:tcW w:w="4076" w:type="dxa"/>
          </w:tcPr>
          <w:p w14:paraId="799155BF" w14:textId="1D8696E7" w:rsidR="00D72D85" w:rsidRPr="00DB1180" w:rsidRDefault="00D72D85" w:rsidP="00D72D85">
            <w:pPr>
              <w:autoSpaceDE w:val="0"/>
              <w:autoSpaceDN w:val="0"/>
              <w:adjustRightInd w:val="0"/>
              <w:spacing w:line="276" w:lineRule="auto"/>
              <w:jc w:val="both"/>
              <w:rPr>
                <w:rFonts w:eastAsia="Times New Roman" w:cstheme="minorHAnsi"/>
                <w:b/>
                <w:bCs/>
                <w:sz w:val="20"/>
                <w:szCs w:val="20"/>
                <w:lang w:eastAsia="pl-PL"/>
              </w:rPr>
            </w:pPr>
            <w:r w:rsidRPr="00DB1180">
              <w:rPr>
                <w:rFonts w:eastAsia="Times New Roman" w:cstheme="minorHAnsi"/>
                <w:b/>
                <w:bCs/>
                <w:sz w:val="20"/>
                <w:szCs w:val="20"/>
                <w:lang w:eastAsia="pl-PL"/>
              </w:rPr>
              <w:t>Uwaga uwzględniona</w:t>
            </w:r>
          </w:p>
          <w:p w14:paraId="579373B3" w14:textId="5E9DC1FD" w:rsidR="00D72D85" w:rsidRPr="00307896" w:rsidRDefault="00D72D85" w:rsidP="00D72D85">
            <w:pPr>
              <w:autoSpaceDE w:val="0"/>
              <w:autoSpaceDN w:val="0"/>
              <w:adjustRightInd w:val="0"/>
              <w:spacing w:line="276" w:lineRule="auto"/>
              <w:jc w:val="both"/>
              <w:rPr>
                <w:rFonts w:eastAsia="Times New Roman" w:cstheme="minorHAnsi"/>
                <w:sz w:val="20"/>
                <w:szCs w:val="20"/>
                <w:lang w:eastAsia="pl-PL"/>
              </w:rPr>
            </w:pPr>
            <w:r w:rsidRPr="00307896">
              <w:rPr>
                <w:rFonts w:eastAsia="Times New Roman" w:cstheme="minorHAnsi"/>
                <w:sz w:val="20"/>
                <w:szCs w:val="20"/>
                <w:lang w:eastAsia="pl-PL"/>
              </w:rPr>
              <w:t>Zdecydowano się zastąpić pojęcie „okoliczności nadzwyczajne” pierwotnie zastosowanym w projekcie pojęciem „okoliczności szczególne i nagłe”</w:t>
            </w:r>
            <w:r>
              <w:rPr>
                <w:rFonts w:eastAsia="Times New Roman" w:cstheme="minorHAnsi"/>
                <w:sz w:val="20"/>
                <w:szCs w:val="20"/>
                <w:lang w:eastAsia="pl-PL"/>
              </w:rPr>
              <w:t>. Uzupełniono również uzasadnienie projektu o przykłady takich szczególnych i nagłych okoliczności uzasadniających sporządzenie testamentu ustnego.</w:t>
            </w:r>
          </w:p>
          <w:p w14:paraId="44B05D2F" w14:textId="48B44631" w:rsidR="001D7D7D" w:rsidRPr="001D7D7D" w:rsidRDefault="001D7D7D" w:rsidP="009D0E2C">
            <w:pPr>
              <w:autoSpaceDE w:val="0"/>
              <w:autoSpaceDN w:val="0"/>
              <w:adjustRightInd w:val="0"/>
              <w:rPr>
                <w:rFonts w:eastAsia="Times New Roman" w:cstheme="minorHAnsi"/>
                <w:sz w:val="20"/>
                <w:szCs w:val="20"/>
                <w:lang w:eastAsia="pl-PL"/>
              </w:rPr>
            </w:pPr>
          </w:p>
        </w:tc>
      </w:tr>
      <w:tr w:rsidR="005F7478" w:rsidRPr="00D103B4" w14:paraId="0E0C3934" w14:textId="77777777" w:rsidTr="00EF0179">
        <w:trPr>
          <w:trHeight w:val="590"/>
          <w:jc w:val="center"/>
        </w:trPr>
        <w:tc>
          <w:tcPr>
            <w:tcW w:w="562" w:type="dxa"/>
          </w:tcPr>
          <w:p w14:paraId="0CC703BF" w14:textId="45C4EF17" w:rsidR="005F7478" w:rsidRPr="00D103B4" w:rsidRDefault="00D103B4" w:rsidP="009D0E2C">
            <w:pPr>
              <w:spacing w:before="120"/>
              <w:ind w:right="-534"/>
              <w:rPr>
                <w:rFonts w:cstheme="minorHAnsi"/>
                <w:b/>
                <w:sz w:val="20"/>
                <w:szCs w:val="20"/>
              </w:rPr>
            </w:pPr>
            <w:r>
              <w:rPr>
                <w:rFonts w:cstheme="minorHAnsi"/>
                <w:b/>
                <w:sz w:val="20"/>
                <w:szCs w:val="20"/>
              </w:rPr>
              <w:lastRenderedPageBreak/>
              <w:t>4.</w:t>
            </w:r>
          </w:p>
        </w:tc>
        <w:tc>
          <w:tcPr>
            <w:tcW w:w="1843" w:type="dxa"/>
            <w:vAlign w:val="center"/>
          </w:tcPr>
          <w:p w14:paraId="6B8B8FBD" w14:textId="31014F40" w:rsidR="005F7478" w:rsidRPr="00D103B4" w:rsidRDefault="005F7478" w:rsidP="005F7478">
            <w:pPr>
              <w:jc w:val="center"/>
              <w:rPr>
                <w:rFonts w:cstheme="minorHAnsi"/>
                <w:b/>
                <w:bCs/>
                <w:sz w:val="20"/>
                <w:szCs w:val="20"/>
              </w:rPr>
            </w:pPr>
            <w:r w:rsidRPr="00D103B4">
              <w:rPr>
                <w:rFonts w:cstheme="minorHAnsi"/>
                <w:b/>
                <w:bCs/>
                <w:sz w:val="20"/>
                <w:szCs w:val="20"/>
              </w:rPr>
              <w:t>Sąd Apelacyjny w Łodzi</w:t>
            </w:r>
          </w:p>
          <w:p w14:paraId="49E765D1" w14:textId="7ECBCD2F" w:rsidR="005F7478" w:rsidRPr="00D103B4" w:rsidRDefault="005F7478" w:rsidP="005F7478">
            <w:pPr>
              <w:jc w:val="center"/>
              <w:rPr>
                <w:rFonts w:cstheme="minorHAnsi"/>
                <w:b/>
                <w:bCs/>
                <w:sz w:val="20"/>
                <w:szCs w:val="20"/>
              </w:rPr>
            </w:pPr>
            <w:r w:rsidRPr="00D103B4">
              <w:rPr>
                <w:rFonts w:cstheme="minorHAnsi"/>
                <w:sz w:val="20"/>
                <w:szCs w:val="20"/>
              </w:rPr>
              <w:t>- uwaga Sądu Rejonowego dla Łodzi-Śródmieścia w Łodzi</w:t>
            </w:r>
          </w:p>
        </w:tc>
        <w:tc>
          <w:tcPr>
            <w:tcW w:w="1843" w:type="dxa"/>
            <w:vAlign w:val="center"/>
          </w:tcPr>
          <w:p w14:paraId="4D39DBF1" w14:textId="7AD2AAAC" w:rsidR="005F7478" w:rsidRPr="00D103B4" w:rsidRDefault="005F7478" w:rsidP="009D0E2C">
            <w:pPr>
              <w:spacing w:before="120" w:after="120"/>
              <w:jc w:val="center"/>
              <w:rPr>
                <w:rFonts w:cstheme="minorHAnsi"/>
                <w:sz w:val="20"/>
                <w:szCs w:val="20"/>
              </w:rPr>
            </w:pPr>
            <w:r w:rsidRPr="00D103B4">
              <w:rPr>
                <w:rFonts w:cstheme="minorHAnsi"/>
                <w:sz w:val="20"/>
                <w:szCs w:val="20"/>
              </w:rPr>
              <w:t>Art. 1 pkt 2 projektu (</w:t>
            </w:r>
            <w:r w:rsidRPr="00D103B4">
              <w:rPr>
                <w:rFonts w:eastAsia="Times New Roman" w:cstheme="minorHAnsi"/>
                <w:sz w:val="20"/>
                <w:szCs w:val="20"/>
                <w:lang w:eastAsia="pl-PL"/>
              </w:rPr>
              <w:t>art. 952 § 1, 2 i 3 k.c.)</w:t>
            </w:r>
          </w:p>
        </w:tc>
        <w:tc>
          <w:tcPr>
            <w:tcW w:w="5670" w:type="dxa"/>
            <w:vAlign w:val="center"/>
          </w:tcPr>
          <w:p w14:paraId="392065E0" w14:textId="77777777" w:rsidR="005F7478" w:rsidRPr="00D103B4" w:rsidRDefault="005F7478" w:rsidP="005F7478">
            <w:pPr>
              <w:jc w:val="both"/>
              <w:rPr>
                <w:rFonts w:eastAsia="Times New Roman" w:cstheme="minorHAnsi"/>
                <w:sz w:val="20"/>
                <w:szCs w:val="20"/>
                <w:lang w:eastAsia="pl-PL"/>
              </w:rPr>
            </w:pPr>
            <w:r w:rsidRPr="00D103B4">
              <w:rPr>
                <w:rFonts w:eastAsia="Times New Roman" w:cstheme="minorHAnsi"/>
                <w:sz w:val="20"/>
                <w:szCs w:val="20"/>
                <w:lang w:eastAsia="pl-PL"/>
              </w:rPr>
              <w:t>Uwagi dotyczące projektowanego art. 952 k.c.</w:t>
            </w:r>
          </w:p>
          <w:p w14:paraId="2AF109A2" w14:textId="31C2A343" w:rsidR="005F7478" w:rsidRPr="00D103B4" w:rsidRDefault="006E462C" w:rsidP="005F7478">
            <w:pPr>
              <w:jc w:val="both"/>
              <w:rPr>
                <w:rFonts w:eastAsia="Times New Roman" w:cstheme="minorHAnsi"/>
                <w:sz w:val="20"/>
                <w:szCs w:val="20"/>
                <w:lang w:eastAsia="pl-PL"/>
              </w:rPr>
            </w:pPr>
            <w:r>
              <w:rPr>
                <w:rFonts w:eastAsia="Times New Roman" w:cstheme="minorHAnsi"/>
                <w:sz w:val="20"/>
                <w:szCs w:val="20"/>
                <w:lang w:eastAsia="pl-PL"/>
              </w:rPr>
              <w:t>1.</w:t>
            </w:r>
            <w:r w:rsidR="005F7478" w:rsidRPr="00D103B4">
              <w:rPr>
                <w:rFonts w:eastAsia="Times New Roman" w:cstheme="minorHAnsi"/>
                <w:sz w:val="20"/>
                <w:szCs w:val="20"/>
                <w:lang w:eastAsia="pl-PL"/>
              </w:rPr>
              <w:t xml:space="preserve"> dot. § 1- w ocenie konsultującego projektowana zmiana jest niezrozumiała, polega na zastąpieniu jednych zwrotów niedookreślonych innymi zwrotami tego rodzaju, przy czym nie jest jasne czy nowa treść przepisu (tj. „nadzwyczajne okoliczności” w miejsce „szczególnych okoliczności” oraz „nadmiernie utrudnione” w miejsce „bardzo utrudnione”) odnośnie nowo zastosowanych zwrotów niedookreślonych prowadzi do jakichkolwiek zmian w zakresie normy prawnej jaka powinna być zdekodowana w oparciu o projektowany przepis. Biorąc pod uwagę, że dotychczasowy przepis podlegał już interpretacji judykatury, jego modyfikacja w kierunku polegającym na kształtowaniu nowych ale podobnie brzmiących zwrotów niedookreślonych, może prowadzić do konieczności ich ponownej interpretacji i skutkować długotrwałym ucieraniem się nowych linii orzeczniczych w oparciu o tę zmianę;</w:t>
            </w:r>
          </w:p>
          <w:p w14:paraId="7C0B5BB9" w14:textId="77777777" w:rsidR="005F7478" w:rsidRPr="00D103B4" w:rsidRDefault="005F7478" w:rsidP="005F7478">
            <w:pPr>
              <w:jc w:val="both"/>
              <w:rPr>
                <w:rFonts w:eastAsia="Times New Roman" w:cstheme="minorHAnsi"/>
                <w:sz w:val="20"/>
                <w:szCs w:val="20"/>
                <w:lang w:eastAsia="pl-PL"/>
              </w:rPr>
            </w:pPr>
          </w:p>
          <w:p w14:paraId="5ACABA2C" w14:textId="3284451C" w:rsidR="005F7478" w:rsidRPr="00D103B4" w:rsidRDefault="006E462C" w:rsidP="005F7478">
            <w:pPr>
              <w:jc w:val="both"/>
              <w:rPr>
                <w:rFonts w:eastAsia="Times New Roman" w:cstheme="minorHAnsi"/>
                <w:sz w:val="20"/>
                <w:szCs w:val="20"/>
                <w:lang w:eastAsia="pl-PL"/>
              </w:rPr>
            </w:pPr>
            <w:r>
              <w:rPr>
                <w:rFonts w:eastAsia="Times New Roman" w:cstheme="minorHAnsi"/>
                <w:sz w:val="20"/>
                <w:szCs w:val="20"/>
                <w:lang w:eastAsia="pl-PL"/>
              </w:rPr>
              <w:t>2.</w:t>
            </w:r>
            <w:r w:rsidR="005F7478" w:rsidRPr="00D103B4">
              <w:rPr>
                <w:rFonts w:eastAsia="Times New Roman" w:cstheme="minorHAnsi"/>
                <w:sz w:val="20"/>
                <w:szCs w:val="20"/>
                <w:lang w:eastAsia="pl-PL"/>
              </w:rPr>
              <w:t xml:space="preserve"> dot. § 1 i 2 – wobec zdecydowania się w § 2 posłużeniem się pojęcia „testament ustny”, rozsądnym wydaje się zastosowanie definicji nawiasowej w § 1 poprzez dodanie w nawiasie informacji, że § 1 definiuje pojęcie testament ustny poprzez dodanie zwrotu „(testament ustny)”;</w:t>
            </w:r>
          </w:p>
          <w:p w14:paraId="2E550E77" w14:textId="77777777" w:rsidR="005F7478" w:rsidRPr="00D103B4" w:rsidRDefault="005F7478" w:rsidP="005F7478">
            <w:pPr>
              <w:jc w:val="both"/>
              <w:rPr>
                <w:rFonts w:eastAsia="Times New Roman" w:cstheme="minorHAnsi"/>
                <w:sz w:val="20"/>
                <w:szCs w:val="20"/>
                <w:lang w:eastAsia="pl-PL"/>
              </w:rPr>
            </w:pPr>
          </w:p>
          <w:p w14:paraId="1018B4F7" w14:textId="12C415CC" w:rsidR="005F7478" w:rsidRPr="00D103B4" w:rsidRDefault="006E462C" w:rsidP="005F7478">
            <w:pPr>
              <w:jc w:val="both"/>
              <w:rPr>
                <w:rFonts w:eastAsia="Times New Roman" w:cstheme="minorHAnsi"/>
                <w:sz w:val="20"/>
                <w:szCs w:val="20"/>
                <w:lang w:eastAsia="pl-PL"/>
              </w:rPr>
            </w:pPr>
            <w:r>
              <w:rPr>
                <w:rFonts w:eastAsia="Times New Roman" w:cstheme="minorHAnsi"/>
                <w:sz w:val="20"/>
                <w:szCs w:val="20"/>
                <w:lang w:eastAsia="pl-PL"/>
              </w:rPr>
              <w:t>3.</w:t>
            </w:r>
            <w:r w:rsidR="005F7478" w:rsidRPr="00D103B4">
              <w:rPr>
                <w:rFonts w:eastAsia="Times New Roman" w:cstheme="minorHAnsi"/>
                <w:sz w:val="20"/>
                <w:szCs w:val="20"/>
                <w:lang w:eastAsia="pl-PL"/>
              </w:rPr>
              <w:t xml:space="preserve"> dot. § 2 – w ocenie konsultującego rygor stwierdzenia treści testamentu ustnego poprzez podpisanie go przez spadkodawcę i 3 świadków (§ 2 projektowanego art. 952) jest zbyt daleko idący a dotychczasowa regulacja odnośnie możliwości stwierdzenia jego treści jest wystarczająca (§ 2 i 3 art. 952). Należy zauważyć, że podpisanie pisma przez spadkodawcę i dwóch świadków w sposób wystarczający uwiarygadnia prawdziwość testamentu ustnego i jednocześnie nie utrudnia realizacji ostatniej woli spadkodawcy, co może być problematyczne w razie konieczności złożenia podpisu przez spadkodawcę i 3 świadków;</w:t>
            </w:r>
          </w:p>
          <w:p w14:paraId="1EE31105" w14:textId="77777777" w:rsidR="005F7478" w:rsidRPr="00D103B4" w:rsidRDefault="005F7478" w:rsidP="005F7478">
            <w:pPr>
              <w:jc w:val="both"/>
              <w:rPr>
                <w:rFonts w:eastAsia="Times New Roman" w:cstheme="minorHAnsi"/>
                <w:sz w:val="20"/>
                <w:szCs w:val="20"/>
                <w:lang w:eastAsia="pl-PL"/>
              </w:rPr>
            </w:pPr>
          </w:p>
          <w:p w14:paraId="3FB77E4C" w14:textId="31C80E7E" w:rsidR="005F7478" w:rsidRPr="00D103B4" w:rsidRDefault="006E462C" w:rsidP="009D0E2C">
            <w:pPr>
              <w:jc w:val="both"/>
              <w:rPr>
                <w:rFonts w:eastAsia="Times New Roman" w:cstheme="minorHAnsi"/>
                <w:sz w:val="20"/>
                <w:szCs w:val="20"/>
                <w:lang w:eastAsia="pl-PL"/>
              </w:rPr>
            </w:pPr>
            <w:r>
              <w:rPr>
                <w:rFonts w:eastAsia="Times New Roman" w:cstheme="minorHAnsi"/>
                <w:sz w:val="20"/>
                <w:szCs w:val="20"/>
                <w:lang w:eastAsia="pl-PL"/>
              </w:rPr>
              <w:t>4.</w:t>
            </w:r>
            <w:r w:rsidR="005F7478" w:rsidRPr="00D103B4">
              <w:rPr>
                <w:rFonts w:eastAsia="Times New Roman" w:cstheme="minorHAnsi"/>
                <w:sz w:val="20"/>
                <w:szCs w:val="20"/>
                <w:lang w:eastAsia="pl-PL"/>
              </w:rPr>
              <w:t xml:space="preserve"> dot. § 3 - w ocenie konsultującego wprowadzenie możliwości stwierdzenia treści testamentu poprzez jego utrwalenie audiowizualne jest obciążone wysokim ryzykiem, w dobie niezwykle szybkiego rozwoju technologii, w tym coraz dalej idących zdolności kreowania i modyfikowania obrazu i dźwięku przez AI, istnieje wysokie prawdopodobieństwo nieuprawnionego wpływania na treść testamentu utrwalanego w ten sposób, co może wywoływać konieczność prowadzenia długotrwałych i drogich postępowań z udziałem słabo dostępnych biegłych specjalistów z zakresu informatyki, tym samym zmiana ta może wpłynąć niekorzystnie zarówno na sprawność postępowań sądowych jak i możliwość skutecznej realizacji ostatniej woli spadkodawcy, w razie przyjęcia konieczności wprowadzenia takiej zmiany należałoby również rozważyć dodatkową regulację karną odnośnie fałszowania tego typu testamentów.</w:t>
            </w:r>
          </w:p>
        </w:tc>
        <w:tc>
          <w:tcPr>
            <w:tcW w:w="4076" w:type="dxa"/>
          </w:tcPr>
          <w:p w14:paraId="42AB90AA" w14:textId="4F57EB6B" w:rsidR="00D72D85" w:rsidRPr="00DB1180" w:rsidRDefault="00D72D85" w:rsidP="00D72D85">
            <w:pPr>
              <w:autoSpaceDE w:val="0"/>
              <w:autoSpaceDN w:val="0"/>
              <w:adjustRightInd w:val="0"/>
              <w:spacing w:line="276" w:lineRule="auto"/>
              <w:jc w:val="both"/>
              <w:rPr>
                <w:rFonts w:eastAsia="Times New Roman" w:cstheme="minorHAnsi"/>
                <w:b/>
                <w:bCs/>
                <w:sz w:val="20"/>
                <w:szCs w:val="20"/>
                <w:lang w:eastAsia="pl-PL"/>
              </w:rPr>
            </w:pPr>
            <w:r>
              <w:rPr>
                <w:rFonts w:eastAsia="Times New Roman" w:cstheme="minorHAnsi"/>
                <w:b/>
                <w:bCs/>
                <w:sz w:val="20"/>
                <w:szCs w:val="20"/>
                <w:lang w:eastAsia="pl-PL"/>
              </w:rPr>
              <w:lastRenderedPageBreak/>
              <w:t xml:space="preserve">1. </w:t>
            </w:r>
            <w:r w:rsidRPr="00DB1180">
              <w:rPr>
                <w:rFonts w:eastAsia="Times New Roman" w:cstheme="minorHAnsi"/>
                <w:b/>
                <w:bCs/>
                <w:sz w:val="20"/>
                <w:szCs w:val="20"/>
                <w:lang w:eastAsia="pl-PL"/>
              </w:rPr>
              <w:t>Uwaga uwzględniona</w:t>
            </w:r>
          </w:p>
          <w:p w14:paraId="5746B3F5" w14:textId="46F5984C" w:rsidR="007E78AE" w:rsidRDefault="00D72D85" w:rsidP="00D72D85">
            <w:pPr>
              <w:autoSpaceDE w:val="0"/>
              <w:autoSpaceDN w:val="0"/>
              <w:adjustRightInd w:val="0"/>
              <w:spacing w:line="276" w:lineRule="auto"/>
              <w:jc w:val="both"/>
              <w:rPr>
                <w:rFonts w:eastAsia="Times New Roman" w:cstheme="minorHAnsi"/>
                <w:sz w:val="20"/>
                <w:szCs w:val="20"/>
                <w:lang w:eastAsia="pl-PL"/>
              </w:rPr>
            </w:pPr>
            <w:r w:rsidRPr="00307896">
              <w:rPr>
                <w:rFonts w:eastAsia="Times New Roman" w:cstheme="minorHAnsi"/>
                <w:sz w:val="20"/>
                <w:szCs w:val="20"/>
                <w:lang w:eastAsia="pl-PL"/>
              </w:rPr>
              <w:t>Zdecydowano się zastąpić pojęcie „okoliczności nadzwyczajne” pierwotnie zastosowanym w projekcie pojęciem „okoliczności szczególne i nagłe”</w:t>
            </w:r>
            <w:r>
              <w:rPr>
                <w:rFonts w:eastAsia="Times New Roman" w:cstheme="minorHAnsi"/>
                <w:sz w:val="20"/>
                <w:szCs w:val="20"/>
                <w:lang w:eastAsia="pl-PL"/>
              </w:rPr>
              <w:t>.</w:t>
            </w:r>
            <w:r w:rsidR="007E78AE">
              <w:rPr>
                <w:rFonts w:eastAsia="Times New Roman" w:cstheme="minorHAnsi"/>
                <w:sz w:val="20"/>
                <w:szCs w:val="20"/>
                <w:lang w:eastAsia="pl-PL"/>
              </w:rPr>
              <w:t xml:space="preserve"> </w:t>
            </w:r>
          </w:p>
          <w:p w14:paraId="00409873" w14:textId="7F042D93" w:rsidR="00DB5005" w:rsidRDefault="00D72D85" w:rsidP="004F0B65">
            <w:pPr>
              <w:autoSpaceDE w:val="0"/>
              <w:autoSpaceDN w:val="0"/>
              <w:adjustRightInd w:val="0"/>
              <w:jc w:val="both"/>
              <w:rPr>
                <w:rFonts w:eastAsia="Times New Roman" w:cstheme="minorHAnsi"/>
                <w:sz w:val="20"/>
                <w:szCs w:val="20"/>
                <w:lang w:eastAsia="pl-PL"/>
              </w:rPr>
            </w:pPr>
            <w:r w:rsidRPr="004F0B65">
              <w:rPr>
                <w:rFonts w:eastAsia="Times New Roman" w:cstheme="minorHAnsi"/>
                <w:sz w:val="20"/>
                <w:szCs w:val="20"/>
                <w:lang w:eastAsia="pl-PL"/>
              </w:rPr>
              <w:t xml:space="preserve">Pojęcie </w:t>
            </w:r>
            <w:r w:rsidRPr="002F1D55">
              <w:rPr>
                <w:rFonts w:eastAsia="Times New Roman" w:cstheme="minorHAnsi"/>
                <w:sz w:val="20"/>
                <w:szCs w:val="20"/>
                <w:lang w:eastAsia="pl-PL"/>
              </w:rPr>
              <w:t>„bardzo utrudnione”,</w:t>
            </w:r>
            <w:r>
              <w:rPr>
                <w:rFonts w:eastAsia="Times New Roman" w:cstheme="minorHAnsi"/>
                <w:sz w:val="20"/>
                <w:szCs w:val="20"/>
                <w:lang w:eastAsia="pl-PL"/>
              </w:rPr>
              <w:t xml:space="preserve"> które występuje w Kodeksie cywilnym tylko w art. 952 </w:t>
            </w:r>
            <w:r w:rsidRPr="00CF32EA">
              <w:rPr>
                <w:rFonts w:ascii="Times New Roman" w:eastAsia="Times New Roman" w:hAnsi="Times New Roman" w:cs="Times New Roman"/>
                <w:sz w:val="20"/>
                <w:szCs w:val="20"/>
                <w:lang w:eastAsia="pl-PL"/>
              </w:rPr>
              <w:t>§</w:t>
            </w:r>
            <w:r>
              <w:rPr>
                <w:rFonts w:eastAsia="Times New Roman" w:cstheme="minorHAnsi"/>
                <w:sz w:val="20"/>
                <w:szCs w:val="20"/>
                <w:lang w:eastAsia="pl-PL"/>
              </w:rPr>
              <w:t xml:space="preserve"> 1 k.c., dostosowano do terminologii kodeksowej i zastąpiono występującym częściej w Kodeksie cywilnym pojęciem „nadmiernego utrudnienia” (por. np. art. 193 </w:t>
            </w:r>
            <w:r w:rsidRPr="00D72D85">
              <w:rPr>
                <w:rFonts w:eastAsia="Times New Roman" w:cstheme="minorHAnsi"/>
                <w:sz w:val="20"/>
                <w:szCs w:val="20"/>
                <w:lang w:eastAsia="pl-PL"/>
              </w:rPr>
              <w:t xml:space="preserve">§ </w:t>
            </w:r>
            <w:r>
              <w:rPr>
                <w:rFonts w:eastAsia="Times New Roman" w:cstheme="minorHAnsi"/>
                <w:sz w:val="20"/>
                <w:szCs w:val="20"/>
                <w:lang w:eastAsia="pl-PL"/>
              </w:rPr>
              <w:t>1, art. 305</w:t>
            </w:r>
            <w:r w:rsidRPr="004F0B65">
              <w:rPr>
                <w:rFonts w:eastAsia="Times New Roman" w:cstheme="minorHAnsi"/>
                <w:sz w:val="20"/>
                <w:szCs w:val="20"/>
                <w:vertAlign w:val="superscript"/>
                <w:lang w:eastAsia="pl-PL"/>
              </w:rPr>
              <w:t>3</w:t>
            </w:r>
            <w:r>
              <w:rPr>
                <w:rFonts w:eastAsia="Times New Roman" w:cstheme="minorHAnsi"/>
                <w:sz w:val="20"/>
                <w:szCs w:val="20"/>
                <w:lang w:eastAsia="pl-PL"/>
              </w:rPr>
              <w:t xml:space="preserve"> </w:t>
            </w:r>
            <w:r w:rsidRPr="00D72D85">
              <w:rPr>
                <w:rFonts w:eastAsia="Times New Roman" w:cstheme="minorHAnsi"/>
                <w:sz w:val="20"/>
                <w:szCs w:val="20"/>
                <w:lang w:eastAsia="pl-PL"/>
              </w:rPr>
              <w:t xml:space="preserve">§ </w:t>
            </w:r>
            <w:r>
              <w:rPr>
                <w:rFonts w:eastAsia="Times New Roman" w:cstheme="minorHAnsi"/>
                <w:sz w:val="20"/>
                <w:szCs w:val="20"/>
                <w:lang w:eastAsia="pl-PL"/>
              </w:rPr>
              <w:t>3, art. 357</w:t>
            </w:r>
            <w:r w:rsidRPr="004F0B65">
              <w:rPr>
                <w:rFonts w:eastAsia="Times New Roman" w:cstheme="minorHAnsi"/>
                <w:sz w:val="20"/>
                <w:szCs w:val="20"/>
                <w:vertAlign w:val="superscript"/>
                <w:lang w:eastAsia="pl-PL"/>
              </w:rPr>
              <w:t>1</w:t>
            </w:r>
            <w:r>
              <w:rPr>
                <w:rFonts w:eastAsia="Times New Roman" w:cstheme="minorHAnsi"/>
                <w:sz w:val="20"/>
                <w:szCs w:val="20"/>
                <w:lang w:eastAsia="pl-PL"/>
              </w:rPr>
              <w:t xml:space="preserve"> </w:t>
            </w:r>
            <w:r w:rsidRPr="00D72D85">
              <w:rPr>
                <w:rFonts w:eastAsia="Times New Roman" w:cstheme="minorHAnsi"/>
                <w:sz w:val="20"/>
                <w:szCs w:val="20"/>
                <w:lang w:eastAsia="pl-PL"/>
              </w:rPr>
              <w:t xml:space="preserve">§ </w:t>
            </w:r>
            <w:r>
              <w:rPr>
                <w:rFonts w:eastAsia="Times New Roman" w:cstheme="minorHAnsi"/>
                <w:sz w:val="20"/>
                <w:szCs w:val="20"/>
                <w:lang w:eastAsia="pl-PL"/>
              </w:rPr>
              <w:t xml:space="preserve">1, art. 363 </w:t>
            </w:r>
            <w:r w:rsidRPr="00D72D85">
              <w:rPr>
                <w:rFonts w:eastAsia="Times New Roman" w:cstheme="minorHAnsi"/>
                <w:sz w:val="20"/>
                <w:szCs w:val="20"/>
                <w:lang w:eastAsia="pl-PL"/>
              </w:rPr>
              <w:t xml:space="preserve">§ </w:t>
            </w:r>
            <w:r>
              <w:rPr>
                <w:rFonts w:eastAsia="Times New Roman" w:cstheme="minorHAnsi"/>
                <w:sz w:val="20"/>
                <w:szCs w:val="20"/>
                <w:lang w:eastAsia="pl-PL"/>
              </w:rPr>
              <w:t>1).</w:t>
            </w:r>
            <w:r w:rsidR="002F1D55" w:rsidRPr="002F1D55">
              <w:rPr>
                <w:rFonts w:ascii="Times New Roman" w:hAnsi="Times New Roman" w:cs="Times New Roman"/>
                <w:sz w:val="24"/>
                <w:szCs w:val="24"/>
              </w:rPr>
              <w:t xml:space="preserve"> </w:t>
            </w:r>
            <w:r w:rsidR="002F1D55" w:rsidRPr="002F1D55">
              <w:rPr>
                <w:rFonts w:eastAsia="Times New Roman" w:cstheme="minorHAnsi"/>
                <w:sz w:val="20"/>
                <w:szCs w:val="20"/>
                <w:lang w:eastAsia="pl-PL"/>
              </w:rPr>
              <w:t>Powinno to ułatwiać judykaturze rozsądną ocenę tego, kiedy wskutek szczególnych i nagłych okoliczności zachowanie zwykłej formy testamentu będzie nadmiernie (a więc ponadprzeciętnie) utrudnione.</w:t>
            </w:r>
          </w:p>
          <w:p w14:paraId="47364779" w14:textId="77777777" w:rsidR="00DB5005" w:rsidRDefault="00DB5005" w:rsidP="009D0E2C">
            <w:pPr>
              <w:autoSpaceDE w:val="0"/>
              <w:autoSpaceDN w:val="0"/>
              <w:adjustRightInd w:val="0"/>
              <w:rPr>
                <w:rFonts w:eastAsia="Times New Roman" w:cstheme="minorHAnsi"/>
                <w:b/>
                <w:bCs/>
                <w:sz w:val="20"/>
                <w:szCs w:val="20"/>
                <w:lang w:eastAsia="pl-PL"/>
              </w:rPr>
            </w:pPr>
          </w:p>
          <w:p w14:paraId="61D6C767" w14:textId="461DA748" w:rsidR="007E78AE" w:rsidRDefault="00DB5005" w:rsidP="00F70E8B">
            <w:pPr>
              <w:autoSpaceDE w:val="0"/>
              <w:autoSpaceDN w:val="0"/>
              <w:adjustRightInd w:val="0"/>
              <w:jc w:val="both"/>
              <w:rPr>
                <w:rFonts w:eastAsia="Times New Roman" w:cstheme="minorHAnsi"/>
                <w:sz w:val="20"/>
                <w:szCs w:val="20"/>
                <w:lang w:eastAsia="pl-PL"/>
              </w:rPr>
            </w:pPr>
            <w:r w:rsidRPr="007E347E">
              <w:rPr>
                <w:rFonts w:eastAsia="Times New Roman" w:cstheme="minorHAnsi"/>
                <w:b/>
                <w:bCs/>
                <w:sz w:val="20"/>
                <w:szCs w:val="20"/>
                <w:lang w:eastAsia="pl-PL"/>
              </w:rPr>
              <w:t>2.</w:t>
            </w:r>
            <w:r w:rsidRPr="00DB5005">
              <w:rPr>
                <w:rFonts w:eastAsia="Times New Roman" w:cstheme="minorHAnsi"/>
                <w:sz w:val="20"/>
                <w:szCs w:val="20"/>
                <w:lang w:eastAsia="pl-PL"/>
              </w:rPr>
              <w:t xml:space="preserve"> </w:t>
            </w:r>
            <w:r w:rsidR="00CF32EA" w:rsidRPr="008D1372">
              <w:rPr>
                <w:rFonts w:eastAsia="Times New Roman" w:cstheme="minorHAnsi"/>
                <w:b/>
                <w:bCs/>
                <w:sz w:val="20"/>
                <w:szCs w:val="20"/>
                <w:lang w:eastAsia="pl-PL"/>
              </w:rPr>
              <w:t>Uwaga niezasadna</w:t>
            </w:r>
          </w:p>
          <w:p w14:paraId="2E03525B" w14:textId="420C02DE" w:rsidR="008F0363" w:rsidRDefault="00CF32EA" w:rsidP="00F70E8B">
            <w:pPr>
              <w:autoSpaceDE w:val="0"/>
              <w:autoSpaceDN w:val="0"/>
              <w:adjustRightInd w:val="0"/>
              <w:jc w:val="both"/>
              <w:rPr>
                <w:rFonts w:eastAsia="Times New Roman" w:cstheme="minorHAnsi"/>
                <w:sz w:val="20"/>
                <w:szCs w:val="20"/>
                <w:lang w:eastAsia="pl-PL"/>
              </w:rPr>
            </w:pPr>
            <w:r>
              <w:rPr>
                <w:rFonts w:eastAsia="Times New Roman" w:cstheme="minorHAnsi"/>
                <w:sz w:val="20"/>
                <w:szCs w:val="20"/>
                <w:lang w:eastAsia="pl-PL"/>
              </w:rPr>
              <w:t xml:space="preserve">Już obecnie art. 952 k.c. posługuje się określeniem „testament ustny” (zob. </w:t>
            </w:r>
            <w:r w:rsidRPr="00CF32EA">
              <w:rPr>
                <w:rFonts w:ascii="Times New Roman" w:eastAsia="Times New Roman" w:hAnsi="Times New Roman" w:cs="Times New Roman"/>
                <w:sz w:val="20"/>
                <w:szCs w:val="20"/>
                <w:lang w:eastAsia="pl-PL"/>
              </w:rPr>
              <w:t>§</w:t>
            </w:r>
            <w:r>
              <w:rPr>
                <w:rFonts w:eastAsia="Times New Roman" w:cstheme="minorHAnsi"/>
                <w:sz w:val="20"/>
                <w:szCs w:val="20"/>
                <w:lang w:eastAsia="pl-PL"/>
              </w:rPr>
              <w:t xml:space="preserve"> 2, 3) bez definiowania tego pojęcia, a projekt poza zmianą przesłanek sporządzenia testamentu nie dokonuje innych modyfikacji, które miałyby wskazywać na konieczność zbudowania definicji „testamentu ustnego”.</w:t>
            </w:r>
          </w:p>
          <w:p w14:paraId="233648FD" w14:textId="5E5552BE" w:rsidR="00FB18A8" w:rsidRDefault="008F0363" w:rsidP="00FB18A8">
            <w:pPr>
              <w:tabs>
                <w:tab w:val="num" w:pos="720"/>
              </w:tabs>
              <w:autoSpaceDE w:val="0"/>
              <w:autoSpaceDN w:val="0"/>
              <w:adjustRightInd w:val="0"/>
              <w:jc w:val="both"/>
              <w:rPr>
                <w:rFonts w:eastAsia="Times New Roman" w:cstheme="minorHAnsi"/>
                <w:sz w:val="20"/>
                <w:szCs w:val="20"/>
                <w:lang w:eastAsia="pl-PL"/>
              </w:rPr>
            </w:pPr>
            <w:r w:rsidRPr="008F0363">
              <w:rPr>
                <w:rFonts w:eastAsia="Times New Roman" w:cstheme="minorHAnsi"/>
                <w:sz w:val="20"/>
                <w:szCs w:val="20"/>
                <w:lang w:eastAsia="pl-PL"/>
              </w:rPr>
              <w:t xml:space="preserve">W ustawie istnieje potrzeba wprowadzenia definicji legalnej wtedy, gdy jest to konieczne dla jasności, jednoznaczności i spójności stosowania przepisów. </w:t>
            </w:r>
            <w:r w:rsidR="00F70E8B">
              <w:rPr>
                <w:rFonts w:eastAsia="Times New Roman" w:cstheme="minorHAnsi"/>
                <w:sz w:val="20"/>
                <w:szCs w:val="20"/>
                <w:lang w:eastAsia="pl-PL"/>
              </w:rPr>
              <w:t>S</w:t>
            </w:r>
            <w:r w:rsidRPr="00FB18A8">
              <w:rPr>
                <w:rFonts w:eastAsia="Times New Roman" w:cstheme="minorHAnsi"/>
                <w:sz w:val="20"/>
                <w:szCs w:val="20"/>
                <w:lang w:eastAsia="pl-PL"/>
              </w:rPr>
              <w:t>ytuacja taka z</w:t>
            </w:r>
            <w:r w:rsidRPr="008F0363">
              <w:rPr>
                <w:rFonts w:eastAsia="Times New Roman" w:cstheme="minorHAnsi"/>
                <w:sz w:val="20"/>
                <w:szCs w:val="20"/>
                <w:lang w:eastAsia="pl-PL"/>
              </w:rPr>
              <w:t>achodzi</w:t>
            </w:r>
            <w:r w:rsidR="00F70E8B">
              <w:rPr>
                <w:rFonts w:eastAsia="Times New Roman" w:cstheme="minorHAnsi"/>
                <w:sz w:val="20"/>
                <w:szCs w:val="20"/>
                <w:lang w:eastAsia="pl-PL"/>
              </w:rPr>
              <w:t xml:space="preserve"> m.in.</w:t>
            </w:r>
            <w:r w:rsidR="00857315">
              <w:rPr>
                <w:rFonts w:eastAsia="Times New Roman" w:cstheme="minorHAnsi"/>
                <w:sz w:val="20"/>
                <w:szCs w:val="20"/>
                <w:lang w:eastAsia="pl-PL"/>
              </w:rPr>
              <w:t>,</w:t>
            </w:r>
            <w:r w:rsidRPr="008F0363">
              <w:rPr>
                <w:rFonts w:eastAsia="Times New Roman" w:cstheme="minorHAnsi"/>
                <w:sz w:val="20"/>
                <w:szCs w:val="20"/>
                <w:lang w:eastAsia="pl-PL"/>
              </w:rPr>
              <w:t xml:space="preserve"> </w:t>
            </w:r>
            <w:r w:rsidRPr="00FB18A8">
              <w:rPr>
                <w:rFonts w:eastAsia="Times New Roman" w:cstheme="minorHAnsi"/>
                <w:sz w:val="20"/>
                <w:szCs w:val="20"/>
                <w:lang w:eastAsia="pl-PL"/>
              </w:rPr>
              <w:t>gdy te</w:t>
            </w:r>
            <w:r w:rsidRPr="008F0363">
              <w:rPr>
                <w:rFonts w:eastAsia="Times New Roman" w:cstheme="minorHAnsi"/>
                <w:sz w:val="20"/>
                <w:szCs w:val="20"/>
                <w:lang w:eastAsia="pl-PL"/>
              </w:rPr>
              <w:t>rmin jest wieloznaczny lub nieostry w języku potocznym</w:t>
            </w:r>
            <w:r w:rsidRPr="00FB18A8">
              <w:rPr>
                <w:rFonts w:eastAsia="Times New Roman" w:cstheme="minorHAnsi"/>
                <w:sz w:val="20"/>
                <w:szCs w:val="20"/>
                <w:lang w:eastAsia="pl-PL"/>
              </w:rPr>
              <w:t xml:space="preserve">, </w:t>
            </w:r>
            <w:r w:rsidR="00FB18A8" w:rsidRPr="00FB18A8">
              <w:rPr>
                <w:rFonts w:eastAsia="Times New Roman" w:cstheme="minorHAnsi"/>
                <w:sz w:val="20"/>
                <w:szCs w:val="20"/>
                <w:lang w:eastAsia="pl-PL"/>
              </w:rPr>
              <w:t xml:space="preserve">gdy termin w ustawie ma </w:t>
            </w:r>
            <w:r w:rsidR="00FB18A8" w:rsidRPr="00FB18A8">
              <w:rPr>
                <w:rFonts w:eastAsia="Times New Roman" w:cstheme="minorHAnsi"/>
                <w:sz w:val="20"/>
                <w:szCs w:val="20"/>
                <w:lang w:eastAsia="pl-PL"/>
              </w:rPr>
              <w:lastRenderedPageBreak/>
              <w:t xml:space="preserve">inne znaczenie niż </w:t>
            </w:r>
            <w:r w:rsidRPr="008F0363">
              <w:rPr>
                <w:rFonts w:eastAsia="Times New Roman" w:cstheme="minorHAnsi"/>
                <w:sz w:val="20"/>
                <w:szCs w:val="20"/>
                <w:lang w:eastAsia="pl-PL"/>
              </w:rPr>
              <w:t>w języku powszechnym</w:t>
            </w:r>
            <w:r w:rsidR="00FB18A8" w:rsidRPr="00FB18A8">
              <w:rPr>
                <w:rFonts w:eastAsia="Times New Roman" w:cstheme="minorHAnsi"/>
                <w:sz w:val="20"/>
                <w:szCs w:val="20"/>
                <w:lang w:eastAsia="pl-PL"/>
              </w:rPr>
              <w:t>, tzn.</w:t>
            </w:r>
            <w:r w:rsidR="00167C37">
              <w:rPr>
                <w:rFonts w:eastAsia="Times New Roman" w:cstheme="minorHAnsi"/>
                <w:sz w:val="20"/>
                <w:szCs w:val="20"/>
                <w:lang w:eastAsia="pl-PL"/>
              </w:rPr>
              <w:t xml:space="preserve"> </w:t>
            </w:r>
            <w:r w:rsidR="00FB18A8" w:rsidRPr="00FB18A8">
              <w:rPr>
                <w:rFonts w:eastAsia="Times New Roman" w:cstheme="minorHAnsi"/>
                <w:sz w:val="20"/>
                <w:szCs w:val="20"/>
                <w:lang w:eastAsia="pl-PL"/>
              </w:rPr>
              <w:t>j</w:t>
            </w:r>
            <w:r w:rsidRPr="008F0363">
              <w:rPr>
                <w:rFonts w:eastAsia="Times New Roman" w:cstheme="minorHAnsi"/>
                <w:sz w:val="20"/>
                <w:szCs w:val="20"/>
                <w:lang w:eastAsia="pl-PL"/>
              </w:rPr>
              <w:t xml:space="preserve">eżeli ustawa nadaje </w:t>
            </w:r>
            <w:r w:rsidR="00FB18A8" w:rsidRPr="00FB18A8">
              <w:rPr>
                <w:rFonts w:eastAsia="Times New Roman" w:cstheme="minorHAnsi"/>
                <w:sz w:val="20"/>
                <w:szCs w:val="20"/>
                <w:lang w:eastAsia="pl-PL"/>
              </w:rPr>
              <w:t xml:space="preserve">danemu </w:t>
            </w:r>
            <w:r w:rsidRPr="008F0363">
              <w:rPr>
                <w:rFonts w:eastAsia="Times New Roman" w:cstheme="minorHAnsi"/>
                <w:sz w:val="20"/>
                <w:szCs w:val="20"/>
                <w:lang w:eastAsia="pl-PL"/>
              </w:rPr>
              <w:t>pojęciu sens specjalistyczny lub odbiegający od potoczneg</w:t>
            </w:r>
            <w:r w:rsidR="00FB18A8" w:rsidRPr="00FB18A8">
              <w:rPr>
                <w:rFonts w:eastAsia="Times New Roman" w:cstheme="minorHAnsi"/>
                <w:sz w:val="20"/>
                <w:szCs w:val="20"/>
                <w:lang w:eastAsia="pl-PL"/>
              </w:rPr>
              <w:t>o</w:t>
            </w:r>
            <w:r w:rsidR="00167C37">
              <w:rPr>
                <w:rFonts w:eastAsia="Times New Roman" w:cstheme="minorHAnsi"/>
                <w:sz w:val="20"/>
                <w:szCs w:val="20"/>
                <w:lang w:eastAsia="pl-PL"/>
              </w:rPr>
              <w:t>,</w:t>
            </w:r>
            <w:r w:rsidR="00FB18A8" w:rsidRPr="00FB18A8">
              <w:rPr>
                <w:rFonts w:eastAsia="Times New Roman" w:cstheme="minorHAnsi"/>
                <w:sz w:val="20"/>
                <w:szCs w:val="20"/>
                <w:lang w:eastAsia="pl-PL"/>
              </w:rPr>
              <w:t xml:space="preserve"> czy gdy występuje ryzyko rozbieżności interpretacyjnych (przy czym należy też rozróżnić sytuację, gdy ustawodawca celowo posługuje się </w:t>
            </w:r>
            <w:r w:rsidR="00F70E8B">
              <w:rPr>
                <w:rFonts w:eastAsia="Times New Roman" w:cstheme="minorHAnsi"/>
                <w:sz w:val="20"/>
                <w:szCs w:val="20"/>
                <w:lang w:eastAsia="pl-PL"/>
              </w:rPr>
              <w:t>pojęciami</w:t>
            </w:r>
            <w:r w:rsidR="00FB18A8" w:rsidRPr="00FB18A8">
              <w:rPr>
                <w:rFonts w:eastAsia="Times New Roman" w:cstheme="minorHAnsi"/>
                <w:sz w:val="20"/>
                <w:szCs w:val="20"/>
                <w:lang w:eastAsia="pl-PL"/>
              </w:rPr>
              <w:t xml:space="preserve"> nieostrymi albo klauzulami generalnymi</w:t>
            </w:r>
            <w:r w:rsidR="00F70E8B">
              <w:rPr>
                <w:rFonts w:eastAsia="Times New Roman" w:cstheme="minorHAnsi"/>
                <w:sz w:val="20"/>
                <w:szCs w:val="20"/>
                <w:lang w:eastAsia="pl-PL"/>
              </w:rPr>
              <w:t>)</w:t>
            </w:r>
            <w:r w:rsidR="00FB18A8" w:rsidRPr="00FB18A8">
              <w:rPr>
                <w:rFonts w:eastAsia="Times New Roman" w:cstheme="minorHAnsi"/>
                <w:sz w:val="20"/>
                <w:szCs w:val="20"/>
                <w:lang w:eastAsia="pl-PL"/>
              </w:rPr>
              <w:t>.</w:t>
            </w:r>
            <w:r w:rsidR="00FB18A8">
              <w:rPr>
                <w:rFonts w:eastAsia="Times New Roman" w:cstheme="minorHAnsi"/>
                <w:sz w:val="20"/>
                <w:szCs w:val="20"/>
                <w:lang w:eastAsia="pl-PL"/>
              </w:rPr>
              <w:t xml:space="preserve"> </w:t>
            </w:r>
          </w:p>
          <w:p w14:paraId="66BA3073" w14:textId="77777777" w:rsidR="000259D8" w:rsidRDefault="00F70E8B" w:rsidP="00F70E8B">
            <w:pPr>
              <w:tabs>
                <w:tab w:val="num" w:pos="720"/>
              </w:tabs>
              <w:autoSpaceDE w:val="0"/>
              <w:autoSpaceDN w:val="0"/>
              <w:adjustRightInd w:val="0"/>
              <w:jc w:val="both"/>
              <w:rPr>
                <w:rFonts w:eastAsia="Times New Roman" w:cstheme="minorHAnsi"/>
                <w:sz w:val="20"/>
                <w:szCs w:val="20"/>
                <w:lang w:eastAsia="pl-PL"/>
              </w:rPr>
            </w:pPr>
            <w:r>
              <w:rPr>
                <w:rFonts w:eastAsia="Times New Roman" w:cstheme="minorHAnsi"/>
                <w:sz w:val="20"/>
                <w:szCs w:val="20"/>
                <w:lang w:eastAsia="pl-PL"/>
              </w:rPr>
              <w:t xml:space="preserve">W przypadku treści art. 952 nie istnieje potrzeba wprowadzenia definicji legalnej. </w:t>
            </w:r>
            <w:r w:rsidRPr="00F70E8B">
              <w:rPr>
                <w:rFonts w:eastAsia="Times New Roman" w:cstheme="minorHAnsi"/>
                <w:sz w:val="20"/>
                <w:szCs w:val="20"/>
                <w:lang w:eastAsia="pl-PL"/>
              </w:rPr>
              <w:t>Testament ustny nie jest samodzielnym pojęciem wymagającym abstrakcyjnej definicji, lecz szczególną formą testamentu, dopuszczalną tylko w ściśle określonych okolicznościach</w:t>
            </w:r>
            <w:r>
              <w:rPr>
                <w:rFonts w:eastAsia="Times New Roman" w:cstheme="minorHAnsi"/>
                <w:sz w:val="20"/>
                <w:szCs w:val="20"/>
                <w:lang w:eastAsia="pl-PL"/>
              </w:rPr>
              <w:t>.</w:t>
            </w:r>
            <w:r w:rsidR="000259D8">
              <w:rPr>
                <w:rFonts w:eastAsia="Times New Roman" w:cstheme="minorHAnsi"/>
                <w:sz w:val="20"/>
                <w:szCs w:val="20"/>
                <w:lang w:eastAsia="pl-PL"/>
              </w:rPr>
              <w:t xml:space="preserve"> </w:t>
            </w:r>
          </w:p>
          <w:p w14:paraId="5CC98DCC" w14:textId="77777777" w:rsidR="00CF1497" w:rsidRDefault="00CF1497" w:rsidP="00F70E8B">
            <w:pPr>
              <w:tabs>
                <w:tab w:val="num" w:pos="720"/>
              </w:tabs>
              <w:autoSpaceDE w:val="0"/>
              <w:autoSpaceDN w:val="0"/>
              <w:adjustRightInd w:val="0"/>
              <w:jc w:val="both"/>
              <w:rPr>
                <w:rFonts w:eastAsia="Times New Roman" w:cstheme="minorHAnsi"/>
                <w:sz w:val="20"/>
                <w:szCs w:val="20"/>
                <w:lang w:eastAsia="pl-PL"/>
              </w:rPr>
            </w:pPr>
          </w:p>
          <w:p w14:paraId="04182B9C" w14:textId="0193C709" w:rsidR="007E78AE" w:rsidRDefault="00CF1497" w:rsidP="00F70E8B">
            <w:pPr>
              <w:tabs>
                <w:tab w:val="num" w:pos="720"/>
              </w:tabs>
              <w:autoSpaceDE w:val="0"/>
              <w:autoSpaceDN w:val="0"/>
              <w:adjustRightInd w:val="0"/>
              <w:jc w:val="both"/>
              <w:rPr>
                <w:rFonts w:eastAsia="Times New Roman" w:cstheme="minorHAnsi"/>
                <w:sz w:val="20"/>
                <w:szCs w:val="20"/>
                <w:lang w:eastAsia="pl-PL"/>
              </w:rPr>
            </w:pPr>
            <w:r w:rsidRPr="007E347E">
              <w:rPr>
                <w:rFonts w:eastAsia="Times New Roman" w:cstheme="minorHAnsi"/>
                <w:b/>
                <w:bCs/>
                <w:sz w:val="20"/>
                <w:szCs w:val="20"/>
                <w:lang w:eastAsia="pl-PL"/>
              </w:rPr>
              <w:t>3.</w:t>
            </w:r>
            <w:r w:rsidR="00B34DCA" w:rsidRPr="007E347E">
              <w:rPr>
                <w:rFonts w:eastAsia="Times New Roman" w:cstheme="minorHAnsi"/>
                <w:b/>
                <w:bCs/>
                <w:sz w:val="20"/>
                <w:szCs w:val="20"/>
                <w:lang w:eastAsia="pl-PL"/>
              </w:rPr>
              <w:t xml:space="preserve"> Uwaga</w:t>
            </w:r>
            <w:r w:rsidR="00B34DCA" w:rsidRPr="008D1372">
              <w:rPr>
                <w:rFonts w:eastAsia="Times New Roman" w:cstheme="minorHAnsi"/>
                <w:b/>
                <w:bCs/>
                <w:sz w:val="20"/>
                <w:szCs w:val="20"/>
                <w:lang w:eastAsia="pl-PL"/>
              </w:rPr>
              <w:t xml:space="preserve"> niezasadna</w:t>
            </w:r>
          </w:p>
          <w:p w14:paraId="4F2A9EB5" w14:textId="0A54240F" w:rsidR="00CF1497" w:rsidRDefault="00CC1ABA" w:rsidP="00F70E8B">
            <w:pPr>
              <w:tabs>
                <w:tab w:val="num" w:pos="720"/>
              </w:tabs>
              <w:autoSpaceDE w:val="0"/>
              <w:autoSpaceDN w:val="0"/>
              <w:adjustRightInd w:val="0"/>
              <w:jc w:val="both"/>
              <w:rPr>
                <w:rFonts w:eastAsia="Times New Roman" w:cstheme="minorHAnsi"/>
                <w:sz w:val="20"/>
                <w:szCs w:val="20"/>
                <w:lang w:eastAsia="pl-PL"/>
              </w:rPr>
            </w:pPr>
            <w:r w:rsidRPr="000E405A">
              <w:rPr>
                <w:rFonts w:eastAsia="Times New Roman" w:cstheme="minorHAnsi"/>
                <w:sz w:val="20"/>
                <w:szCs w:val="20"/>
                <w:lang w:eastAsia="pl-PL"/>
              </w:rPr>
              <w:t xml:space="preserve">Proponowane </w:t>
            </w:r>
            <w:r>
              <w:rPr>
                <w:rFonts w:eastAsia="Times New Roman" w:cstheme="minorHAnsi"/>
                <w:sz w:val="20"/>
                <w:szCs w:val="20"/>
                <w:lang w:eastAsia="pl-PL"/>
              </w:rPr>
              <w:t xml:space="preserve">w projekcie </w:t>
            </w:r>
            <w:r w:rsidRPr="000E405A">
              <w:rPr>
                <w:rFonts w:eastAsia="Times New Roman" w:cstheme="minorHAnsi"/>
                <w:sz w:val="20"/>
                <w:szCs w:val="20"/>
                <w:lang w:eastAsia="pl-PL"/>
              </w:rPr>
              <w:t>rozwiązani</w:t>
            </w:r>
            <w:r>
              <w:rPr>
                <w:rFonts w:eastAsia="Times New Roman" w:cstheme="minorHAnsi"/>
                <w:sz w:val="20"/>
                <w:szCs w:val="20"/>
                <w:lang w:eastAsia="pl-PL"/>
              </w:rPr>
              <w:t>a</w:t>
            </w:r>
            <w:r w:rsidRPr="000E405A">
              <w:rPr>
                <w:rFonts w:eastAsia="Times New Roman" w:cstheme="minorHAnsi"/>
                <w:sz w:val="20"/>
                <w:szCs w:val="20"/>
                <w:lang w:eastAsia="pl-PL"/>
              </w:rPr>
              <w:t xml:space="preserve"> wynika</w:t>
            </w:r>
            <w:r>
              <w:rPr>
                <w:rFonts w:eastAsia="Times New Roman" w:cstheme="minorHAnsi"/>
                <w:sz w:val="20"/>
                <w:szCs w:val="20"/>
                <w:lang w:eastAsia="pl-PL"/>
              </w:rPr>
              <w:t>ją</w:t>
            </w:r>
            <w:r w:rsidRPr="000E405A">
              <w:rPr>
                <w:rFonts w:eastAsia="Times New Roman" w:cstheme="minorHAnsi"/>
                <w:sz w:val="20"/>
                <w:szCs w:val="20"/>
                <w:lang w:eastAsia="pl-PL"/>
              </w:rPr>
              <w:t xml:space="preserve"> z celowej decyzji Zespołu problemowego do spraw prawa spadkowego Komisji Kodyfikacyjnej Prawa Cywilnego.</w:t>
            </w:r>
            <w:r>
              <w:rPr>
                <w:rFonts w:eastAsia="Times New Roman" w:cstheme="minorHAnsi"/>
                <w:sz w:val="20"/>
                <w:szCs w:val="20"/>
                <w:lang w:eastAsia="pl-PL"/>
              </w:rPr>
              <w:t xml:space="preserve"> </w:t>
            </w:r>
            <w:r w:rsidR="00B34DCA">
              <w:rPr>
                <w:rFonts w:eastAsia="Times New Roman" w:cstheme="minorHAnsi"/>
                <w:sz w:val="20"/>
                <w:szCs w:val="20"/>
                <w:lang w:eastAsia="pl-PL"/>
              </w:rPr>
              <w:t>Zaostrzenie wymogów co do sposobu sporządzenia testamentu ustnego było celowy</w:t>
            </w:r>
            <w:r w:rsidR="00C541C9">
              <w:rPr>
                <w:rFonts w:eastAsia="Times New Roman" w:cstheme="minorHAnsi"/>
                <w:sz w:val="20"/>
                <w:szCs w:val="20"/>
                <w:lang w:eastAsia="pl-PL"/>
              </w:rPr>
              <w:t>m</w:t>
            </w:r>
            <w:r w:rsidR="00B34DCA">
              <w:rPr>
                <w:rFonts w:eastAsia="Times New Roman" w:cstheme="minorHAnsi"/>
                <w:sz w:val="20"/>
                <w:szCs w:val="20"/>
                <w:lang w:eastAsia="pl-PL"/>
              </w:rPr>
              <w:t xml:space="preserve"> zabiegiem projektodawcy i ma stanowić odpowiedź na zdiagnozowaną w polskim obrocie prawnym praktykę fałszowania testamentów ustnych. Jednym z elementów mających zapobiegać ryzyku, a co najmniej zmniejszać ryzyko fałszowania testamentów ustnych jest zwiększenie liczby świadków wymaganych przy testamencie ustnym i złożenie podpisu na piśmie stwierdzającym treść testamentu ustnego</w:t>
            </w:r>
            <w:r w:rsidR="002F04A7">
              <w:rPr>
                <w:rFonts w:eastAsia="Times New Roman" w:cstheme="minorHAnsi"/>
                <w:sz w:val="20"/>
                <w:szCs w:val="20"/>
                <w:lang w:eastAsia="pl-PL"/>
              </w:rPr>
              <w:t xml:space="preserve"> przez 3 zamiast 2 świadków. </w:t>
            </w:r>
            <w:r w:rsidR="0068126C">
              <w:rPr>
                <w:rFonts w:eastAsia="Times New Roman" w:cstheme="minorHAnsi"/>
                <w:sz w:val="20"/>
                <w:szCs w:val="20"/>
                <w:lang w:eastAsia="pl-PL"/>
              </w:rPr>
              <w:t xml:space="preserve">Ponadto </w:t>
            </w:r>
            <w:r w:rsidR="0068126C">
              <w:rPr>
                <w:rFonts w:eastAsia="Times New Roman" w:cstheme="minorHAnsi"/>
                <w:sz w:val="20"/>
                <w:szCs w:val="20"/>
                <w:lang w:eastAsia="pl-PL"/>
              </w:rPr>
              <w:lastRenderedPageBreak/>
              <w:t xml:space="preserve">uznano, że skoro </w:t>
            </w:r>
            <w:r w:rsidR="0068126C" w:rsidRPr="0068126C">
              <w:rPr>
                <w:rFonts w:eastAsia="Times New Roman" w:cstheme="minorHAnsi"/>
                <w:sz w:val="20"/>
                <w:szCs w:val="20"/>
                <w:lang w:eastAsia="pl-PL"/>
              </w:rPr>
              <w:t xml:space="preserve">spadkodawca </w:t>
            </w:r>
            <w:r w:rsidR="0068126C">
              <w:rPr>
                <w:rFonts w:eastAsia="Times New Roman" w:cstheme="minorHAnsi"/>
                <w:sz w:val="20"/>
                <w:szCs w:val="20"/>
                <w:lang w:eastAsia="pl-PL"/>
              </w:rPr>
              <w:t>oświadcza swoją</w:t>
            </w:r>
            <w:r w:rsidR="0068126C" w:rsidRPr="0068126C">
              <w:rPr>
                <w:rFonts w:eastAsia="Times New Roman" w:cstheme="minorHAnsi"/>
                <w:sz w:val="20"/>
                <w:szCs w:val="20"/>
                <w:lang w:eastAsia="pl-PL"/>
              </w:rPr>
              <w:t xml:space="preserve"> ostatnią wolę ustnie przy jednoczesnej obecności co najmniej trzech świadków</w:t>
            </w:r>
            <w:r w:rsidR="0068126C">
              <w:rPr>
                <w:rFonts w:eastAsia="Times New Roman" w:cstheme="minorHAnsi"/>
                <w:sz w:val="20"/>
                <w:szCs w:val="20"/>
                <w:lang w:eastAsia="pl-PL"/>
              </w:rPr>
              <w:t>, a pismo to sporządza się niezwłocznie, to nie ma przyczyn, dla których spadkodawca nie powinien podpisać go od razu wraz z co najmniej trzema świadkami. Nie ma też żadnych przyczyn, aby którykolwiek z tych trzech świadków nie podpisał się na sporządzonym piśmie.</w:t>
            </w:r>
          </w:p>
          <w:p w14:paraId="6C0DF59C" w14:textId="77777777" w:rsidR="002F04A7" w:rsidRDefault="002F04A7" w:rsidP="00F70E8B">
            <w:pPr>
              <w:tabs>
                <w:tab w:val="num" w:pos="720"/>
              </w:tabs>
              <w:autoSpaceDE w:val="0"/>
              <w:autoSpaceDN w:val="0"/>
              <w:adjustRightInd w:val="0"/>
              <w:jc w:val="both"/>
              <w:rPr>
                <w:rFonts w:eastAsia="Times New Roman" w:cstheme="minorHAnsi"/>
                <w:sz w:val="20"/>
                <w:szCs w:val="20"/>
                <w:lang w:eastAsia="pl-PL"/>
              </w:rPr>
            </w:pPr>
          </w:p>
          <w:p w14:paraId="475FF142" w14:textId="530422D2" w:rsidR="002F04A7" w:rsidRDefault="002F04A7" w:rsidP="00F70E8B">
            <w:pPr>
              <w:tabs>
                <w:tab w:val="num" w:pos="720"/>
              </w:tabs>
              <w:autoSpaceDE w:val="0"/>
              <w:autoSpaceDN w:val="0"/>
              <w:adjustRightInd w:val="0"/>
              <w:jc w:val="both"/>
              <w:rPr>
                <w:rFonts w:eastAsia="Times New Roman" w:cstheme="minorHAnsi"/>
                <w:sz w:val="20"/>
                <w:szCs w:val="20"/>
                <w:lang w:eastAsia="pl-PL"/>
              </w:rPr>
            </w:pPr>
            <w:r w:rsidRPr="008D1372">
              <w:rPr>
                <w:rFonts w:eastAsia="Times New Roman" w:cstheme="minorHAnsi"/>
                <w:b/>
                <w:bCs/>
                <w:sz w:val="20"/>
                <w:szCs w:val="20"/>
                <w:lang w:eastAsia="pl-PL"/>
              </w:rPr>
              <w:t xml:space="preserve">4. </w:t>
            </w:r>
            <w:r w:rsidR="00134831">
              <w:rPr>
                <w:rFonts w:eastAsia="Times New Roman" w:cstheme="minorHAnsi"/>
                <w:b/>
                <w:bCs/>
                <w:sz w:val="20"/>
                <w:szCs w:val="20"/>
                <w:lang w:eastAsia="pl-PL"/>
              </w:rPr>
              <w:t>U</w:t>
            </w:r>
            <w:r w:rsidR="00AE78F8" w:rsidRPr="008D1372">
              <w:rPr>
                <w:rFonts w:eastAsia="Times New Roman" w:cstheme="minorHAnsi"/>
                <w:b/>
                <w:bCs/>
                <w:sz w:val="20"/>
                <w:szCs w:val="20"/>
                <w:lang w:eastAsia="pl-PL"/>
              </w:rPr>
              <w:t>waga niezasadna</w:t>
            </w:r>
          </w:p>
          <w:p w14:paraId="36BC692C" w14:textId="77777777" w:rsidR="00AE78F8" w:rsidRDefault="00AE78F8" w:rsidP="00F70E8B">
            <w:pPr>
              <w:tabs>
                <w:tab w:val="num" w:pos="720"/>
              </w:tabs>
              <w:autoSpaceDE w:val="0"/>
              <w:autoSpaceDN w:val="0"/>
              <w:adjustRightInd w:val="0"/>
              <w:jc w:val="both"/>
              <w:rPr>
                <w:rFonts w:eastAsia="Times New Roman" w:cstheme="minorHAnsi"/>
                <w:sz w:val="20"/>
                <w:szCs w:val="20"/>
                <w:lang w:eastAsia="pl-PL"/>
              </w:rPr>
            </w:pPr>
            <w:r>
              <w:rPr>
                <w:rFonts w:eastAsia="Times New Roman" w:cstheme="minorHAnsi"/>
                <w:sz w:val="20"/>
                <w:szCs w:val="20"/>
                <w:lang w:eastAsia="pl-PL"/>
              </w:rPr>
              <w:t xml:space="preserve">Zob. częściowo argumentacja jak w punkcie </w:t>
            </w:r>
            <w:r w:rsidR="001C2161">
              <w:rPr>
                <w:rFonts w:eastAsia="Times New Roman" w:cstheme="minorHAnsi"/>
                <w:sz w:val="20"/>
                <w:szCs w:val="20"/>
                <w:lang w:eastAsia="pl-PL"/>
              </w:rPr>
              <w:t>3 tabeli (uwagi ogólne).</w:t>
            </w:r>
          </w:p>
          <w:p w14:paraId="7D7509F7" w14:textId="003B0760" w:rsidR="00234B99" w:rsidRPr="00AB3232" w:rsidRDefault="001C2161" w:rsidP="00863BA4">
            <w:pPr>
              <w:tabs>
                <w:tab w:val="num" w:pos="720"/>
              </w:tabs>
              <w:autoSpaceDE w:val="0"/>
              <w:autoSpaceDN w:val="0"/>
              <w:adjustRightInd w:val="0"/>
              <w:jc w:val="both"/>
              <w:rPr>
                <w:rFonts w:eastAsia="Times New Roman" w:cstheme="minorHAnsi"/>
                <w:sz w:val="20"/>
                <w:szCs w:val="20"/>
                <w:lang w:eastAsia="pl-PL"/>
              </w:rPr>
            </w:pPr>
            <w:r>
              <w:rPr>
                <w:rFonts w:eastAsia="Times New Roman" w:cstheme="minorHAnsi"/>
                <w:sz w:val="20"/>
                <w:szCs w:val="20"/>
                <w:lang w:eastAsia="pl-PL"/>
              </w:rPr>
              <w:t xml:space="preserve">Dodatkowo, co do odpowiedzialności karnej za sfałszowanie testamentu, którego treść została </w:t>
            </w:r>
            <w:r w:rsidR="00863BA4">
              <w:rPr>
                <w:rFonts w:eastAsia="Times New Roman" w:cstheme="minorHAnsi"/>
                <w:sz w:val="20"/>
                <w:szCs w:val="20"/>
                <w:lang w:eastAsia="pl-PL"/>
              </w:rPr>
              <w:t xml:space="preserve">utrwalona audiowizualnie, należy wskazać, że wobec szerokiej definicji dokumentu, zawartej w art. 115 </w:t>
            </w:r>
            <w:r w:rsidR="00863BA4" w:rsidRPr="00863BA4">
              <w:rPr>
                <w:rFonts w:ascii="Times New Roman" w:eastAsia="Times New Roman" w:hAnsi="Times New Roman" w:cs="Times New Roman"/>
                <w:sz w:val="20"/>
                <w:szCs w:val="20"/>
                <w:lang w:eastAsia="pl-PL"/>
              </w:rPr>
              <w:t>§</w:t>
            </w:r>
            <w:r w:rsidR="00863BA4">
              <w:rPr>
                <w:rFonts w:eastAsia="Times New Roman" w:cstheme="minorHAnsi"/>
                <w:sz w:val="20"/>
                <w:szCs w:val="20"/>
                <w:lang w:eastAsia="pl-PL"/>
              </w:rPr>
              <w:t xml:space="preserve"> 14 ustawy – Kodeks karny, obejmującej ka</w:t>
            </w:r>
            <w:r w:rsidR="00863BA4" w:rsidRPr="00863BA4">
              <w:rPr>
                <w:rFonts w:eastAsia="Times New Roman" w:cstheme="minorHAnsi"/>
                <w:sz w:val="20"/>
                <w:szCs w:val="20"/>
                <w:lang w:eastAsia="pl-PL"/>
              </w:rPr>
              <w:t>żdy przedmiot lub inny zapisany nośnik informacji, z którym jest związane określone prawo, albo który ze względu na zawartą w nim treść stanowi dowód prawa, stosunku prawnego lub okoliczności mającej znaczenie prawne</w:t>
            </w:r>
            <w:r w:rsidR="00863BA4">
              <w:rPr>
                <w:rFonts w:eastAsia="Times New Roman" w:cstheme="minorHAnsi"/>
                <w:sz w:val="20"/>
                <w:szCs w:val="20"/>
                <w:lang w:eastAsia="pl-PL"/>
              </w:rPr>
              <w:t xml:space="preserve">, istnieje możliwość pociągnięcia do odpowiedzialności karnej fałszerza takiego nagrania, bez wprowadzania dodatkowych regulacji w tym zakresie. </w:t>
            </w:r>
          </w:p>
        </w:tc>
      </w:tr>
      <w:tr w:rsidR="005F7478" w:rsidRPr="00D103B4" w14:paraId="71D16C95" w14:textId="77777777" w:rsidTr="00EF0179">
        <w:trPr>
          <w:trHeight w:val="590"/>
          <w:jc w:val="center"/>
        </w:trPr>
        <w:tc>
          <w:tcPr>
            <w:tcW w:w="562" w:type="dxa"/>
          </w:tcPr>
          <w:p w14:paraId="0510C97F" w14:textId="59578774" w:rsidR="005F7478" w:rsidRPr="00D103B4" w:rsidRDefault="00D103B4" w:rsidP="009D0E2C">
            <w:pPr>
              <w:spacing w:before="120"/>
              <w:ind w:right="-534"/>
              <w:rPr>
                <w:rFonts w:cstheme="minorHAnsi"/>
                <w:b/>
                <w:sz w:val="20"/>
                <w:szCs w:val="20"/>
              </w:rPr>
            </w:pPr>
            <w:r>
              <w:rPr>
                <w:rFonts w:cstheme="minorHAnsi"/>
                <w:b/>
                <w:sz w:val="20"/>
                <w:szCs w:val="20"/>
              </w:rPr>
              <w:lastRenderedPageBreak/>
              <w:t>5.</w:t>
            </w:r>
          </w:p>
        </w:tc>
        <w:tc>
          <w:tcPr>
            <w:tcW w:w="1843" w:type="dxa"/>
            <w:vAlign w:val="center"/>
          </w:tcPr>
          <w:p w14:paraId="5F2A7E32" w14:textId="77777777" w:rsidR="005F7478" w:rsidRPr="00D103B4" w:rsidRDefault="005F7478" w:rsidP="005F7478">
            <w:pPr>
              <w:jc w:val="center"/>
              <w:rPr>
                <w:rFonts w:cstheme="minorHAnsi"/>
                <w:b/>
                <w:bCs/>
                <w:sz w:val="20"/>
                <w:szCs w:val="20"/>
              </w:rPr>
            </w:pPr>
            <w:r w:rsidRPr="00D103B4">
              <w:rPr>
                <w:rFonts w:cstheme="minorHAnsi"/>
                <w:b/>
                <w:bCs/>
                <w:sz w:val="20"/>
                <w:szCs w:val="20"/>
              </w:rPr>
              <w:t>Sąd Apelacyjny w Łodzi</w:t>
            </w:r>
          </w:p>
          <w:p w14:paraId="700EB333" w14:textId="7C381E4D" w:rsidR="005F7478" w:rsidRPr="00D103B4" w:rsidRDefault="005F7478" w:rsidP="005F7478">
            <w:pPr>
              <w:jc w:val="center"/>
              <w:rPr>
                <w:rFonts w:cstheme="minorHAnsi"/>
                <w:sz w:val="20"/>
                <w:szCs w:val="20"/>
              </w:rPr>
            </w:pPr>
            <w:r w:rsidRPr="00D103B4">
              <w:rPr>
                <w:rFonts w:cstheme="minorHAnsi"/>
                <w:sz w:val="20"/>
                <w:szCs w:val="20"/>
              </w:rPr>
              <w:t xml:space="preserve">- uwaga Sądu Rejonowego dla </w:t>
            </w:r>
            <w:r w:rsidRPr="00D103B4">
              <w:rPr>
                <w:rFonts w:cstheme="minorHAnsi"/>
                <w:sz w:val="20"/>
                <w:szCs w:val="20"/>
              </w:rPr>
              <w:lastRenderedPageBreak/>
              <w:t>Łodzi-Śródmieścia w Łodzi</w:t>
            </w:r>
          </w:p>
        </w:tc>
        <w:tc>
          <w:tcPr>
            <w:tcW w:w="1843" w:type="dxa"/>
            <w:vAlign w:val="center"/>
          </w:tcPr>
          <w:p w14:paraId="7EFD8FDA" w14:textId="7A760368" w:rsidR="005F7478" w:rsidRPr="00D103B4" w:rsidRDefault="005F7478" w:rsidP="009D0E2C">
            <w:pPr>
              <w:spacing w:before="120" w:after="120"/>
              <w:jc w:val="center"/>
              <w:rPr>
                <w:rFonts w:cstheme="minorHAnsi"/>
                <w:sz w:val="20"/>
                <w:szCs w:val="20"/>
              </w:rPr>
            </w:pPr>
            <w:r w:rsidRPr="00D103B4">
              <w:rPr>
                <w:rFonts w:cstheme="minorHAnsi"/>
                <w:sz w:val="20"/>
                <w:szCs w:val="20"/>
              </w:rPr>
              <w:lastRenderedPageBreak/>
              <w:t xml:space="preserve">Art. 1 pkt 2, 3 i 6 projektu </w:t>
            </w:r>
          </w:p>
        </w:tc>
        <w:tc>
          <w:tcPr>
            <w:tcW w:w="5670" w:type="dxa"/>
            <w:vAlign w:val="center"/>
          </w:tcPr>
          <w:p w14:paraId="6084A6CA" w14:textId="69494F3B" w:rsidR="005F7478" w:rsidRPr="00D103B4" w:rsidRDefault="005F7478" w:rsidP="005F7478">
            <w:pPr>
              <w:jc w:val="both"/>
              <w:rPr>
                <w:rFonts w:eastAsia="Times New Roman" w:cstheme="minorHAnsi"/>
                <w:sz w:val="20"/>
                <w:szCs w:val="20"/>
                <w:lang w:eastAsia="pl-PL"/>
              </w:rPr>
            </w:pPr>
            <w:r w:rsidRPr="00D103B4">
              <w:rPr>
                <w:rFonts w:cstheme="minorHAnsi"/>
                <w:sz w:val="20"/>
                <w:szCs w:val="20"/>
              </w:rPr>
              <w:t xml:space="preserve">Konsultujący stoi na stanowisku, że likwidacja testamentów podróżnych jest zbyt pochopna, tym samym należałby też pozostawić w mocy art. 955 zamiast wprowadzania art. 952 § 4. W ocenie konsultującego rzadkie stosowanie tego typu testamentów </w:t>
            </w:r>
            <w:r w:rsidRPr="00D103B4">
              <w:rPr>
                <w:rFonts w:cstheme="minorHAnsi"/>
                <w:sz w:val="20"/>
                <w:szCs w:val="20"/>
              </w:rPr>
              <w:lastRenderedPageBreak/>
              <w:t>nie zmienia faktu, że odnoszą się one do sytuacji możliwych do wystąpienia oraz pozwalają na wyrażenie ostatniej woli podróżnym, szczególnie osobom starszym w sposób, stosunkowo łatwy do udokumentowania i w efekcie do realizacji.</w:t>
            </w:r>
          </w:p>
        </w:tc>
        <w:tc>
          <w:tcPr>
            <w:tcW w:w="4076" w:type="dxa"/>
          </w:tcPr>
          <w:p w14:paraId="62280840" w14:textId="60B8B395" w:rsidR="0068126C" w:rsidRDefault="00DC41C7" w:rsidP="009D0E2C">
            <w:pPr>
              <w:autoSpaceDE w:val="0"/>
              <w:autoSpaceDN w:val="0"/>
              <w:adjustRightInd w:val="0"/>
              <w:rPr>
                <w:rFonts w:eastAsia="Times New Roman" w:cstheme="minorHAnsi"/>
                <w:b/>
                <w:bCs/>
                <w:sz w:val="20"/>
                <w:szCs w:val="20"/>
                <w:lang w:eastAsia="pl-PL"/>
              </w:rPr>
            </w:pPr>
            <w:r>
              <w:rPr>
                <w:rFonts w:eastAsia="Times New Roman" w:cstheme="minorHAnsi"/>
                <w:b/>
                <w:bCs/>
                <w:sz w:val="20"/>
                <w:szCs w:val="20"/>
                <w:lang w:eastAsia="pl-PL"/>
              </w:rPr>
              <w:lastRenderedPageBreak/>
              <w:t>Uwaga niezasadna</w:t>
            </w:r>
          </w:p>
          <w:p w14:paraId="5BFF7251" w14:textId="28CE42D5" w:rsidR="00DC41C7" w:rsidRPr="007E347E" w:rsidRDefault="00CC1ABA" w:rsidP="007E347E">
            <w:pPr>
              <w:autoSpaceDE w:val="0"/>
              <w:autoSpaceDN w:val="0"/>
              <w:adjustRightInd w:val="0"/>
              <w:jc w:val="both"/>
              <w:rPr>
                <w:rFonts w:eastAsia="Times New Roman" w:cstheme="minorHAnsi"/>
                <w:sz w:val="20"/>
                <w:szCs w:val="20"/>
                <w:lang w:eastAsia="pl-PL"/>
              </w:rPr>
            </w:pPr>
            <w:r w:rsidRPr="000E405A">
              <w:rPr>
                <w:rFonts w:eastAsia="Times New Roman" w:cstheme="minorHAnsi"/>
                <w:sz w:val="20"/>
                <w:szCs w:val="20"/>
                <w:lang w:eastAsia="pl-PL"/>
              </w:rPr>
              <w:t xml:space="preserve">Proponowane </w:t>
            </w:r>
            <w:r>
              <w:rPr>
                <w:rFonts w:eastAsia="Times New Roman" w:cstheme="minorHAnsi"/>
                <w:sz w:val="20"/>
                <w:szCs w:val="20"/>
                <w:lang w:eastAsia="pl-PL"/>
              </w:rPr>
              <w:t xml:space="preserve">w projekcie </w:t>
            </w:r>
            <w:r w:rsidRPr="000E405A">
              <w:rPr>
                <w:rFonts w:eastAsia="Times New Roman" w:cstheme="minorHAnsi"/>
                <w:sz w:val="20"/>
                <w:szCs w:val="20"/>
                <w:lang w:eastAsia="pl-PL"/>
              </w:rPr>
              <w:t>rozwiązani</w:t>
            </w:r>
            <w:r>
              <w:rPr>
                <w:rFonts w:eastAsia="Times New Roman" w:cstheme="minorHAnsi"/>
                <w:sz w:val="20"/>
                <w:szCs w:val="20"/>
                <w:lang w:eastAsia="pl-PL"/>
              </w:rPr>
              <w:t>a</w:t>
            </w:r>
            <w:r w:rsidRPr="000E405A">
              <w:rPr>
                <w:rFonts w:eastAsia="Times New Roman" w:cstheme="minorHAnsi"/>
                <w:sz w:val="20"/>
                <w:szCs w:val="20"/>
                <w:lang w:eastAsia="pl-PL"/>
              </w:rPr>
              <w:t xml:space="preserve"> wynika</w:t>
            </w:r>
            <w:r>
              <w:rPr>
                <w:rFonts w:eastAsia="Times New Roman" w:cstheme="minorHAnsi"/>
                <w:sz w:val="20"/>
                <w:szCs w:val="20"/>
                <w:lang w:eastAsia="pl-PL"/>
              </w:rPr>
              <w:t>ją</w:t>
            </w:r>
            <w:r w:rsidRPr="000E405A">
              <w:rPr>
                <w:rFonts w:eastAsia="Times New Roman" w:cstheme="minorHAnsi"/>
                <w:sz w:val="20"/>
                <w:szCs w:val="20"/>
                <w:lang w:eastAsia="pl-PL"/>
              </w:rPr>
              <w:t xml:space="preserve"> z celowej decyzji Zespołu problemowego do spraw prawa spadkowego Komisji </w:t>
            </w:r>
            <w:r w:rsidRPr="000E405A">
              <w:rPr>
                <w:rFonts w:eastAsia="Times New Roman" w:cstheme="minorHAnsi"/>
                <w:sz w:val="20"/>
                <w:szCs w:val="20"/>
                <w:lang w:eastAsia="pl-PL"/>
              </w:rPr>
              <w:lastRenderedPageBreak/>
              <w:t>Kodyfikacyjnej Prawa Cywilnego</w:t>
            </w:r>
            <w:r w:rsidR="0068126C">
              <w:rPr>
                <w:rFonts w:eastAsia="Times New Roman" w:cstheme="minorHAnsi"/>
                <w:sz w:val="20"/>
                <w:szCs w:val="20"/>
                <w:lang w:eastAsia="pl-PL"/>
              </w:rPr>
              <w:t xml:space="preserve"> popartej szerokimi badaniami porównawczymi</w:t>
            </w:r>
            <w:r w:rsidRPr="000E405A">
              <w:rPr>
                <w:rFonts w:eastAsia="Times New Roman" w:cstheme="minorHAnsi"/>
                <w:sz w:val="20"/>
                <w:szCs w:val="20"/>
                <w:lang w:eastAsia="pl-PL"/>
              </w:rPr>
              <w:t>.</w:t>
            </w:r>
            <w:r>
              <w:rPr>
                <w:rFonts w:eastAsia="Times New Roman" w:cstheme="minorHAnsi"/>
                <w:sz w:val="20"/>
                <w:szCs w:val="20"/>
                <w:lang w:eastAsia="pl-PL"/>
              </w:rPr>
              <w:t xml:space="preserve"> </w:t>
            </w:r>
            <w:r w:rsidR="00DC41C7" w:rsidRPr="00DC41C7">
              <w:rPr>
                <w:rFonts w:eastAsia="Times New Roman" w:cstheme="minorHAnsi"/>
                <w:sz w:val="20"/>
                <w:szCs w:val="20"/>
                <w:lang w:eastAsia="pl-PL"/>
              </w:rPr>
              <w:t xml:space="preserve">Likwidacja testamentów podróżnych jest rozwiązaniem przemyślanym, a szczegółowe uzasadnienie tej zmiany znajduje się w uzasadnieniu projektu. </w:t>
            </w:r>
          </w:p>
        </w:tc>
      </w:tr>
      <w:tr w:rsidR="00252F32" w:rsidRPr="00D103B4" w14:paraId="5A2AED4D" w14:textId="77777777" w:rsidTr="00B241C8">
        <w:trPr>
          <w:jc w:val="center"/>
        </w:trPr>
        <w:tc>
          <w:tcPr>
            <w:tcW w:w="562" w:type="dxa"/>
          </w:tcPr>
          <w:p w14:paraId="12824B63" w14:textId="06A9ECFE" w:rsidR="00756A51" w:rsidRPr="00D103B4" w:rsidRDefault="00D103B4" w:rsidP="009D0E2C">
            <w:pPr>
              <w:spacing w:before="120" w:line="276" w:lineRule="auto"/>
              <w:ind w:right="-534"/>
              <w:rPr>
                <w:rFonts w:cstheme="minorHAnsi"/>
                <w:b/>
                <w:sz w:val="20"/>
                <w:szCs w:val="20"/>
              </w:rPr>
            </w:pPr>
            <w:r>
              <w:rPr>
                <w:rFonts w:cstheme="minorHAnsi"/>
                <w:b/>
                <w:sz w:val="20"/>
                <w:szCs w:val="20"/>
              </w:rPr>
              <w:lastRenderedPageBreak/>
              <w:t>6.</w:t>
            </w:r>
          </w:p>
        </w:tc>
        <w:tc>
          <w:tcPr>
            <w:tcW w:w="1843" w:type="dxa"/>
            <w:vAlign w:val="center"/>
          </w:tcPr>
          <w:p w14:paraId="2B92E1B1" w14:textId="409F9356" w:rsidR="00756A51" w:rsidRPr="00D103B4" w:rsidRDefault="00794DC2" w:rsidP="009D0E2C">
            <w:pPr>
              <w:spacing w:before="120" w:after="120" w:line="276" w:lineRule="auto"/>
              <w:jc w:val="center"/>
              <w:rPr>
                <w:rFonts w:cstheme="minorHAnsi"/>
                <w:b/>
                <w:bCs/>
                <w:sz w:val="20"/>
                <w:szCs w:val="20"/>
              </w:rPr>
            </w:pPr>
            <w:r w:rsidRPr="00D103B4">
              <w:rPr>
                <w:rFonts w:cstheme="minorHAnsi"/>
                <w:b/>
                <w:bCs/>
                <w:sz w:val="20"/>
                <w:szCs w:val="20"/>
              </w:rPr>
              <w:t>Ośrodek Badań, Studiów i Legislacji Krajowej Rady Radców Prawnych</w:t>
            </w:r>
          </w:p>
        </w:tc>
        <w:tc>
          <w:tcPr>
            <w:tcW w:w="1843" w:type="dxa"/>
            <w:vAlign w:val="center"/>
          </w:tcPr>
          <w:p w14:paraId="3CE91D24" w14:textId="266CFA3D" w:rsidR="00756A51" w:rsidRPr="00D103B4" w:rsidRDefault="00794DC2" w:rsidP="009D0E2C">
            <w:pPr>
              <w:spacing w:before="120" w:after="120" w:line="276" w:lineRule="auto"/>
              <w:jc w:val="center"/>
              <w:rPr>
                <w:rFonts w:cstheme="minorHAnsi"/>
                <w:sz w:val="20"/>
                <w:szCs w:val="20"/>
              </w:rPr>
            </w:pPr>
            <w:r w:rsidRPr="00D103B4">
              <w:rPr>
                <w:rFonts w:cstheme="minorHAnsi"/>
                <w:sz w:val="20"/>
                <w:szCs w:val="20"/>
              </w:rPr>
              <w:t>Art. 1 pkt 2 projektu</w:t>
            </w:r>
            <w:r w:rsidR="003170B1" w:rsidRPr="00D103B4">
              <w:rPr>
                <w:rFonts w:cstheme="minorHAnsi"/>
                <w:sz w:val="20"/>
                <w:szCs w:val="20"/>
              </w:rPr>
              <w:t xml:space="preserve"> (</w:t>
            </w:r>
            <w:r w:rsidR="003170B1" w:rsidRPr="00D103B4">
              <w:rPr>
                <w:rFonts w:eastAsia="Times New Roman" w:cstheme="minorHAnsi"/>
                <w:sz w:val="20"/>
                <w:szCs w:val="20"/>
                <w:lang w:eastAsia="pl-PL"/>
              </w:rPr>
              <w:t>art. 952 § 2 i 3 k.c.)</w:t>
            </w:r>
          </w:p>
        </w:tc>
        <w:tc>
          <w:tcPr>
            <w:tcW w:w="5670" w:type="dxa"/>
            <w:vAlign w:val="center"/>
          </w:tcPr>
          <w:p w14:paraId="2765550B" w14:textId="77777777" w:rsidR="00756A51" w:rsidRPr="00D103B4" w:rsidRDefault="00F42CE7" w:rsidP="009D0E2C">
            <w:pPr>
              <w:spacing w:line="276" w:lineRule="auto"/>
              <w:jc w:val="both"/>
              <w:rPr>
                <w:rFonts w:eastAsia="Times New Roman" w:cstheme="minorHAnsi"/>
                <w:b/>
                <w:bCs/>
                <w:sz w:val="20"/>
                <w:szCs w:val="20"/>
                <w:lang w:eastAsia="pl-PL"/>
              </w:rPr>
            </w:pPr>
            <w:r w:rsidRPr="00D103B4">
              <w:rPr>
                <w:rFonts w:eastAsia="Times New Roman" w:cstheme="minorHAnsi"/>
                <w:sz w:val="20"/>
                <w:szCs w:val="20"/>
                <w:lang w:eastAsia="pl-PL"/>
              </w:rPr>
              <w:t xml:space="preserve">Wątpliwości budzi proponowana w art. 1 pkt 2 Projektu redakcja art. 952 § 2 i 3 k.c., z której wynika, że określony w art. 952 § 3 k.c. trzymiesięczny termin liczony od otwarcia spadku na przekazanie notariuszowi lub sądowi spadku utrwalonego testamentu ustnego będzie mieć zastosowanie tylko w przypadku, gdy do jego utrwalenia dojdzie za pomocą urządzenia rejestrującego obraz i dźwięk, a nie będzie mieć zastosowania do przekazania pisma obejmującego oświadczenie spadkodawcy, o którym mowa w art. 952 § 2 k.c. Wydaje się, że </w:t>
            </w:r>
            <w:r w:rsidRPr="00D103B4">
              <w:rPr>
                <w:rFonts w:eastAsia="Times New Roman" w:cstheme="minorHAnsi"/>
                <w:b/>
                <w:bCs/>
                <w:sz w:val="20"/>
                <w:szCs w:val="20"/>
                <w:lang w:eastAsia="pl-PL"/>
              </w:rPr>
              <w:t>termin określony w art. 952 § 3 k.c. powinien mieć zastosowanie zarówno</w:t>
            </w:r>
            <w:r w:rsidRPr="00D103B4">
              <w:rPr>
                <w:rFonts w:eastAsia="Times New Roman" w:cstheme="minorHAnsi"/>
                <w:sz w:val="20"/>
                <w:szCs w:val="20"/>
                <w:lang w:eastAsia="pl-PL"/>
              </w:rPr>
              <w:t xml:space="preserve"> wtedy, </w:t>
            </w:r>
            <w:r w:rsidRPr="00D103B4">
              <w:rPr>
                <w:rFonts w:eastAsia="Times New Roman" w:cstheme="minorHAnsi"/>
                <w:b/>
                <w:bCs/>
                <w:sz w:val="20"/>
                <w:szCs w:val="20"/>
                <w:lang w:eastAsia="pl-PL"/>
              </w:rPr>
              <w:t>gdy oświadczenie</w:t>
            </w:r>
            <w:r w:rsidRPr="00D103B4">
              <w:rPr>
                <w:rFonts w:eastAsia="Times New Roman" w:cstheme="minorHAnsi"/>
                <w:sz w:val="20"/>
                <w:szCs w:val="20"/>
                <w:lang w:eastAsia="pl-PL"/>
              </w:rPr>
              <w:t xml:space="preserve"> spadkodawcy </w:t>
            </w:r>
            <w:r w:rsidRPr="00D103B4">
              <w:rPr>
                <w:rFonts w:eastAsia="Times New Roman" w:cstheme="minorHAnsi"/>
                <w:b/>
                <w:bCs/>
                <w:sz w:val="20"/>
                <w:szCs w:val="20"/>
                <w:lang w:eastAsia="pl-PL"/>
              </w:rPr>
              <w:t>zostanie utrwalone za pomocą urządzenia rejestrującego obraz i dźwięk, jak i wtedy, gdy zostanie ono spisane przez jednego ze świadków.</w:t>
            </w:r>
          </w:p>
          <w:p w14:paraId="3F56C685" w14:textId="77777777" w:rsidR="00A44245" w:rsidRPr="00D103B4" w:rsidRDefault="00A44245" w:rsidP="009D0E2C">
            <w:pPr>
              <w:spacing w:line="276" w:lineRule="auto"/>
              <w:jc w:val="both"/>
              <w:rPr>
                <w:rFonts w:eastAsia="Times New Roman" w:cstheme="minorHAnsi"/>
                <w:sz w:val="20"/>
                <w:szCs w:val="20"/>
                <w:lang w:eastAsia="pl-PL"/>
              </w:rPr>
            </w:pPr>
          </w:p>
          <w:p w14:paraId="690E1A7B" w14:textId="272691E6" w:rsidR="00A44245" w:rsidRPr="00D103B4" w:rsidRDefault="00A44245" w:rsidP="009D0E2C">
            <w:pPr>
              <w:spacing w:line="276" w:lineRule="auto"/>
              <w:jc w:val="both"/>
              <w:rPr>
                <w:rFonts w:eastAsia="Times New Roman" w:cstheme="minorHAnsi"/>
                <w:sz w:val="20"/>
                <w:szCs w:val="20"/>
                <w:lang w:eastAsia="pl-PL"/>
              </w:rPr>
            </w:pPr>
            <w:r w:rsidRPr="00D103B4">
              <w:rPr>
                <w:rFonts w:eastAsia="Times New Roman" w:cstheme="minorHAnsi"/>
                <w:bCs/>
                <w:i/>
                <w:iCs/>
                <w:sz w:val="20"/>
                <w:szCs w:val="20"/>
                <w:lang w:eastAsia="pl-PL"/>
              </w:rPr>
              <w:t xml:space="preserve">Uzasadnienie </w:t>
            </w:r>
          </w:p>
          <w:p w14:paraId="2CBABA65" w14:textId="0DB7F960" w:rsidR="009D3F2D" w:rsidRPr="00D103B4" w:rsidRDefault="00A44245"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Proponowana w art. 1 pkt 2 Projektu redakcja art. 952 § 2 i 3 k.c. prowadzi do wniosku, że określony w art. 952 § 3 k.c. trzymiesięczny termin liczony od otwarcia spadku na</w:t>
            </w:r>
            <w:r w:rsidR="009D3F2D" w:rsidRPr="00D103B4">
              <w:rPr>
                <w:rFonts w:eastAsia="Times New Roman" w:cstheme="minorHAnsi"/>
                <w:sz w:val="20"/>
                <w:szCs w:val="20"/>
                <w:lang w:eastAsia="pl-PL"/>
              </w:rPr>
              <w:t xml:space="preserve"> przekazanie notariuszowi lub sądowi spadku utrwalonego testamentu ustnego będzie mieć zastosowanie tylko w przypadku, gdy do jego utrwalenia dojdzie za pomocą urządzenia rejestrującego obraz i dźwięk, a nie będzie mieć zastosowania do przekazania pisma obejmującego oświadczenie spadkodawcy, o którym mowa w art. 952 § 2 k.c.</w:t>
            </w:r>
          </w:p>
          <w:p w14:paraId="773684DB" w14:textId="77777777" w:rsidR="009D3F2D" w:rsidRPr="00D103B4" w:rsidRDefault="009D3F2D"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lastRenderedPageBreak/>
              <w:t>Przewidziany w proponowanym art. 952 § 3 k.c. termin na złożenie notariuszowi lub do sądu spadku trwałego nośnika danych zawierającego nagranie testamentu ustnego ma na celu ograniczenie możliwości uwzględniania rozrządzeń majątkiem na wypadek śmierci zawartych w testamentach ustnych, które budzą wątpliwości odnośnie do ich autentyczności. Mechanizm ten koresponduje z ogólnym celem Projektu. Wydaje się jednak, że wątpliwości odnośnie do autentyczności testamentu ustnego mogą dotyczyć w jednakowym stopniu rozrządzeń sporządzonych w tej formie zarówno wtedy, gdy są one utrwalone na piśmie, jak i w postaci nagrania wykonanego za pomocą urządzenia rejestrującego obraz i dźwięk. Z tego powodu niezrozumiałe jest zastosowanie mechanizmu mającego na celu ograniczenie możliwości uwzględniania rozrządzeń majątkiem na wypadek śmierci zawartych w testamentach ustnych tylko do przypadków, w których są one utrwalone w piśmie, jak i w postaci nagrania wykonanego za pomocą urządzenia rejestrującego obraz i dźwięk.</w:t>
            </w:r>
          </w:p>
          <w:p w14:paraId="1A6A7A5E" w14:textId="77777777" w:rsidR="009D3F2D" w:rsidRPr="00D103B4" w:rsidRDefault="009D3F2D" w:rsidP="009D0E2C">
            <w:pPr>
              <w:spacing w:line="276" w:lineRule="auto"/>
              <w:jc w:val="both"/>
              <w:rPr>
                <w:rFonts w:eastAsia="Times New Roman" w:cstheme="minorHAnsi"/>
                <w:sz w:val="20"/>
                <w:szCs w:val="20"/>
                <w:lang w:eastAsia="pl-PL"/>
              </w:rPr>
            </w:pPr>
          </w:p>
          <w:p w14:paraId="560FBFC0" w14:textId="392BA6F2" w:rsidR="009D3F2D" w:rsidRPr="00D103B4" w:rsidRDefault="009D3F2D"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Wydaje się, że </w:t>
            </w:r>
            <w:r w:rsidRPr="00D103B4">
              <w:rPr>
                <w:rFonts w:eastAsia="Times New Roman" w:cstheme="minorHAnsi"/>
                <w:b/>
                <w:bCs/>
                <w:sz w:val="20"/>
                <w:szCs w:val="20"/>
                <w:lang w:eastAsia="pl-PL"/>
              </w:rPr>
              <w:t>termin określony w art. 952 § 3 k.c. powinien mieć zastosowanie zarówno</w:t>
            </w:r>
            <w:r w:rsidRPr="00D103B4">
              <w:rPr>
                <w:rFonts w:eastAsia="Times New Roman" w:cstheme="minorHAnsi"/>
                <w:sz w:val="20"/>
                <w:szCs w:val="20"/>
                <w:lang w:eastAsia="pl-PL"/>
              </w:rPr>
              <w:t xml:space="preserve"> wtedy, gdy oświadczenie spadkodawcy zostanie utrwalone za pomocą urządzenia rejestrującego obraz i dźwięk, jak i wtedy, gdy zostanie ono spisane przez jednego ze świadków.</w:t>
            </w:r>
          </w:p>
        </w:tc>
        <w:tc>
          <w:tcPr>
            <w:tcW w:w="4076" w:type="dxa"/>
          </w:tcPr>
          <w:p w14:paraId="2FE1C69D" w14:textId="0BE6A7D8" w:rsidR="00CC1ABA" w:rsidRPr="004F0B65" w:rsidRDefault="00CC1ABA" w:rsidP="00CC1ABA">
            <w:pPr>
              <w:spacing w:line="276" w:lineRule="auto"/>
              <w:jc w:val="both"/>
              <w:rPr>
                <w:rFonts w:cstheme="minorHAnsi"/>
                <w:b/>
                <w:bCs/>
                <w:sz w:val="20"/>
                <w:szCs w:val="20"/>
              </w:rPr>
            </w:pPr>
            <w:r w:rsidRPr="00CC1ABA">
              <w:rPr>
                <w:rFonts w:cstheme="minorHAnsi"/>
                <w:b/>
                <w:bCs/>
                <w:sz w:val="20"/>
                <w:szCs w:val="20"/>
              </w:rPr>
              <w:lastRenderedPageBreak/>
              <w:t>Uwaga nieuwzględniona</w:t>
            </w:r>
          </w:p>
          <w:p w14:paraId="038D51A7" w14:textId="0CBDBF05" w:rsidR="00CC1ABA" w:rsidRPr="004F0B65" w:rsidRDefault="00CC1ABA" w:rsidP="00CC1ABA">
            <w:pPr>
              <w:spacing w:line="276" w:lineRule="auto"/>
              <w:jc w:val="both"/>
              <w:rPr>
                <w:rFonts w:cstheme="minorHAnsi"/>
                <w:sz w:val="20"/>
                <w:szCs w:val="20"/>
              </w:rPr>
            </w:pPr>
            <w:r w:rsidRPr="004F0B65">
              <w:rPr>
                <w:rFonts w:cstheme="minorHAnsi"/>
                <w:sz w:val="20"/>
                <w:szCs w:val="20"/>
              </w:rPr>
              <w:t>Zgodnie z proponowanym art. 654 k.p.c. przepisy dotyczące postępowania w przedmiocie ogłoszenia testamentu (tj. art. 646 i n. k.p.c.) będzie się stosowało odpowiednio nie tylko do pisma stwierdzającego treść testamentu ustnego, ale też do trwałego nośnika danych, na którym utrwalona została treść testamentu ustnego. Oznacza to m.in., że osoba, u której znajduje się podpisane własnoręcznie przez testatora pismo stwierdzające treść testamentu ustnego, będzie obowiązana złożyć je w sądzie spadku, gdy dowie się o śmierci spadkodawcy, chyba że złożyła je u notariusza. Z tego też względu w proponowanym art. 952 § 2 k.c. (w przeciwieństwie do proponowanego art. 952 § 3 k.c.) nie było potrzeby wprowadzania szczególnego terminu zawitego do złożenia takiego pisma do sądu spadku albo notariusza i uzależniania od zachowania tego terminu możliwości stwierdzenia treści testamentu ustnego.</w:t>
            </w:r>
            <w:r w:rsidR="00FD6974">
              <w:rPr>
                <w:rFonts w:cstheme="minorHAnsi"/>
                <w:sz w:val="20"/>
                <w:szCs w:val="20"/>
              </w:rPr>
              <w:t xml:space="preserve"> Natomiast og</w:t>
            </w:r>
            <w:r w:rsidR="00FD6974" w:rsidRPr="00FD6974">
              <w:rPr>
                <w:rFonts w:cstheme="minorHAnsi"/>
                <w:sz w:val="20"/>
                <w:szCs w:val="20"/>
              </w:rPr>
              <w:t xml:space="preserve">raniczenie możliwości </w:t>
            </w:r>
            <w:r w:rsidR="00FD6974" w:rsidRPr="00FD6974">
              <w:rPr>
                <w:rFonts w:cstheme="minorHAnsi"/>
                <w:sz w:val="20"/>
                <w:szCs w:val="20"/>
              </w:rPr>
              <w:lastRenderedPageBreak/>
              <w:t>stwierdzania treści testamentu ustnego</w:t>
            </w:r>
            <w:r w:rsidR="00FD6974">
              <w:rPr>
                <w:rFonts w:cstheme="minorHAnsi"/>
                <w:sz w:val="20"/>
                <w:szCs w:val="20"/>
              </w:rPr>
              <w:t xml:space="preserve">, którego treść jest stwierdzana w okolicznościach określonych w </w:t>
            </w:r>
            <w:r w:rsidR="00FD6974" w:rsidRPr="00307896">
              <w:rPr>
                <w:rFonts w:cstheme="minorHAnsi"/>
                <w:sz w:val="20"/>
                <w:szCs w:val="20"/>
              </w:rPr>
              <w:t>art. 952 § 3 k.c.</w:t>
            </w:r>
            <w:r w:rsidR="00FD6974">
              <w:rPr>
                <w:rFonts w:cstheme="minorHAnsi"/>
                <w:sz w:val="20"/>
                <w:szCs w:val="20"/>
              </w:rPr>
              <w:t xml:space="preserve">, </w:t>
            </w:r>
            <w:r w:rsidR="00FD6974" w:rsidRPr="00FD6974">
              <w:rPr>
                <w:rFonts w:cstheme="minorHAnsi"/>
                <w:sz w:val="20"/>
                <w:szCs w:val="20"/>
              </w:rPr>
              <w:t>relatywnie krótkim terminem zawitym</w:t>
            </w:r>
            <w:r w:rsidR="00FD6974">
              <w:rPr>
                <w:rFonts w:cstheme="minorHAnsi"/>
                <w:sz w:val="20"/>
                <w:szCs w:val="20"/>
              </w:rPr>
              <w:t>,</w:t>
            </w:r>
            <w:r w:rsidR="00FD6974" w:rsidRPr="00FD6974">
              <w:rPr>
                <w:rFonts w:cstheme="minorHAnsi"/>
                <w:sz w:val="20"/>
                <w:szCs w:val="20"/>
              </w:rPr>
              <w:t xml:space="preserve"> ma na celu ograniczenie prób fałszowania takiego testamentu wiele lat po śmierci spadkodawcy.</w:t>
            </w:r>
          </w:p>
          <w:p w14:paraId="353C0224" w14:textId="3F7914E6" w:rsidR="006156DE" w:rsidRPr="006D3CE0" w:rsidRDefault="006156DE" w:rsidP="009D0E2C">
            <w:pPr>
              <w:spacing w:line="276" w:lineRule="auto"/>
              <w:jc w:val="both"/>
              <w:rPr>
                <w:rFonts w:cstheme="minorHAnsi"/>
                <w:b/>
                <w:bCs/>
                <w:color w:val="365F91" w:themeColor="accent1" w:themeShade="BF"/>
                <w:sz w:val="20"/>
                <w:szCs w:val="20"/>
              </w:rPr>
            </w:pPr>
          </w:p>
        </w:tc>
      </w:tr>
      <w:tr w:rsidR="00FF0AB4" w:rsidRPr="00D103B4" w14:paraId="38CFB9C2" w14:textId="77777777" w:rsidTr="00B241C8">
        <w:trPr>
          <w:jc w:val="center"/>
        </w:trPr>
        <w:tc>
          <w:tcPr>
            <w:tcW w:w="562" w:type="dxa"/>
          </w:tcPr>
          <w:p w14:paraId="1637AC87" w14:textId="2642E148" w:rsidR="00FF0AB4" w:rsidRPr="00D103B4" w:rsidRDefault="00D103B4" w:rsidP="009D0E2C">
            <w:pPr>
              <w:spacing w:before="120" w:line="276" w:lineRule="auto"/>
              <w:ind w:right="-534"/>
              <w:rPr>
                <w:rFonts w:cstheme="minorHAnsi"/>
                <w:b/>
                <w:sz w:val="20"/>
                <w:szCs w:val="20"/>
              </w:rPr>
            </w:pPr>
            <w:r>
              <w:rPr>
                <w:rFonts w:cstheme="minorHAnsi"/>
                <w:b/>
                <w:sz w:val="20"/>
                <w:szCs w:val="20"/>
              </w:rPr>
              <w:lastRenderedPageBreak/>
              <w:t>7.</w:t>
            </w:r>
          </w:p>
        </w:tc>
        <w:tc>
          <w:tcPr>
            <w:tcW w:w="1843" w:type="dxa"/>
            <w:vAlign w:val="center"/>
          </w:tcPr>
          <w:p w14:paraId="70E28710" w14:textId="3E86E6C8" w:rsidR="00FF0AB4" w:rsidRPr="00D103B4" w:rsidRDefault="00FF0AB4" w:rsidP="009D0E2C">
            <w:pPr>
              <w:spacing w:before="120" w:after="120" w:line="276" w:lineRule="auto"/>
              <w:jc w:val="center"/>
              <w:rPr>
                <w:rFonts w:cstheme="minorHAnsi"/>
                <w:b/>
                <w:bCs/>
                <w:sz w:val="20"/>
                <w:szCs w:val="20"/>
              </w:rPr>
            </w:pPr>
            <w:r w:rsidRPr="00D103B4">
              <w:rPr>
                <w:rFonts w:cstheme="minorHAnsi"/>
                <w:b/>
                <w:bCs/>
                <w:sz w:val="20"/>
                <w:szCs w:val="20"/>
              </w:rPr>
              <w:t>Konferencja Episkopatu Polski</w:t>
            </w:r>
          </w:p>
        </w:tc>
        <w:tc>
          <w:tcPr>
            <w:tcW w:w="1843" w:type="dxa"/>
            <w:vAlign w:val="center"/>
          </w:tcPr>
          <w:p w14:paraId="3D6470B7" w14:textId="212D7FA6" w:rsidR="00FF0AB4" w:rsidRPr="00D103B4" w:rsidRDefault="00FF0AB4" w:rsidP="009D0E2C">
            <w:pPr>
              <w:spacing w:before="120" w:after="120" w:line="276" w:lineRule="auto"/>
              <w:jc w:val="center"/>
              <w:rPr>
                <w:rFonts w:cstheme="minorHAnsi"/>
                <w:sz w:val="20"/>
                <w:szCs w:val="20"/>
              </w:rPr>
            </w:pPr>
            <w:r w:rsidRPr="00D103B4">
              <w:rPr>
                <w:rFonts w:cstheme="minorHAnsi"/>
                <w:sz w:val="20"/>
                <w:szCs w:val="20"/>
              </w:rPr>
              <w:t>Art. 1 pkt 2 projektu (</w:t>
            </w:r>
            <w:r w:rsidRPr="00D103B4">
              <w:rPr>
                <w:rFonts w:eastAsia="Times New Roman" w:cstheme="minorHAnsi"/>
                <w:sz w:val="20"/>
                <w:szCs w:val="20"/>
                <w:lang w:eastAsia="pl-PL"/>
              </w:rPr>
              <w:t>art. 952 § 2 i 3 k.c.)</w:t>
            </w:r>
          </w:p>
        </w:tc>
        <w:tc>
          <w:tcPr>
            <w:tcW w:w="5670" w:type="dxa"/>
            <w:vAlign w:val="center"/>
          </w:tcPr>
          <w:p w14:paraId="48BE2408"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Zmiany zaproponowano także w przedmiocie dopuszczalnych sposobów stwierdzenia treści testamentu ustnego, tj. przesłanek jego skuteczności. W obowiązującym (jeszcze) stanie prawnym treść testamentu ustnego może zostać stwierdzona poprzez jej spisanie przez jednego ze świadków testamentu lub osobę trzecią w terminie </w:t>
            </w:r>
            <w:r w:rsidRPr="00D103B4">
              <w:rPr>
                <w:rFonts w:eastAsia="Times New Roman" w:cstheme="minorHAnsi"/>
                <w:sz w:val="20"/>
                <w:szCs w:val="20"/>
                <w:lang w:eastAsia="pl-PL"/>
              </w:rPr>
              <w:lastRenderedPageBreak/>
              <w:t xml:space="preserve">jednego roku od złożenia oświadczenia przez spadkodawcę, ze wskazaniem w treści takiego pisma nie tylko treści rozrządzeń testamentowych, ale także podaniem miejsca i daty złożenia takiego oświadczenia przez spadkodawcę oraz miejsca i daty jego spisania (co umożliwia weryfikację zachowania zakreślonego ustawą terminu do stwierdzenia w ten sposób treści testamentu ustnego). Zgodnie z art. 952 § 2 k.c. pismo takie może podpisać spadkodawca i dwaj świadkowie albo trzej świadkowie testamentu ustnego. </w:t>
            </w:r>
          </w:p>
          <w:p w14:paraId="41790F96"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Zgodnie z projektowanymi zmianami sam sposób stwierdzenia treści testamentu ustnego w postaci spisania oświadczenia spadkodawcy zostanie zachowany, jednak wprowadzone zostaną do niego istotne modyfikacje. </w:t>
            </w:r>
          </w:p>
          <w:p w14:paraId="5C57CEAC"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Po pierwsze, spisanie treści testamentu będzie musiało nastąpić </w:t>
            </w:r>
            <w:r w:rsidRPr="00D103B4">
              <w:rPr>
                <w:rFonts w:eastAsia="Times New Roman" w:cstheme="minorHAnsi"/>
                <w:b/>
                <w:sz w:val="20"/>
                <w:szCs w:val="20"/>
                <w:lang w:eastAsia="pl-PL"/>
              </w:rPr>
              <w:t>niezwłocznie</w:t>
            </w:r>
            <w:r w:rsidRPr="00D103B4">
              <w:rPr>
                <w:rFonts w:eastAsia="Times New Roman" w:cstheme="minorHAnsi"/>
                <w:sz w:val="20"/>
                <w:szCs w:val="20"/>
                <w:lang w:eastAsia="pl-PL"/>
              </w:rPr>
              <w:t xml:space="preserve"> – tę zmianę ocenić należy </w:t>
            </w:r>
            <w:r w:rsidRPr="00D103B4">
              <w:rPr>
                <w:rFonts w:eastAsia="Times New Roman" w:cstheme="minorHAnsi"/>
                <w:b/>
                <w:sz w:val="20"/>
                <w:szCs w:val="20"/>
                <w:lang w:eastAsia="pl-PL"/>
              </w:rPr>
              <w:t>pozytywnie</w:t>
            </w:r>
            <w:r w:rsidRPr="00D103B4">
              <w:rPr>
                <w:rFonts w:eastAsia="Times New Roman" w:cstheme="minorHAnsi"/>
                <w:sz w:val="20"/>
                <w:szCs w:val="20"/>
                <w:lang w:eastAsia="pl-PL"/>
              </w:rPr>
              <w:t xml:space="preserve"> i to głównie dlatego, że teoretycznie gwarantuje dokładne, precyzyjne odzwierciedlenie woli spadkodawcy z uwagi na bliskość czasową obydwu zdarzeń, ale także ograniczy możliwości potencjalnego fałszowania treści oświadczenia spadkodawcy. Konsekwentnie usunięto z przepisu art. 952 § 2 k.c. wymóg umieszczenia w treści pisma stwierdzającego treść testamentu ustnego miejsca i daty złożenia oświadczenia przez spadkodawcę oraz miejsca i daty jego spisania. Zrezygnowano także z możliwości stwierdzenia treści testamentu ustnego w piśmie podpisanym przez trzech świadków. </w:t>
            </w:r>
            <w:r w:rsidRPr="00D103B4">
              <w:rPr>
                <w:rFonts w:eastAsia="Times New Roman" w:cstheme="minorHAnsi"/>
                <w:i/>
                <w:iCs/>
                <w:sz w:val="20"/>
                <w:szCs w:val="20"/>
                <w:lang w:eastAsia="pl-PL"/>
              </w:rPr>
              <w:t>De lege lata</w:t>
            </w:r>
            <w:r w:rsidRPr="00D103B4">
              <w:rPr>
                <w:rFonts w:eastAsia="Times New Roman" w:cstheme="minorHAnsi"/>
                <w:sz w:val="20"/>
                <w:szCs w:val="20"/>
                <w:lang w:eastAsia="pl-PL"/>
              </w:rPr>
              <w:t xml:space="preserve">, jak już wskazano, taka alternatywa istnieje, a wątpliwości dotyczące w takim przypadku chwili stwierdzenia treści testamentu ustnego, tj. czy stwierdzenie treści testamentu ustnego poprzez jej spisanie może nastąpić także po śmierci spadkodawcy, </w:t>
            </w:r>
            <w:r w:rsidRPr="00D103B4">
              <w:rPr>
                <w:rFonts w:eastAsia="Times New Roman" w:cstheme="minorHAnsi"/>
                <w:sz w:val="20"/>
                <w:szCs w:val="20"/>
                <w:lang w:eastAsia="pl-PL"/>
              </w:rPr>
              <w:lastRenderedPageBreak/>
              <w:t xml:space="preserve">rozstrzygnięto, tak w orzecznictwie, jak i zgodnie z dominującym poglądem doktryny, że treść testamentu ustnego może zostać stwierdzona w piśmie podpisanym przez trzech świadków tego testamentu także po śmierci spadkodawcy. Mając na uwadze, że brak kontroli spadkodawcy nad treścią pisma sporządzonego po jego śmierci, stwarza okazję do potencjalnego sfałszowania treści rozrządzeń testamentowych, </w:t>
            </w:r>
            <w:r w:rsidRPr="00D103B4">
              <w:rPr>
                <w:rFonts w:eastAsia="Times New Roman" w:cstheme="minorHAnsi"/>
                <w:b/>
                <w:sz w:val="20"/>
                <w:szCs w:val="20"/>
                <w:lang w:eastAsia="pl-PL"/>
              </w:rPr>
              <w:t>słusznie</w:t>
            </w:r>
            <w:r w:rsidRPr="00D103B4">
              <w:rPr>
                <w:rFonts w:eastAsia="Times New Roman" w:cstheme="minorHAnsi"/>
                <w:sz w:val="20"/>
                <w:szCs w:val="20"/>
                <w:lang w:eastAsia="pl-PL"/>
              </w:rPr>
              <w:t xml:space="preserve"> zrezygnowano z takiej alternatywy. </w:t>
            </w:r>
            <w:r w:rsidRPr="00D103B4">
              <w:rPr>
                <w:rFonts w:eastAsia="Times New Roman" w:cstheme="minorHAnsi"/>
                <w:b/>
                <w:sz w:val="20"/>
                <w:szCs w:val="20"/>
                <w:lang w:eastAsia="pl-PL"/>
              </w:rPr>
              <w:t>Pozytywnie</w:t>
            </w:r>
            <w:r w:rsidRPr="00D103B4">
              <w:rPr>
                <w:rFonts w:eastAsia="Times New Roman" w:cstheme="minorHAnsi"/>
                <w:sz w:val="20"/>
                <w:szCs w:val="20"/>
                <w:lang w:eastAsia="pl-PL"/>
              </w:rPr>
              <w:t xml:space="preserve"> zatem ocenić należy ograniczenie czasowe co do sposobu stwierdzenia treści testamentu ustnego poprzez jego spisanie tylko do chwili otwarcia spadku. Zapobiegnie to wielu nadużyciom, jakie są udziałem osób podejmujących próby sfałszowania testamentu ustnego. </w:t>
            </w:r>
          </w:p>
          <w:p w14:paraId="2FA08CE1" w14:textId="77777777" w:rsidR="00FF0AB4" w:rsidRDefault="00FF0AB4" w:rsidP="009D0E2C">
            <w:pPr>
              <w:spacing w:line="276" w:lineRule="auto"/>
              <w:jc w:val="both"/>
              <w:rPr>
                <w:rFonts w:eastAsia="Times New Roman" w:cstheme="minorHAnsi"/>
                <w:sz w:val="20"/>
                <w:szCs w:val="20"/>
                <w:lang w:eastAsia="pl-PL"/>
              </w:rPr>
            </w:pPr>
            <w:r w:rsidRPr="00D103B4">
              <w:rPr>
                <w:rFonts w:eastAsia="Times New Roman" w:cstheme="minorHAnsi"/>
                <w:b/>
                <w:sz w:val="20"/>
                <w:szCs w:val="20"/>
                <w:lang w:eastAsia="pl-PL"/>
              </w:rPr>
              <w:t>Wątpliwości może budzić</w:t>
            </w:r>
            <w:r w:rsidRPr="00D103B4">
              <w:rPr>
                <w:rFonts w:eastAsia="Times New Roman" w:cstheme="minorHAnsi"/>
                <w:sz w:val="20"/>
                <w:szCs w:val="20"/>
                <w:lang w:eastAsia="pl-PL"/>
              </w:rPr>
              <w:t xml:space="preserve"> projektowana zmiana, polegająca na zrezygnowaniu z możliwości sporządzenia pisma stwierdzającego treść testamentu ustnego przez osobę trzecią. Jakkolwiek przepisy Kodeksu cywilnego nie zawierają definicji legalnej tego zwrotu, ugruntowane orzecznictwo nie pozostawia wątpliwości co do jego rozumienia. </w:t>
            </w:r>
            <w:r w:rsidRPr="00D103B4">
              <w:rPr>
                <w:rFonts w:eastAsia="Times New Roman" w:cstheme="minorHAnsi"/>
                <w:i/>
                <w:iCs/>
                <w:sz w:val="20"/>
                <w:szCs w:val="20"/>
                <w:lang w:eastAsia="pl-PL"/>
              </w:rPr>
              <w:t xml:space="preserve">De lege lata </w:t>
            </w:r>
            <w:r w:rsidRPr="00D103B4">
              <w:rPr>
                <w:rFonts w:eastAsia="Times New Roman" w:cstheme="minorHAnsi"/>
                <w:sz w:val="20"/>
                <w:szCs w:val="20"/>
                <w:lang w:eastAsia="pl-PL"/>
              </w:rPr>
              <w:t>treść testamentu ustnego może spisać także „</w:t>
            </w:r>
            <w:r w:rsidRPr="00D103B4">
              <w:rPr>
                <w:rFonts w:eastAsia="Times New Roman" w:cstheme="minorHAnsi"/>
                <w:i/>
                <w:sz w:val="20"/>
                <w:szCs w:val="20"/>
                <w:lang w:eastAsia="pl-PL"/>
              </w:rPr>
              <w:t>osoba trzecia</w:t>
            </w:r>
            <w:r w:rsidRPr="00D103B4">
              <w:rPr>
                <w:rFonts w:eastAsia="Times New Roman" w:cstheme="minorHAnsi"/>
                <w:sz w:val="20"/>
                <w:szCs w:val="20"/>
                <w:lang w:eastAsia="pl-PL"/>
              </w:rPr>
              <w:t>”, a więc osoba postronna, analogicznie jak świadek testamentu, niezainteresowana treścią dokonanych rozrządzeń testamentowych. Nie może to być spadkobierca testamentowy, ani jakikolwiek beneficjariusz testamentowy, jak również ich osoby bliskie wskazane w art. 957 k.c. Dla oceny skuteczności testamentu ustnego spisanego w sposób wskazany w art. 952 § 2 k.c. konieczne jest zatem ustalenie, czy jego treść spisała osoba, która w świetle powyższych zasad mogła to uczynić. Pojęcie „</w:t>
            </w:r>
            <w:r w:rsidRPr="00D103B4">
              <w:rPr>
                <w:rFonts w:eastAsia="Times New Roman" w:cstheme="minorHAnsi"/>
                <w:i/>
                <w:sz w:val="20"/>
                <w:szCs w:val="20"/>
                <w:lang w:eastAsia="pl-PL"/>
              </w:rPr>
              <w:t>osoba trzecia</w:t>
            </w:r>
            <w:r w:rsidRPr="00D103B4">
              <w:rPr>
                <w:rFonts w:eastAsia="Times New Roman" w:cstheme="minorHAnsi"/>
                <w:sz w:val="20"/>
                <w:szCs w:val="20"/>
                <w:lang w:eastAsia="pl-PL"/>
              </w:rPr>
              <w:t xml:space="preserve">” użyte w art. 952 § 2 k.c. nie obejmuje zatem osób zainteresowanych treścią rozrządzeń testamentowych, do których </w:t>
            </w:r>
            <w:r w:rsidRPr="00D103B4">
              <w:rPr>
                <w:rFonts w:eastAsia="Times New Roman" w:cstheme="minorHAnsi"/>
                <w:sz w:val="20"/>
                <w:szCs w:val="20"/>
                <w:lang w:eastAsia="pl-PL"/>
              </w:rPr>
              <w:lastRenderedPageBreak/>
              <w:t>zaliczane są osoby wymienione w art. 957 § 1 k.c. z uwagi na podobieństwo ich sytuacji z sytuacją świadka testamentu ustnego. W obowiązującym stanie prawnym do kategorii tych osób należą osoby, dla których przewidziana została w testamencie jakakolwiek korzyść, jej małżonek, krewny lub powinowaty pierwszego lub drugiego stopnia oraz osoba pozostająca z nią w stosunku przysposobienia. Jeśli zważy się dodatkowo, że pod pismem stwierdzającym treść testamentu ustnego musi podpisać się spadkodawca, a tak zakłada projektowany art. 952 § 2 k.c., trudno traktować osobę trzecią w kategoriach zagrożenia dla prawidłowości i prawdziwości oświadczenia testatora. Spadkodawca ma bowiem możliwość zapoznania się i skontrolowania treści pisma, a biegły – możliwość weryfikacji własnoręczności (autentyczności) podpisu testatora.</w:t>
            </w:r>
          </w:p>
          <w:p w14:paraId="5EBA08F2" w14:textId="77777777" w:rsidR="00D75F2B" w:rsidRPr="00D103B4" w:rsidRDefault="00D75F2B" w:rsidP="009D0E2C">
            <w:pPr>
              <w:spacing w:line="276" w:lineRule="auto"/>
              <w:jc w:val="both"/>
              <w:rPr>
                <w:rFonts w:eastAsia="Times New Roman" w:cstheme="minorHAnsi"/>
                <w:sz w:val="20"/>
                <w:szCs w:val="20"/>
                <w:lang w:eastAsia="pl-PL"/>
              </w:rPr>
            </w:pPr>
          </w:p>
          <w:p w14:paraId="3D4958E6"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Projektowane zmiany obejmują wprowadzenie możliwości stwierdzenia treści testamentu ustnego za pomocą nagrania audiowizualnego przy czym oba sposoby stwierdzenia treści testamentu ustnego należy traktować jako równoważne. Zgodnie z projektowanym art. 952 § 3 k.c. „</w:t>
            </w:r>
            <w:r w:rsidRPr="00D103B4">
              <w:rPr>
                <w:rFonts w:eastAsia="Times New Roman" w:cstheme="minorHAnsi"/>
                <w:i/>
                <w:iCs/>
                <w:sz w:val="20"/>
                <w:szCs w:val="20"/>
                <w:lang w:eastAsia="pl-PL"/>
              </w:rPr>
              <w:t>Treść testamentu ustnego może być również stwierdzona w ten sposób, że oświadczenie spadkodawcy złożone w obecności świadków zostanie utrwalone w sposób umożliwiający identyfikację spadkodawcy i co najmniej trzech świadków za pomocą urządzenia rejestrującego obraz i dźwięk na trwałym nośniku danych, a nagranie to zostanie przekazane na takim nośniku danych notariuszowi lub do sądu spadku nie później niż w ciągu trzech miesięcy od dnia otwarcia spadku”</w:t>
            </w:r>
            <w:r w:rsidRPr="00D103B4">
              <w:rPr>
                <w:rFonts w:eastAsia="Times New Roman" w:cstheme="minorHAnsi"/>
                <w:sz w:val="20"/>
                <w:szCs w:val="20"/>
                <w:lang w:eastAsia="pl-PL"/>
              </w:rPr>
              <w:t xml:space="preserve">. </w:t>
            </w:r>
          </w:p>
          <w:p w14:paraId="41E43C22"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lastRenderedPageBreak/>
              <w:t xml:space="preserve">O ile nie ma wątpliwości co do tego, że współcześnie niemal każdy ma dostęp do urządzenia rejestrującego obraz i dźwięk (choćby telefonu komórkowego z wbudowaną kamerą), a jego wykorzystanie nie jest nadmiernie skomplikowane i nie nastręcza specjalnych trudności, to na pewno pojawiają się one w związku z zagrożeniami, jakie niesie za sobą taki sposób stwierdzenia treści testamentu ustnego. Projektowanej zmianie towarzyszy uzasadniona obawa co do możliwości fałszowania nagrań </w:t>
            </w:r>
            <w:r w:rsidRPr="00D103B4">
              <w:rPr>
                <w:rFonts w:eastAsia="Times New Roman" w:cstheme="minorHAnsi"/>
                <w:i/>
                <w:iCs/>
                <w:sz w:val="20"/>
                <w:szCs w:val="20"/>
                <w:lang w:eastAsia="pl-PL"/>
              </w:rPr>
              <w:t>audio-video</w:t>
            </w:r>
            <w:r w:rsidRPr="00D103B4">
              <w:rPr>
                <w:rFonts w:eastAsia="Times New Roman" w:cstheme="minorHAnsi"/>
                <w:sz w:val="20"/>
                <w:szCs w:val="20"/>
                <w:lang w:eastAsia="pl-PL"/>
              </w:rPr>
              <w:t xml:space="preserve">, zwłaszcza jeśli zważy się postęp dokonujący się w rozwoju sztucznej inteligencji. </w:t>
            </w:r>
          </w:p>
          <w:p w14:paraId="6BE3B040"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Wydaje się, że </w:t>
            </w:r>
            <w:r w:rsidRPr="00D103B4">
              <w:rPr>
                <w:rFonts w:eastAsia="Times New Roman" w:cstheme="minorHAnsi"/>
                <w:i/>
                <w:sz w:val="20"/>
                <w:szCs w:val="20"/>
                <w:lang w:eastAsia="pl-PL"/>
              </w:rPr>
              <w:t>Projektodawcy</w:t>
            </w:r>
            <w:r w:rsidRPr="00D103B4">
              <w:rPr>
                <w:rFonts w:eastAsia="Times New Roman" w:cstheme="minorHAnsi"/>
                <w:sz w:val="20"/>
                <w:szCs w:val="20"/>
                <w:lang w:eastAsia="pl-PL"/>
              </w:rPr>
              <w:t xml:space="preserve"> musieli – jeśli nie mieć pewność, to z prawdopodobieństwem graniczącym z pewnością zakładać, że biegli sądowi będą w stanie stwierdzić, czy i w których przypadkach doszło do sfałszowania nagrania rejestrującego oświadczenie testatora, a zatem, że ocena autentyczności nagrania dla biegłego, osoby mającej wiadomości specjalne, nie powinna stanowić trudności. Trudno ocenić, na ile realne jest założenie, że postępowi w zakresie rozwoju środków technicznych umożliwiających rejestrację dźwięku i obrazu będzie towarzyszyć postęp w zakresie rozwoju środków pozwalających na weryfikację autentyczności i integralności zarejestrowanych tą drogą treści. Mając na uwadze dokonujący się na naszych oczach rozwój sztucznej inteligencji i, co niezwykle istotne, tempo tego rozwoju, w tym technologię „</w:t>
            </w:r>
            <w:r w:rsidRPr="00D103B4">
              <w:rPr>
                <w:rFonts w:eastAsia="Times New Roman" w:cstheme="minorHAnsi"/>
                <w:i/>
                <w:iCs/>
                <w:sz w:val="20"/>
                <w:szCs w:val="20"/>
                <w:lang w:eastAsia="pl-PL"/>
              </w:rPr>
              <w:t>deepfake</w:t>
            </w:r>
            <w:r w:rsidRPr="00D103B4">
              <w:rPr>
                <w:rFonts w:eastAsia="Times New Roman" w:cstheme="minorHAnsi"/>
                <w:sz w:val="20"/>
                <w:szCs w:val="20"/>
                <w:lang w:eastAsia="pl-PL"/>
              </w:rPr>
              <w:t xml:space="preserve">”, dzięki której możliwe jest generowanie realistycznego obrazu i dźwięku (wizerunku i głosu konkretnej osoby), ocena ta powinna być raczej ostrożna. Natomiast, nawet jeśli założyć, że zagrożeniom w zakresie fałszowania w takim przypadku testamentu będzie zapobiegać rozwój środków pozwalających na weryfikację </w:t>
            </w:r>
            <w:r w:rsidRPr="00D103B4">
              <w:rPr>
                <w:rFonts w:eastAsia="Times New Roman" w:cstheme="minorHAnsi"/>
                <w:sz w:val="20"/>
                <w:szCs w:val="20"/>
                <w:lang w:eastAsia="pl-PL"/>
              </w:rPr>
              <w:lastRenderedPageBreak/>
              <w:t xml:space="preserve">autentyczności i integralności zarejestrowanych treści, mając na uwadze bardzo dynamiczny rozwój nowych technologii można mieć wątpliwość, czy liczba specjalistów z tej dziedziny wiedzy będzie wystarczająca, aby zapewnić tak szeroki do nich dostęp, aby braki w tym zakresie nie wpływały na przewlekłość toczących się postępowań spadkowych. Postępowanie w przedmiocie ustalenia treści testamentu ustnego i stwierdzenia nabycia spadku zarezerwowane jest dla właściwości sądów rejonowych. Można założyć teoretycznie, że liczba specjalistów w tym przedmiocie (biegłych z zakresu nowych technologii) będzie niewspółmierna do potencjalnych przypadków zarejestrowania testamentu ustnego i toczących się postępowań sądowych w przedmiocie ustalenia treści tego testamentu. </w:t>
            </w:r>
          </w:p>
          <w:p w14:paraId="18ED8788"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Można mieć również wątpliwości, czy na podstawie nagrania w sposób jednoznaczny będzie można stwierdzić, czy testator składa oświadczenie woli niewadliwie, a zatem z wyłączeniem nieprawidłowości, które można zakwalifikować jako wadę oświadczenia woli. Nie da się wykluczyć sytuacji, w których dojdzie nie tyle do „sfabrykowania”, co do wymuszenia złożenia oświadczenia przez spadkodawcę. Wydaje się, że nagranie mogłoby być (efektywnie) pomocne jedynie w ustaleniu, czy spadkodawca nie działał w stanie wyłączającym świadome powzięcie decyzji i wyrażenie woli. Co do innych wad oświadczenia woli, takiej pewności nie będzie w zasadzie nigdy. Nie można oprzeć się wrażeniu, że będzie to doskonała okazja do zmanipulowania spadkodawcy. Ta wątpliwość ma swoje źródło w okolicznościach sporządzenia testamentu ustnego – trzeba mieć na uwadze, że spadkodawca testuje w obawie rychłej śmierci, a zatem zwykle stan </w:t>
            </w:r>
            <w:r w:rsidRPr="00D103B4">
              <w:rPr>
                <w:rFonts w:eastAsia="Times New Roman" w:cstheme="minorHAnsi"/>
                <w:sz w:val="20"/>
                <w:szCs w:val="20"/>
                <w:lang w:eastAsia="pl-PL"/>
              </w:rPr>
              <w:lastRenderedPageBreak/>
              <w:t>jego zdrowia, a także jego stan emocjonalny z pewnością będzie odbiegał od takiego, który towarzyszyłby mu w „normalnych” okolicznościach. W konsekwencji dokonywana na podstawie nagrania ocena, czy spadkodawca działał swobodnie i dobrowolnie nie zawsze odzwierciedlać będzie rzeczywisty stan rzeczy. Można mieć również wątpliwości natury etycznej co do „filmowania” spadkodawcy znajdującego się w obawie rychłej śmierci, a zatem odczuwającego nadchodzącą w niedalekiej przyszłości śmierć (co jest także uzasadnione wskazaniami wiedzy medycznej). I z pewnością nie łagodzi tego zarzutu fakt powszechnej dostępności urządzeń służących do nagrywania i możliwość korzystania z nich w każdych okolicznościach.</w:t>
            </w:r>
          </w:p>
          <w:p w14:paraId="6B751EAE" w14:textId="77777777"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Gdyby w znowelizowanych przepisach Kodeksu cywilnego o formie testamentu nie znalazła się jednak regulacja w sposobu rejestracji w postaci nagrania </w:t>
            </w:r>
            <w:r w:rsidRPr="00D103B4">
              <w:rPr>
                <w:rFonts w:eastAsia="Times New Roman" w:cstheme="minorHAnsi"/>
                <w:i/>
                <w:iCs/>
                <w:sz w:val="20"/>
                <w:szCs w:val="20"/>
                <w:lang w:eastAsia="pl-PL"/>
              </w:rPr>
              <w:t>audio-video</w:t>
            </w:r>
            <w:r w:rsidRPr="00D103B4">
              <w:rPr>
                <w:rFonts w:eastAsia="Times New Roman" w:cstheme="minorHAnsi"/>
                <w:sz w:val="20"/>
                <w:szCs w:val="20"/>
                <w:lang w:eastAsia="pl-PL"/>
              </w:rPr>
              <w:t>, a doszłoby w praktyce do zarejestrowania obrazu i dźwięku w czasie składnia oświadczenia o rozrządzeniu majątkiem na wypadek śmierci przez spadkodawcę, należałoby potraktować nagarnie jako zwykły środek dowodowy, podlegający swobodnej ocenie sądu.</w:t>
            </w:r>
          </w:p>
          <w:p w14:paraId="5144F8B7" w14:textId="7B1AA3C2" w:rsidR="00FF0AB4" w:rsidRPr="00D103B4" w:rsidRDefault="00FF0AB4" w:rsidP="009D0E2C">
            <w:pPr>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W związku z nie do końca przekonującą propozycją alternatywnego sposobu stwierdzania treści testamentu ustnego w postaci nagrania </w:t>
            </w:r>
            <w:r w:rsidRPr="00D103B4">
              <w:rPr>
                <w:rFonts w:eastAsia="Times New Roman" w:cstheme="minorHAnsi"/>
                <w:i/>
                <w:iCs/>
                <w:sz w:val="20"/>
                <w:szCs w:val="20"/>
                <w:lang w:eastAsia="pl-PL"/>
              </w:rPr>
              <w:t>audio-video</w:t>
            </w:r>
            <w:r w:rsidRPr="00D103B4">
              <w:rPr>
                <w:rFonts w:eastAsia="Times New Roman" w:cstheme="minorHAnsi"/>
                <w:sz w:val="20"/>
                <w:szCs w:val="20"/>
                <w:lang w:eastAsia="pl-PL"/>
              </w:rPr>
              <w:t xml:space="preserve">, </w:t>
            </w:r>
            <w:r w:rsidRPr="00D103B4">
              <w:rPr>
                <w:rFonts w:eastAsia="Times New Roman" w:cstheme="minorHAnsi"/>
                <w:b/>
                <w:sz w:val="20"/>
                <w:szCs w:val="20"/>
                <w:lang w:eastAsia="pl-PL"/>
              </w:rPr>
              <w:t>wątpliwości budzi</w:t>
            </w:r>
            <w:r w:rsidRPr="00D103B4">
              <w:rPr>
                <w:rFonts w:eastAsia="Times New Roman" w:cstheme="minorHAnsi"/>
                <w:sz w:val="20"/>
                <w:szCs w:val="20"/>
                <w:lang w:eastAsia="pl-PL"/>
              </w:rPr>
              <w:t xml:space="preserve"> propozycja usunięcia drugiego z obowiązujących </w:t>
            </w:r>
            <w:r w:rsidRPr="00D103B4">
              <w:rPr>
                <w:rFonts w:eastAsia="Times New Roman" w:cstheme="minorHAnsi"/>
                <w:i/>
                <w:iCs/>
                <w:sz w:val="20"/>
                <w:szCs w:val="20"/>
                <w:lang w:eastAsia="pl-PL"/>
              </w:rPr>
              <w:t>de lege lata</w:t>
            </w:r>
            <w:r w:rsidRPr="00D103B4">
              <w:rPr>
                <w:rFonts w:eastAsia="Times New Roman" w:cstheme="minorHAnsi"/>
                <w:sz w:val="20"/>
                <w:szCs w:val="20"/>
                <w:lang w:eastAsia="pl-PL"/>
              </w:rPr>
              <w:t xml:space="preserve"> sposobów stwierdzenia treści testamentu ustnego, tj. stwierdzenia jego treści na podstawie zgodnych zeznań świadków przed sądem. Oczywiście można kwestionować ten sposób stwierdzenia treści testamentu ustanego co najmniej z dwóch powodów. Pierwszy jest taki, że nierzadko zdarza się tak, że dowody na sporządzenie testamentu ustnego </w:t>
            </w:r>
            <w:r w:rsidRPr="00D103B4">
              <w:rPr>
                <w:rFonts w:eastAsia="Times New Roman" w:cstheme="minorHAnsi"/>
                <w:sz w:val="20"/>
                <w:szCs w:val="20"/>
                <w:lang w:eastAsia="pl-PL"/>
              </w:rPr>
              <w:lastRenderedPageBreak/>
              <w:t xml:space="preserve">ograniczają się do zeznań świadków obecnych przy czynności testowania co do stwierdzenia tego faktu i brak jest innych dowodów na złożenie oświadczenia przez testatora. Drugi, oczywisty, wyraża się w tym, że przepisy k.p.c. dotyczące przesłuchania świadków testamentu ustnego, które zabraniają zwolnić ich od przyrzeczenia i zabraniają świadkom odmówić składania zeznań i odpowiedzi na poszczególne pytania, nie stanowią dla potencjalnych oszustów żadnej przeszkody w zeznaniu nieprawdy przed sądem, a w skrajnych przypadkach „sfabrykowania” testamentu o określonej treści w sytuacji, w której nigdy nie doszło do jego sporządzenia. Nie mniej jednak nie można zapominać, że to od umiejętności, doświadczenia sędziego zależy w jaki sposób dokona on oceny wiarygodności zeznań świadków testamentu ustnego. </w:t>
            </w:r>
          </w:p>
        </w:tc>
        <w:tc>
          <w:tcPr>
            <w:tcW w:w="4076" w:type="dxa"/>
          </w:tcPr>
          <w:p w14:paraId="700152A2" w14:textId="0D38F86F" w:rsidR="00FD6974" w:rsidRPr="00C541C9" w:rsidRDefault="00C541C9" w:rsidP="009D0E2C">
            <w:pPr>
              <w:spacing w:line="276" w:lineRule="auto"/>
              <w:jc w:val="both"/>
              <w:rPr>
                <w:rFonts w:cstheme="minorHAnsi"/>
                <w:b/>
                <w:bCs/>
                <w:sz w:val="20"/>
                <w:szCs w:val="20"/>
              </w:rPr>
            </w:pPr>
            <w:r w:rsidRPr="00C541C9">
              <w:rPr>
                <w:rFonts w:cstheme="minorHAnsi"/>
                <w:b/>
                <w:bCs/>
                <w:sz w:val="20"/>
                <w:szCs w:val="20"/>
              </w:rPr>
              <w:lastRenderedPageBreak/>
              <w:t>Uwaga nieuwzględniona</w:t>
            </w:r>
          </w:p>
          <w:p w14:paraId="7B5AD454" w14:textId="77777777" w:rsidR="00C541C9" w:rsidRDefault="00C541C9" w:rsidP="009D0E2C">
            <w:pPr>
              <w:spacing w:line="276" w:lineRule="auto"/>
              <w:jc w:val="both"/>
              <w:rPr>
                <w:rFonts w:cstheme="minorHAnsi"/>
                <w:sz w:val="20"/>
                <w:szCs w:val="20"/>
              </w:rPr>
            </w:pPr>
            <w:r>
              <w:rPr>
                <w:rFonts w:eastAsia="Times New Roman" w:cstheme="minorHAnsi"/>
                <w:sz w:val="20"/>
                <w:szCs w:val="20"/>
                <w:lang w:eastAsia="pl-PL"/>
              </w:rPr>
              <w:t xml:space="preserve">Rezygnacja z </w:t>
            </w:r>
            <w:r w:rsidRPr="00D103B4">
              <w:rPr>
                <w:rFonts w:eastAsia="Times New Roman" w:cstheme="minorHAnsi"/>
                <w:sz w:val="20"/>
                <w:szCs w:val="20"/>
                <w:lang w:eastAsia="pl-PL"/>
              </w:rPr>
              <w:t>możliwości sporządzenia pisma stwierdzającego treść testamentu ustnego przez osobę trzecią</w:t>
            </w:r>
            <w:r>
              <w:rPr>
                <w:rFonts w:eastAsia="Times New Roman" w:cstheme="minorHAnsi"/>
                <w:sz w:val="20"/>
                <w:szCs w:val="20"/>
                <w:lang w:eastAsia="pl-PL"/>
              </w:rPr>
              <w:t xml:space="preserve"> jest zabiegiem celowym i zmierza do eliminacji przypadków fałszowania </w:t>
            </w:r>
            <w:r>
              <w:rPr>
                <w:rFonts w:eastAsia="Times New Roman" w:cstheme="minorHAnsi"/>
                <w:sz w:val="20"/>
                <w:szCs w:val="20"/>
                <w:lang w:eastAsia="pl-PL"/>
              </w:rPr>
              <w:lastRenderedPageBreak/>
              <w:t>testamentów. Nadto, skoro testament ustny sporządza się w obecności świadków, naturalne wydaje się, że spisania treści tego testamentu powinien dokonać któryś ze świadków</w:t>
            </w:r>
            <w:r w:rsidR="00032852">
              <w:rPr>
                <w:rFonts w:eastAsia="Times New Roman" w:cstheme="minorHAnsi"/>
                <w:sz w:val="20"/>
                <w:szCs w:val="20"/>
                <w:lang w:eastAsia="pl-PL"/>
              </w:rPr>
              <w:t>. A</w:t>
            </w:r>
            <w:r>
              <w:rPr>
                <w:rFonts w:eastAsia="Times New Roman" w:cstheme="minorHAnsi"/>
                <w:sz w:val="20"/>
                <w:szCs w:val="20"/>
                <w:lang w:eastAsia="pl-PL"/>
              </w:rPr>
              <w:t xml:space="preserve">ngażowanie </w:t>
            </w:r>
            <w:r w:rsidR="00032852">
              <w:rPr>
                <w:rFonts w:eastAsia="Times New Roman" w:cstheme="minorHAnsi"/>
                <w:sz w:val="20"/>
                <w:szCs w:val="20"/>
                <w:lang w:eastAsia="pl-PL"/>
              </w:rPr>
              <w:t xml:space="preserve">osoby trzeciej do spisania treści oświadczenia, którego złożenia nie była świadkiem jest nie tyle zbędne, co mogące prowadzić do zniekształcenia ostatniej woli spadkodawcy – zarówno niecelowego, jak i </w:t>
            </w:r>
            <w:r w:rsidR="00032852" w:rsidRPr="00D75F2B">
              <w:rPr>
                <w:rFonts w:eastAsia="Times New Roman" w:cstheme="minorHAnsi"/>
                <w:sz w:val="20"/>
                <w:szCs w:val="20"/>
                <w:lang w:eastAsia="pl-PL"/>
              </w:rPr>
              <w:t xml:space="preserve">dokonanego z premedytacją. </w:t>
            </w:r>
            <w:r w:rsidR="00D75F2B" w:rsidRPr="00D75F2B">
              <w:rPr>
                <w:rFonts w:eastAsia="Times New Roman" w:cstheme="minorHAnsi"/>
                <w:sz w:val="20"/>
                <w:szCs w:val="20"/>
                <w:lang w:eastAsia="pl-PL"/>
              </w:rPr>
              <w:t>Biorąc te okoliczności pod uwagę projektodawca uznał jednocześnie, że ni</w:t>
            </w:r>
            <w:r w:rsidR="00D75F2B" w:rsidRPr="00D75F2B">
              <w:rPr>
                <w:rFonts w:cstheme="minorHAnsi"/>
                <w:sz w:val="20"/>
                <w:szCs w:val="20"/>
              </w:rPr>
              <w:t>e ma żadnych racjonalnych powodów, aby pismo stwierdzające treść testamentu ustnego było sporządzane przez osobę trzecią, która mogła nie uczestniczyć w akcie testowania, a mogłaby potencjalnie wpływać na treść pisma</w:t>
            </w:r>
            <w:r w:rsidR="00D75F2B">
              <w:rPr>
                <w:rFonts w:cstheme="minorHAnsi"/>
                <w:sz w:val="20"/>
                <w:szCs w:val="20"/>
              </w:rPr>
              <w:t xml:space="preserve">. </w:t>
            </w:r>
          </w:p>
          <w:p w14:paraId="514ABC18" w14:textId="77777777" w:rsidR="00D75F2B" w:rsidRPr="00D75F2B" w:rsidRDefault="00D75F2B" w:rsidP="009D0E2C">
            <w:pPr>
              <w:spacing w:line="276" w:lineRule="auto"/>
              <w:jc w:val="both"/>
              <w:rPr>
                <w:rFonts w:cstheme="minorHAnsi"/>
                <w:sz w:val="20"/>
                <w:szCs w:val="20"/>
              </w:rPr>
            </w:pPr>
          </w:p>
          <w:p w14:paraId="4B2FCDBC" w14:textId="77777777" w:rsidR="00D75F2B" w:rsidRDefault="00D75F2B" w:rsidP="009D0E2C">
            <w:pPr>
              <w:spacing w:line="276" w:lineRule="auto"/>
              <w:jc w:val="both"/>
              <w:rPr>
                <w:rFonts w:cstheme="minorHAnsi"/>
                <w:sz w:val="20"/>
                <w:szCs w:val="20"/>
              </w:rPr>
            </w:pPr>
            <w:r w:rsidRPr="00D75F2B">
              <w:rPr>
                <w:rFonts w:cstheme="minorHAnsi"/>
                <w:sz w:val="20"/>
                <w:szCs w:val="20"/>
              </w:rPr>
              <w:t xml:space="preserve">W zakresie uwagi dotyczącej nowego sposobu stwierdzenia treści testamentu ustnego (nagranie audiowizualne), należy odesłać do stanowiska MS zawartego </w:t>
            </w:r>
            <w:r w:rsidRPr="00B7596B">
              <w:rPr>
                <w:rFonts w:cstheme="minorHAnsi"/>
                <w:sz w:val="20"/>
                <w:szCs w:val="20"/>
              </w:rPr>
              <w:t xml:space="preserve">w </w:t>
            </w:r>
            <w:r w:rsidRPr="00B7596B">
              <w:rPr>
                <w:rFonts w:cstheme="minorHAnsi"/>
                <w:b/>
                <w:bCs/>
                <w:sz w:val="20"/>
                <w:szCs w:val="20"/>
              </w:rPr>
              <w:t>punkcie 3 niniejszej tabeli.</w:t>
            </w:r>
            <w:r w:rsidRPr="00D75F2B">
              <w:rPr>
                <w:rFonts w:cstheme="minorHAnsi"/>
                <w:sz w:val="20"/>
                <w:szCs w:val="20"/>
              </w:rPr>
              <w:t xml:space="preserve"> </w:t>
            </w:r>
          </w:p>
          <w:p w14:paraId="59086D7E" w14:textId="77777777" w:rsidR="009E4A80" w:rsidRDefault="009E4A80" w:rsidP="009D0E2C">
            <w:pPr>
              <w:spacing w:line="276" w:lineRule="auto"/>
              <w:jc w:val="both"/>
              <w:rPr>
                <w:rFonts w:cstheme="minorHAnsi"/>
                <w:sz w:val="20"/>
                <w:szCs w:val="20"/>
              </w:rPr>
            </w:pPr>
          </w:p>
          <w:p w14:paraId="171D7B86" w14:textId="088FBAE5" w:rsidR="009E4A80" w:rsidRDefault="009E4A80" w:rsidP="009D0E2C">
            <w:pPr>
              <w:spacing w:line="276" w:lineRule="auto"/>
              <w:jc w:val="both"/>
              <w:rPr>
                <w:rFonts w:eastAsia="Times New Roman" w:cstheme="minorHAnsi"/>
                <w:sz w:val="20"/>
                <w:szCs w:val="20"/>
                <w:lang w:eastAsia="pl-PL"/>
              </w:rPr>
            </w:pPr>
            <w:r>
              <w:rPr>
                <w:rFonts w:eastAsia="Times New Roman" w:cstheme="minorHAnsi"/>
                <w:sz w:val="20"/>
                <w:szCs w:val="20"/>
                <w:lang w:eastAsia="pl-PL"/>
              </w:rPr>
              <w:t xml:space="preserve">Odnośnie </w:t>
            </w:r>
            <w:r w:rsidR="00A065B7">
              <w:rPr>
                <w:rFonts w:eastAsia="Times New Roman" w:cstheme="minorHAnsi"/>
                <w:sz w:val="20"/>
                <w:szCs w:val="20"/>
                <w:lang w:eastAsia="pl-PL"/>
              </w:rPr>
              <w:t xml:space="preserve">do </w:t>
            </w:r>
            <w:r>
              <w:rPr>
                <w:rFonts w:eastAsia="Times New Roman" w:cstheme="minorHAnsi"/>
                <w:sz w:val="20"/>
                <w:szCs w:val="20"/>
                <w:lang w:eastAsia="pl-PL"/>
              </w:rPr>
              <w:t xml:space="preserve">zarzutu co do </w:t>
            </w:r>
            <w:r w:rsidR="00A065B7">
              <w:rPr>
                <w:rFonts w:eastAsia="Times New Roman" w:cstheme="minorHAnsi"/>
                <w:sz w:val="20"/>
                <w:szCs w:val="20"/>
                <w:lang w:eastAsia="pl-PL"/>
              </w:rPr>
              <w:t xml:space="preserve">możliwości </w:t>
            </w:r>
            <w:r>
              <w:rPr>
                <w:rFonts w:eastAsia="Times New Roman" w:cstheme="minorHAnsi"/>
                <w:sz w:val="20"/>
                <w:szCs w:val="20"/>
                <w:lang w:eastAsia="pl-PL"/>
              </w:rPr>
              <w:t>zmanipulowania spadkodawcy sporządzającego testament ustny utrwalony nagraniem audiowizualnym, te</w:t>
            </w:r>
            <w:r w:rsidR="00A065B7">
              <w:rPr>
                <w:rFonts w:eastAsia="Times New Roman" w:cstheme="minorHAnsi"/>
                <w:sz w:val="20"/>
                <w:szCs w:val="20"/>
                <w:lang w:eastAsia="pl-PL"/>
              </w:rPr>
              <w:t>n</w:t>
            </w:r>
            <w:r>
              <w:rPr>
                <w:rFonts w:eastAsia="Times New Roman" w:cstheme="minorHAnsi"/>
                <w:sz w:val="20"/>
                <w:szCs w:val="20"/>
                <w:lang w:eastAsia="pl-PL"/>
              </w:rPr>
              <w:t xml:space="preserve"> sam zarzut można </w:t>
            </w:r>
            <w:r>
              <w:rPr>
                <w:rFonts w:eastAsia="Times New Roman" w:cstheme="minorHAnsi"/>
                <w:sz w:val="20"/>
                <w:szCs w:val="20"/>
                <w:lang w:eastAsia="pl-PL"/>
              </w:rPr>
              <w:lastRenderedPageBreak/>
              <w:t>podnieść w stosunku do testamentu ustnego, którego złożenia nie utrwalono na nagraniu. Wskazać trzeba, że</w:t>
            </w:r>
            <w:r w:rsidR="00A065B7">
              <w:rPr>
                <w:rFonts w:eastAsia="Times New Roman" w:cstheme="minorHAnsi"/>
                <w:sz w:val="20"/>
                <w:szCs w:val="20"/>
                <w:lang w:eastAsia="pl-PL"/>
              </w:rPr>
              <w:t xml:space="preserve"> testament ustny sporządza się w obecności świadków – także ten nagrywany, co utrudniać powinno rzeczoną manipulację. </w:t>
            </w:r>
          </w:p>
          <w:p w14:paraId="233C1F42" w14:textId="77777777" w:rsidR="00E02A96" w:rsidRDefault="00E02A96" w:rsidP="009D0E2C">
            <w:pPr>
              <w:spacing w:line="276" w:lineRule="auto"/>
              <w:jc w:val="both"/>
              <w:rPr>
                <w:rFonts w:eastAsia="Times New Roman" w:cstheme="minorHAnsi"/>
                <w:sz w:val="20"/>
                <w:szCs w:val="20"/>
                <w:lang w:eastAsia="pl-PL"/>
              </w:rPr>
            </w:pPr>
          </w:p>
          <w:p w14:paraId="7F35735F" w14:textId="23238762" w:rsidR="00E02A96" w:rsidRDefault="001220E1" w:rsidP="009D0E2C">
            <w:pPr>
              <w:spacing w:line="276" w:lineRule="auto"/>
              <w:jc w:val="both"/>
              <w:rPr>
                <w:rFonts w:eastAsia="Times New Roman" w:cstheme="minorHAnsi"/>
                <w:sz w:val="20"/>
                <w:szCs w:val="20"/>
                <w:lang w:eastAsia="pl-PL"/>
              </w:rPr>
            </w:pPr>
            <w:r>
              <w:rPr>
                <w:rFonts w:eastAsia="Times New Roman" w:cstheme="minorHAnsi"/>
                <w:sz w:val="20"/>
                <w:szCs w:val="20"/>
                <w:lang w:eastAsia="pl-PL"/>
              </w:rPr>
              <w:t xml:space="preserve">Uwaga nie zasługuje na uwzględnienie także w zakresie, w jakim dotyczy przywrócenia możliwości </w:t>
            </w:r>
            <w:r w:rsidR="00E02A96" w:rsidRPr="00D103B4">
              <w:rPr>
                <w:rFonts w:eastAsia="Times New Roman" w:cstheme="minorHAnsi"/>
                <w:sz w:val="20"/>
                <w:szCs w:val="20"/>
                <w:lang w:eastAsia="pl-PL"/>
              </w:rPr>
              <w:t xml:space="preserve">stwierdzenia treści </w:t>
            </w:r>
            <w:r>
              <w:rPr>
                <w:rFonts w:eastAsia="Times New Roman" w:cstheme="minorHAnsi"/>
                <w:sz w:val="20"/>
                <w:szCs w:val="20"/>
                <w:lang w:eastAsia="pl-PL"/>
              </w:rPr>
              <w:t xml:space="preserve">testamentu </w:t>
            </w:r>
            <w:r w:rsidR="00E02A96" w:rsidRPr="00D103B4">
              <w:rPr>
                <w:rFonts w:eastAsia="Times New Roman" w:cstheme="minorHAnsi"/>
                <w:sz w:val="20"/>
                <w:szCs w:val="20"/>
                <w:lang w:eastAsia="pl-PL"/>
              </w:rPr>
              <w:t>na podstawie zgodnych zeznań świadków przed sądem</w:t>
            </w:r>
            <w:r>
              <w:rPr>
                <w:rFonts w:eastAsia="Times New Roman" w:cstheme="minorHAnsi"/>
                <w:sz w:val="20"/>
                <w:szCs w:val="20"/>
                <w:lang w:eastAsia="pl-PL"/>
              </w:rPr>
              <w:t xml:space="preserve">. Projektodawca rezygnując z tego sposobu stwierdzenia treści testamentu miał na uwadze właśnie te </w:t>
            </w:r>
            <w:r w:rsidR="00955414">
              <w:rPr>
                <w:rFonts w:eastAsia="Times New Roman" w:cstheme="minorHAnsi"/>
                <w:sz w:val="20"/>
                <w:szCs w:val="20"/>
                <w:lang w:eastAsia="pl-PL"/>
              </w:rPr>
              <w:t>powody</w:t>
            </w:r>
            <w:r>
              <w:rPr>
                <w:rFonts w:eastAsia="Times New Roman" w:cstheme="minorHAnsi"/>
                <w:sz w:val="20"/>
                <w:szCs w:val="20"/>
                <w:lang w:eastAsia="pl-PL"/>
              </w:rPr>
              <w:t>, o których mowa w uzasadnieniu uwagi</w:t>
            </w:r>
            <w:r w:rsidR="00955414">
              <w:rPr>
                <w:rFonts w:eastAsia="Times New Roman" w:cstheme="minorHAnsi"/>
                <w:sz w:val="20"/>
                <w:szCs w:val="20"/>
                <w:lang w:eastAsia="pl-PL"/>
              </w:rPr>
              <w:t xml:space="preserve">. Jednocześnie składający uwagę nie przedstawił argumentów, które miałyby przemawiać </w:t>
            </w:r>
            <w:r w:rsidR="0049120D">
              <w:rPr>
                <w:rFonts w:eastAsia="Times New Roman" w:cstheme="minorHAnsi"/>
                <w:sz w:val="20"/>
                <w:szCs w:val="20"/>
                <w:lang w:eastAsia="pl-PL"/>
              </w:rPr>
              <w:t>za utrzymaniem tego rodzaju rozwiązania. Bo nie jest wystarczające enigmatyczne stwierdzenie: „</w:t>
            </w:r>
            <w:r w:rsidR="00E02A96" w:rsidRPr="00D103B4">
              <w:rPr>
                <w:rFonts w:eastAsia="Times New Roman" w:cstheme="minorHAnsi"/>
                <w:sz w:val="20"/>
                <w:szCs w:val="20"/>
                <w:lang w:eastAsia="pl-PL"/>
              </w:rPr>
              <w:t>nie można zapominać, że to od umiejętności, doświadczenia sędziego zależy w jaki sposób dokona on oceny wiarygodności zeznań świadków testamentu ustnego</w:t>
            </w:r>
            <w:r w:rsidR="0049120D">
              <w:rPr>
                <w:rFonts w:eastAsia="Times New Roman" w:cstheme="minorHAnsi"/>
                <w:sz w:val="20"/>
                <w:szCs w:val="20"/>
                <w:lang w:eastAsia="pl-PL"/>
              </w:rPr>
              <w:t>”</w:t>
            </w:r>
            <w:r w:rsidR="00E02A96" w:rsidRPr="00D103B4">
              <w:rPr>
                <w:rFonts w:eastAsia="Times New Roman" w:cstheme="minorHAnsi"/>
                <w:sz w:val="20"/>
                <w:szCs w:val="20"/>
                <w:lang w:eastAsia="pl-PL"/>
              </w:rPr>
              <w:t>.</w:t>
            </w:r>
          </w:p>
          <w:p w14:paraId="5E067552" w14:textId="127C3E98" w:rsidR="009E4A80" w:rsidRPr="00D103B4" w:rsidRDefault="009E4A80" w:rsidP="009D0E2C">
            <w:pPr>
              <w:spacing w:line="276" w:lineRule="auto"/>
              <w:jc w:val="both"/>
              <w:rPr>
                <w:rFonts w:cstheme="minorHAnsi"/>
                <w:color w:val="365F91" w:themeColor="accent1" w:themeShade="BF"/>
                <w:sz w:val="20"/>
                <w:szCs w:val="20"/>
              </w:rPr>
            </w:pPr>
          </w:p>
        </w:tc>
      </w:tr>
      <w:tr w:rsidR="004C7021" w:rsidRPr="00D103B4" w14:paraId="68C029BD" w14:textId="77777777" w:rsidTr="00B241C8">
        <w:trPr>
          <w:jc w:val="center"/>
        </w:trPr>
        <w:tc>
          <w:tcPr>
            <w:tcW w:w="562" w:type="dxa"/>
          </w:tcPr>
          <w:p w14:paraId="5415A0BE" w14:textId="7D4B3748" w:rsidR="004C7021" w:rsidRPr="00D103B4" w:rsidRDefault="00C90560" w:rsidP="009D0E2C">
            <w:pPr>
              <w:spacing w:before="120"/>
              <w:ind w:right="-534"/>
              <w:rPr>
                <w:rFonts w:cstheme="minorHAnsi"/>
                <w:b/>
                <w:sz w:val="20"/>
                <w:szCs w:val="20"/>
              </w:rPr>
            </w:pPr>
            <w:r>
              <w:rPr>
                <w:rFonts w:cstheme="minorHAnsi"/>
                <w:b/>
                <w:sz w:val="20"/>
                <w:szCs w:val="20"/>
              </w:rPr>
              <w:lastRenderedPageBreak/>
              <w:t>8</w:t>
            </w:r>
            <w:r w:rsidR="00D103B4">
              <w:rPr>
                <w:rFonts w:cstheme="minorHAnsi"/>
                <w:b/>
                <w:sz w:val="20"/>
                <w:szCs w:val="20"/>
              </w:rPr>
              <w:t>.</w:t>
            </w:r>
          </w:p>
        </w:tc>
        <w:tc>
          <w:tcPr>
            <w:tcW w:w="1843" w:type="dxa"/>
            <w:vAlign w:val="center"/>
          </w:tcPr>
          <w:p w14:paraId="5CC485AB" w14:textId="1512732A" w:rsidR="004C7021" w:rsidRPr="00D103B4" w:rsidRDefault="00F852B4" w:rsidP="009D0E2C">
            <w:pPr>
              <w:spacing w:before="120" w:after="120"/>
              <w:jc w:val="center"/>
              <w:rPr>
                <w:rFonts w:cstheme="minorHAnsi"/>
                <w:b/>
                <w:bCs/>
                <w:sz w:val="20"/>
                <w:szCs w:val="20"/>
              </w:rPr>
            </w:pPr>
            <w:r w:rsidRPr="00D103B4">
              <w:rPr>
                <w:rFonts w:cstheme="minorHAnsi"/>
                <w:b/>
                <w:bCs/>
                <w:sz w:val="20"/>
                <w:szCs w:val="20"/>
              </w:rPr>
              <w:t>KRN</w:t>
            </w:r>
          </w:p>
        </w:tc>
        <w:tc>
          <w:tcPr>
            <w:tcW w:w="1843" w:type="dxa"/>
            <w:vAlign w:val="center"/>
          </w:tcPr>
          <w:p w14:paraId="0DD7E181" w14:textId="6CFD674F" w:rsidR="004C7021" w:rsidRPr="00D103B4" w:rsidRDefault="004C7021" w:rsidP="009D0E2C">
            <w:pPr>
              <w:spacing w:before="120" w:after="120"/>
              <w:jc w:val="center"/>
              <w:rPr>
                <w:rFonts w:cstheme="minorHAnsi"/>
                <w:sz w:val="20"/>
                <w:szCs w:val="20"/>
              </w:rPr>
            </w:pPr>
            <w:r w:rsidRPr="00D103B4">
              <w:rPr>
                <w:rFonts w:cstheme="minorHAnsi"/>
                <w:sz w:val="20"/>
                <w:szCs w:val="20"/>
              </w:rPr>
              <w:t>Art. 1 pkt 2 i 5 projektu</w:t>
            </w:r>
          </w:p>
          <w:p w14:paraId="4CA2C559" w14:textId="77777777" w:rsidR="004C7021" w:rsidRPr="00D103B4" w:rsidRDefault="004C7021" w:rsidP="004C7021">
            <w:pPr>
              <w:spacing w:before="120" w:after="120"/>
              <w:jc w:val="center"/>
              <w:rPr>
                <w:rFonts w:cstheme="minorHAnsi"/>
                <w:sz w:val="20"/>
                <w:szCs w:val="20"/>
              </w:rPr>
            </w:pPr>
            <w:r w:rsidRPr="00D103B4">
              <w:rPr>
                <w:rFonts w:cstheme="minorHAnsi"/>
                <w:sz w:val="20"/>
                <w:szCs w:val="20"/>
              </w:rPr>
              <w:t>(art. 952 § 3 k.c.</w:t>
            </w:r>
          </w:p>
          <w:p w14:paraId="7A48D97E" w14:textId="2C5786F6" w:rsidR="004C7021" w:rsidRPr="00D103B4" w:rsidRDefault="004C7021" w:rsidP="004C7021">
            <w:pPr>
              <w:spacing w:before="120" w:after="120"/>
              <w:jc w:val="center"/>
              <w:rPr>
                <w:rFonts w:cstheme="minorHAnsi"/>
                <w:sz w:val="20"/>
                <w:szCs w:val="20"/>
              </w:rPr>
            </w:pPr>
            <w:r w:rsidRPr="00D103B4">
              <w:rPr>
                <w:rFonts w:cstheme="minorHAnsi"/>
                <w:sz w:val="20"/>
                <w:szCs w:val="20"/>
              </w:rPr>
              <w:t>i art. 954</w:t>
            </w:r>
            <w:r w:rsidRPr="00D103B4">
              <w:rPr>
                <w:rFonts w:cstheme="minorHAnsi"/>
                <w:sz w:val="20"/>
                <w:szCs w:val="20"/>
                <w:vertAlign w:val="superscript"/>
              </w:rPr>
              <w:t>1</w:t>
            </w:r>
            <w:r w:rsidRPr="00D103B4">
              <w:rPr>
                <w:rFonts w:cstheme="minorHAnsi"/>
                <w:sz w:val="20"/>
                <w:szCs w:val="20"/>
              </w:rPr>
              <w:t xml:space="preserve"> § 3 k.c.</w:t>
            </w:r>
          </w:p>
        </w:tc>
        <w:tc>
          <w:tcPr>
            <w:tcW w:w="5670" w:type="dxa"/>
            <w:vAlign w:val="center"/>
          </w:tcPr>
          <w:p w14:paraId="6A4DDCF8" w14:textId="5778A1DD" w:rsidR="004C7021" w:rsidRPr="00D103B4" w:rsidRDefault="004C7021" w:rsidP="00D103B4">
            <w:pPr>
              <w:pStyle w:val="Style7"/>
              <w:widowControl/>
              <w:spacing w:before="50" w:line="276" w:lineRule="auto"/>
              <w:ind w:firstLine="0"/>
              <w:rPr>
                <w:rStyle w:val="FontStyle15"/>
                <w:rFonts w:asciiTheme="minorHAnsi" w:hAnsiTheme="minorHAnsi" w:cstheme="minorHAnsi"/>
              </w:rPr>
            </w:pPr>
            <w:r w:rsidRPr="00D103B4">
              <w:rPr>
                <w:rStyle w:val="FontStyle15"/>
                <w:rFonts w:asciiTheme="minorHAnsi" w:hAnsiTheme="minorHAnsi" w:cstheme="minorHAnsi"/>
              </w:rPr>
              <w:t xml:space="preserve">III. W zakresie </w:t>
            </w:r>
            <w:r w:rsidR="00F852B4" w:rsidRPr="00D103B4">
              <w:rPr>
                <w:rStyle w:val="FontStyle15"/>
                <w:rFonts w:asciiTheme="minorHAnsi" w:hAnsiTheme="minorHAnsi" w:cstheme="minorHAnsi"/>
              </w:rPr>
              <w:t>t</w:t>
            </w:r>
            <w:r w:rsidRPr="00D103B4">
              <w:rPr>
                <w:rStyle w:val="FontStyle15"/>
                <w:rFonts w:asciiTheme="minorHAnsi" w:hAnsiTheme="minorHAnsi" w:cstheme="minorHAnsi"/>
              </w:rPr>
              <w:t xml:space="preserve">zw. testamentu audiowizualnego (jako sposobu stwierdzenia testamentu ustnego) Krajowa Rada Notarialna zwraca uwagę na potencjalne ryzyka z tym związane, wynikające z postępującego rozwoju technik komputerowych Al oraz tzw. </w:t>
            </w:r>
            <w:r w:rsidRPr="00D103B4">
              <w:rPr>
                <w:rStyle w:val="FontStyle14"/>
                <w:rFonts w:asciiTheme="minorHAnsi" w:hAnsiTheme="minorHAnsi" w:cstheme="minorHAnsi"/>
              </w:rPr>
              <w:t xml:space="preserve">deep-fake. </w:t>
            </w:r>
            <w:r w:rsidRPr="00D103B4">
              <w:rPr>
                <w:rStyle w:val="FontStyle15"/>
                <w:rFonts w:asciiTheme="minorHAnsi" w:hAnsiTheme="minorHAnsi" w:cstheme="minorHAnsi"/>
              </w:rPr>
              <w:t xml:space="preserve">Zakładając, że projektodawca uzyskał stosowne rozeznanie co do możliwości weryfikacji autentyczności nagrania i wskutek potwierdzenia takiej możliwości zdecydował się jednak na ujęcie w projekcie dyskutowanego rozwiązania, trzeba podkreślić, że dynamiczny rozwój informatyczny może doprowadzić do dezaktualizacji założeń wynikłych z dokonanego rozeznania. Nawet jeśli dziś zweryfikowanie autentyczności nagrania umiejscowionego na nośniku danych jest możliwe, za kilka lat (np. wskutek pojawienia się nowych technologii, bardziej precyzyjnych algorytmów </w:t>
            </w:r>
            <w:r w:rsidRPr="00D103B4">
              <w:rPr>
                <w:rStyle w:val="FontStyle14"/>
                <w:rFonts w:asciiTheme="minorHAnsi" w:hAnsiTheme="minorHAnsi" w:cstheme="minorHAnsi"/>
              </w:rPr>
              <w:t xml:space="preserve">deep-fake, </w:t>
            </w:r>
            <w:r w:rsidRPr="00D103B4">
              <w:rPr>
                <w:rStyle w:val="FontStyle15"/>
                <w:rFonts w:asciiTheme="minorHAnsi" w:hAnsiTheme="minorHAnsi" w:cstheme="minorHAnsi"/>
              </w:rPr>
              <w:t xml:space="preserve">odmiennych technik szyfrowania czy kompresji danych itd.) </w:t>
            </w:r>
            <w:r w:rsidRPr="00D103B4">
              <w:rPr>
                <w:rStyle w:val="FontStyle15"/>
                <w:rFonts w:asciiTheme="minorHAnsi" w:hAnsiTheme="minorHAnsi" w:cstheme="minorHAnsi"/>
              </w:rPr>
              <w:lastRenderedPageBreak/>
              <w:t xml:space="preserve">może okazać się to niepomiernie trudniejsze, czy wręcz niemożliwe. Stąd w opinii Krajowej Rady Notarialnej powinno się unikać wprowadzania w regulacji rangi kodeksowej (a zatem z założenia obliczonej na długotrwałość obowiązywania) rozwiązań, które wskutek dynamicznego rozwoju technologicznego mogą wkrótce okazać się przedmiotem licznych, nierozwiązywalnych problemów. Już dziś zresztą może budzić wątpliwość, czy rzeczywiście weryfikacja autentyczności nagrania zrealizowanego np. na odpowiednio zabezpieczonym urządzeniu mobilnym będzie czymś łatwo wykonalnym dla każdego sądu spadku procedującego stwierdzenie nabycia spadku. Najprawdopodobniej często konieczne będzie skorzystanie z usług biegłych, których dostępność - jeśli idzie o zaawansowane techniki informatyczne - może być lokalnie zerowa, co skutkować będzie potęgującą koszty postępowania koniecznością wezwania biegłego (zamieszkałego nieraz bardzo daleko od sądu spadku) i pokrycia związanych z tym kosztów, względnie przesłania mu nagrania utrwalającego akt testowania do analizy (co z kolei stawia pytania o ryzyka uszkodzenia czy zniekształcenia badanego nagrania). Nie sposób też pominąć tu trudnych do oszacowania kosztów przeprowadzenia skomplikowanych technologicznie czy wymagających specjalistycznego sprzętu badań coraz to nowocześniejszych nośników danych. Stąd pozostaje pytanie, czy negatywne konsekwencje umożliwienia tej nowatorskiej metody stwierdzania treści testamentu ustnego nic przewyższą -także jeśli idzie o obciążenie sądów i wydatki budżetu wymiaru sprawiedliwości - jej potencjalnych zalet, mogących sprowadzać się bardzo często w </w:t>
            </w:r>
            <w:r w:rsidRPr="00D103B4">
              <w:rPr>
                <w:rStyle w:val="FontStyle15"/>
                <w:rFonts w:asciiTheme="minorHAnsi" w:hAnsiTheme="minorHAnsi" w:cstheme="minorHAnsi"/>
              </w:rPr>
              <w:lastRenderedPageBreak/>
              <w:t>istocie jedynie do pewnej „wygody" testatora i świadków testamentu ustnego.</w:t>
            </w:r>
          </w:p>
          <w:p w14:paraId="57CCB7F3" w14:textId="0AA46993" w:rsidR="004C7021" w:rsidRPr="000660EA" w:rsidRDefault="004C7021" w:rsidP="000660EA">
            <w:pPr>
              <w:pStyle w:val="Style7"/>
              <w:widowControl/>
              <w:spacing w:line="276" w:lineRule="auto"/>
              <w:ind w:right="72" w:firstLine="0"/>
              <w:rPr>
                <w:rFonts w:asciiTheme="minorHAnsi" w:hAnsiTheme="minorHAnsi" w:cstheme="minorHAnsi"/>
                <w:sz w:val="20"/>
                <w:szCs w:val="20"/>
              </w:rPr>
            </w:pPr>
            <w:r w:rsidRPr="00D103B4">
              <w:rPr>
                <w:rStyle w:val="FontStyle15"/>
                <w:rFonts w:asciiTheme="minorHAnsi" w:hAnsiTheme="minorHAnsi" w:cstheme="minorHAnsi"/>
              </w:rPr>
              <w:t xml:space="preserve">IV. W razie utrzymania audiowizualnej metody utrwalenia treści testamentu ustnego (a także wojskowego) stosownie do proponowanych art. 952 § 3 oraz art. 954[1] § 3 k.c. Krajowa Rada Notarialna zaznacza, że </w:t>
            </w:r>
            <w:r w:rsidRPr="00FD5236">
              <w:rPr>
                <w:rStyle w:val="FontStyle15"/>
                <w:rFonts w:asciiTheme="minorHAnsi" w:hAnsiTheme="minorHAnsi" w:cstheme="minorHAnsi"/>
                <w:b/>
                <w:bCs/>
              </w:rPr>
              <w:t>ni</w:t>
            </w:r>
            <w:r w:rsidR="00FD5236" w:rsidRPr="00FD5236">
              <w:rPr>
                <w:rStyle w:val="FontStyle15"/>
                <w:rFonts w:asciiTheme="minorHAnsi" w:hAnsiTheme="minorHAnsi" w:cstheme="minorHAnsi"/>
                <w:b/>
                <w:bCs/>
              </w:rPr>
              <w:t>e</w:t>
            </w:r>
            <w:r w:rsidRPr="00FD5236">
              <w:rPr>
                <w:rStyle w:val="FontStyle15"/>
                <w:rFonts w:asciiTheme="minorHAnsi" w:hAnsiTheme="minorHAnsi" w:cstheme="minorHAnsi"/>
                <w:b/>
                <w:bCs/>
              </w:rPr>
              <w:t xml:space="preserve"> jest trafne rozwiązanie pozwalające złożyć nośnik obejmujący nagranie w zakreślonym terminie nie tylko w sądzie spadku, ale także u notariusza</w:t>
            </w:r>
            <w:r w:rsidRPr="00D103B4">
              <w:rPr>
                <w:rStyle w:val="FontStyle15"/>
                <w:rFonts w:asciiTheme="minorHAnsi" w:hAnsiTheme="minorHAnsi" w:cstheme="minorHAnsi"/>
              </w:rPr>
              <w:t xml:space="preserve">. </w:t>
            </w:r>
            <w:r w:rsidRPr="00FD5236">
              <w:rPr>
                <w:rStyle w:val="FontStyle15"/>
                <w:rFonts w:asciiTheme="minorHAnsi" w:hAnsiTheme="minorHAnsi" w:cstheme="minorHAnsi"/>
                <w:b/>
                <w:bCs/>
              </w:rPr>
              <w:t xml:space="preserve">O ile w przypadku testamentów sporządzonych w zwykłej formie ich składanie u notariusza ma o tyle rację bytu, że mogą one być następczo przedmiotem notarialnego potwierdzenia praw spadkowych poprzez akt poświadczenia dziedziczenia, co prowadzi do odciążenia wymiaru sprawiedliwości, o tyle w przypadku testamentów szczególnych (a zatem ustnego i wojskowego) sporządzenie aktu poświadczenia dziedziczenia jest wykluczone (art. 95a ustawy - Prawo o notariacie). </w:t>
            </w:r>
            <w:r w:rsidRPr="00D103B4">
              <w:rPr>
                <w:rStyle w:val="FontStyle13"/>
                <w:rFonts w:asciiTheme="minorHAnsi" w:hAnsiTheme="minorHAnsi" w:cstheme="minorHAnsi"/>
                <w:b w:val="0"/>
                <w:bCs w:val="0"/>
              </w:rPr>
              <w:t>W</w:t>
            </w:r>
            <w:r w:rsidRPr="00D103B4">
              <w:rPr>
                <w:rStyle w:val="FontStyle15"/>
                <w:rFonts w:asciiTheme="minorHAnsi" w:hAnsiTheme="minorHAnsi" w:cstheme="minorHAnsi"/>
                <w:b/>
                <w:bCs/>
              </w:rPr>
              <w:t xml:space="preserve"> </w:t>
            </w:r>
            <w:r w:rsidRPr="00D103B4">
              <w:rPr>
                <w:rStyle w:val="FontStyle15"/>
                <w:rFonts w:asciiTheme="minorHAnsi" w:hAnsiTheme="minorHAnsi" w:cstheme="minorHAnsi"/>
              </w:rPr>
              <w:t xml:space="preserve">rezultacie złożenie nośnika obejmującego nagranie ostatniej woli u notariusza nie przyczynia się w żaden sposób do uproszczenia procedur - wręcz przeciwnie, testament szczególny tak czy inaczej będzie musiał być procedowany w ścieżce sądowego stwierdzenia nabycia spadku. Tym samym konieczne będzie występowanie przez sąd do notariusza celem uzyskania wspomnianego nośnika, co wydłuży procedury spadkowe, a także - z uwagi na konieczność transportu tego nośnika między notariuszem a sądem - narazi nośnik nagrania na niepotrzebne ryzyko utraty czy uszkodzenia. W rezultacie, Krajowa Rada Notarialna postuluje by w ramach aft. 952 § 3 oraz aft. 954[1] § 3 k.c. wyłączyć możliwość złożenia nośnika z nagraniem u notariusza, pozostawiając jedynie zastrzeżenie, że w </w:t>
            </w:r>
            <w:r w:rsidRPr="00D103B4">
              <w:rPr>
                <w:rStyle w:val="FontStyle15"/>
                <w:rFonts w:asciiTheme="minorHAnsi" w:hAnsiTheme="minorHAnsi" w:cstheme="minorHAnsi"/>
              </w:rPr>
              <w:lastRenderedPageBreak/>
              <w:t>terminie trzech miesięcy od otwarcia spadku nośnik zawierający nagranie ma zostać złożony w sądzie spadku.</w:t>
            </w:r>
          </w:p>
        </w:tc>
        <w:tc>
          <w:tcPr>
            <w:tcW w:w="4076" w:type="dxa"/>
          </w:tcPr>
          <w:p w14:paraId="6A24585C" w14:textId="38F709B2" w:rsidR="004C7021" w:rsidRPr="00196F7A" w:rsidRDefault="00FD5236" w:rsidP="00FD5236">
            <w:pPr>
              <w:jc w:val="both"/>
              <w:rPr>
                <w:rFonts w:cstheme="minorHAnsi"/>
                <w:b/>
                <w:bCs/>
                <w:sz w:val="20"/>
                <w:szCs w:val="20"/>
              </w:rPr>
            </w:pPr>
            <w:r w:rsidRPr="00196F7A">
              <w:rPr>
                <w:rFonts w:cstheme="minorHAnsi"/>
                <w:b/>
                <w:bCs/>
                <w:sz w:val="20"/>
                <w:szCs w:val="20"/>
              </w:rPr>
              <w:lastRenderedPageBreak/>
              <w:t>Uwaga nieuwzględniona</w:t>
            </w:r>
          </w:p>
          <w:p w14:paraId="52EE0099" w14:textId="77777777" w:rsidR="00FD5236" w:rsidRDefault="00FD5236" w:rsidP="00FD5236">
            <w:pPr>
              <w:jc w:val="both"/>
              <w:rPr>
                <w:rFonts w:cstheme="minorHAnsi"/>
                <w:sz w:val="20"/>
                <w:szCs w:val="20"/>
              </w:rPr>
            </w:pPr>
            <w:r w:rsidRPr="00FD5236">
              <w:rPr>
                <w:rFonts w:cstheme="minorHAnsi"/>
                <w:sz w:val="20"/>
                <w:szCs w:val="20"/>
              </w:rPr>
              <w:t xml:space="preserve">Zob. komentarz do uwagi Stowarzyszenia Notariuszy Rzeczypospolitej Polskiej (pkt 3 tabeli). </w:t>
            </w:r>
          </w:p>
          <w:p w14:paraId="234AAFFF" w14:textId="77777777" w:rsidR="00FD6974" w:rsidRDefault="00FD6974" w:rsidP="00FD5236">
            <w:pPr>
              <w:jc w:val="both"/>
              <w:rPr>
                <w:rFonts w:cstheme="minorHAnsi"/>
                <w:color w:val="365F91" w:themeColor="accent1" w:themeShade="BF"/>
                <w:sz w:val="20"/>
                <w:szCs w:val="20"/>
              </w:rPr>
            </w:pPr>
          </w:p>
          <w:p w14:paraId="2D09C584" w14:textId="34FF523A" w:rsidR="00FD6974" w:rsidRDefault="00FD6974" w:rsidP="00FD6974">
            <w:pPr>
              <w:jc w:val="both"/>
              <w:rPr>
                <w:rFonts w:eastAsia="Times New Roman" w:cstheme="minorHAnsi"/>
                <w:bCs/>
                <w:sz w:val="20"/>
                <w:szCs w:val="20"/>
                <w:lang w:eastAsia="pl-PL"/>
              </w:rPr>
            </w:pPr>
            <w:r w:rsidRPr="000660EA">
              <w:rPr>
                <w:rFonts w:cstheme="minorHAnsi"/>
                <w:sz w:val="20"/>
                <w:szCs w:val="20"/>
              </w:rPr>
              <w:t xml:space="preserve">Podkreślić należy, że zaproponowane rozwiązanie nie pozostaje w jakimkolwiek związku z tym, że notariusze mogą w określonych przypadkach sporządzić akt poświadczenia dziedziczenia. </w:t>
            </w:r>
            <w:r w:rsidRPr="006E6769">
              <w:rPr>
                <w:rFonts w:eastAsia="Times New Roman" w:cstheme="minorHAnsi"/>
                <w:bCs/>
                <w:sz w:val="20"/>
                <w:szCs w:val="20"/>
                <w:lang w:eastAsia="pl-PL"/>
              </w:rPr>
              <w:t xml:space="preserve">Zgodnie z proponowanym art. 654 k.p.c. przepisy dotyczące postępowania w przedmiocie ogłoszenia testamentu (tj. art. 646 i n. k.p.c.) będzie się stosowało odpowiednio nie tylko do pisma stwierdzającego treść testamentu ustnego, ale też do trwałego nośnika danych, na </w:t>
            </w:r>
            <w:r w:rsidRPr="006E6769">
              <w:rPr>
                <w:rFonts w:eastAsia="Times New Roman" w:cstheme="minorHAnsi"/>
                <w:bCs/>
                <w:sz w:val="20"/>
                <w:szCs w:val="20"/>
                <w:lang w:eastAsia="pl-PL"/>
              </w:rPr>
              <w:lastRenderedPageBreak/>
              <w:t xml:space="preserve">którym utrwalona została treść testamentu ustnego. Oznacza to m.in., że osoba, u której znajduje się </w:t>
            </w:r>
            <w:r w:rsidR="000E074E">
              <w:rPr>
                <w:rFonts w:eastAsia="Times New Roman" w:cstheme="minorHAnsi"/>
                <w:bCs/>
                <w:sz w:val="20"/>
                <w:szCs w:val="20"/>
                <w:lang w:eastAsia="pl-PL"/>
              </w:rPr>
              <w:t>taki nośnik, na którym znajduje się utrwalenie treści testamentu ustnego</w:t>
            </w:r>
            <w:r w:rsidRPr="006E6769">
              <w:rPr>
                <w:rFonts w:eastAsia="Times New Roman" w:cstheme="minorHAnsi"/>
                <w:bCs/>
                <w:sz w:val="20"/>
                <w:szCs w:val="20"/>
                <w:lang w:eastAsia="pl-PL"/>
              </w:rPr>
              <w:t xml:space="preserve">, będzie obowiązana złożyć </w:t>
            </w:r>
            <w:r w:rsidR="000E074E">
              <w:rPr>
                <w:rFonts w:eastAsia="Times New Roman" w:cstheme="minorHAnsi"/>
                <w:bCs/>
                <w:sz w:val="20"/>
                <w:szCs w:val="20"/>
                <w:lang w:eastAsia="pl-PL"/>
              </w:rPr>
              <w:t>go</w:t>
            </w:r>
            <w:r w:rsidRPr="006E6769">
              <w:rPr>
                <w:rFonts w:eastAsia="Times New Roman" w:cstheme="minorHAnsi"/>
                <w:bCs/>
                <w:sz w:val="20"/>
                <w:szCs w:val="20"/>
                <w:lang w:eastAsia="pl-PL"/>
              </w:rPr>
              <w:t xml:space="preserve"> w sądzie spadku, gdy dowie się o śmierci spadkodawcy, chyba że </w:t>
            </w:r>
            <w:r w:rsidR="004C127E" w:rsidRPr="006E6769">
              <w:rPr>
                <w:rFonts w:eastAsia="Times New Roman" w:cstheme="minorHAnsi"/>
                <w:bCs/>
                <w:sz w:val="20"/>
                <w:szCs w:val="20"/>
                <w:lang w:eastAsia="pl-PL"/>
              </w:rPr>
              <w:t>złoży</w:t>
            </w:r>
            <w:r w:rsidRPr="006E6769">
              <w:rPr>
                <w:rFonts w:eastAsia="Times New Roman" w:cstheme="minorHAnsi"/>
                <w:bCs/>
                <w:sz w:val="20"/>
                <w:szCs w:val="20"/>
                <w:lang w:eastAsia="pl-PL"/>
              </w:rPr>
              <w:t xml:space="preserve"> </w:t>
            </w:r>
            <w:r w:rsidR="004C127E">
              <w:rPr>
                <w:rFonts w:eastAsia="Times New Roman" w:cstheme="minorHAnsi"/>
                <w:bCs/>
                <w:sz w:val="20"/>
                <w:szCs w:val="20"/>
                <w:lang w:eastAsia="pl-PL"/>
              </w:rPr>
              <w:t xml:space="preserve">go </w:t>
            </w:r>
            <w:r w:rsidR="00962BA5">
              <w:rPr>
                <w:rFonts w:eastAsia="Times New Roman" w:cstheme="minorHAnsi"/>
                <w:bCs/>
                <w:sz w:val="20"/>
                <w:szCs w:val="20"/>
                <w:lang w:eastAsia="pl-PL"/>
              </w:rPr>
              <w:t xml:space="preserve">właśnie u </w:t>
            </w:r>
            <w:r w:rsidRPr="006E6769">
              <w:rPr>
                <w:rFonts w:eastAsia="Times New Roman" w:cstheme="minorHAnsi"/>
                <w:bCs/>
                <w:sz w:val="20"/>
                <w:szCs w:val="20"/>
                <w:lang w:eastAsia="pl-PL"/>
              </w:rPr>
              <w:t>notariusza</w:t>
            </w:r>
            <w:r w:rsidRPr="00B76506">
              <w:rPr>
                <w:rFonts w:eastAsia="Times New Roman" w:cstheme="minorHAnsi"/>
                <w:bCs/>
                <w:sz w:val="20"/>
                <w:szCs w:val="20"/>
                <w:lang w:eastAsia="pl-PL"/>
              </w:rPr>
              <w:t xml:space="preserve">. </w:t>
            </w:r>
            <w:r w:rsidRPr="00307896">
              <w:rPr>
                <w:rFonts w:eastAsia="Times New Roman" w:cstheme="minorHAnsi"/>
                <w:bCs/>
                <w:sz w:val="20"/>
                <w:szCs w:val="20"/>
                <w:lang w:eastAsia="pl-PL"/>
              </w:rPr>
              <w:t xml:space="preserve">Zgodnie zaś </w:t>
            </w:r>
            <w:r w:rsidRPr="00B76506">
              <w:rPr>
                <w:rFonts w:eastAsia="Times New Roman" w:cstheme="minorHAnsi"/>
                <w:bCs/>
                <w:sz w:val="20"/>
                <w:szCs w:val="20"/>
                <w:lang w:eastAsia="pl-PL"/>
              </w:rPr>
              <w:t>z art.</w:t>
            </w:r>
            <w:r>
              <w:rPr>
                <w:rFonts w:eastAsia="Times New Roman" w:cstheme="minorHAnsi"/>
                <w:bCs/>
                <w:sz w:val="20"/>
                <w:szCs w:val="20"/>
                <w:lang w:eastAsia="pl-PL"/>
              </w:rPr>
              <w:t xml:space="preserve"> </w:t>
            </w:r>
            <w:r w:rsidRPr="00B76506">
              <w:rPr>
                <w:rFonts w:eastAsia="Times New Roman" w:cstheme="minorHAnsi"/>
                <w:bCs/>
                <w:sz w:val="20"/>
                <w:szCs w:val="20"/>
                <w:lang w:eastAsia="pl-PL"/>
              </w:rPr>
              <w:t>649</w:t>
            </w:r>
            <w:r>
              <w:rPr>
                <w:rFonts w:eastAsia="Times New Roman" w:cstheme="minorHAnsi"/>
                <w:bCs/>
                <w:sz w:val="20"/>
                <w:szCs w:val="20"/>
                <w:lang w:eastAsia="pl-PL"/>
              </w:rPr>
              <w:t xml:space="preserve"> </w:t>
            </w:r>
            <w:r w:rsidRPr="00B76506">
              <w:rPr>
                <w:rFonts w:eastAsia="Times New Roman" w:cstheme="minorHAnsi"/>
                <w:bCs/>
                <w:sz w:val="20"/>
                <w:szCs w:val="20"/>
                <w:lang w:eastAsia="pl-PL"/>
              </w:rPr>
              <w:t>§</w:t>
            </w:r>
            <w:r>
              <w:rPr>
                <w:rFonts w:eastAsia="Times New Roman" w:cstheme="minorHAnsi"/>
                <w:bCs/>
                <w:sz w:val="20"/>
                <w:szCs w:val="20"/>
                <w:lang w:eastAsia="pl-PL"/>
              </w:rPr>
              <w:t xml:space="preserve"> </w:t>
            </w:r>
            <w:r w:rsidRPr="0007565D">
              <w:rPr>
                <w:rFonts w:eastAsia="Times New Roman" w:cstheme="minorHAnsi"/>
                <w:bCs/>
                <w:sz w:val="20"/>
                <w:szCs w:val="20"/>
                <w:lang w:eastAsia="pl-PL"/>
              </w:rPr>
              <w:t xml:space="preserve">1 </w:t>
            </w:r>
            <w:r w:rsidR="00962BA5">
              <w:rPr>
                <w:rFonts w:eastAsia="Times New Roman" w:cstheme="minorHAnsi"/>
                <w:bCs/>
                <w:sz w:val="20"/>
                <w:szCs w:val="20"/>
                <w:lang w:eastAsia="pl-PL"/>
              </w:rPr>
              <w:t xml:space="preserve">k.p.c. </w:t>
            </w:r>
            <w:r w:rsidRPr="00307896">
              <w:rPr>
                <w:rFonts w:eastAsia="Times New Roman" w:cstheme="minorHAnsi"/>
                <w:bCs/>
                <w:sz w:val="20"/>
                <w:szCs w:val="20"/>
                <w:lang w:eastAsia="pl-PL"/>
              </w:rPr>
              <w:t>no</w:t>
            </w:r>
            <w:r w:rsidRPr="0007565D">
              <w:rPr>
                <w:rFonts w:eastAsia="Times New Roman" w:cstheme="minorHAnsi"/>
                <w:bCs/>
                <w:sz w:val="20"/>
                <w:szCs w:val="20"/>
                <w:lang w:eastAsia="pl-PL"/>
              </w:rPr>
              <w:t>tariusz</w:t>
            </w:r>
            <w:r w:rsidRPr="00307896">
              <w:rPr>
                <w:rFonts w:eastAsia="Times New Roman" w:cstheme="minorHAnsi"/>
                <w:bCs/>
                <w:sz w:val="20"/>
                <w:szCs w:val="20"/>
                <w:lang w:eastAsia="pl-PL"/>
              </w:rPr>
              <w:t>,</w:t>
            </w:r>
            <w:r w:rsidRPr="0007565D">
              <w:rPr>
                <w:rFonts w:eastAsia="Times New Roman" w:cstheme="minorHAnsi"/>
                <w:bCs/>
                <w:sz w:val="20"/>
                <w:szCs w:val="20"/>
                <w:lang w:eastAsia="pl-PL"/>
              </w:rPr>
              <w:t xml:space="preserve"> gdy</w:t>
            </w:r>
            <w:r w:rsidRPr="00B76506">
              <w:rPr>
                <w:rFonts w:eastAsia="Times New Roman" w:cstheme="minorHAnsi"/>
                <w:bCs/>
                <w:sz w:val="20"/>
                <w:szCs w:val="20"/>
                <w:lang w:eastAsia="pl-PL"/>
              </w:rPr>
              <w:t xml:space="preserve"> </w:t>
            </w:r>
            <w:r>
              <w:rPr>
                <w:rFonts w:eastAsia="Times New Roman" w:cstheme="minorHAnsi"/>
                <w:bCs/>
                <w:sz w:val="20"/>
                <w:szCs w:val="20"/>
                <w:lang w:eastAsia="pl-PL"/>
              </w:rPr>
              <w:t>będzie miał</w:t>
            </w:r>
            <w:r w:rsidRPr="00B76506">
              <w:rPr>
                <w:rFonts w:eastAsia="Times New Roman" w:cstheme="minorHAnsi"/>
                <w:bCs/>
                <w:sz w:val="20"/>
                <w:szCs w:val="20"/>
                <w:lang w:eastAsia="pl-PL"/>
              </w:rPr>
              <w:t xml:space="preserve"> dowód śmierci spadkodawc</w:t>
            </w:r>
            <w:r>
              <w:rPr>
                <w:rFonts w:eastAsia="Times New Roman" w:cstheme="minorHAnsi"/>
                <w:bCs/>
                <w:sz w:val="20"/>
                <w:szCs w:val="20"/>
                <w:lang w:eastAsia="pl-PL"/>
              </w:rPr>
              <w:t xml:space="preserve">y, </w:t>
            </w:r>
            <w:r w:rsidR="00962BA5">
              <w:rPr>
                <w:rFonts w:eastAsia="Times New Roman" w:cstheme="minorHAnsi"/>
                <w:bCs/>
                <w:sz w:val="20"/>
                <w:szCs w:val="20"/>
                <w:lang w:eastAsia="pl-PL"/>
              </w:rPr>
              <w:t xml:space="preserve">będzie miał obowiązek na zasadach ogólnych </w:t>
            </w:r>
            <w:r w:rsidR="000E074E">
              <w:rPr>
                <w:rFonts w:eastAsia="Times New Roman" w:cstheme="minorHAnsi"/>
                <w:bCs/>
                <w:sz w:val="20"/>
                <w:szCs w:val="20"/>
                <w:lang w:eastAsia="pl-PL"/>
              </w:rPr>
              <w:t>„</w:t>
            </w:r>
            <w:r w:rsidRPr="00B76506">
              <w:rPr>
                <w:rFonts w:eastAsia="Times New Roman" w:cstheme="minorHAnsi"/>
                <w:bCs/>
                <w:sz w:val="20"/>
                <w:szCs w:val="20"/>
                <w:lang w:eastAsia="pl-PL"/>
              </w:rPr>
              <w:t>otw</w:t>
            </w:r>
            <w:r w:rsidR="00962BA5">
              <w:rPr>
                <w:rFonts w:eastAsia="Times New Roman" w:cstheme="minorHAnsi"/>
                <w:bCs/>
                <w:sz w:val="20"/>
                <w:szCs w:val="20"/>
                <w:lang w:eastAsia="pl-PL"/>
              </w:rPr>
              <w:t>o</w:t>
            </w:r>
            <w:r w:rsidRPr="00B76506">
              <w:rPr>
                <w:rFonts w:eastAsia="Times New Roman" w:cstheme="minorHAnsi"/>
                <w:bCs/>
                <w:sz w:val="20"/>
                <w:szCs w:val="20"/>
                <w:lang w:eastAsia="pl-PL"/>
              </w:rPr>
              <w:t>r</w:t>
            </w:r>
            <w:r w:rsidR="00962BA5">
              <w:rPr>
                <w:rFonts w:eastAsia="Times New Roman" w:cstheme="minorHAnsi"/>
                <w:bCs/>
                <w:sz w:val="20"/>
                <w:szCs w:val="20"/>
                <w:lang w:eastAsia="pl-PL"/>
              </w:rPr>
              <w:t>zyć</w:t>
            </w:r>
            <w:r w:rsidRPr="00B76506">
              <w:rPr>
                <w:rFonts w:eastAsia="Times New Roman" w:cstheme="minorHAnsi"/>
                <w:bCs/>
                <w:sz w:val="20"/>
                <w:szCs w:val="20"/>
                <w:lang w:eastAsia="pl-PL"/>
              </w:rPr>
              <w:t xml:space="preserve"> i ogł</w:t>
            </w:r>
            <w:r w:rsidR="00962BA5">
              <w:rPr>
                <w:rFonts w:eastAsia="Times New Roman" w:cstheme="minorHAnsi"/>
                <w:bCs/>
                <w:sz w:val="20"/>
                <w:szCs w:val="20"/>
                <w:lang w:eastAsia="pl-PL"/>
              </w:rPr>
              <w:t>osić</w:t>
            </w:r>
            <w:r w:rsidRPr="00B76506">
              <w:rPr>
                <w:rFonts w:eastAsia="Times New Roman" w:cstheme="minorHAnsi"/>
                <w:bCs/>
                <w:sz w:val="20"/>
                <w:szCs w:val="20"/>
                <w:lang w:eastAsia="pl-PL"/>
              </w:rPr>
              <w:t xml:space="preserve"> testament</w:t>
            </w:r>
            <w:r w:rsidR="000E074E">
              <w:rPr>
                <w:rFonts w:eastAsia="Times New Roman" w:cstheme="minorHAnsi"/>
                <w:bCs/>
                <w:sz w:val="20"/>
                <w:szCs w:val="20"/>
                <w:lang w:eastAsia="pl-PL"/>
              </w:rPr>
              <w:t>”</w:t>
            </w:r>
            <w:r w:rsidRPr="00B76506">
              <w:rPr>
                <w:rFonts w:eastAsia="Times New Roman" w:cstheme="minorHAnsi"/>
                <w:bCs/>
                <w:sz w:val="20"/>
                <w:szCs w:val="20"/>
                <w:lang w:eastAsia="pl-PL"/>
              </w:rPr>
              <w:t>,</w:t>
            </w:r>
            <w:r>
              <w:rPr>
                <w:rFonts w:eastAsia="Times New Roman" w:cstheme="minorHAnsi"/>
                <w:bCs/>
                <w:sz w:val="20"/>
                <w:szCs w:val="20"/>
                <w:lang w:eastAsia="pl-PL"/>
              </w:rPr>
              <w:t xml:space="preserve"> co dotyczy także testamentu ustnego zarejestrowanego na trwałym nośniku danych.</w:t>
            </w:r>
          </w:p>
          <w:p w14:paraId="34A1A1CE" w14:textId="77777777" w:rsidR="00962BA5" w:rsidRDefault="00962BA5" w:rsidP="00FD6974">
            <w:pPr>
              <w:jc w:val="both"/>
              <w:rPr>
                <w:rFonts w:eastAsia="Times New Roman" w:cstheme="minorHAnsi"/>
                <w:bCs/>
                <w:sz w:val="20"/>
                <w:szCs w:val="20"/>
                <w:lang w:eastAsia="pl-PL"/>
              </w:rPr>
            </w:pPr>
          </w:p>
          <w:p w14:paraId="6CB83A84" w14:textId="6CBA14BF" w:rsidR="00962BA5" w:rsidRDefault="004C127E" w:rsidP="00FD6974">
            <w:pPr>
              <w:jc w:val="both"/>
              <w:rPr>
                <w:rFonts w:eastAsia="Times New Roman" w:cstheme="minorHAnsi"/>
                <w:bCs/>
                <w:sz w:val="20"/>
                <w:szCs w:val="20"/>
                <w:lang w:eastAsia="pl-PL"/>
              </w:rPr>
            </w:pPr>
            <w:r>
              <w:rPr>
                <w:rFonts w:eastAsia="Times New Roman" w:cstheme="minorHAnsi"/>
                <w:bCs/>
                <w:sz w:val="20"/>
                <w:szCs w:val="20"/>
                <w:lang w:eastAsia="pl-PL"/>
              </w:rPr>
              <w:t>Ponadto u</w:t>
            </w:r>
            <w:r w:rsidR="00962BA5">
              <w:rPr>
                <w:rFonts w:eastAsia="Times New Roman" w:cstheme="minorHAnsi"/>
                <w:bCs/>
                <w:sz w:val="20"/>
                <w:szCs w:val="20"/>
                <w:lang w:eastAsia="pl-PL"/>
              </w:rPr>
              <w:t>życi</w:t>
            </w:r>
            <w:r>
              <w:rPr>
                <w:rFonts w:eastAsia="Times New Roman" w:cstheme="minorHAnsi"/>
                <w:bCs/>
                <w:sz w:val="20"/>
                <w:szCs w:val="20"/>
                <w:lang w:eastAsia="pl-PL"/>
              </w:rPr>
              <w:t>e</w:t>
            </w:r>
            <w:r w:rsidR="00962BA5">
              <w:rPr>
                <w:rFonts w:eastAsia="Times New Roman" w:cstheme="minorHAnsi"/>
                <w:bCs/>
                <w:sz w:val="20"/>
                <w:szCs w:val="20"/>
                <w:lang w:eastAsia="pl-PL"/>
              </w:rPr>
              <w:t xml:space="preserve"> w przepisie sformułowania, że n</w:t>
            </w:r>
            <w:r w:rsidR="00962BA5" w:rsidRPr="00962BA5">
              <w:rPr>
                <w:rFonts w:eastAsia="Times New Roman" w:cstheme="minorHAnsi"/>
                <w:bCs/>
                <w:sz w:val="20"/>
                <w:szCs w:val="20"/>
                <w:lang w:eastAsia="pl-PL"/>
              </w:rPr>
              <w:t>agranie powinno zostać przekazane na trwałym nośniku danych notariuszowi lub do sądu spadku nie później niż w ciągu trzech miesięcy od dnia otwarcia spadku</w:t>
            </w:r>
            <w:r w:rsidR="00962BA5">
              <w:rPr>
                <w:rFonts w:eastAsia="Times New Roman" w:cstheme="minorHAnsi"/>
                <w:bCs/>
                <w:sz w:val="20"/>
                <w:szCs w:val="20"/>
                <w:lang w:eastAsia="pl-PL"/>
              </w:rPr>
              <w:t xml:space="preserve"> </w:t>
            </w:r>
            <w:r w:rsidR="00962BA5" w:rsidRPr="00962BA5">
              <w:rPr>
                <w:rFonts w:eastAsia="Times New Roman" w:cstheme="minorHAnsi"/>
                <w:bCs/>
                <w:sz w:val="20"/>
                <w:szCs w:val="20"/>
                <w:lang w:eastAsia="pl-PL"/>
              </w:rPr>
              <w:t xml:space="preserve">oznacza, że nośnik ten może być przekazany notariuszowi także po chwili testowania przez daną osobę fizyczną, lecz jeszcze przed jej śmiercią. Przykładem tego może być sytuacja, w której po chwili testowania testator zapadnie w śpiączkę, z której nie wybudzi się do śmierci po kilku miesiącach lub latach. W takim przypadku do chwili śmierci spadkodawcy możliwe będzie przekazanie nośnika z nagraniem oświadczenia woli testatora </w:t>
            </w:r>
            <w:r w:rsidR="00962BA5">
              <w:rPr>
                <w:rFonts w:eastAsia="Times New Roman" w:cstheme="minorHAnsi"/>
                <w:bCs/>
                <w:sz w:val="20"/>
                <w:szCs w:val="20"/>
                <w:lang w:eastAsia="pl-PL"/>
              </w:rPr>
              <w:t xml:space="preserve">właśnie </w:t>
            </w:r>
            <w:r w:rsidR="00962BA5" w:rsidRPr="00962BA5">
              <w:rPr>
                <w:rFonts w:eastAsia="Times New Roman" w:cstheme="minorHAnsi"/>
                <w:bCs/>
                <w:sz w:val="20"/>
                <w:szCs w:val="20"/>
                <w:lang w:eastAsia="pl-PL"/>
              </w:rPr>
              <w:t xml:space="preserve">notariuszowi, który sporządzić powinien protokół z przyjęcia na przechowanie testamentu (por. art. 107 § 2 w zw. z art. 107 § 1 Prawa o notariacie) . </w:t>
            </w:r>
            <w:r w:rsidRPr="004C127E">
              <w:rPr>
                <w:rFonts w:eastAsia="Times New Roman" w:cstheme="minorHAnsi"/>
                <w:bCs/>
                <w:sz w:val="20"/>
                <w:szCs w:val="20"/>
                <w:lang w:eastAsia="pl-PL"/>
              </w:rPr>
              <w:t xml:space="preserve">Po chwili </w:t>
            </w:r>
            <w:r w:rsidRPr="004C127E">
              <w:rPr>
                <w:rFonts w:eastAsia="Times New Roman" w:cstheme="minorHAnsi"/>
                <w:bCs/>
                <w:sz w:val="20"/>
                <w:szCs w:val="20"/>
                <w:lang w:eastAsia="pl-PL"/>
              </w:rPr>
              <w:lastRenderedPageBreak/>
              <w:t>śmierci spadkodawcy zastosowanie do takiej sytuacji znajdą art. 646– 653 k.p.c. w zw. z planowanym art. 654 k.p.c. Ponieważ będzie już wówczas można określić, który sąd jest sądem spadku, pozwoli to również na przekazanie nagrania na trwałym nośniku danych także do tego sądu (art. 653 k.p.c. w zw. z planowanym art. 654 k.p.c.).</w:t>
            </w:r>
          </w:p>
          <w:p w14:paraId="63B9C4CF" w14:textId="6AEB27A0" w:rsidR="00FD6974" w:rsidRPr="00D103B4" w:rsidRDefault="00FD6974" w:rsidP="00FD5236">
            <w:pPr>
              <w:jc w:val="both"/>
              <w:rPr>
                <w:rFonts w:cstheme="minorHAnsi"/>
                <w:color w:val="365F91" w:themeColor="accent1" w:themeShade="BF"/>
                <w:sz w:val="20"/>
                <w:szCs w:val="20"/>
              </w:rPr>
            </w:pPr>
          </w:p>
        </w:tc>
      </w:tr>
      <w:tr w:rsidR="00252F32" w:rsidRPr="00D103B4" w14:paraId="08798C30" w14:textId="77777777" w:rsidTr="00B241C8">
        <w:trPr>
          <w:jc w:val="center"/>
        </w:trPr>
        <w:tc>
          <w:tcPr>
            <w:tcW w:w="562" w:type="dxa"/>
          </w:tcPr>
          <w:p w14:paraId="2C07B4BA" w14:textId="4994B626" w:rsidR="00766F26" w:rsidRPr="00D103B4" w:rsidRDefault="00C90560" w:rsidP="009D0E2C">
            <w:pPr>
              <w:spacing w:before="120" w:line="276" w:lineRule="auto"/>
              <w:ind w:right="-534"/>
              <w:rPr>
                <w:rFonts w:cstheme="minorHAnsi"/>
                <w:b/>
                <w:sz w:val="20"/>
                <w:szCs w:val="20"/>
              </w:rPr>
            </w:pPr>
            <w:bookmarkStart w:id="0" w:name="_Hlk90460400"/>
            <w:r>
              <w:rPr>
                <w:rFonts w:cstheme="minorHAnsi"/>
                <w:b/>
                <w:sz w:val="20"/>
                <w:szCs w:val="20"/>
              </w:rPr>
              <w:lastRenderedPageBreak/>
              <w:t>9</w:t>
            </w:r>
            <w:r w:rsidR="00252F32" w:rsidRPr="00D103B4">
              <w:rPr>
                <w:rFonts w:cstheme="minorHAnsi"/>
                <w:b/>
                <w:sz w:val="20"/>
                <w:szCs w:val="20"/>
              </w:rPr>
              <w:t>.</w:t>
            </w:r>
          </w:p>
        </w:tc>
        <w:tc>
          <w:tcPr>
            <w:tcW w:w="1843" w:type="dxa"/>
            <w:vAlign w:val="center"/>
          </w:tcPr>
          <w:p w14:paraId="3EAD1A1D" w14:textId="7B521CFF" w:rsidR="00766F26" w:rsidRPr="00D103B4" w:rsidRDefault="00794DC2" w:rsidP="009D0E2C">
            <w:pPr>
              <w:spacing w:before="120" w:after="120" w:line="276" w:lineRule="auto"/>
              <w:jc w:val="center"/>
              <w:rPr>
                <w:rFonts w:cstheme="minorHAnsi"/>
                <w:b/>
                <w:bCs/>
                <w:sz w:val="20"/>
                <w:szCs w:val="20"/>
              </w:rPr>
            </w:pPr>
            <w:r w:rsidRPr="00D103B4">
              <w:rPr>
                <w:rFonts w:cstheme="minorHAnsi"/>
                <w:b/>
                <w:bCs/>
                <w:sz w:val="20"/>
                <w:szCs w:val="20"/>
              </w:rPr>
              <w:t>Ośrodek Badań, Studiów i Legislacji Krajowej Rady Radców Prawnych</w:t>
            </w:r>
          </w:p>
        </w:tc>
        <w:tc>
          <w:tcPr>
            <w:tcW w:w="1843" w:type="dxa"/>
            <w:vAlign w:val="center"/>
          </w:tcPr>
          <w:p w14:paraId="11CF9C83" w14:textId="43BA80A7" w:rsidR="00A70204" w:rsidRPr="00D103B4" w:rsidRDefault="00794DC2" w:rsidP="009D0E2C">
            <w:pPr>
              <w:spacing w:before="120" w:after="120" w:line="276" w:lineRule="auto"/>
              <w:jc w:val="center"/>
              <w:rPr>
                <w:rFonts w:cstheme="minorHAnsi"/>
                <w:sz w:val="20"/>
                <w:szCs w:val="20"/>
              </w:rPr>
            </w:pPr>
            <w:r w:rsidRPr="00D103B4">
              <w:rPr>
                <w:rFonts w:cstheme="minorHAnsi"/>
                <w:sz w:val="20"/>
                <w:szCs w:val="20"/>
              </w:rPr>
              <w:t>Art. 1 pkt 2 projektu</w:t>
            </w:r>
            <w:r w:rsidR="003170B1" w:rsidRPr="00D103B4">
              <w:rPr>
                <w:rFonts w:cstheme="minorHAnsi"/>
                <w:sz w:val="20"/>
                <w:szCs w:val="20"/>
              </w:rPr>
              <w:t xml:space="preserve"> (</w:t>
            </w:r>
            <w:r w:rsidR="003170B1" w:rsidRPr="00D103B4">
              <w:rPr>
                <w:rFonts w:eastAsia="Times New Roman" w:cstheme="minorHAnsi"/>
                <w:sz w:val="20"/>
                <w:szCs w:val="20"/>
                <w:lang w:eastAsia="pl-PL"/>
              </w:rPr>
              <w:t>art. 952 § 3 k.c.)</w:t>
            </w:r>
          </w:p>
        </w:tc>
        <w:tc>
          <w:tcPr>
            <w:tcW w:w="5670" w:type="dxa"/>
            <w:vAlign w:val="center"/>
          </w:tcPr>
          <w:p w14:paraId="4F16389F" w14:textId="011268CF" w:rsidR="00766F26" w:rsidRPr="00D103B4" w:rsidRDefault="00794DC2" w:rsidP="00F46DB3">
            <w:pPr>
              <w:autoSpaceDE w:val="0"/>
              <w:autoSpaceDN w:val="0"/>
              <w:adjustRightInd w:val="0"/>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 xml:space="preserve">Wątpliwości terminologiczne budzi proponowane w art. 1 pkt 2 </w:t>
            </w:r>
            <w:r w:rsidR="00FE3F52">
              <w:rPr>
                <w:rFonts w:eastAsia="Times New Roman" w:cstheme="minorHAnsi"/>
                <w:sz w:val="20"/>
                <w:szCs w:val="20"/>
                <w:lang w:eastAsia="pl-PL"/>
              </w:rPr>
              <w:t>P</w:t>
            </w:r>
            <w:r w:rsidRPr="00D103B4">
              <w:rPr>
                <w:rFonts w:eastAsia="Times New Roman" w:cstheme="minorHAnsi"/>
                <w:sz w:val="20"/>
                <w:szCs w:val="20"/>
                <w:lang w:eastAsia="pl-PL"/>
              </w:rPr>
              <w:t xml:space="preserve">rojektu brzmienie art. 952 § 3 </w:t>
            </w:r>
            <w:r w:rsidRPr="00D103B4">
              <w:rPr>
                <w:rFonts w:eastAsia="Times New Roman" w:cstheme="minorHAnsi"/>
                <w:i/>
                <w:iCs/>
                <w:sz w:val="20"/>
                <w:szCs w:val="20"/>
                <w:lang w:eastAsia="pl-PL"/>
              </w:rPr>
              <w:t>in fine</w:t>
            </w:r>
            <w:r w:rsidRPr="00D103B4">
              <w:rPr>
                <w:rFonts w:eastAsia="Times New Roman" w:cstheme="minorHAnsi"/>
                <w:sz w:val="20"/>
                <w:szCs w:val="20"/>
                <w:lang w:eastAsia="pl-PL"/>
              </w:rPr>
              <w:t xml:space="preserve"> k.c., ponieważ zgodnie z tym przepisem nagranie testamentu ustnego utrwalonego za pomocą urządzenia rejestrującego obraz i dźwięk ma zostać </w:t>
            </w:r>
            <w:r w:rsidRPr="00D103B4">
              <w:rPr>
                <w:rFonts w:eastAsia="Times New Roman" w:cstheme="minorHAnsi"/>
                <w:b/>
                <w:bCs/>
                <w:sz w:val="20"/>
                <w:szCs w:val="20"/>
                <w:lang w:eastAsia="pl-PL"/>
              </w:rPr>
              <w:t>przekazane</w:t>
            </w:r>
            <w:r w:rsidRPr="00D103B4">
              <w:rPr>
                <w:rFonts w:eastAsia="Times New Roman" w:cstheme="minorHAnsi"/>
                <w:sz w:val="20"/>
                <w:szCs w:val="20"/>
                <w:lang w:eastAsia="pl-PL"/>
              </w:rPr>
              <w:t xml:space="preserve"> na trwałym nośniku danych notariuszowi lub do sądu spadku nie później niż w ciągu 3 miesięcy od dnia otwarcia spadku, a przepisy k.p.c. (art. 646 i 650) posługują się na określenie tej samej czynności pojęciem </w:t>
            </w:r>
            <w:r w:rsidRPr="00D103B4">
              <w:rPr>
                <w:rFonts w:eastAsia="Times New Roman" w:cstheme="minorHAnsi"/>
                <w:b/>
                <w:bCs/>
                <w:sz w:val="20"/>
                <w:szCs w:val="20"/>
                <w:lang w:eastAsia="pl-PL"/>
              </w:rPr>
              <w:t>„złożenia”</w:t>
            </w:r>
            <w:r w:rsidRPr="00D103B4">
              <w:rPr>
                <w:rFonts w:eastAsia="Times New Roman" w:cstheme="minorHAnsi"/>
                <w:sz w:val="20"/>
                <w:szCs w:val="20"/>
                <w:lang w:eastAsia="pl-PL"/>
              </w:rPr>
              <w:t>. Poddaję pod rozwagę ujednolicenie brzmienia proponowanego art. 952 § 3 k.c. z korespondującymi przepisami procesowymi i zastąpienia słowa „przekazane” słowem „złożone” w odpowiedniej formie dostosowanej do kontekstu. Analogiczne wątpliwości budzi proponowany w art. 1 pkt 5 Projektu art. 954</w:t>
            </w:r>
            <w:r w:rsidRPr="00D103B4">
              <w:rPr>
                <w:rFonts w:eastAsia="Times New Roman" w:cstheme="minorHAnsi"/>
                <w:sz w:val="20"/>
                <w:szCs w:val="20"/>
                <w:vertAlign w:val="superscript"/>
                <w:lang w:eastAsia="pl-PL"/>
              </w:rPr>
              <w:t>1</w:t>
            </w:r>
            <w:r w:rsidRPr="00D103B4">
              <w:rPr>
                <w:rFonts w:eastAsia="Times New Roman" w:cstheme="minorHAnsi"/>
                <w:sz w:val="20"/>
                <w:szCs w:val="20"/>
                <w:lang w:eastAsia="pl-PL"/>
              </w:rPr>
              <w:t xml:space="preserve"> § 3 zd. 3 k.c.</w:t>
            </w:r>
          </w:p>
          <w:p w14:paraId="72ACD8E1" w14:textId="77777777" w:rsidR="00325365" w:rsidRDefault="00325365" w:rsidP="00F46DB3">
            <w:pPr>
              <w:spacing w:line="276" w:lineRule="auto"/>
              <w:jc w:val="both"/>
              <w:rPr>
                <w:rFonts w:eastAsia="Times New Roman" w:cstheme="minorHAnsi"/>
                <w:bCs/>
                <w:i/>
                <w:iCs/>
                <w:sz w:val="20"/>
                <w:szCs w:val="20"/>
                <w:lang w:eastAsia="pl-PL"/>
              </w:rPr>
            </w:pPr>
          </w:p>
          <w:p w14:paraId="27A68727" w14:textId="02863BB2" w:rsidR="006E0843" w:rsidRPr="00D103B4" w:rsidRDefault="006E0843" w:rsidP="00F46DB3">
            <w:pPr>
              <w:spacing w:line="276" w:lineRule="auto"/>
              <w:jc w:val="both"/>
              <w:rPr>
                <w:rFonts w:eastAsia="Times New Roman" w:cstheme="minorHAnsi"/>
                <w:bCs/>
                <w:i/>
                <w:iCs/>
                <w:sz w:val="20"/>
                <w:szCs w:val="20"/>
                <w:lang w:eastAsia="pl-PL"/>
              </w:rPr>
            </w:pPr>
            <w:r w:rsidRPr="00D103B4">
              <w:rPr>
                <w:rFonts w:eastAsia="Times New Roman" w:cstheme="minorHAnsi"/>
                <w:bCs/>
                <w:i/>
                <w:iCs/>
                <w:sz w:val="20"/>
                <w:szCs w:val="20"/>
                <w:lang w:eastAsia="pl-PL"/>
              </w:rPr>
              <w:t xml:space="preserve">Uzasadnienie </w:t>
            </w:r>
          </w:p>
          <w:p w14:paraId="7E630474" w14:textId="77777777" w:rsidR="006E0843" w:rsidRPr="00D103B4" w:rsidRDefault="006E0843" w:rsidP="00F46DB3">
            <w:pPr>
              <w:spacing w:line="276" w:lineRule="auto"/>
              <w:jc w:val="both"/>
              <w:rPr>
                <w:rFonts w:eastAsia="Times New Roman" w:cstheme="minorHAnsi"/>
                <w:bCs/>
                <w:sz w:val="20"/>
                <w:szCs w:val="20"/>
                <w:lang w:eastAsia="pl-PL"/>
              </w:rPr>
            </w:pPr>
            <w:r w:rsidRPr="00D103B4">
              <w:rPr>
                <w:rFonts w:eastAsia="Times New Roman" w:cstheme="minorHAnsi"/>
                <w:bCs/>
                <w:sz w:val="20"/>
                <w:szCs w:val="20"/>
                <w:lang w:eastAsia="pl-PL"/>
              </w:rPr>
              <w:t xml:space="preserve">Proponowane w art. 1 pkt 2 Projektu brzmienie art. 952 § 3 </w:t>
            </w:r>
            <w:r w:rsidRPr="00D103B4">
              <w:rPr>
                <w:rFonts w:eastAsia="Times New Roman" w:cstheme="minorHAnsi"/>
                <w:bCs/>
                <w:i/>
                <w:iCs/>
                <w:sz w:val="20"/>
                <w:szCs w:val="20"/>
                <w:lang w:eastAsia="pl-PL"/>
              </w:rPr>
              <w:t>in fine</w:t>
            </w:r>
            <w:r w:rsidRPr="00D103B4">
              <w:rPr>
                <w:rFonts w:eastAsia="Times New Roman" w:cstheme="minorHAnsi"/>
                <w:bCs/>
                <w:sz w:val="20"/>
                <w:szCs w:val="20"/>
                <w:lang w:eastAsia="pl-PL"/>
              </w:rPr>
              <w:t xml:space="preserve"> k.c. budzi wątpliwości terminologiczne, ponieważ zgodnie z tym przepisem nagranie testamentu ustnego utrwalonego za pomocą urządzenia rejestrującego obraz i dźwięk ma zostać </w:t>
            </w:r>
            <w:r w:rsidRPr="00D103B4">
              <w:rPr>
                <w:rFonts w:eastAsia="Times New Roman" w:cstheme="minorHAnsi"/>
                <w:b/>
                <w:sz w:val="20"/>
                <w:szCs w:val="20"/>
                <w:lang w:eastAsia="pl-PL"/>
              </w:rPr>
              <w:t>przekazane</w:t>
            </w:r>
            <w:r w:rsidRPr="00D103B4">
              <w:rPr>
                <w:rFonts w:eastAsia="Times New Roman" w:cstheme="minorHAnsi"/>
                <w:bCs/>
                <w:sz w:val="20"/>
                <w:szCs w:val="20"/>
                <w:lang w:eastAsia="pl-PL"/>
              </w:rPr>
              <w:t xml:space="preserve"> na trwałym nośniku danych notariuszowi lub do sądu spadku nie później niż w ciągu 3 miesięcy od dnia otwarcia spadku, a przepisy k.p.c. (art. 646 i 650) posługują się na określenie tej samej czynności pojęciem </w:t>
            </w:r>
            <w:r w:rsidRPr="00D103B4">
              <w:rPr>
                <w:rFonts w:eastAsia="Times New Roman" w:cstheme="minorHAnsi"/>
                <w:b/>
                <w:sz w:val="20"/>
                <w:szCs w:val="20"/>
                <w:lang w:eastAsia="pl-PL"/>
              </w:rPr>
              <w:t>„złożenia”.</w:t>
            </w:r>
            <w:r w:rsidRPr="00D103B4">
              <w:rPr>
                <w:rFonts w:eastAsia="Times New Roman" w:cstheme="minorHAnsi"/>
                <w:bCs/>
                <w:sz w:val="20"/>
                <w:szCs w:val="20"/>
                <w:lang w:eastAsia="pl-PL"/>
              </w:rPr>
              <w:t xml:space="preserve"> </w:t>
            </w:r>
          </w:p>
          <w:p w14:paraId="485C2B69" w14:textId="77777777" w:rsidR="006E0843" w:rsidRPr="00D103B4" w:rsidRDefault="006E0843" w:rsidP="00F46DB3">
            <w:pPr>
              <w:spacing w:line="276" w:lineRule="auto"/>
              <w:jc w:val="both"/>
              <w:rPr>
                <w:rFonts w:eastAsia="Times New Roman" w:cstheme="minorHAnsi"/>
                <w:bCs/>
                <w:sz w:val="20"/>
                <w:szCs w:val="20"/>
                <w:lang w:eastAsia="pl-PL"/>
              </w:rPr>
            </w:pPr>
          </w:p>
          <w:p w14:paraId="64B3F620" w14:textId="12FA2BEC" w:rsidR="006E0843" w:rsidRPr="00D103B4" w:rsidRDefault="006E0843" w:rsidP="00F46DB3">
            <w:pPr>
              <w:spacing w:line="276" w:lineRule="auto"/>
              <w:jc w:val="both"/>
              <w:rPr>
                <w:rFonts w:eastAsia="Times New Roman" w:cstheme="minorHAnsi"/>
                <w:bCs/>
                <w:sz w:val="20"/>
                <w:szCs w:val="20"/>
                <w:lang w:eastAsia="pl-PL"/>
              </w:rPr>
            </w:pPr>
            <w:r w:rsidRPr="00D103B4">
              <w:rPr>
                <w:rFonts w:eastAsia="Times New Roman" w:cstheme="minorHAnsi"/>
                <w:bCs/>
                <w:sz w:val="20"/>
                <w:szCs w:val="20"/>
                <w:lang w:eastAsia="pl-PL"/>
              </w:rPr>
              <w:t xml:space="preserve">Poddaję pod rozwagę ujednolicenie brzmienia proponowanego art. 952 § 3 k.c. z korespondującymi przepisami procesowymi i </w:t>
            </w:r>
            <w:r w:rsidRPr="00D103B4">
              <w:rPr>
                <w:rFonts w:eastAsia="Times New Roman" w:cstheme="minorHAnsi"/>
                <w:bCs/>
                <w:sz w:val="20"/>
                <w:szCs w:val="20"/>
                <w:lang w:eastAsia="pl-PL"/>
              </w:rPr>
              <w:lastRenderedPageBreak/>
              <w:t>zastąpienia słowa „przekazane” słowem „złożone” w odpowiedniej formie dostosowanej do kontekstu. Analogiczne wątpliwości budzi proponowany w art. 1 pkt 5 Projektu art. 954</w:t>
            </w:r>
            <w:r w:rsidRPr="00D103B4">
              <w:rPr>
                <w:rFonts w:eastAsia="Times New Roman" w:cstheme="minorHAnsi"/>
                <w:bCs/>
                <w:sz w:val="20"/>
                <w:szCs w:val="20"/>
                <w:vertAlign w:val="superscript"/>
                <w:lang w:eastAsia="pl-PL"/>
              </w:rPr>
              <w:t>1</w:t>
            </w:r>
            <w:r w:rsidRPr="00D103B4">
              <w:rPr>
                <w:rFonts w:eastAsia="Times New Roman" w:cstheme="minorHAnsi"/>
                <w:bCs/>
                <w:sz w:val="20"/>
                <w:szCs w:val="20"/>
                <w:lang w:eastAsia="pl-PL"/>
              </w:rPr>
              <w:t xml:space="preserve"> § 3 zd. 3 k.c.</w:t>
            </w:r>
          </w:p>
        </w:tc>
        <w:tc>
          <w:tcPr>
            <w:tcW w:w="4076" w:type="dxa"/>
          </w:tcPr>
          <w:p w14:paraId="66C9BBDC" w14:textId="2DE6CF1D" w:rsidR="00516470" w:rsidRPr="002B63E5" w:rsidRDefault="002B63E5" w:rsidP="002B63E5">
            <w:pPr>
              <w:spacing w:line="276" w:lineRule="auto"/>
              <w:jc w:val="both"/>
              <w:rPr>
                <w:rFonts w:eastAsia="Times New Roman" w:cstheme="minorHAnsi"/>
                <w:b/>
                <w:bCs/>
                <w:sz w:val="20"/>
                <w:szCs w:val="20"/>
                <w:lang w:eastAsia="pl-PL"/>
              </w:rPr>
            </w:pPr>
            <w:r w:rsidRPr="002B63E5">
              <w:rPr>
                <w:rFonts w:eastAsia="Times New Roman" w:cstheme="minorHAnsi"/>
                <w:b/>
                <w:bCs/>
                <w:sz w:val="20"/>
                <w:szCs w:val="20"/>
                <w:lang w:eastAsia="pl-PL"/>
              </w:rPr>
              <w:lastRenderedPageBreak/>
              <w:t>Uwaga nieuwzględniona</w:t>
            </w:r>
          </w:p>
          <w:p w14:paraId="358926C4" w14:textId="51806C30" w:rsidR="00FF6144" w:rsidRPr="00FF6144" w:rsidRDefault="002B63E5" w:rsidP="009D0E2C">
            <w:pPr>
              <w:spacing w:line="276" w:lineRule="auto"/>
              <w:jc w:val="both"/>
              <w:rPr>
                <w:rFonts w:eastAsia="Times New Roman" w:cstheme="minorHAnsi"/>
                <w:sz w:val="20"/>
                <w:szCs w:val="20"/>
                <w:lang w:eastAsia="pl-PL"/>
              </w:rPr>
            </w:pPr>
            <w:r w:rsidRPr="004F0B65">
              <w:rPr>
                <w:rFonts w:eastAsia="Times New Roman" w:cstheme="minorHAnsi"/>
                <w:sz w:val="20"/>
                <w:szCs w:val="20"/>
                <w:lang w:eastAsia="pl-PL"/>
              </w:rPr>
              <w:t xml:space="preserve">Po pierwsze posłużenie się przez projektodawcę zwrotem „złożone” w miejsce „przekazane” nie zmieniłoby </w:t>
            </w:r>
            <w:r w:rsidR="00516470">
              <w:rPr>
                <w:rFonts w:eastAsia="Times New Roman" w:cstheme="minorHAnsi"/>
                <w:sz w:val="20"/>
                <w:szCs w:val="20"/>
                <w:lang w:eastAsia="pl-PL"/>
              </w:rPr>
              <w:t xml:space="preserve">znaczenia </w:t>
            </w:r>
            <w:r w:rsidRPr="004F0B65">
              <w:rPr>
                <w:rFonts w:eastAsia="Times New Roman" w:cstheme="minorHAnsi"/>
                <w:sz w:val="20"/>
                <w:szCs w:val="20"/>
                <w:lang w:eastAsia="pl-PL"/>
              </w:rPr>
              <w:t>normatywne</w:t>
            </w:r>
            <w:r w:rsidR="00516470">
              <w:rPr>
                <w:rFonts w:eastAsia="Times New Roman" w:cstheme="minorHAnsi"/>
                <w:sz w:val="20"/>
                <w:szCs w:val="20"/>
                <w:lang w:eastAsia="pl-PL"/>
              </w:rPr>
              <w:t>go</w:t>
            </w:r>
            <w:r w:rsidRPr="004F0B65">
              <w:rPr>
                <w:rFonts w:eastAsia="Times New Roman" w:cstheme="minorHAnsi"/>
                <w:sz w:val="20"/>
                <w:szCs w:val="20"/>
                <w:lang w:eastAsia="pl-PL"/>
              </w:rPr>
              <w:t xml:space="preserve"> przepisu. Ponadto, nawet jeśli przypisać tym zwrotom inny sens, to w niniejszym przypadku bardziej adekwatne jest słowo „przekazane”, gdyż dotyczy czynności technicznej. Ustawodawca w przywołanym art. 646 i </w:t>
            </w:r>
            <w:r w:rsidR="00962BA5">
              <w:rPr>
                <w:rFonts w:eastAsia="Times New Roman" w:cstheme="minorHAnsi"/>
                <w:sz w:val="20"/>
                <w:szCs w:val="20"/>
                <w:lang w:eastAsia="pl-PL"/>
              </w:rPr>
              <w:t xml:space="preserve">art. </w:t>
            </w:r>
            <w:r w:rsidRPr="004F0B65">
              <w:rPr>
                <w:rFonts w:eastAsia="Times New Roman" w:cstheme="minorHAnsi"/>
                <w:sz w:val="20"/>
                <w:szCs w:val="20"/>
                <w:lang w:eastAsia="pl-PL"/>
              </w:rPr>
              <w:t>650 k.p.c. posługuje się pojęciem „złożone” w odniesieniu do testamentu, a zatem aktu oświadczenia woli, zaś w projektowanym art. 952 § 3 k.c. mowa jest o nagraniu i przekazaniu nagrania z treścią oświadczenia woli, a nie samego oświadczenia woli.</w:t>
            </w:r>
          </w:p>
          <w:p w14:paraId="0C397ABE" w14:textId="7EA33DCA" w:rsidR="00FF6144" w:rsidRPr="004F0B65" w:rsidRDefault="00FF6144" w:rsidP="00FF6144">
            <w:pPr>
              <w:pStyle w:val="ZARTzmartartykuempunktem"/>
              <w:spacing w:line="276" w:lineRule="auto"/>
              <w:ind w:left="0" w:firstLine="0"/>
              <w:rPr>
                <w:rFonts w:asciiTheme="minorHAnsi" w:hAnsiTheme="minorHAnsi" w:cstheme="minorHAnsi"/>
                <w:strike/>
                <w:sz w:val="20"/>
              </w:rPr>
            </w:pPr>
          </w:p>
          <w:p w14:paraId="49ECF582" w14:textId="77777777" w:rsidR="00FF6144" w:rsidRPr="00FF6144" w:rsidRDefault="00FF6144" w:rsidP="00FF6144">
            <w:pPr>
              <w:pStyle w:val="ZARTzmartartykuempunktem"/>
              <w:ind w:left="0" w:firstLine="0"/>
              <w:rPr>
                <w:rFonts w:asciiTheme="minorHAnsi" w:hAnsiTheme="minorHAnsi" w:cstheme="minorHAnsi"/>
                <w:sz w:val="20"/>
              </w:rPr>
            </w:pPr>
          </w:p>
          <w:p w14:paraId="66F60DBA" w14:textId="26046AA5" w:rsidR="00FF6144" w:rsidRPr="00D103B4" w:rsidRDefault="00FF6144" w:rsidP="009D0E2C">
            <w:pPr>
              <w:spacing w:line="276" w:lineRule="auto"/>
              <w:jc w:val="both"/>
              <w:rPr>
                <w:rFonts w:eastAsia="Times New Roman" w:cstheme="minorHAnsi"/>
                <w:sz w:val="20"/>
                <w:szCs w:val="20"/>
                <w:lang w:eastAsia="pl-PL"/>
              </w:rPr>
            </w:pPr>
          </w:p>
        </w:tc>
      </w:tr>
      <w:tr w:rsidR="00937110" w:rsidRPr="00D103B4" w14:paraId="47929719" w14:textId="77777777" w:rsidTr="00B241C8">
        <w:trPr>
          <w:jc w:val="center"/>
        </w:trPr>
        <w:tc>
          <w:tcPr>
            <w:tcW w:w="562" w:type="dxa"/>
          </w:tcPr>
          <w:p w14:paraId="586B577C" w14:textId="57866E22" w:rsidR="00937110" w:rsidRPr="00D103B4" w:rsidRDefault="00D103B4" w:rsidP="009D0E2C">
            <w:pPr>
              <w:spacing w:before="120"/>
              <w:ind w:right="-534"/>
              <w:rPr>
                <w:rFonts w:cstheme="minorHAnsi"/>
                <w:b/>
                <w:sz w:val="20"/>
                <w:szCs w:val="20"/>
              </w:rPr>
            </w:pPr>
            <w:r>
              <w:rPr>
                <w:rFonts w:cstheme="minorHAnsi"/>
                <w:b/>
                <w:sz w:val="20"/>
                <w:szCs w:val="20"/>
              </w:rPr>
              <w:t>1</w:t>
            </w:r>
            <w:r w:rsidR="00C90560">
              <w:rPr>
                <w:rFonts w:cstheme="minorHAnsi"/>
                <w:b/>
                <w:sz w:val="20"/>
                <w:szCs w:val="20"/>
              </w:rPr>
              <w:t>0</w:t>
            </w:r>
            <w:r>
              <w:rPr>
                <w:rFonts w:cstheme="minorHAnsi"/>
                <w:b/>
                <w:sz w:val="20"/>
                <w:szCs w:val="20"/>
              </w:rPr>
              <w:t>.</w:t>
            </w:r>
          </w:p>
        </w:tc>
        <w:tc>
          <w:tcPr>
            <w:tcW w:w="1843" w:type="dxa"/>
            <w:vAlign w:val="center"/>
          </w:tcPr>
          <w:p w14:paraId="68B51D71" w14:textId="77777777" w:rsidR="00937110" w:rsidRPr="00D103B4" w:rsidRDefault="00937110" w:rsidP="00937110">
            <w:pPr>
              <w:spacing w:before="120" w:after="120"/>
              <w:jc w:val="center"/>
              <w:rPr>
                <w:rFonts w:cstheme="minorHAnsi"/>
                <w:b/>
                <w:bCs/>
                <w:sz w:val="20"/>
                <w:szCs w:val="20"/>
              </w:rPr>
            </w:pPr>
            <w:r w:rsidRPr="00D103B4">
              <w:rPr>
                <w:rFonts w:cstheme="minorHAnsi"/>
                <w:b/>
                <w:bCs/>
                <w:sz w:val="20"/>
                <w:szCs w:val="20"/>
              </w:rPr>
              <w:t>Sąd Apelacyjny w Krakowie</w:t>
            </w:r>
          </w:p>
          <w:p w14:paraId="29082829" w14:textId="0737697F" w:rsidR="00937110" w:rsidRPr="00D103B4" w:rsidRDefault="00937110" w:rsidP="00937110">
            <w:pPr>
              <w:spacing w:before="120" w:after="120"/>
              <w:jc w:val="center"/>
              <w:rPr>
                <w:rFonts w:cstheme="minorHAnsi"/>
                <w:b/>
                <w:bCs/>
                <w:sz w:val="20"/>
                <w:szCs w:val="20"/>
              </w:rPr>
            </w:pPr>
            <w:r w:rsidRPr="00D103B4">
              <w:rPr>
                <w:rFonts w:cstheme="minorHAnsi"/>
                <w:b/>
                <w:bCs/>
                <w:sz w:val="20"/>
                <w:szCs w:val="20"/>
              </w:rPr>
              <w:t xml:space="preserve">- </w:t>
            </w:r>
            <w:r w:rsidRPr="00D103B4">
              <w:rPr>
                <w:rFonts w:cstheme="minorHAnsi"/>
                <w:sz w:val="20"/>
                <w:szCs w:val="20"/>
              </w:rPr>
              <w:t>uwaga Sądu Rejonowego dla Krakowa-Podgórza w Krakowie</w:t>
            </w:r>
          </w:p>
        </w:tc>
        <w:tc>
          <w:tcPr>
            <w:tcW w:w="1843" w:type="dxa"/>
            <w:vAlign w:val="center"/>
          </w:tcPr>
          <w:p w14:paraId="7CD9E712" w14:textId="77777777" w:rsidR="00937110" w:rsidRPr="00D103B4" w:rsidRDefault="00937110" w:rsidP="00937110">
            <w:pPr>
              <w:spacing w:before="120" w:after="120"/>
              <w:jc w:val="center"/>
              <w:rPr>
                <w:rFonts w:cstheme="minorHAnsi"/>
                <w:sz w:val="20"/>
                <w:szCs w:val="20"/>
              </w:rPr>
            </w:pPr>
            <w:r w:rsidRPr="00D103B4">
              <w:rPr>
                <w:rFonts w:cstheme="minorHAnsi"/>
                <w:sz w:val="20"/>
                <w:szCs w:val="20"/>
              </w:rPr>
              <w:t>Art. 1 pkt 2 projektu</w:t>
            </w:r>
          </w:p>
          <w:p w14:paraId="38F966E4" w14:textId="4E8288C3" w:rsidR="00937110" w:rsidRPr="00D103B4" w:rsidRDefault="00937110" w:rsidP="00937110">
            <w:pPr>
              <w:spacing w:before="120" w:after="120"/>
              <w:jc w:val="center"/>
              <w:rPr>
                <w:rFonts w:cstheme="minorHAnsi"/>
                <w:sz w:val="20"/>
                <w:szCs w:val="20"/>
              </w:rPr>
            </w:pPr>
            <w:r w:rsidRPr="00D103B4">
              <w:rPr>
                <w:rFonts w:cstheme="minorHAnsi"/>
                <w:sz w:val="20"/>
                <w:szCs w:val="20"/>
              </w:rPr>
              <w:t>(art. 952 § 3 k.c.)</w:t>
            </w:r>
          </w:p>
        </w:tc>
        <w:tc>
          <w:tcPr>
            <w:tcW w:w="5670" w:type="dxa"/>
            <w:vAlign w:val="center"/>
          </w:tcPr>
          <w:p w14:paraId="21565C4A" w14:textId="77777777" w:rsidR="00937110" w:rsidRPr="00D103B4" w:rsidRDefault="00937110" w:rsidP="00D103B4">
            <w:pPr>
              <w:pStyle w:val="Standard"/>
              <w:spacing w:line="276" w:lineRule="auto"/>
              <w:jc w:val="both"/>
              <w:rPr>
                <w:rFonts w:asciiTheme="minorHAnsi" w:hAnsiTheme="minorHAnsi" w:cstheme="minorHAnsi"/>
                <w:sz w:val="20"/>
                <w:szCs w:val="20"/>
              </w:rPr>
            </w:pPr>
            <w:r w:rsidRPr="00D103B4">
              <w:rPr>
                <w:rFonts w:asciiTheme="minorHAnsi" w:hAnsiTheme="minorHAnsi" w:cstheme="minorHAnsi"/>
                <w:sz w:val="20"/>
                <w:szCs w:val="20"/>
              </w:rPr>
              <w:t>Zgodnie z projektowaną zmianą treść testamentu ustnego może podlegać utrwaleniu, w obecności 3 świadków, „za pomocą urządzenia rejestrującego obraz i dźwięk na trwałym nośniku danych, a nagranie to zostanie przekazane na takim nośniku danych notariuszowi lub do sądu spadku”.</w:t>
            </w:r>
          </w:p>
          <w:p w14:paraId="091F4E57" w14:textId="77777777" w:rsidR="00937110" w:rsidRPr="00D103B4" w:rsidRDefault="00937110" w:rsidP="00D103B4">
            <w:pPr>
              <w:pStyle w:val="Standard"/>
              <w:spacing w:line="276" w:lineRule="auto"/>
              <w:jc w:val="both"/>
              <w:rPr>
                <w:rFonts w:asciiTheme="minorHAnsi" w:hAnsiTheme="minorHAnsi" w:cstheme="minorHAnsi"/>
                <w:sz w:val="20"/>
                <w:szCs w:val="20"/>
              </w:rPr>
            </w:pPr>
            <w:r w:rsidRPr="00D103B4">
              <w:rPr>
                <w:rFonts w:asciiTheme="minorHAnsi" w:hAnsiTheme="minorHAnsi" w:cstheme="minorHAnsi"/>
                <w:b/>
                <w:bCs/>
                <w:sz w:val="20"/>
                <w:szCs w:val="20"/>
              </w:rPr>
              <w:t>Wydaje się zbędne, aby przy utrwalonej elektronicznie formie testamentu nadal zachowywać obowiązek obecności aż trzech świadków.</w:t>
            </w:r>
          </w:p>
          <w:p w14:paraId="110D0FB6" w14:textId="77777777" w:rsidR="00937110" w:rsidRPr="00D103B4" w:rsidRDefault="00937110" w:rsidP="00D103B4">
            <w:pPr>
              <w:pStyle w:val="Standard"/>
              <w:spacing w:line="276" w:lineRule="auto"/>
              <w:jc w:val="both"/>
              <w:rPr>
                <w:rFonts w:asciiTheme="minorHAnsi" w:hAnsiTheme="minorHAnsi" w:cstheme="minorHAnsi"/>
                <w:sz w:val="20"/>
                <w:szCs w:val="20"/>
              </w:rPr>
            </w:pPr>
            <w:r w:rsidRPr="00D103B4">
              <w:rPr>
                <w:rFonts w:asciiTheme="minorHAnsi" w:hAnsiTheme="minorHAnsi" w:cstheme="minorHAnsi"/>
                <w:sz w:val="20"/>
                <w:szCs w:val="20"/>
              </w:rPr>
              <w:t>W obowiązującym stanie prawnym obecność trzech świadków była niezbędna, aby zmniejszyć ryzyko nieuczciwych praktyk, gdyż często jedynie relacja ustna pozwalała na odtworzenie treści testamentu.</w:t>
            </w:r>
          </w:p>
          <w:p w14:paraId="3D20841F" w14:textId="46C3537D" w:rsidR="00937110" w:rsidRPr="00D103B4" w:rsidRDefault="00937110" w:rsidP="00D103B4">
            <w:pPr>
              <w:pStyle w:val="Standard"/>
              <w:spacing w:line="276" w:lineRule="auto"/>
              <w:jc w:val="both"/>
              <w:rPr>
                <w:rFonts w:asciiTheme="minorHAnsi" w:hAnsiTheme="minorHAnsi" w:cstheme="minorHAnsi"/>
                <w:sz w:val="20"/>
                <w:szCs w:val="20"/>
              </w:rPr>
            </w:pPr>
            <w:r w:rsidRPr="00D103B4">
              <w:rPr>
                <w:rFonts w:asciiTheme="minorHAnsi" w:hAnsiTheme="minorHAnsi" w:cstheme="minorHAnsi"/>
                <w:sz w:val="20"/>
                <w:szCs w:val="20"/>
              </w:rPr>
              <w:t xml:space="preserve">W sytuacji utrwalenia elektronicznego ostatniej woli rozwiązanie to wydaje się zbyt rygorystyczne. </w:t>
            </w:r>
            <w:r w:rsidRPr="00D103B4">
              <w:rPr>
                <w:rFonts w:asciiTheme="minorHAnsi" w:hAnsiTheme="minorHAnsi" w:cstheme="minorHAnsi"/>
                <w:b/>
                <w:bCs/>
                <w:sz w:val="20"/>
                <w:szCs w:val="20"/>
              </w:rPr>
              <w:t xml:space="preserve">Jednocześnie, w projekcie brak obowiązku, aby osoba składająca utrwalony elektronicznie testament notariuszowi lub sądowi miała także obowiązek podać szczegółowe dane wszystkich świadków testamentu. </w:t>
            </w:r>
            <w:r w:rsidRPr="00D103B4">
              <w:rPr>
                <w:rFonts w:asciiTheme="minorHAnsi" w:hAnsiTheme="minorHAnsi" w:cstheme="minorHAnsi"/>
                <w:sz w:val="20"/>
                <w:szCs w:val="20"/>
              </w:rPr>
              <w:t>Art. 952 § 2 wymaga jedynie „identyfikacji świadków” na nagraniu, co jest wymogiem niejasnym – nie wiadomo, jakie dane należy podać. W zasadzie mogą to być przypadkowe osoby, które podadzą jedynie swoje imię i (popularne) nazwisko.</w:t>
            </w:r>
            <w:r w:rsidR="00B62BF7">
              <w:rPr>
                <w:rFonts w:asciiTheme="minorHAnsi" w:hAnsiTheme="minorHAnsi" w:cstheme="minorHAnsi"/>
                <w:sz w:val="20"/>
                <w:szCs w:val="20"/>
              </w:rPr>
              <w:t xml:space="preserve"> </w:t>
            </w:r>
            <w:r w:rsidRPr="00D103B4">
              <w:rPr>
                <w:rFonts w:asciiTheme="minorHAnsi" w:hAnsiTheme="minorHAnsi" w:cstheme="minorHAnsi"/>
                <w:sz w:val="20"/>
                <w:szCs w:val="20"/>
              </w:rPr>
              <w:t xml:space="preserve">Baza pesel nie zawiera zdjęć. Poza tym, świadkami mogą być także cudzoziemcy. W praktyce może się okazać, że sąd nie będzie znać dostatecznie szczegółowych danych i pomimo wątpliwości co do okoliczności sporządzenia testamentu nie przesłucha świadków, co spowoduje swoisty impas dowodowy. Należy zaznaczyć, ze postępowanie spadkowe nie jest </w:t>
            </w:r>
            <w:r w:rsidRPr="00D103B4">
              <w:rPr>
                <w:rFonts w:asciiTheme="minorHAnsi" w:hAnsiTheme="minorHAnsi" w:cstheme="minorHAnsi"/>
                <w:sz w:val="20"/>
                <w:szCs w:val="20"/>
              </w:rPr>
              <w:lastRenderedPageBreak/>
              <w:t xml:space="preserve">kontradyktoryjne – sąd działa z urzędu. </w:t>
            </w:r>
          </w:p>
          <w:p w14:paraId="23796C49" w14:textId="77777777" w:rsidR="00937110" w:rsidRPr="00D103B4" w:rsidRDefault="00937110" w:rsidP="00D103B4">
            <w:pPr>
              <w:pStyle w:val="Standard"/>
              <w:spacing w:line="276" w:lineRule="auto"/>
              <w:jc w:val="both"/>
              <w:rPr>
                <w:rFonts w:asciiTheme="minorHAnsi" w:hAnsiTheme="minorHAnsi" w:cstheme="minorHAnsi"/>
                <w:sz w:val="20"/>
                <w:szCs w:val="20"/>
              </w:rPr>
            </w:pPr>
            <w:r w:rsidRPr="00D103B4">
              <w:rPr>
                <w:rFonts w:asciiTheme="minorHAnsi" w:hAnsiTheme="minorHAnsi" w:cstheme="minorHAnsi"/>
                <w:sz w:val="20"/>
                <w:szCs w:val="20"/>
              </w:rPr>
              <w:t xml:space="preserve">Trudno w takiej sytuacji uznać, że obowiązek obecności trzech świadków jest – jak wskazano w uzasadnieniu projektu – zabezpieczeniem przed zmanipulowaniem „elektronicznego” testamentu. Wystarczający były tu jeden świadek, natomiast należycie zidentyfikowany co do danych osobowych i adresu. </w:t>
            </w:r>
          </w:p>
          <w:p w14:paraId="043BE9E4" w14:textId="77777777" w:rsidR="00937110" w:rsidRPr="00D103B4" w:rsidRDefault="00937110" w:rsidP="00D103B4">
            <w:pPr>
              <w:pStyle w:val="Standard"/>
              <w:spacing w:line="276" w:lineRule="auto"/>
              <w:jc w:val="both"/>
              <w:rPr>
                <w:rFonts w:asciiTheme="minorHAnsi" w:hAnsiTheme="minorHAnsi" w:cstheme="minorHAnsi"/>
                <w:sz w:val="20"/>
                <w:szCs w:val="20"/>
              </w:rPr>
            </w:pPr>
            <w:r w:rsidRPr="00D103B4">
              <w:rPr>
                <w:rFonts w:asciiTheme="minorHAnsi" w:hAnsiTheme="minorHAnsi" w:cstheme="minorHAnsi"/>
                <w:sz w:val="20"/>
                <w:szCs w:val="20"/>
              </w:rPr>
              <w:t xml:space="preserve">Jest oczywiste, że rejestracja sporządzania testamentu w większości wypadków nastąpi za pomocą telefonu komórkowego. Jak wynika z projektu i uzasadnienia, notariuszowi lub sądowi spadku będzie można ze skutkiem prawnym przekazać dowolny trwały nośnik z nagraniem skopiowanym z oryginalnego urządzenia rejestrującego na pendrive, płytę CD itp. </w:t>
            </w:r>
            <w:r w:rsidRPr="00D103B4">
              <w:rPr>
                <w:rFonts w:asciiTheme="minorHAnsi" w:hAnsiTheme="minorHAnsi" w:cstheme="minorHAnsi"/>
                <w:b/>
                <w:bCs/>
                <w:sz w:val="20"/>
                <w:szCs w:val="20"/>
              </w:rPr>
              <w:t>Nie musi być to oryginalny nośnik, na którym zarejestrowano nagranie.</w:t>
            </w:r>
          </w:p>
          <w:p w14:paraId="09887A3E" w14:textId="77777777" w:rsidR="00937110" w:rsidRPr="00D103B4" w:rsidRDefault="00937110" w:rsidP="00D103B4">
            <w:pPr>
              <w:pStyle w:val="Standard"/>
              <w:spacing w:line="276" w:lineRule="auto"/>
              <w:jc w:val="both"/>
              <w:rPr>
                <w:rFonts w:asciiTheme="minorHAnsi" w:hAnsiTheme="minorHAnsi" w:cstheme="minorHAnsi"/>
                <w:sz w:val="20"/>
                <w:szCs w:val="20"/>
              </w:rPr>
            </w:pPr>
            <w:r w:rsidRPr="00D103B4">
              <w:rPr>
                <w:rFonts w:asciiTheme="minorHAnsi" w:hAnsiTheme="minorHAnsi" w:cstheme="minorHAnsi"/>
                <w:b/>
                <w:bCs/>
                <w:sz w:val="20"/>
                <w:szCs w:val="20"/>
              </w:rPr>
              <w:t>Trzeba podkreślić, że kopia z reguły nie zawiera pełnych metadanych i może utrudniać ewentualną ekspertyzę w razie wątpliwości co do manipulacji w pliku.</w:t>
            </w:r>
          </w:p>
          <w:p w14:paraId="52ED02EE" w14:textId="4E66CB62" w:rsidR="00937110" w:rsidRPr="00D103B4" w:rsidRDefault="00937110" w:rsidP="00D103B4">
            <w:pPr>
              <w:autoSpaceDE w:val="0"/>
              <w:autoSpaceDN w:val="0"/>
              <w:adjustRightInd w:val="0"/>
              <w:spacing w:line="276" w:lineRule="auto"/>
              <w:jc w:val="both"/>
              <w:rPr>
                <w:rFonts w:eastAsia="Times New Roman" w:cstheme="minorHAnsi"/>
                <w:sz w:val="20"/>
                <w:szCs w:val="20"/>
                <w:lang w:eastAsia="pl-PL"/>
              </w:rPr>
            </w:pPr>
            <w:r w:rsidRPr="00D103B4">
              <w:rPr>
                <w:rFonts w:cstheme="minorHAnsi"/>
                <w:sz w:val="20"/>
                <w:szCs w:val="20"/>
              </w:rPr>
              <w:t>O ile zatem obecność trzech świadków (którzy i tak nie będą musieli składać zeznań) wydaje się tu zbyt rygorystyczna, o tyle</w:t>
            </w:r>
            <w:r w:rsidR="00B62BF7">
              <w:rPr>
                <w:rFonts w:cstheme="minorHAnsi"/>
                <w:sz w:val="20"/>
                <w:szCs w:val="20"/>
              </w:rPr>
              <w:t xml:space="preserve"> </w:t>
            </w:r>
            <w:r w:rsidRPr="00D103B4">
              <w:rPr>
                <w:rFonts w:cstheme="minorHAnsi"/>
                <w:sz w:val="20"/>
                <w:szCs w:val="20"/>
              </w:rPr>
              <w:t>przekazanie nieoryginalnego nośnika może być wymogiem niewystarczającym.</w:t>
            </w:r>
          </w:p>
        </w:tc>
        <w:tc>
          <w:tcPr>
            <w:tcW w:w="4076" w:type="dxa"/>
          </w:tcPr>
          <w:p w14:paraId="6A7CF529" w14:textId="6072DE4E" w:rsidR="003F7E53" w:rsidRDefault="00196F7A" w:rsidP="009D0E2C">
            <w:pPr>
              <w:jc w:val="both"/>
              <w:rPr>
                <w:rFonts w:eastAsia="Times New Roman" w:cstheme="minorHAnsi"/>
                <w:b/>
                <w:bCs/>
                <w:sz w:val="20"/>
                <w:szCs w:val="20"/>
                <w:lang w:eastAsia="pl-PL"/>
              </w:rPr>
            </w:pPr>
            <w:r w:rsidRPr="00196F7A">
              <w:rPr>
                <w:rFonts w:eastAsia="Times New Roman" w:cstheme="minorHAnsi"/>
                <w:b/>
                <w:bCs/>
                <w:sz w:val="20"/>
                <w:szCs w:val="20"/>
                <w:lang w:eastAsia="pl-PL"/>
              </w:rPr>
              <w:lastRenderedPageBreak/>
              <w:t>Uwag</w:t>
            </w:r>
            <w:r w:rsidR="003F7E53">
              <w:rPr>
                <w:rFonts w:eastAsia="Times New Roman" w:cstheme="minorHAnsi"/>
                <w:b/>
                <w:bCs/>
                <w:sz w:val="20"/>
                <w:szCs w:val="20"/>
                <w:lang w:eastAsia="pl-PL"/>
              </w:rPr>
              <w:t>i</w:t>
            </w:r>
            <w:r w:rsidRPr="00196F7A">
              <w:rPr>
                <w:rFonts w:eastAsia="Times New Roman" w:cstheme="minorHAnsi"/>
                <w:b/>
                <w:bCs/>
                <w:sz w:val="20"/>
                <w:szCs w:val="20"/>
                <w:lang w:eastAsia="pl-PL"/>
              </w:rPr>
              <w:t xml:space="preserve"> nieuwzględnion</w:t>
            </w:r>
            <w:r w:rsidR="003F7E53">
              <w:rPr>
                <w:rFonts w:eastAsia="Times New Roman" w:cstheme="minorHAnsi"/>
                <w:b/>
                <w:bCs/>
                <w:sz w:val="20"/>
                <w:szCs w:val="20"/>
                <w:lang w:eastAsia="pl-PL"/>
              </w:rPr>
              <w:t>e</w:t>
            </w:r>
          </w:p>
          <w:p w14:paraId="35DF86E6" w14:textId="77777777" w:rsidR="003F7E53" w:rsidRDefault="003F7E53" w:rsidP="003F7E53">
            <w:pPr>
              <w:jc w:val="both"/>
              <w:rPr>
                <w:rFonts w:eastAsia="Times New Roman" w:cstheme="minorHAnsi"/>
                <w:sz w:val="20"/>
                <w:szCs w:val="20"/>
                <w:lang w:eastAsia="pl-PL"/>
              </w:rPr>
            </w:pPr>
            <w:r w:rsidRPr="000E405A">
              <w:rPr>
                <w:rFonts w:eastAsia="Times New Roman" w:cstheme="minorHAnsi"/>
                <w:sz w:val="20"/>
                <w:szCs w:val="20"/>
                <w:lang w:eastAsia="pl-PL"/>
              </w:rPr>
              <w:t xml:space="preserve">Proponowane </w:t>
            </w:r>
            <w:r>
              <w:rPr>
                <w:rFonts w:eastAsia="Times New Roman" w:cstheme="minorHAnsi"/>
                <w:sz w:val="20"/>
                <w:szCs w:val="20"/>
                <w:lang w:eastAsia="pl-PL"/>
              </w:rPr>
              <w:t xml:space="preserve">w projekcie </w:t>
            </w:r>
            <w:r w:rsidRPr="000E405A">
              <w:rPr>
                <w:rFonts w:eastAsia="Times New Roman" w:cstheme="minorHAnsi"/>
                <w:sz w:val="20"/>
                <w:szCs w:val="20"/>
                <w:lang w:eastAsia="pl-PL"/>
              </w:rPr>
              <w:t>rozwiązani</w:t>
            </w:r>
            <w:r>
              <w:rPr>
                <w:rFonts w:eastAsia="Times New Roman" w:cstheme="minorHAnsi"/>
                <w:sz w:val="20"/>
                <w:szCs w:val="20"/>
                <w:lang w:eastAsia="pl-PL"/>
              </w:rPr>
              <w:t>a</w:t>
            </w:r>
            <w:r w:rsidRPr="000E405A">
              <w:rPr>
                <w:rFonts w:eastAsia="Times New Roman" w:cstheme="minorHAnsi"/>
                <w:sz w:val="20"/>
                <w:szCs w:val="20"/>
                <w:lang w:eastAsia="pl-PL"/>
              </w:rPr>
              <w:t xml:space="preserve"> wynika</w:t>
            </w:r>
            <w:r>
              <w:rPr>
                <w:rFonts w:eastAsia="Times New Roman" w:cstheme="minorHAnsi"/>
                <w:sz w:val="20"/>
                <w:szCs w:val="20"/>
                <w:lang w:eastAsia="pl-PL"/>
              </w:rPr>
              <w:t>ją</w:t>
            </w:r>
            <w:r w:rsidRPr="000E405A">
              <w:rPr>
                <w:rFonts w:eastAsia="Times New Roman" w:cstheme="minorHAnsi"/>
                <w:sz w:val="20"/>
                <w:szCs w:val="20"/>
                <w:lang w:eastAsia="pl-PL"/>
              </w:rPr>
              <w:t xml:space="preserve"> z celowej decyzji Zespołu problemowego do spraw prawa spadkowego Komisji Kodyfikacyjnej Prawa Cywilnego.</w:t>
            </w:r>
            <w:r>
              <w:rPr>
                <w:rFonts w:eastAsia="Times New Roman" w:cstheme="minorHAnsi"/>
                <w:sz w:val="20"/>
                <w:szCs w:val="20"/>
                <w:lang w:eastAsia="pl-PL"/>
              </w:rPr>
              <w:t xml:space="preserve"> </w:t>
            </w:r>
          </w:p>
          <w:p w14:paraId="74DA8497" w14:textId="77777777" w:rsidR="00962BA5" w:rsidRDefault="00962BA5" w:rsidP="003F7E53">
            <w:pPr>
              <w:jc w:val="both"/>
              <w:rPr>
                <w:rFonts w:eastAsia="Times New Roman" w:cstheme="minorHAnsi"/>
                <w:sz w:val="20"/>
                <w:szCs w:val="20"/>
                <w:lang w:eastAsia="pl-PL"/>
              </w:rPr>
            </w:pPr>
          </w:p>
          <w:p w14:paraId="77923149" w14:textId="731FFAA1" w:rsidR="003F7E53" w:rsidRDefault="003F7E53" w:rsidP="003F7E53">
            <w:pPr>
              <w:jc w:val="both"/>
              <w:rPr>
                <w:rFonts w:eastAsia="Times New Roman" w:cstheme="minorHAnsi"/>
                <w:sz w:val="20"/>
                <w:szCs w:val="20"/>
                <w:lang w:eastAsia="pl-PL"/>
              </w:rPr>
            </w:pPr>
            <w:r>
              <w:rPr>
                <w:rFonts w:eastAsia="Times New Roman" w:cstheme="minorHAnsi"/>
                <w:sz w:val="20"/>
                <w:szCs w:val="20"/>
                <w:lang w:eastAsia="pl-PL"/>
              </w:rPr>
              <w:t>Po pierwsze, ponieważ t</w:t>
            </w:r>
            <w:r w:rsidRPr="00307896">
              <w:rPr>
                <w:rFonts w:eastAsia="Times New Roman" w:cstheme="minorHAnsi"/>
                <w:sz w:val="20"/>
                <w:szCs w:val="20"/>
                <w:lang w:eastAsia="pl-PL"/>
              </w:rPr>
              <w:t xml:space="preserve">ak jak podpis spadkodawcy pod pismem stwierdzającym treść testamentu ustnego jest realnym dowodem, że do złożenia oświadczenia woli przez spadkodawcę doszło, tak takim dowodem może być również nagranie oświadczenia testatora w sposób umożliwiający identyfikację zarówno jego, jak i co najmniej trzech świadków. </w:t>
            </w:r>
            <w:r>
              <w:rPr>
                <w:rFonts w:eastAsia="Times New Roman" w:cstheme="minorHAnsi"/>
                <w:sz w:val="20"/>
                <w:szCs w:val="20"/>
                <w:lang w:eastAsia="pl-PL"/>
              </w:rPr>
              <w:t>W tym kontekście t</w:t>
            </w:r>
            <w:r w:rsidRPr="003F7E53">
              <w:rPr>
                <w:rFonts w:eastAsia="Times New Roman" w:cstheme="minorHAnsi"/>
                <w:sz w:val="20"/>
                <w:szCs w:val="20"/>
                <w:lang w:eastAsia="pl-PL"/>
              </w:rPr>
              <w:t xml:space="preserve">echniczne ryzyko fałszerstw </w:t>
            </w:r>
            <w:r>
              <w:rPr>
                <w:rFonts w:eastAsia="Times New Roman" w:cstheme="minorHAnsi"/>
                <w:sz w:val="20"/>
                <w:szCs w:val="20"/>
                <w:lang w:eastAsia="pl-PL"/>
              </w:rPr>
              <w:t xml:space="preserve">testamentów ustnych </w:t>
            </w:r>
            <w:r w:rsidRPr="003F7E53">
              <w:rPr>
                <w:rFonts w:eastAsia="Times New Roman" w:cstheme="minorHAnsi"/>
                <w:sz w:val="20"/>
                <w:szCs w:val="20"/>
                <w:lang w:eastAsia="pl-PL"/>
              </w:rPr>
              <w:t xml:space="preserve">powinna </w:t>
            </w:r>
            <w:r w:rsidR="00962BA5">
              <w:rPr>
                <w:rFonts w:eastAsia="Times New Roman" w:cstheme="minorHAnsi"/>
                <w:sz w:val="20"/>
                <w:szCs w:val="20"/>
                <w:lang w:eastAsia="pl-PL"/>
              </w:rPr>
              <w:t>właśnie</w:t>
            </w:r>
            <w:r w:rsidRPr="003F7E53">
              <w:rPr>
                <w:rFonts w:eastAsia="Times New Roman" w:cstheme="minorHAnsi"/>
                <w:sz w:val="20"/>
                <w:szCs w:val="20"/>
                <w:lang w:eastAsia="pl-PL"/>
              </w:rPr>
              <w:t xml:space="preserve"> ograniczać konieczność obecności na nagraniu </w:t>
            </w:r>
            <w:r>
              <w:rPr>
                <w:rFonts w:eastAsia="Times New Roman" w:cstheme="minorHAnsi"/>
                <w:sz w:val="20"/>
                <w:szCs w:val="20"/>
                <w:lang w:eastAsia="pl-PL"/>
              </w:rPr>
              <w:t xml:space="preserve">co najmniej trzech </w:t>
            </w:r>
            <w:r w:rsidRPr="003F7E53">
              <w:rPr>
                <w:rFonts w:eastAsia="Times New Roman" w:cstheme="minorHAnsi"/>
                <w:sz w:val="20"/>
                <w:szCs w:val="20"/>
                <w:lang w:eastAsia="pl-PL"/>
              </w:rPr>
              <w:t>świadków (nagranie nie może być bowiem ograniczone wyłącznie do osoby samego testatora).</w:t>
            </w:r>
            <w:r>
              <w:rPr>
                <w:rFonts w:eastAsia="Times New Roman" w:cstheme="minorHAnsi"/>
                <w:sz w:val="20"/>
                <w:szCs w:val="20"/>
                <w:lang w:eastAsia="pl-PL"/>
              </w:rPr>
              <w:t xml:space="preserve"> </w:t>
            </w:r>
          </w:p>
          <w:p w14:paraId="3C781EAC" w14:textId="77777777" w:rsidR="003F7E53" w:rsidRDefault="003F7E53" w:rsidP="003F7E53">
            <w:pPr>
              <w:jc w:val="both"/>
              <w:rPr>
                <w:rFonts w:eastAsia="Times New Roman" w:cstheme="minorHAnsi"/>
                <w:sz w:val="20"/>
                <w:szCs w:val="20"/>
                <w:lang w:eastAsia="pl-PL"/>
              </w:rPr>
            </w:pPr>
          </w:p>
          <w:p w14:paraId="607B52D6" w14:textId="273FA9CE" w:rsidR="003F7E53" w:rsidRDefault="003F7E53" w:rsidP="003F7E53">
            <w:pPr>
              <w:jc w:val="both"/>
              <w:rPr>
                <w:rFonts w:eastAsia="Times New Roman" w:cstheme="minorHAnsi"/>
                <w:sz w:val="20"/>
                <w:szCs w:val="20"/>
                <w:lang w:eastAsia="pl-PL"/>
              </w:rPr>
            </w:pPr>
            <w:r>
              <w:rPr>
                <w:rFonts w:eastAsia="Times New Roman" w:cstheme="minorHAnsi"/>
                <w:sz w:val="20"/>
                <w:szCs w:val="20"/>
                <w:lang w:eastAsia="pl-PL"/>
              </w:rPr>
              <w:t>Po drugie uznano, że i</w:t>
            </w:r>
            <w:r w:rsidRPr="004F0B65">
              <w:rPr>
                <w:rFonts w:eastAsia="Times New Roman" w:cstheme="minorHAnsi"/>
                <w:sz w:val="20"/>
                <w:szCs w:val="20"/>
                <w:lang w:eastAsia="pl-PL"/>
              </w:rPr>
              <w:t xml:space="preserve">dentyfikacja </w:t>
            </w:r>
            <w:r>
              <w:rPr>
                <w:rFonts w:eastAsia="Times New Roman" w:cstheme="minorHAnsi"/>
                <w:sz w:val="20"/>
                <w:szCs w:val="20"/>
                <w:lang w:eastAsia="pl-PL"/>
              </w:rPr>
              <w:t xml:space="preserve">świadków </w:t>
            </w:r>
            <w:r w:rsidRPr="004F0B65">
              <w:rPr>
                <w:rFonts w:eastAsia="Times New Roman" w:cstheme="minorHAnsi"/>
                <w:sz w:val="20"/>
                <w:szCs w:val="20"/>
                <w:lang w:eastAsia="pl-PL"/>
              </w:rPr>
              <w:t>nie musi zawsze oznaczać podania przez te osoby na nagraniu imion i nazwisk, gdyż wystarczające może być bezsporne ustalenie tożsamości tych osób po ich wyglądzie lub funkcji.</w:t>
            </w:r>
          </w:p>
          <w:p w14:paraId="2C75DAD4" w14:textId="77777777" w:rsidR="003F7E53" w:rsidRDefault="003F7E53" w:rsidP="003F7E53">
            <w:pPr>
              <w:jc w:val="both"/>
              <w:rPr>
                <w:rFonts w:eastAsia="Times New Roman" w:cstheme="minorHAnsi"/>
                <w:sz w:val="20"/>
                <w:szCs w:val="20"/>
                <w:lang w:eastAsia="pl-PL"/>
              </w:rPr>
            </w:pPr>
          </w:p>
          <w:p w14:paraId="699656F3" w14:textId="31C72F21" w:rsidR="00BF5692" w:rsidRPr="004F0B65" w:rsidRDefault="003F7E53" w:rsidP="00BF5692">
            <w:pPr>
              <w:jc w:val="both"/>
              <w:rPr>
                <w:rFonts w:eastAsia="Times New Roman" w:cstheme="minorHAnsi"/>
                <w:sz w:val="20"/>
                <w:szCs w:val="20"/>
                <w:lang w:eastAsia="pl-PL"/>
              </w:rPr>
            </w:pPr>
            <w:r>
              <w:rPr>
                <w:rFonts w:eastAsia="Times New Roman" w:cstheme="minorHAnsi"/>
                <w:sz w:val="20"/>
                <w:szCs w:val="20"/>
                <w:lang w:eastAsia="pl-PL"/>
              </w:rPr>
              <w:t>Po trzecie uznano, że n</w:t>
            </w:r>
            <w:r w:rsidRPr="003F7E53">
              <w:rPr>
                <w:rFonts w:eastAsia="Times New Roman" w:cstheme="minorHAnsi"/>
                <w:sz w:val="20"/>
                <w:szCs w:val="20"/>
                <w:lang w:eastAsia="pl-PL"/>
              </w:rPr>
              <w:t xml:space="preserve">ośnik nie powinien być utożsamiany z urządzeniem, na którym doszło </w:t>
            </w:r>
            <w:r w:rsidRPr="003F7E53">
              <w:rPr>
                <w:rFonts w:eastAsia="Times New Roman" w:cstheme="minorHAnsi"/>
                <w:sz w:val="20"/>
                <w:szCs w:val="20"/>
                <w:lang w:eastAsia="pl-PL"/>
              </w:rPr>
              <w:lastRenderedPageBreak/>
              <w:t xml:space="preserve">do sporządzenia takiego nagrania. Nie jest więc konieczne złożenie u notariusza lub w sądzie spadku np. telefonu komórkowego, którym utrwalono ustne oświadczenie spadkodawcy. Konieczne jest jednak, aby takie nagranie (tzn. jego wierna kopia) zostało przesłane do notariusza lub sądu spadku na odpowiednim trwałym nośniku danych (np. pamięć USB, dysk zewnętrzny). </w:t>
            </w:r>
            <w:r w:rsidR="00BF5692">
              <w:rPr>
                <w:rFonts w:eastAsia="Times New Roman" w:cstheme="minorHAnsi"/>
                <w:sz w:val="20"/>
                <w:szCs w:val="20"/>
                <w:lang w:eastAsia="pl-PL"/>
              </w:rPr>
              <w:t xml:space="preserve">Zespół miał </w:t>
            </w:r>
            <w:r w:rsidRPr="003F7E53">
              <w:rPr>
                <w:rFonts w:eastAsia="Times New Roman" w:cstheme="minorHAnsi"/>
                <w:sz w:val="20"/>
                <w:szCs w:val="20"/>
                <w:lang w:eastAsia="pl-PL"/>
              </w:rPr>
              <w:t xml:space="preserve">przy tym świadomość, że prawie na pewno w każdym z takich przypadków stwierdzania treści testamentu ustnego konieczna będzie analiza prawdziwości nagrania przez biegłego. Zdecydowano się jednak podjąć ryzyko dopuszczania stwierdzania treści testamentu ustnego w ten sposób, gdyż z obecnego stanu wiedzy w tym zakresie wynika, że biegli są w stanie zweryfikować, czy dane nagranie nie zostało sfałszowane. </w:t>
            </w:r>
            <w:r w:rsidR="00BF5692">
              <w:rPr>
                <w:rFonts w:eastAsia="Times New Roman" w:cstheme="minorHAnsi"/>
                <w:sz w:val="20"/>
                <w:szCs w:val="20"/>
                <w:lang w:eastAsia="pl-PL"/>
              </w:rPr>
              <w:t>J</w:t>
            </w:r>
            <w:r w:rsidRPr="003F7E53">
              <w:rPr>
                <w:rFonts w:eastAsia="Times New Roman" w:cstheme="minorHAnsi"/>
                <w:sz w:val="20"/>
                <w:szCs w:val="20"/>
                <w:lang w:eastAsia="pl-PL"/>
              </w:rPr>
              <w:t>akakolwiek wątpliwość sądu co do rzeczywistego sporządzenia testamentu ustnego powinna z urzędu pociągać za sobą powołanie biegłego mogącego ustalić, czy nie nastąpiła ingerencja w przedstawione sądowi nagranie. Sąd może wówczas także nakazać poddanie badaniu oryginalnego nośnika, na którym doszło do utrwalenia oświadczenia woli testatora. Jego brak powinien podlegać ocenie przez sąd na zasadach ogólnych i może niekiedy prowadzić do uznania, że do sporządzenia testamentu ustnego w rzeczywistości nie doszło.</w:t>
            </w:r>
          </w:p>
        </w:tc>
      </w:tr>
      <w:tr w:rsidR="00092606" w:rsidRPr="00D103B4" w14:paraId="36B22221" w14:textId="77777777" w:rsidTr="00B241C8">
        <w:trPr>
          <w:jc w:val="center"/>
        </w:trPr>
        <w:tc>
          <w:tcPr>
            <w:tcW w:w="562" w:type="dxa"/>
          </w:tcPr>
          <w:p w14:paraId="3B22F6DC" w14:textId="5B3C0303" w:rsidR="00092606" w:rsidRPr="00D103B4" w:rsidRDefault="00D103B4" w:rsidP="009D0E2C">
            <w:pPr>
              <w:spacing w:before="120"/>
              <w:ind w:right="-534"/>
              <w:rPr>
                <w:rFonts w:cstheme="minorHAnsi"/>
                <w:b/>
                <w:sz w:val="20"/>
                <w:szCs w:val="20"/>
              </w:rPr>
            </w:pPr>
            <w:r>
              <w:rPr>
                <w:rFonts w:cstheme="minorHAnsi"/>
                <w:b/>
                <w:sz w:val="20"/>
                <w:szCs w:val="20"/>
              </w:rPr>
              <w:lastRenderedPageBreak/>
              <w:t>1</w:t>
            </w:r>
            <w:r w:rsidR="00C90560">
              <w:rPr>
                <w:rFonts w:cstheme="minorHAnsi"/>
                <w:b/>
                <w:sz w:val="20"/>
                <w:szCs w:val="20"/>
              </w:rPr>
              <w:t>1</w:t>
            </w:r>
            <w:r>
              <w:rPr>
                <w:rFonts w:cstheme="minorHAnsi"/>
                <w:b/>
                <w:sz w:val="20"/>
                <w:szCs w:val="20"/>
              </w:rPr>
              <w:t>.</w:t>
            </w:r>
          </w:p>
        </w:tc>
        <w:tc>
          <w:tcPr>
            <w:tcW w:w="1843" w:type="dxa"/>
            <w:vAlign w:val="center"/>
          </w:tcPr>
          <w:p w14:paraId="47651709" w14:textId="643831CF" w:rsidR="00092606" w:rsidRPr="00D103B4" w:rsidRDefault="000D2059" w:rsidP="009D0E2C">
            <w:pPr>
              <w:spacing w:before="120" w:after="120"/>
              <w:jc w:val="center"/>
              <w:rPr>
                <w:rFonts w:cstheme="minorHAnsi"/>
                <w:b/>
                <w:bCs/>
                <w:sz w:val="20"/>
                <w:szCs w:val="20"/>
              </w:rPr>
            </w:pPr>
            <w:r w:rsidRPr="00D103B4">
              <w:rPr>
                <w:rFonts w:cstheme="minorHAnsi"/>
                <w:b/>
                <w:bCs/>
                <w:sz w:val="20"/>
                <w:szCs w:val="20"/>
              </w:rPr>
              <w:t>Stowarzyszenie Absolwentów i Aplikantów</w:t>
            </w:r>
            <w:r w:rsidR="00B62BF7">
              <w:rPr>
                <w:rFonts w:cstheme="minorHAnsi"/>
                <w:b/>
                <w:bCs/>
                <w:sz w:val="20"/>
                <w:szCs w:val="20"/>
              </w:rPr>
              <w:t xml:space="preserve"> </w:t>
            </w:r>
            <w:r w:rsidRPr="00D103B4">
              <w:rPr>
                <w:rFonts w:cstheme="minorHAnsi"/>
                <w:b/>
                <w:bCs/>
                <w:sz w:val="20"/>
                <w:szCs w:val="20"/>
              </w:rPr>
              <w:t>KSSiP VOTUM</w:t>
            </w:r>
          </w:p>
        </w:tc>
        <w:tc>
          <w:tcPr>
            <w:tcW w:w="1843" w:type="dxa"/>
            <w:vAlign w:val="center"/>
          </w:tcPr>
          <w:p w14:paraId="0507FCA7" w14:textId="77777777" w:rsidR="00092606" w:rsidRPr="00D103B4" w:rsidRDefault="00092606" w:rsidP="00092606">
            <w:pPr>
              <w:spacing w:before="120" w:after="120"/>
              <w:jc w:val="center"/>
              <w:rPr>
                <w:rFonts w:cstheme="minorHAnsi"/>
                <w:sz w:val="20"/>
                <w:szCs w:val="20"/>
              </w:rPr>
            </w:pPr>
            <w:r w:rsidRPr="00D103B4">
              <w:rPr>
                <w:rFonts w:cstheme="minorHAnsi"/>
                <w:sz w:val="20"/>
                <w:szCs w:val="20"/>
              </w:rPr>
              <w:t>Art. 1 pkt 2 projektu</w:t>
            </w:r>
          </w:p>
          <w:p w14:paraId="0C318831" w14:textId="39438835" w:rsidR="00092606" w:rsidRPr="00D103B4" w:rsidRDefault="00092606" w:rsidP="00092606">
            <w:pPr>
              <w:spacing w:before="120" w:after="120"/>
              <w:jc w:val="center"/>
              <w:rPr>
                <w:rFonts w:cstheme="minorHAnsi"/>
                <w:sz w:val="20"/>
                <w:szCs w:val="20"/>
              </w:rPr>
            </w:pPr>
            <w:r w:rsidRPr="00D103B4">
              <w:rPr>
                <w:rFonts w:cstheme="minorHAnsi"/>
                <w:sz w:val="20"/>
                <w:szCs w:val="20"/>
              </w:rPr>
              <w:t>(art. 952 § 3 k.c.)</w:t>
            </w:r>
          </w:p>
        </w:tc>
        <w:tc>
          <w:tcPr>
            <w:tcW w:w="5670" w:type="dxa"/>
            <w:vAlign w:val="center"/>
          </w:tcPr>
          <w:p w14:paraId="2766A2A4" w14:textId="77777777" w:rsidR="001C253E" w:rsidRPr="00344F77" w:rsidRDefault="001C253E" w:rsidP="001C253E">
            <w:pPr>
              <w:spacing w:line="276" w:lineRule="auto"/>
              <w:jc w:val="both"/>
              <w:rPr>
                <w:rFonts w:eastAsia="Times New Roman" w:cstheme="minorHAnsi"/>
                <w:sz w:val="20"/>
                <w:szCs w:val="20"/>
                <w:lang w:eastAsia="pl-PL"/>
              </w:rPr>
            </w:pPr>
            <w:r w:rsidRPr="00344F77">
              <w:rPr>
                <w:rFonts w:eastAsia="Times New Roman" w:cstheme="minorHAnsi"/>
                <w:sz w:val="20"/>
                <w:szCs w:val="20"/>
                <w:lang w:eastAsia="pl-PL"/>
              </w:rPr>
              <w:t>Pewne zastrzeżenia budzą, w ocenie opiniujących, projektowane zmiany</w:t>
            </w:r>
            <w:r w:rsidRPr="00D103B4">
              <w:rPr>
                <w:rFonts w:eastAsia="Times New Roman" w:cstheme="minorHAnsi"/>
                <w:sz w:val="20"/>
                <w:szCs w:val="20"/>
                <w:lang w:eastAsia="pl-PL"/>
              </w:rPr>
              <w:t xml:space="preserve"> </w:t>
            </w:r>
            <w:r w:rsidRPr="00344F77">
              <w:rPr>
                <w:rFonts w:eastAsia="Times New Roman" w:cstheme="minorHAnsi"/>
                <w:sz w:val="20"/>
                <w:szCs w:val="20"/>
                <w:lang w:eastAsia="pl-PL"/>
              </w:rPr>
              <w:t>w zakresie sposobów stwierdzania treści testamentu ustnego. Zdecydowano się</w:t>
            </w:r>
            <w:r w:rsidRPr="00D103B4">
              <w:rPr>
                <w:rFonts w:eastAsia="Times New Roman" w:cstheme="minorHAnsi"/>
                <w:sz w:val="20"/>
                <w:szCs w:val="20"/>
                <w:lang w:eastAsia="pl-PL"/>
              </w:rPr>
              <w:t xml:space="preserve"> </w:t>
            </w:r>
            <w:r w:rsidRPr="00344F77">
              <w:rPr>
                <w:rFonts w:eastAsia="Times New Roman" w:cstheme="minorHAnsi"/>
                <w:sz w:val="20"/>
                <w:szCs w:val="20"/>
                <w:lang w:eastAsia="pl-PL"/>
              </w:rPr>
              <w:t>na usunięcie z Kodeksu cywilnego możliwości stwierdzenia treści testament</w:t>
            </w:r>
            <w:r w:rsidRPr="00D103B4">
              <w:rPr>
                <w:rFonts w:eastAsia="Times New Roman" w:cstheme="minorHAnsi"/>
                <w:sz w:val="20"/>
                <w:szCs w:val="20"/>
                <w:lang w:eastAsia="pl-PL"/>
              </w:rPr>
              <w:t xml:space="preserve">u </w:t>
            </w:r>
            <w:r w:rsidRPr="00344F77">
              <w:rPr>
                <w:rFonts w:eastAsia="Times New Roman" w:cstheme="minorHAnsi"/>
                <w:sz w:val="20"/>
                <w:szCs w:val="20"/>
                <w:lang w:eastAsia="pl-PL"/>
              </w:rPr>
              <w:t>ustnego przez zeznania świadków, uznawszy ten sposób</w:t>
            </w:r>
            <w:r w:rsidRPr="00D103B4">
              <w:rPr>
                <w:rFonts w:eastAsia="Times New Roman" w:cstheme="minorHAnsi"/>
                <w:sz w:val="20"/>
                <w:szCs w:val="20"/>
                <w:lang w:eastAsia="pl-PL"/>
              </w:rPr>
              <w:t xml:space="preserve"> </w:t>
            </w:r>
            <w:r w:rsidRPr="00344F77">
              <w:rPr>
                <w:rFonts w:eastAsia="Times New Roman" w:cstheme="minorHAnsi"/>
                <w:sz w:val="20"/>
                <w:szCs w:val="20"/>
                <w:lang w:eastAsia="pl-PL"/>
              </w:rPr>
              <w:t>stwierdzania treści</w:t>
            </w:r>
            <w:r w:rsidRPr="00D103B4">
              <w:rPr>
                <w:rFonts w:eastAsia="Times New Roman" w:cstheme="minorHAnsi"/>
                <w:sz w:val="20"/>
                <w:szCs w:val="20"/>
                <w:lang w:eastAsia="pl-PL"/>
              </w:rPr>
              <w:t xml:space="preserve"> testamentu ustnego za niedający wystarczającej pewności co do tego, że dana osoba rzeczywiście złożyła dane oświadczenie, co należy ocenić oczywiście </w:t>
            </w:r>
            <w:r w:rsidRPr="00344F77">
              <w:rPr>
                <w:rFonts w:eastAsia="Times New Roman" w:cstheme="minorHAnsi"/>
                <w:sz w:val="20"/>
                <w:szCs w:val="20"/>
                <w:lang w:eastAsia="pl-PL"/>
              </w:rPr>
              <w:t>pozytywnie, szczególnie w świetle doświadczenia z sali rozpraw, gdzie podczas</w:t>
            </w:r>
            <w:r w:rsidRPr="00D103B4">
              <w:rPr>
                <w:rFonts w:eastAsia="Times New Roman" w:cstheme="minorHAnsi"/>
                <w:sz w:val="20"/>
                <w:szCs w:val="20"/>
                <w:lang w:eastAsia="pl-PL"/>
              </w:rPr>
              <w:t xml:space="preserve"> </w:t>
            </w:r>
            <w:r w:rsidRPr="00344F77">
              <w:rPr>
                <w:rFonts w:eastAsia="Times New Roman" w:cstheme="minorHAnsi"/>
                <w:sz w:val="20"/>
                <w:szCs w:val="20"/>
                <w:lang w:eastAsia="pl-PL"/>
              </w:rPr>
              <w:t>posiedzeń w przedmiocie przesłuchania świadków testamentu ustnego</w:t>
            </w:r>
            <w:r w:rsidRPr="00D103B4">
              <w:rPr>
                <w:rFonts w:eastAsia="Times New Roman" w:cstheme="minorHAnsi"/>
                <w:sz w:val="20"/>
                <w:szCs w:val="20"/>
                <w:lang w:eastAsia="pl-PL"/>
              </w:rPr>
              <w:t xml:space="preserve"> </w:t>
            </w:r>
            <w:r w:rsidRPr="00344F77">
              <w:rPr>
                <w:rFonts w:eastAsia="Times New Roman" w:cstheme="minorHAnsi"/>
                <w:sz w:val="20"/>
                <w:szCs w:val="20"/>
                <w:lang w:eastAsia="pl-PL"/>
              </w:rPr>
              <w:t>niejednokrotnie zachodziły wątpliwości co do okoliczności faktycznego</w:t>
            </w:r>
            <w:r w:rsidRPr="00D103B4">
              <w:rPr>
                <w:rFonts w:eastAsia="Times New Roman" w:cstheme="minorHAnsi"/>
                <w:sz w:val="20"/>
                <w:szCs w:val="20"/>
                <w:lang w:eastAsia="pl-PL"/>
              </w:rPr>
              <w:t xml:space="preserve"> </w:t>
            </w:r>
            <w:r w:rsidRPr="00344F77">
              <w:rPr>
                <w:rFonts w:eastAsia="Times New Roman" w:cstheme="minorHAnsi"/>
                <w:sz w:val="20"/>
                <w:szCs w:val="20"/>
                <w:lang w:eastAsia="pl-PL"/>
              </w:rPr>
              <w:t>rozrządzenia spadkodawcy na wypadek śmierci. Wskazana zmiana powinna więc</w:t>
            </w:r>
          </w:p>
          <w:p w14:paraId="277A3FB4" w14:textId="77777777" w:rsidR="001C253E" w:rsidRDefault="001C253E" w:rsidP="001C253E">
            <w:pPr>
              <w:spacing w:line="276" w:lineRule="auto"/>
              <w:jc w:val="both"/>
              <w:rPr>
                <w:rFonts w:eastAsia="Times New Roman" w:cstheme="minorHAnsi"/>
                <w:sz w:val="20"/>
                <w:szCs w:val="20"/>
                <w:lang w:eastAsia="pl-PL"/>
              </w:rPr>
            </w:pPr>
            <w:r w:rsidRPr="00344F77">
              <w:rPr>
                <w:rFonts w:eastAsia="Times New Roman" w:cstheme="minorHAnsi"/>
                <w:sz w:val="20"/>
                <w:szCs w:val="20"/>
                <w:lang w:eastAsia="pl-PL"/>
              </w:rPr>
              <w:t>istotnie przyczynić się do ograniczenia skuteczności</w:t>
            </w:r>
            <w:r w:rsidRPr="00D103B4">
              <w:rPr>
                <w:rFonts w:eastAsia="Times New Roman" w:cstheme="minorHAnsi"/>
                <w:sz w:val="20"/>
                <w:szCs w:val="20"/>
                <w:lang w:eastAsia="pl-PL"/>
              </w:rPr>
              <w:t xml:space="preserve"> </w:t>
            </w:r>
            <w:r w:rsidRPr="00344F77">
              <w:rPr>
                <w:rFonts w:eastAsia="Times New Roman" w:cstheme="minorHAnsi"/>
                <w:sz w:val="20"/>
                <w:szCs w:val="20"/>
                <w:lang w:eastAsia="pl-PL"/>
              </w:rPr>
              <w:t>podejmowanych prób</w:t>
            </w:r>
            <w:r w:rsidRPr="00D103B4">
              <w:rPr>
                <w:rFonts w:eastAsia="Times New Roman" w:cstheme="minorHAnsi"/>
                <w:sz w:val="20"/>
                <w:szCs w:val="20"/>
                <w:lang w:eastAsia="pl-PL"/>
              </w:rPr>
              <w:t xml:space="preserve"> fałszowania testamentów ustnych.</w:t>
            </w:r>
          </w:p>
          <w:p w14:paraId="1421BB7D" w14:textId="1B81FA31" w:rsidR="000D2059" w:rsidRPr="00D103B4" w:rsidRDefault="000D2059" w:rsidP="00D103B4">
            <w:pPr>
              <w:autoSpaceDE w:val="0"/>
              <w:autoSpaceDN w:val="0"/>
              <w:adjustRightInd w:val="0"/>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Jednocześnie umożliwiono stwierdzenie treści testamentu ustnego za pomocą nagrania audiowizualnego. Możliwość ta, w świetle postępującego rozwoju technologii, w tym AI i deepfake, budzi poważne wątpliwości opiniujących.</w:t>
            </w:r>
          </w:p>
          <w:p w14:paraId="7C642C6B" w14:textId="2D4095B0" w:rsidR="00BF03A6" w:rsidRPr="00BF03A6" w:rsidRDefault="000D2059" w:rsidP="00D103B4">
            <w:pPr>
              <w:autoSpaceDE w:val="0"/>
              <w:autoSpaceDN w:val="0"/>
              <w:adjustRightInd w:val="0"/>
              <w:spacing w:line="276" w:lineRule="auto"/>
              <w:jc w:val="both"/>
              <w:rPr>
                <w:rFonts w:eastAsia="Times New Roman" w:cstheme="minorHAnsi"/>
                <w:sz w:val="20"/>
                <w:szCs w:val="20"/>
                <w:lang w:eastAsia="pl-PL"/>
              </w:rPr>
            </w:pPr>
            <w:r w:rsidRPr="00D103B4">
              <w:rPr>
                <w:rFonts w:eastAsia="Times New Roman" w:cstheme="minorHAnsi"/>
                <w:sz w:val="20"/>
                <w:szCs w:val="20"/>
                <w:lang w:eastAsia="pl-PL"/>
              </w:rPr>
              <w:t>W proponowanym art. 952 § 3 k.c. uznano, że treść testamentu ustnego może być stwierdzona w ten sposób, że ustne oświadczenie spadkodawcy złożone w obecności świadków zostanie utrwalone za pomocą urządzenia rejestrującego obraz i dźwięk na trwałym nośniku danych. Błędnie projektodawcy</w:t>
            </w:r>
            <w:r w:rsidR="00BF03A6" w:rsidRPr="00D103B4">
              <w:rPr>
                <w:rFonts w:eastAsia="Times New Roman" w:cstheme="minorHAnsi"/>
                <w:sz w:val="20"/>
                <w:szCs w:val="20"/>
                <w:lang w:eastAsia="pl-PL"/>
              </w:rPr>
              <w:t xml:space="preserve"> przyjmują, że tak jak podpis spadkodawcy pod pismem stwierdzającym treść </w:t>
            </w:r>
            <w:r w:rsidR="00BF03A6" w:rsidRPr="00BF03A6">
              <w:rPr>
                <w:rFonts w:eastAsia="Times New Roman" w:cstheme="minorHAnsi"/>
                <w:sz w:val="20"/>
                <w:szCs w:val="20"/>
                <w:lang w:eastAsia="pl-PL"/>
              </w:rPr>
              <w:t>testamentu ustnego jest realnym dowodem, że do złożenia oświadczenia woli</w:t>
            </w:r>
          </w:p>
          <w:p w14:paraId="13BA2015" w14:textId="77777777" w:rsidR="00092606" w:rsidRPr="00D103B4" w:rsidRDefault="00BF03A6" w:rsidP="00D103B4">
            <w:pPr>
              <w:autoSpaceDE w:val="0"/>
              <w:autoSpaceDN w:val="0"/>
              <w:adjustRightInd w:val="0"/>
              <w:spacing w:line="276" w:lineRule="auto"/>
              <w:jc w:val="both"/>
              <w:rPr>
                <w:rFonts w:eastAsia="Times New Roman" w:cstheme="minorHAnsi"/>
                <w:sz w:val="20"/>
                <w:szCs w:val="20"/>
                <w:lang w:eastAsia="pl-PL"/>
              </w:rPr>
            </w:pPr>
            <w:r w:rsidRPr="00BF03A6">
              <w:rPr>
                <w:rFonts w:eastAsia="Times New Roman" w:cstheme="minorHAnsi"/>
                <w:sz w:val="20"/>
                <w:szCs w:val="20"/>
                <w:lang w:eastAsia="pl-PL"/>
              </w:rPr>
              <w:t>przez spadkodawcę doszło, tak takim dowodem może być również nagranie</w:t>
            </w:r>
            <w:r w:rsidRPr="00D103B4">
              <w:rPr>
                <w:rFonts w:eastAsia="Times New Roman" w:cstheme="minorHAnsi"/>
                <w:sz w:val="20"/>
                <w:szCs w:val="20"/>
                <w:lang w:eastAsia="pl-PL"/>
              </w:rPr>
              <w:t xml:space="preserve"> </w:t>
            </w:r>
            <w:r w:rsidRPr="00BF03A6">
              <w:rPr>
                <w:rFonts w:eastAsia="Times New Roman" w:cstheme="minorHAnsi"/>
                <w:sz w:val="20"/>
                <w:szCs w:val="20"/>
                <w:lang w:eastAsia="pl-PL"/>
              </w:rPr>
              <w:t>oświadczenia testatora w sposób umożliwiający identyfikację zarówno jego, jak</w:t>
            </w:r>
            <w:r w:rsidRPr="00D103B4">
              <w:rPr>
                <w:rFonts w:eastAsia="Times New Roman" w:cstheme="minorHAnsi"/>
                <w:sz w:val="20"/>
                <w:szCs w:val="20"/>
                <w:lang w:eastAsia="pl-PL"/>
              </w:rPr>
              <w:t xml:space="preserve"> </w:t>
            </w:r>
            <w:r w:rsidRPr="00BF03A6">
              <w:rPr>
                <w:rFonts w:eastAsia="Times New Roman" w:cstheme="minorHAnsi"/>
                <w:sz w:val="20"/>
                <w:szCs w:val="20"/>
                <w:lang w:eastAsia="pl-PL"/>
              </w:rPr>
              <w:t xml:space="preserve">i co najmniej trzech świadków. </w:t>
            </w:r>
            <w:r w:rsidRPr="00BF03A6">
              <w:rPr>
                <w:rFonts w:eastAsia="Times New Roman" w:cstheme="minorHAnsi"/>
                <w:sz w:val="20"/>
                <w:szCs w:val="20"/>
                <w:lang w:eastAsia="pl-PL"/>
              </w:rPr>
              <w:lastRenderedPageBreak/>
              <w:t>Przede wszystkim już samo pojęcie „</w:t>
            </w:r>
            <w:r w:rsidRPr="00E37D59">
              <w:rPr>
                <w:rFonts w:eastAsia="Times New Roman" w:cstheme="minorHAnsi"/>
                <w:b/>
                <w:bCs/>
                <w:sz w:val="20"/>
                <w:szCs w:val="20"/>
                <w:lang w:eastAsia="pl-PL"/>
              </w:rPr>
              <w:t>Identyfikacja: nie jest sprecyzowane, nie wiadomo bowiem, czy musi oznaczać ona podania przez te osoby na nagraniu imion i nazwisk, czy też wystarczające może być bezsporne ustalenie tożsamości tych osób po ich wyglądzie lub funkcji.</w:t>
            </w:r>
            <w:r w:rsidRPr="00BF03A6">
              <w:rPr>
                <w:rFonts w:eastAsia="Times New Roman" w:cstheme="minorHAnsi"/>
                <w:sz w:val="20"/>
                <w:szCs w:val="20"/>
                <w:lang w:eastAsia="pl-PL"/>
              </w:rPr>
              <w:t xml:space="preserve"> Co więcej,</w:t>
            </w:r>
            <w:r w:rsidRPr="00D103B4">
              <w:rPr>
                <w:rFonts w:eastAsia="Times New Roman" w:cstheme="minorHAnsi"/>
                <w:sz w:val="20"/>
                <w:szCs w:val="20"/>
                <w:lang w:eastAsia="pl-PL"/>
              </w:rPr>
              <w:t xml:space="preserve"> </w:t>
            </w:r>
            <w:r w:rsidRPr="00BF03A6">
              <w:rPr>
                <w:rFonts w:eastAsia="Times New Roman" w:cstheme="minorHAnsi"/>
                <w:sz w:val="20"/>
                <w:szCs w:val="20"/>
                <w:lang w:eastAsia="pl-PL"/>
              </w:rPr>
              <w:t>obecne już na rynku oprogramowanie ( np. HeyGen-AI Video Generator), które</w:t>
            </w:r>
            <w:r w:rsidRPr="00D103B4">
              <w:rPr>
                <w:rFonts w:eastAsia="Times New Roman" w:cstheme="minorHAnsi"/>
                <w:sz w:val="20"/>
                <w:szCs w:val="20"/>
                <w:lang w:eastAsia="pl-PL"/>
              </w:rPr>
              <w:t xml:space="preserve"> </w:t>
            </w:r>
            <w:r w:rsidRPr="00BF03A6">
              <w:rPr>
                <w:rFonts w:eastAsia="Times New Roman" w:cstheme="minorHAnsi"/>
                <w:sz w:val="20"/>
                <w:szCs w:val="20"/>
                <w:lang w:eastAsia="pl-PL"/>
              </w:rPr>
              <w:t>dysponując próbką wizerunku testatora i jego głosu, może podłożyć inny dźwięk</w:t>
            </w:r>
            <w:r w:rsidRPr="00D103B4">
              <w:rPr>
                <w:rFonts w:eastAsia="Times New Roman" w:cstheme="minorHAnsi"/>
                <w:sz w:val="20"/>
                <w:szCs w:val="20"/>
                <w:lang w:eastAsia="pl-PL"/>
              </w:rPr>
              <w:t xml:space="preserve"> </w:t>
            </w:r>
            <w:r w:rsidRPr="00BF03A6">
              <w:rPr>
                <w:rFonts w:eastAsia="Times New Roman" w:cstheme="minorHAnsi"/>
                <w:sz w:val="20"/>
                <w:szCs w:val="20"/>
                <w:lang w:eastAsia="pl-PL"/>
              </w:rPr>
              <w:t>do nagrania, dostosowując mimikę i ruch warg temu towarzyszący, w sposób</w:t>
            </w:r>
            <w:r w:rsidR="00201EE9" w:rsidRPr="00D103B4">
              <w:rPr>
                <w:rFonts w:eastAsia="Times New Roman" w:cstheme="minorHAnsi"/>
                <w:sz w:val="20"/>
                <w:szCs w:val="20"/>
                <w:lang w:eastAsia="pl-PL"/>
              </w:rPr>
              <w:t xml:space="preserve"> </w:t>
            </w:r>
            <w:r w:rsidRPr="00BF03A6">
              <w:rPr>
                <w:rFonts w:eastAsia="Times New Roman" w:cstheme="minorHAnsi"/>
                <w:sz w:val="20"/>
                <w:szCs w:val="20"/>
                <w:lang w:eastAsia="pl-PL"/>
              </w:rPr>
              <w:t>niemożliwy do wykrycia ani dla człowieka, ani dla AI, czy nie nastąpiła ingerencja</w:t>
            </w:r>
            <w:r w:rsidR="00201EE9" w:rsidRPr="00D103B4">
              <w:rPr>
                <w:rFonts w:eastAsia="Times New Roman" w:cstheme="minorHAnsi"/>
                <w:sz w:val="20"/>
                <w:szCs w:val="20"/>
                <w:lang w:eastAsia="pl-PL"/>
              </w:rPr>
              <w:t xml:space="preserve"> </w:t>
            </w:r>
            <w:r w:rsidRPr="00D103B4">
              <w:rPr>
                <w:rFonts w:eastAsia="Times New Roman" w:cstheme="minorHAnsi"/>
                <w:sz w:val="20"/>
                <w:szCs w:val="20"/>
                <w:lang w:eastAsia="pl-PL"/>
              </w:rPr>
              <w:t>w przedstawione sądowi nagranie.</w:t>
            </w:r>
          </w:p>
          <w:p w14:paraId="6342840F" w14:textId="4668012B" w:rsidR="00201EE9" w:rsidRPr="00D103B4" w:rsidRDefault="00201EE9" w:rsidP="00D103B4">
            <w:pPr>
              <w:autoSpaceDE w:val="0"/>
              <w:autoSpaceDN w:val="0"/>
              <w:adjustRightInd w:val="0"/>
              <w:spacing w:line="276" w:lineRule="auto"/>
              <w:jc w:val="both"/>
              <w:rPr>
                <w:rFonts w:eastAsia="Times New Roman" w:cstheme="minorHAnsi"/>
                <w:sz w:val="20"/>
                <w:szCs w:val="20"/>
                <w:lang w:eastAsia="pl-PL"/>
              </w:rPr>
            </w:pPr>
            <w:r w:rsidRPr="00201EE9">
              <w:rPr>
                <w:rFonts w:eastAsia="Times New Roman" w:cstheme="minorHAnsi"/>
                <w:sz w:val="20"/>
                <w:szCs w:val="20"/>
                <w:lang w:eastAsia="pl-PL"/>
              </w:rPr>
              <w:t>Powyższe świadczy o miernej wartości dowodowej takiego nagrania. Co</w:t>
            </w:r>
            <w:r w:rsidRPr="00D103B4">
              <w:rPr>
                <w:rFonts w:eastAsia="Times New Roman" w:cstheme="minorHAnsi"/>
                <w:sz w:val="20"/>
                <w:szCs w:val="20"/>
                <w:lang w:eastAsia="pl-PL"/>
              </w:rPr>
              <w:t xml:space="preserve"> </w:t>
            </w:r>
            <w:r w:rsidRPr="00201EE9">
              <w:rPr>
                <w:rFonts w:eastAsia="Times New Roman" w:cstheme="minorHAnsi"/>
                <w:sz w:val="20"/>
                <w:szCs w:val="20"/>
                <w:lang w:eastAsia="pl-PL"/>
              </w:rPr>
              <w:t>więcej, proponowane przez projektodawców niemalże obligatoryjne zasięganie</w:t>
            </w:r>
            <w:r w:rsidRPr="00D103B4">
              <w:rPr>
                <w:rFonts w:eastAsia="Times New Roman" w:cstheme="minorHAnsi"/>
                <w:sz w:val="20"/>
                <w:szCs w:val="20"/>
                <w:lang w:eastAsia="pl-PL"/>
              </w:rPr>
              <w:t xml:space="preserve"> </w:t>
            </w:r>
            <w:r w:rsidRPr="00201EE9">
              <w:rPr>
                <w:rFonts w:eastAsia="Times New Roman" w:cstheme="minorHAnsi"/>
                <w:sz w:val="20"/>
                <w:szCs w:val="20"/>
                <w:lang w:eastAsia="pl-PL"/>
              </w:rPr>
              <w:t>opinii biegłego – w każdym postepowaniu, gdzie forma testamentu ustnego</w:t>
            </w:r>
            <w:r w:rsidRPr="00D103B4">
              <w:rPr>
                <w:rFonts w:eastAsia="Times New Roman" w:cstheme="minorHAnsi"/>
                <w:sz w:val="20"/>
                <w:szCs w:val="20"/>
                <w:lang w:eastAsia="pl-PL"/>
              </w:rPr>
              <w:t xml:space="preserve"> </w:t>
            </w:r>
            <w:r w:rsidRPr="00201EE9">
              <w:rPr>
                <w:rFonts w:eastAsia="Times New Roman" w:cstheme="minorHAnsi"/>
                <w:sz w:val="20"/>
                <w:szCs w:val="20"/>
                <w:lang w:eastAsia="pl-PL"/>
              </w:rPr>
              <w:t>została stwierdzona nagraniem audiowizualnym, powodować będzie nie tylko</w:t>
            </w:r>
            <w:r w:rsidRPr="00D103B4">
              <w:rPr>
                <w:rFonts w:eastAsia="Times New Roman" w:cstheme="minorHAnsi"/>
                <w:sz w:val="20"/>
                <w:szCs w:val="20"/>
                <w:lang w:eastAsia="pl-PL"/>
              </w:rPr>
              <w:t xml:space="preserve"> </w:t>
            </w:r>
            <w:r w:rsidRPr="00201EE9">
              <w:rPr>
                <w:rFonts w:eastAsia="Times New Roman" w:cstheme="minorHAnsi"/>
                <w:sz w:val="20"/>
                <w:szCs w:val="20"/>
                <w:lang w:eastAsia="pl-PL"/>
              </w:rPr>
              <w:t>znaczące wydłużenie postępowań, ale także wpływać na jego koszty. Kwestią</w:t>
            </w:r>
            <w:r w:rsidRPr="00D103B4">
              <w:rPr>
                <w:rFonts w:eastAsia="Times New Roman" w:cstheme="minorHAnsi"/>
                <w:sz w:val="20"/>
                <w:szCs w:val="20"/>
                <w:lang w:eastAsia="pl-PL"/>
              </w:rPr>
              <w:t xml:space="preserve"> </w:t>
            </w:r>
            <w:r w:rsidRPr="00201EE9">
              <w:rPr>
                <w:rFonts w:eastAsia="Times New Roman" w:cstheme="minorHAnsi"/>
                <w:sz w:val="20"/>
                <w:szCs w:val="20"/>
                <w:lang w:eastAsia="pl-PL"/>
              </w:rPr>
              <w:t>wtórną będą również trudności ze znalezieniem biegłych informatyków, którzy</w:t>
            </w:r>
            <w:r w:rsidRPr="00D103B4">
              <w:rPr>
                <w:rFonts w:eastAsia="Times New Roman" w:cstheme="minorHAnsi"/>
                <w:sz w:val="20"/>
                <w:szCs w:val="20"/>
                <w:lang w:eastAsia="pl-PL"/>
              </w:rPr>
              <w:t xml:space="preserve"> </w:t>
            </w:r>
            <w:r w:rsidRPr="00201EE9">
              <w:rPr>
                <w:rFonts w:eastAsia="Times New Roman" w:cstheme="minorHAnsi"/>
                <w:sz w:val="20"/>
                <w:szCs w:val="20"/>
                <w:lang w:eastAsia="pl-PL"/>
              </w:rPr>
              <w:t>podejmą się opiniowania w tym przedmiocie. W konsekwencji projektowane</w:t>
            </w:r>
            <w:r w:rsidRPr="00D103B4">
              <w:rPr>
                <w:rFonts w:eastAsia="Times New Roman" w:cstheme="minorHAnsi"/>
                <w:sz w:val="20"/>
                <w:szCs w:val="20"/>
                <w:lang w:eastAsia="pl-PL"/>
              </w:rPr>
              <w:t xml:space="preserve"> </w:t>
            </w:r>
            <w:r w:rsidRPr="00201EE9">
              <w:rPr>
                <w:rFonts w:eastAsia="Times New Roman" w:cstheme="minorHAnsi"/>
                <w:sz w:val="20"/>
                <w:szCs w:val="20"/>
                <w:lang w:eastAsia="pl-PL"/>
              </w:rPr>
              <w:t>rozwiązanie, które w założeniu miało uprościć dowodowo stwierdzenie</w:t>
            </w:r>
            <w:r w:rsidRPr="00D103B4">
              <w:rPr>
                <w:rFonts w:eastAsia="Times New Roman" w:cstheme="minorHAnsi"/>
                <w:sz w:val="20"/>
                <w:szCs w:val="20"/>
                <w:lang w:eastAsia="pl-PL"/>
              </w:rPr>
              <w:t xml:space="preserve"> </w:t>
            </w:r>
            <w:r w:rsidRPr="00201EE9">
              <w:rPr>
                <w:rFonts w:eastAsia="Times New Roman" w:cstheme="minorHAnsi"/>
                <w:sz w:val="20"/>
                <w:szCs w:val="20"/>
                <w:lang w:eastAsia="pl-PL"/>
              </w:rPr>
              <w:t>rzeczywistej woli testatora ogłoszonej w formie ustnej, może przyczynić się do</w:t>
            </w:r>
            <w:r w:rsidRPr="00D103B4">
              <w:rPr>
                <w:rFonts w:eastAsia="Times New Roman" w:cstheme="minorHAnsi"/>
                <w:sz w:val="20"/>
                <w:szCs w:val="20"/>
                <w:lang w:eastAsia="pl-PL"/>
              </w:rPr>
              <w:t xml:space="preserve"> skomplikowania i przedłużenia postępowań.</w:t>
            </w:r>
          </w:p>
        </w:tc>
        <w:tc>
          <w:tcPr>
            <w:tcW w:w="4076" w:type="dxa"/>
          </w:tcPr>
          <w:p w14:paraId="4AD0F9DC" w14:textId="4167C1D5" w:rsidR="00BF5692" w:rsidRPr="000660EA" w:rsidRDefault="00BF5692" w:rsidP="00BF5692">
            <w:pPr>
              <w:jc w:val="both"/>
              <w:rPr>
                <w:rFonts w:eastAsia="Times New Roman" w:cstheme="minorHAnsi"/>
                <w:b/>
                <w:bCs/>
                <w:sz w:val="20"/>
                <w:szCs w:val="20"/>
                <w:lang w:eastAsia="pl-PL"/>
              </w:rPr>
            </w:pPr>
            <w:r w:rsidRPr="00196F7A">
              <w:rPr>
                <w:rFonts w:eastAsia="Times New Roman" w:cstheme="minorHAnsi"/>
                <w:b/>
                <w:bCs/>
                <w:sz w:val="20"/>
                <w:szCs w:val="20"/>
                <w:lang w:eastAsia="pl-PL"/>
              </w:rPr>
              <w:lastRenderedPageBreak/>
              <w:t>Uwag</w:t>
            </w:r>
            <w:r>
              <w:rPr>
                <w:rFonts w:eastAsia="Times New Roman" w:cstheme="minorHAnsi"/>
                <w:b/>
                <w:bCs/>
                <w:sz w:val="20"/>
                <w:szCs w:val="20"/>
                <w:lang w:eastAsia="pl-PL"/>
              </w:rPr>
              <w:t>i</w:t>
            </w:r>
            <w:r w:rsidRPr="00196F7A">
              <w:rPr>
                <w:rFonts w:eastAsia="Times New Roman" w:cstheme="minorHAnsi"/>
                <w:b/>
                <w:bCs/>
                <w:sz w:val="20"/>
                <w:szCs w:val="20"/>
                <w:lang w:eastAsia="pl-PL"/>
              </w:rPr>
              <w:t xml:space="preserve"> nieuwzględnion</w:t>
            </w:r>
            <w:r>
              <w:rPr>
                <w:rFonts w:eastAsia="Times New Roman" w:cstheme="minorHAnsi"/>
                <w:b/>
                <w:bCs/>
                <w:sz w:val="20"/>
                <w:szCs w:val="20"/>
                <w:lang w:eastAsia="pl-PL"/>
              </w:rPr>
              <w:t>e</w:t>
            </w:r>
          </w:p>
          <w:p w14:paraId="5DFAEA0C" w14:textId="1F9C50B5" w:rsidR="00BF5692" w:rsidRDefault="00BF5692" w:rsidP="00BF5692">
            <w:pPr>
              <w:jc w:val="both"/>
              <w:rPr>
                <w:rFonts w:eastAsia="Times New Roman" w:cstheme="minorHAnsi"/>
                <w:sz w:val="20"/>
                <w:szCs w:val="20"/>
                <w:lang w:eastAsia="pl-PL"/>
              </w:rPr>
            </w:pPr>
            <w:r w:rsidRPr="000E405A">
              <w:rPr>
                <w:rFonts w:eastAsia="Times New Roman" w:cstheme="minorHAnsi"/>
                <w:sz w:val="20"/>
                <w:szCs w:val="20"/>
                <w:lang w:eastAsia="pl-PL"/>
              </w:rPr>
              <w:t xml:space="preserve">Proponowane </w:t>
            </w:r>
            <w:r>
              <w:rPr>
                <w:rFonts w:eastAsia="Times New Roman" w:cstheme="minorHAnsi"/>
                <w:sz w:val="20"/>
                <w:szCs w:val="20"/>
                <w:lang w:eastAsia="pl-PL"/>
              </w:rPr>
              <w:t xml:space="preserve">w projekcie </w:t>
            </w:r>
            <w:r w:rsidRPr="000E405A">
              <w:rPr>
                <w:rFonts w:eastAsia="Times New Roman" w:cstheme="minorHAnsi"/>
                <w:sz w:val="20"/>
                <w:szCs w:val="20"/>
                <w:lang w:eastAsia="pl-PL"/>
              </w:rPr>
              <w:t>rozwiązani</w:t>
            </w:r>
            <w:r>
              <w:rPr>
                <w:rFonts w:eastAsia="Times New Roman" w:cstheme="minorHAnsi"/>
                <w:sz w:val="20"/>
                <w:szCs w:val="20"/>
                <w:lang w:eastAsia="pl-PL"/>
              </w:rPr>
              <w:t>a</w:t>
            </w:r>
            <w:r w:rsidRPr="000E405A">
              <w:rPr>
                <w:rFonts w:eastAsia="Times New Roman" w:cstheme="minorHAnsi"/>
                <w:sz w:val="20"/>
                <w:szCs w:val="20"/>
                <w:lang w:eastAsia="pl-PL"/>
              </w:rPr>
              <w:t xml:space="preserve"> wynika</w:t>
            </w:r>
            <w:r>
              <w:rPr>
                <w:rFonts w:eastAsia="Times New Roman" w:cstheme="minorHAnsi"/>
                <w:sz w:val="20"/>
                <w:szCs w:val="20"/>
                <w:lang w:eastAsia="pl-PL"/>
              </w:rPr>
              <w:t>ją</w:t>
            </w:r>
            <w:r w:rsidRPr="000E405A">
              <w:rPr>
                <w:rFonts w:eastAsia="Times New Roman" w:cstheme="minorHAnsi"/>
                <w:sz w:val="20"/>
                <w:szCs w:val="20"/>
                <w:lang w:eastAsia="pl-PL"/>
              </w:rPr>
              <w:t xml:space="preserve"> z celowej decyzji Zespołu problemowego do spraw prawa spadkowego Komisji Kodyfikacyjnej Prawa Cywilnego.</w:t>
            </w:r>
            <w:r>
              <w:rPr>
                <w:rFonts w:eastAsia="Times New Roman" w:cstheme="minorHAnsi"/>
                <w:sz w:val="20"/>
                <w:szCs w:val="20"/>
                <w:lang w:eastAsia="pl-PL"/>
              </w:rPr>
              <w:t xml:space="preserve"> </w:t>
            </w:r>
          </w:p>
          <w:p w14:paraId="689A6AAC" w14:textId="77777777" w:rsidR="00962BA5" w:rsidRDefault="00962BA5" w:rsidP="00BF5692">
            <w:pPr>
              <w:jc w:val="both"/>
              <w:rPr>
                <w:rFonts w:eastAsia="Times New Roman" w:cstheme="minorHAnsi"/>
                <w:sz w:val="20"/>
                <w:szCs w:val="20"/>
                <w:lang w:eastAsia="pl-PL"/>
              </w:rPr>
            </w:pPr>
          </w:p>
          <w:p w14:paraId="3659A353" w14:textId="2C7FA948" w:rsidR="00BF5692" w:rsidRDefault="00BF5692" w:rsidP="00BF5692">
            <w:pPr>
              <w:jc w:val="both"/>
              <w:rPr>
                <w:rFonts w:eastAsia="Times New Roman" w:cstheme="minorHAnsi"/>
                <w:sz w:val="20"/>
                <w:szCs w:val="20"/>
                <w:lang w:eastAsia="pl-PL"/>
              </w:rPr>
            </w:pPr>
            <w:r>
              <w:rPr>
                <w:rFonts w:eastAsia="Times New Roman" w:cstheme="minorHAnsi"/>
                <w:sz w:val="20"/>
                <w:szCs w:val="20"/>
                <w:lang w:eastAsia="pl-PL"/>
              </w:rPr>
              <w:t>Po pierwsze, uznano, że i</w:t>
            </w:r>
            <w:r w:rsidRPr="00307896">
              <w:rPr>
                <w:rFonts w:eastAsia="Times New Roman" w:cstheme="minorHAnsi"/>
                <w:sz w:val="20"/>
                <w:szCs w:val="20"/>
                <w:lang w:eastAsia="pl-PL"/>
              </w:rPr>
              <w:t xml:space="preserve">dentyfikacja </w:t>
            </w:r>
            <w:r>
              <w:rPr>
                <w:rFonts w:eastAsia="Times New Roman" w:cstheme="minorHAnsi"/>
                <w:sz w:val="20"/>
                <w:szCs w:val="20"/>
                <w:lang w:eastAsia="pl-PL"/>
              </w:rPr>
              <w:t xml:space="preserve">świadków </w:t>
            </w:r>
            <w:r w:rsidRPr="00307896">
              <w:rPr>
                <w:rFonts w:eastAsia="Times New Roman" w:cstheme="minorHAnsi"/>
                <w:sz w:val="20"/>
                <w:szCs w:val="20"/>
                <w:lang w:eastAsia="pl-PL"/>
              </w:rPr>
              <w:t>nie musi zawsze oznaczać podania przez te osoby na nagraniu imion i nazwisk, gdyż wystarczające może być bezsporne ustalenie tożsamości tych osób po ich wyglądzie lub funkcji.</w:t>
            </w:r>
          </w:p>
          <w:p w14:paraId="27DB851D" w14:textId="77777777" w:rsidR="00BF5692" w:rsidRDefault="00BF5692" w:rsidP="00BF5692">
            <w:pPr>
              <w:jc w:val="both"/>
              <w:rPr>
                <w:rFonts w:eastAsia="Times New Roman" w:cstheme="minorHAnsi"/>
                <w:sz w:val="20"/>
                <w:szCs w:val="20"/>
                <w:lang w:eastAsia="pl-PL"/>
              </w:rPr>
            </w:pPr>
          </w:p>
          <w:p w14:paraId="2B8E7AD5" w14:textId="09DC31E5" w:rsidR="00BF5692" w:rsidRDefault="00BF5692" w:rsidP="00BF5692">
            <w:pPr>
              <w:jc w:val="both"/>
              <w:rPr>
                <w:rFonts w:eastAsia="Times New Roman" w:cstheme="minorHAnsi"/>
                <w:sz w:val="20"/>
                <w:szCs w:val="20"/>
                <w:lang w:eastAsia="pl-PL"/>
              </w:rPr>
            </w:pPr>
            <w:r>
              <w:rPr>
                <w:rFonts w:eastAsia="Times New Roman" w:cstheme="minorHAnsi"/>
                <w:sz w:val="20"/>
                <w:szCs w:val="20"/>
                <w:lang w:eastAsia="pl-PL"/>
              </w:rPr>
              <w:t xml:space="preserve">Po drugie, Zespół miał </w:t>
            </w:r>
            <w:r w:rsidRPr="003F7E53">
              <w:rPr>
                <w:rFonts w:eastAsia="Times New Roman" w:cstheme="minorHAnsi"/>
                <w:sz w:val="20"/>
                <w:szCs w:val="20"/>
                <w:lang w:eastAsia="pl-PL"/>
              </w:rPr>
              <w:t xml:space="preserve">świadomość, że prawie na pewno w każdym z takich przypadków stwierdzania treści testamentu ustnego konieczna będzie analiza prawdziwości nagrania przez biegłego. Zdecydowano się jednak podjąć ryzyko dopuszczania stwierdzania treści testamentu ustnego w ten sposób, gdyż z obecnego stanu wiedzy w tym zakresie wynika, że biegli są w stanie zweryfikować, czy dane nagranie nie zostało sfałszowane. </w:t>
            </w:r>
            <w:r>
              <w:rPr>
                <w:rFonts w:eastAsia="Times New Roman" w:cstheme="minorHAnsi"/>
                <w:sz w:val="20"/>
                <w:szCs w:val="20"/>
                <w:lang w:eastAsia="pl-PL"/>
              </w:rPr>
              <w:t>J</w:t>
            </w:r>
            <w:r w:rsidRPr="003F7E53">
              <w:rPr>
                <w:rFonts w:eastAsia="Times New Roman" w:cstheme="minorHAnsi"/>
                <w:sz w:val="20"/>
                <w:szCs w:val="20"/>
                <w:lang w:eastAsia="pl-PL"/>
              </w:rPr>
              <w:t xml:space="preserve">akakolwiek wątpliwość sądu co do rzeczywistego sporządzenia testamentu ustnego powinna z urzędu pociągać za sobą powołanie biegłego mogącego ustalić, czy nie nastąpiła ingerencja w przedstawione sądowi nagranie. Sąd może wówczas także nakazać poddanie badaniu oryginalnego nośnika, na którym doszło do utrwalenia oświadczenia woli testatora. Jego brak powinien podlegać ocenie przez sąd na </w:t>
            </w:r>
            <w:r w:rsidRPr="003F7E53">
              <w:rPr>
                <w:rFonts w:eastAsia="Times New Roman" w:cstheme="minorHAnsi"/>
                <w:sz w:val="20"/>
                <w:szCs w:val="20"/>
                <w:lang w:eastAsia="pl-PL"/>
              </w:rPr>
              <w:lastRenderedPageBreak/>
              <w:t>zasadach ogólnych i może niekiedy prowadzić do uznania, że do sporządzenia testamentu ustnego w rzeczywistości nie doszło.</w:t>
            </w:r>
          </w:p>
          <w:p w14:paraId="1EDC19C2" w14:textId="77777777" w:rsidR="00E37D59" w:rsidRDefault="00E37D59" w:rsidP="009D0E2C">
            <w:pPr>
              <w:jc w:val="both"/>
              <w:rPr>
                <w:rFonts w:eastAsia="Times New Roman" w:cstheme="minorHAnsi"/>
                <w:b/>
                <w:bCs/>
                <w:sz w:val="20"/>
                <w:szCs w:val="20"/>
                <w:lang w:eastAsia="pl-PL"/>
              </w:rPr>
            </w:pPr>
          </w:p>
          <w:p w14:paraId="114481C0" w14:textId="77777777" w:rsidR="00E37D59" w:rsidRDefault="00E37D59" w:rsidP="009D0E2C">
            <w:pPr>
              <w:jc w:val="both"/>
              <w:rPr>
                <w:rFonts w:eastAsia="Times New Roman" w:cstheme="minorHAnsi"/>
                <w:b/>
                <w:bCs/>
                <w:sz w:val="20"/>
                <w:szCs w:val="20"/>
                <w:lang w:eastAsia="pl-PL"/>
              </w:rPr>
            </w:pPr>
          </w:p>
          <w:p w14:paraId="02118186" w14:textId="77777777" w:rsidR="00E37D59" w:rsidRDefault="00E37D59" w:rsidP="009D0E2C">
            <w:pPr>
              <w:jc w:val="both"/>
              <w:rPr>
                <w:rFonts w:eastAsia="Times New Roman" w:cstheme="minorHAnsi"/>
                <w:b/>
                <w:bCs/>
                <w:sz w:val="20"/>
                <w:szCs w:val="20"/>
                <w:lang w:eastAsia="pl-PL"/>
              </w:rPr>
            </w:pPr>
          </w:p>
          <w:p w14:paraId="1C8A5985" w14:textId="77777777" w:rsidR="00E37D59" w:rsidRDefault="00E37D59" w:rsidP="009D0E2C">
            <w:pPr>
              <w:jc w:val="both"/>
              <w:rPr>
                <w:rFonts w:eastAsia="Times New Roman" w:cstheme="minorHAnsi"/>
                <w:b/>
                <w:bCs/>
                <w:sz w:val="20"/>
                <w:szCs w:val="20"/>
                <w:lang w:eastAsia="pl-PL"/>
              </w:rPr>
            </w:pPr>
          </w:p>
          <w:p w14:paraId="45C4276E" w14:textId="77777777" w:rsidR="00E37D59" w:rsidRDefault="00E37D59" w:rsidP="009D0E2C">
            <w:pPr>
              <w:jc w:val="both"/>
              <w:rPr>
                <w:rFonts w:eastAsia="Times New Roman" w:cstheme="minorHAnsi"/>
                <w:b/>
                <w:bCs/>
                <w:sz w:val="20"/>
                <w:szCs w:val="20"/>
                <w:lang w:eastAsia="pl-PL"/>
              </w:rPr>
            </w:pPr>
          </w:p>
          <w:p w14:paraId="7F1FAE14" w14:textId="77777777" w:rsidR="00E37D59" w:rsidRDefault="00E37D59" w:rsidP="009D0E2C">
            <w:pPr>
              <w:jc w:val="both"/>
              <w:rPr>
                <w:rFonts w:eastAsia="Times New Roman" w:cstheme="minorHAnsi"/>
                <w:b/>
                <w:bCs/>
                <w:sz w:val="20"/>
                <w:szCs w:val="20"/>
                <w:lang w:eastAsia="pl-PL"/>
              </w:rPr>
            </w:pPr>
          </w:p>
          <w:p w14:paraId="52358FC3" w14:textId="77777777" w:rsidR="00E37D59" w:rsidRDefault="00E37D59" w:rsidP="009D0E2C">
            <w:pPr>
              <w:jc w:val="both"/>
              <w:rPr>
                <w:rFonts w:eastAsia="Times New Roman" w:cstheme="minorHAnsi"/>
                <w:b/>
                <w:bCs/>
                <w:sz w:val="20"/>
                <w:szCs w:val="20"/>
                <w:lang w:eastAsia="pl-PL"/>
              </w:rPr>
            </w:pPr>
          </w:p>
          <w:p w14:paraId="7EA7C24B" w14:textId="77777777" w:rsidR="00E37D59" w:rsidRDefault="00E37D59" w:rsidP="009D0E2C">
            <w:pPr>
              <w:jc w:val="both"/>
              <w:rPr>
                <w:rFonts w:eastAsia="Times New Roman" w:cstheme="minorHAnsi"/>
                <w:b/>
                <w:bCs/>
                <w:sz w:val="20"/>
                <w:szCs w:val="20"/>
                <w:lang w:eastAsia="pl-PL"/>
              </w:rPr>
            </w:pPr>
          </w:p>
          <w:p w14:paraId="17ABF45A" w14:textId="77777777" w:rsidR="00E37D59" w:rsidRDefault="00E37D59" w:rsidP="009D0E2C">
            <w:pPr>
              <w:jc w:val="both"/>
              <w:rPr>
                <w:rFonts w:eastAsia="Times New Roman" w:cstheme="minorHAnsi"/>
                <w:b/>
                <w:bCs/>
                <w:sz w:val="20"/>
                <w:szCs w:val="20"/>
                <w:lang w:eastAsia="pl-PL"/>
              </w:rPr>
            </w:pPr>
          </w:p>
          <w:p w14:paraId="6E3BF25E" w14:textId="77777777" w:rsidR="00E37D59" w:rsidRDefault="00E37D59" w:rsidP="009D0E2C">
            <w:pPr>
              <w:jc w:val="both"/>
              <w:rPr>
                <w:rFonts w:eastAsia="Times New Roman" w:cstheme="minorHAnsi"/>
                <w:b/>
                <w:bCs/>
                <w:sz w:val="20"/>
                <w:szCs w:val="20"/>
                <w:lang w:eastAsia="pl-PL"/>
              </w:rPr>
            </w:pPr>
          </w:p>
          <w:p w14:paraId="520ADB3E" w14:textId="77777777" w:rsidR="00E37D59" w:rsidRDefault="00E37D59" w:rsidP="009D0E2C">
            <w:pPr>
              <w:jc w:val="both"/>
              <w:rPr>
                <w:rFonts w:eastAsia="Times New Roman" w:cstheme="minorHAnsi"/>
                <w:b/>
                <w:bCs/>
                <w:sz w:val="20"/>
                <w:szCs w:val="20"/>
                <w:lang w:eastAsia="pl-PL"/>
              </w:rPr>
            </w:pPr>
          </w:p>
          <w:p w14:paraId="1036D700" w14:textId="77777777" w:rsidR="00E37D59" w:rsidRDefault="00E37D59" w:rsidP="009D0E2C">
            <w:pPr>
              <w:jc w:val="both"/>
              <w:rPr>
                <w:rFonts w:eastAsia="Times New Roman" w:cstheme="minorHAnsi"/>
                <w:b/>
                <w:bCs/>
                <w:sz w:val="20"/>
                <w:szCs w:val="20"/>
                <w:lang w:eastAsia="pl-PL"/>
              </w:rPr>
            </w:pPr>
          </w:p>
          <w:p w14:paraId="74E3AFC9" w14:textId="77777777" w:rsidR="00E37D59" w:rsidRDefault="00E37D59" w:rsidP="009D0E2C">
            <w:pPr>
              <w:jc w:val="both"/>
              <w:rPr>
                <w:rFonts w:eastAsia="Times New Roman" w:cstheme="minorHAnsi"/>
                <w:b/>
                <w:bCs/>
                <w:sz w:val="20"/>
                <w:szCs w:val="20"/>
                <w:lang w:eastAsia="pl-PL"/>
              </w:rPr>
            </w:pPr>
          </w:p>
          <w:p w14:paraId="51B2969F" w14:textId="77777777" w:rsidR="00E37D59" w:rsidRDefault="00E37D59" w:rsidP="009D0E2C">
            <w:pPr>
              <w:jc w:val="both"/>
              <w:rPr>
                <w:rFonts w:eastAsia="Times New Roman" w:cstheme="minorHAnsi"/>
                <w:b/>
                <w:bCs/>
                <w:sz w:val="20"/>
                <w:szCs w:val="20"/>
                <w:lang w:eastAsia="pl-PL"/>
              </w:rPr>
            </w:pPr>
          </w:p>
          <w:p w14:paraId="51E69B6F" w14:textId="77777777" w:rsidR="00E37D59" w:rsidRDefault="00E37D59" w:rsidP="009D0E2C">
            <w:pPr>
              <w:jc w:val="both"/>
              <w:rPr>
                <w:rFonts w:eastAsia="Times New Roman" w:cstheme="minorHAnsi"/>
                <w:b/>
                <w:bCs/>
                <w:sz w:val="20"/>
                <w:szCs w:val="20"/>
                <w:lang w:eastAsia="pl-PL"/>
              </w:rPr>
            </w:pPr>
          </w:p>
          <w:p w14:paraId="0AC3A402" w14:textId="77777777" w:rsidR="00E37D59" w:rsidRDefault="00E37D59" w:rsidP="009D0E2C">
            <w:pPr>
              <w:jc w:val="both"/>
              <w:rPr>
                <w:rFonts w:eastAsia="Times New Roman" w:cstheme="minorHAnsi"/>
                <w:b/>
                <w:bCs/>
                <w:sz w:val="20"/>
                <w:szCs w:val="20"/>
                <w:lang w:eastAsia="pl-PL"/>
              </w:rPr>
            </w:pPr>
          </w:p>
          <w:p w14:paraId="1D26F8EF" w14:textId="77777777" w:rsidR="00E37D59" w:rsidRDefault="00E37D59" w:rsidP="009D0E2C">
            <w:pPr>
              <w:jc w:val="both"/>
              <w:rPr>
                <w:rFonts w:eastAsia="Times New Roman" w:cstheme="minorHAnsi"/>
                <w:b/>
                <w:bCs/>
                <w:sz w:val="20"/>
                <w:szCs w:val="20"/>
                <w:lang w:eastAsia="pl-PL"/>
              </w:rPr>
            </w:pPr>
          </w:p>
          <w:p w14:paraId="507DEC7D" w14:textId="77777777" w:rsidR="00E37D59" w:rsidRDefault="00E37D59" w:rsidP="009D0E2C">
            <w:pPr>
              <w:jc w:val="both"/>
              <w:rPr>
                <w:rFonts w:eastAsia="Times New Roman" w:cstheme="minorHAnsi"/>
                <w:b/>
                <w:bCs/>
                <w:sz w:val="20"/>
                <w:szCs w:val="20"/>
                <w:lang w:eastAsia="pl-PL"/>
              </w:rPr>
            </w:pPr>
          </w:p>
          <w:p w14:paraId="625DA637" w14:textId="77777777" w:rsidR="00E37D59" w:rsidRDefault="00E37D59" w:rsidP="009D0E2C">
            <w:pPr>
              <w:jc w:val="both"/>
              <w:rPr>
                <w:rFonts w:eastAsia="Times New Roman" w:cstheme="minorHAnsi"/>
                <w:b/>
                <w:bCs/>
                <w:sz w:val="20"/>
                <w:szCs w:val="20"/>
                <w:lang w:eastAsia="pl-PL"/>
              </w:rPr>
            </w:pPr>
          </w:p>
          <w:p w14:paraId="4F57584D" w14:textId="77777777" w:rsidR="00E37D59" w:rsidRDefault="00E37D59" w:rsidP="009D0E2C">
            <w:pPr>
              <w:jc w:val="both"/>
              <w:rPr>
                <w:rFonts w:eastAsia="Times New Roman" w:cstheme="minorHAnsi"/>
                <w:b/>
                <w:bCs/>
                <w:sz w:val="20"/>
                <w:szCs w:val="20"/>
                <w:lang w:eastAsia="pl-PL"/>
              </w:rPr>
            </w:pPr>
          </w:p>
          <w:p w14:paraId="026B3F0C" w14:textId="77777777" w:rsidR="00E37D59" w:rsidRDefault="00E37D59" w:rsidP="009D0E2C">
            <w:pPr>
              <w:jc w:val="both"/>
              <w:rPr>
                <w:rFonts w:eastAsia="Times New Roman" w:cstheme="minorHAnsi"/>
                <w:b/>
                <w:bCs/>
                <w:sz w:val="20"/>
                <w:szCs w:val="20"/>
                <w:lang w:eastAsia="pl-PL"/>
              </w:rPr>
            </w:pPr>
          </w:p>
          <w:p w14:paraId="3CDB82B2" w14:textId="77777777" w:rsidR="00E37D59" w:rsidRPr="00E37D59" w:rsidRDefault="00E37D59" w:rsidP="009D0E2C">
            <w:pPr>
              <w:jc w:val="both"/>
              <w:rPr>
                <w:rFonts w:eastAsia="Times New Roman" w:cstheme="minorHAnsi"/>
                <w:sz w:val="20"/>
                <w:szCs w:val="20"/>
                <w:lang w:eastAsia="pl-PL"/>
              </w:rPr>
            </w:pPr>
          </w:p>
          <w:p w14:paraId="09D11F80" w14:textId="54208F17" w:rsidR="00E37D59" w:rsidRPr="00FF6144" w:rsidRDefault="00E37D59" w:rsidP="009D0E2C">
            <w:pPr>
              <w:jc w:val="both"/>
              <w:rPr>
                <w:rFonts w:eastAsia="Times New Roman" w:cstheme="minorHAnsi"/>
                <w:b/>
                <w:bCs/>
                <w:sz w:val="20"/>
                <w:szCs w:val="20"/>
                <w:lang w:eastAsia="pl-PL"/>
              </w:rPr>
            </w:pPr>
          </w:p>
        </w:tc>
      </w:tr>
      <w:tr w:rsidR="00F852B4" w:rsidRPr="00D103B4" w14:paraId="1D9C2BA3" w14:textId="77777777" w:rsidTr="00B241C8">
        <w:trPr>
          <w:jc w:val="center"/>
        </w:trPr>
        <w:tc>
          <w:tcPr>
            <w:tcW w:w="562" w:type="dxa"/>
          </w:tcPr>
          <w:p w14:paraId="53024C1A" w14:textId="284C832D" w:rsidR="00F852B4" w:rsidRPr="00D103B4" w:rsidRDefault="00D103B4" w:rsidP="009D0E2C">
            <w:pPr>
              <w:spacing w:before="120"/>
              <w:ind w:right="-534"/>
              <w:rPr>
                <w:rFonts w:cstheme="minorHAnsi"/>
                <w:b/>
                <w:sz w:val="20"/>
                <w:szCs w:val="20"/>
              </w:rPr>
            </w:pPr>
            <w:r>
              <w:rPr>
                <w:rFonts w:cstheme="minorHAnsi"/>
                <w:b/>
                <w:sz w:val="20"/>
                <w:szCs w:val="20"/>
              </w:rPr>
              <w:lastRenderedPageBreak/>
              <w:t>1</w:t>
            </w:r>
            <w:r w:rsidR="00C90560">
              <w:rPr>
                <w:rFonts w:cstheme="minorHAnsi"/>
                <w:b/>
                <w:sz w:val="20"/>
                <w:szCs w:val="20"/>
              </w:rPr>
              <w:t>2</w:t>
            </w:r>
            <w:r>
              <w:rPr>
                <w:rFonts w:cstheme="minorHAnsi"/>
                <w:b/>
                <w:sz w:val="20"/>
                <w:szCs w:val="20"/>
              </w:rPr>
              <w:t>.</w:t>
            </w:r>
          </w:p>
        </w:tc>
        <w:tc>
          <w:tcPr>
            <w:tcW w:w="1843" w:type="dxa"/>
            <w:vAlign w:val="center"/>
          </w:tcPr>
          <w:p w14:paraId="1A2E6B66" w14:textId="299E79E6" w:rsidR="00F852B4" w:rsidRPr="00D103B4" w:rsidRDefault="00F852B4" w:rsidP="009D0E2C">
            <w:pPr>
              <w:spacing w:before="120" w:after="120"/>
              <w:jc w:val="center"/>
              <w:rPr>
                <w:rFonts w:cstheme="minorHAnsi"/>
                <w:b/>
                <w:bCs/>
                <w:sz w:val="20"/>
                <w:szCs w:val="20"/>
              </w:rPr>
            </w:pPr>
            <w:r w:rsidRPr="00D103B4">
              <w:rPr>
                <w:rFonts w:cstheme="minorHAnsi"/>
                <w:b/>
                <w:bCs/>
                <w:sz w:val="20"/>
                <w:szCs w:val="20"/>
              </w:rPr>
              <w:t xml:space="preserve">Stowarzyszenie Notariuszy </w:t>
            </w:r>
            <w:r w:rsidR="00C6094D" w:rsidRPr="00D103B4">
              <w:rPr>
                <w:rFonts w:cstheme="minorHAnsi"/>
                <w:b/>
                <w:bCs/>
                <w:sz w:val="20"/>
                <w:szCs w:val="20"/>
              </w:rPr>
              <w:t>RP</w:t>
            </w:r>
            <w:r w:rsidRPr="00D103B4">
              <w:rPr>
                <w:rFonts w:cstheme="minorHAnsi"/>
                <w:b/>
                <w:bCs/>
                <w:sz w:val="20"/>
                <w:szCs w:val="20"/>
              </w:rPr>
              <w:t xml:space="preserve"> </w:t>
            </w:r>
          </w:p>
        </w:tc>
        <w:tc>
          <w:tcPr>
            <w:tcW w:w="1843" w:type="dxa"/>
            <w:vAlign w:val="center"/>
          </w:tcPr>
          <w:p w14:paraId="6A598C84" w14:textId="77777777" w:rsidR="00F852B4" w:rsidRPr="00D103B4" w:rsidRDefault="00F852B4" w:rsidP="009D0E2C">
            <w:pPr>
              <w:spacing w:before="120" w:after="120"/>
              <w:jc w:val="center"/>
              <w:rPr>
                <w:rFonts w:cstheme="minorHAnsi"/>
                <w:sz w:val="20"/>
                <w:szCs w:val="20"/>
              </w:rPr>
            </w:pPr>
            <w:r w:rsidRPr="00D103B4">
              <w:rPr>
                <w:rFonts w:cstheme="minorHAnsi"/>
                <w:sz w:val="20"/>
                <w:szCs w:val="20"/>
              </w:rPr>
              <w:t>Art. 1 pkt 2 projektu</w:t>
            </w:r>
          </w:p>
          <w:p w14:paraId="01DAD564" w14:textId="48AED5D1" w:rsidR="00F852B4" w:rsidRPr="00D103B4" w:rsidRDefault="00F852B4" w:rsidP="009D0E2C">
            <w:pPr>
              <w:spacing w:before="120" w:after="120"/>
              <w:jc w:val="center"/>
              <w:rPr>
                <w:rFonts w:cstheme="minorHAnsi"/>
                <w:sz w:val="20"/>
                <w:szCs w:val="20"/>
              </w:rPr>
            </w:pPr>
            <w:r w:rsidRPr="00D103B4">
              <w:rPr>
                <w:rFonts w:cstheme="minorHAnsi"/>
                <w:sz w:val="20"/>
                <w:szCs w:val="20"/>
              </w:rPr>
              <w:t>(art. 952 § 4 k.c.)</w:t>
            </w:r>
          </w:p>
        </w:tc>
        <w:tc>
          <w:tcPr>
            <w:tcW w:w="5670" w:type="dxa"/>
            <w:vAlign w:val="center"/>
          </w:tcPr>
          <w:p w14:paraId="4D015C6E" w14:textId="77777777" w:rsidR="00F852B4" w:rsidRPr="00F852B4" w:rsidRDefault="00F852B4" w:rsidP="00F852B4">
            <w:pPr>
              <w:autoSpaceDE w:val="0"/>
              <w:autoSpaceDN w:val="0"/>
              <w:adjustRightInd w:val="0"/>
              <w:jc w:val="both"/>
              <w:rPr>
                <w:rFonts w:eastAsia="Times New Roman" w:cstheme="minorHAnsi"/>
                <w:sz w:val="20"/>
                <w:szCs w:val="20"/>
                <w:lang w:eastAsia="pl-PL"/>
              </w:rPr>
            </w:pPr>
            <w:r w:rsidRPr="00F852B4">
              <w:rPr>
                <w:rFonts w:eastAsia="Times New Roman" w:cstheme="minorHAnsi"/>
                <w:sz w:val="20"/>
                <w:szCs w:val="20"/>
                <w:lang w:eastAsia="pl-PL"/>
              </w:rPr>
              <w:t xml:space="preserve">Jak już zaznaczono, Zarząd Główny SNRP podtrzymuje stanowisko wyrażone w Uchwale nr 39/VII/2024, </w:t>
            </w:r>
            <w:r w:rsidRPr="00794169">
              <w:rPr>
                <w:rFonts w:eastAsia="Times New Roman" w:cstheme="minorHAnsi"/>
                <w:b/>
                <w:bCs/>
                <w:sz w:val="20"/>
                <w:szCs w:val="20"/>
                <w:lang w:eastAsia="pl-PL"/>
              </w:rPr>
              <w:t>zwracając uwagę na poważne niebezpieczeństwa audiowizualnej treści testamentu.</w:t>
            </w:r>
            <w:r w:rsidRPr="00F852B4">
              <w:rPr>
                <w:rFonts w:eastAsia="Times New Roman" w:cstheme="minorHAnsi"/>
                <w:sz w:val="20"/>
                <w:szCs w:val="20"/>
                <w:lang w:eastAsia="pl-PL"/>
              </w:rPr>
              <w:t xml:space="preserve"> Ponadto, w stosunku do nowej propozycji, zwracamy uwagę na następującą kwestię. </w:t>
            </w:r>
          </w:p>
          <w:p w14:paraId="66DAB909" w14:textId="52A3D977" w:rsidR="00C6094D" w:rsidRPr="00D103B4" w:rsidRDefault="00F852B4" w:rsidP="00C6094D">
            <w:pPr>
              <w:autoSpaceDE w:val="0"/>
              <w:autoSpaceDN w:val="0"/>
              <w:adjustRightInd w:val="0"/>
              <w:jc w:val="both"/>
              <w:rPr>
                <w:rFonts w:eastAsia="Times New Roman" w:cstheme="minorHAnsi"/>
                <w:i/>
                <w:iCs/>
                <w:sz w:val="20"/>
                <w:szCs w:val="20"/>
                <w:lang w:eastAsia="pl-PL"/>
              </w:rPr>
            </w:pPr>
            <w:r w:rsidRPr="00D103B4">
              <w:rPr>
                <w:rFonts w:eastAsia="Times New Roman" w:cstheme="minorHAnsi"/>
                <w:sz w:val="20"/>
                <w:szCs w:val="20"/>
                <w:lang w:eastAsia="pl-PL"/>
              </w:rPr>
              <w:lastRenderedPageBreak/>
              <w:t>W propozycji z 24 kwietnia 2024 roku zakładano w projektowanym art. 952 w §</w:t>
            </w:r>
            <w:r w:rsidR="00092606" w:rsidRPr="00D103B4">
              <w:rPr>
                <w:rFonts w:eastAsia="Times New Roman" w:cstheme="minorHAnsi"/>
                <w:sz w:val="20"/>
                <w:szCs w:val="20"/>
                <w:lang w:eastAsia="pl-PL"/>
              </w:rPr>
              <w:t xml:space="preserve"> </w:t>
            </w:r>
            <w:r w:rsidRPr="00D103B4">
              <w:rPr>
                <w:rFonts w:eastAsia="Times New Roman" w:cstheme="minorHAnsi"/>
                <w:sz w:val="20"/>
                <w:szCs w:val="20"/>
                <w:lang w:eastAsia="pl-PL"/>
              </w:rPr>
              <w:t>4, że: „</w:t>
            </w:r>
            <w:r w:rsidRPr="00D103B4">
              <w:rPr>
                <w:rFonts w:eastAsia="Times New Roman" w:cstheme="minorHAnsi"/>
                <w:i/>
                <w:iCs/>
                <w:sz w:val="20"/>
                <w:szCs w:val="20"/>
                <w:lang w:eastAsia="pl-PL"/>
              </w:rPr>
              <w:t>Treść testamentu ustnego audiowizualnego stwierdza się w ten sposób, że nośnik, na którym zarejestrowano oświadczenie spadkodawcy zostanie przekazany do sądu</w:t>
            </w:r>
            <w:r w:rsidR="00C6094D" w:rsidRPr="00D103B4">
              <w:rPr>
                <w:rFonts w:eastAsia="Times New Roman" w:cstheme="minorHAnsi"/>
                <w:i/>
                <w:iCs/>
                <w:sz w:val="20"/>
                <w:szCs w:val="20"/>
                <w:lang w:eastAsia="pl-PL"/>
              </w:rPr>
              <w:t xml:space="preserve"> spadku nie później niż w terminie miesiąca od chwili sporządzenia oświadczenia, a po śmierci spadkodawcy w terminie trzech miesięcy od tej chwili. Sąd dokona oględzin nośnika i sporządzi protokół zawierający treść oświadczenia.”. </w:t>
            </w:r>
            <w:r w:rsidR="00C6094D" w:rsidRPr="00E37D59">
              <w:rPr>
                <w:rFonts w:eastAsia="Times New Roman" w:cstheme="minorHAnsi"/>
                <w:sz w:val="20"/>
                <w:szCs w:val="20"/>
                <w:lang w:eastAsia="pl-PL"/>
              </w:rPr>
              <w:t>W obecnym Projekcie treść ta została zmodyfikowana w sposób istotny i postanowienia co do zapisu testamentu ustnego umieszczono w §3 art. 952 nadając mu następującą treść</w:t>
            </w:r>
            <w:r w:rsidR="00C6094D" w:rsidRPr="00D103B4">
              <w:rPr>
                <w:rFonts w:eastAsia="Times New Roman" w:cstheme="minorHAnsi"/>
                <w:i/>
                <w:iCs/>
                <w:sz w:val="20"/>
                <w:szCs w:val="20"/>
                <w:lang w:eastAsia="pl-PL"/>
              </w:rPr>
              <w:t xml:space="preserve">: „Treść testamentu ustnego może być również stwierdzona w ten sposób, że oświadczenie spadkodawcy złożone w obecności świadków zostanie utrwalone w sposób umożliwiający identyfikację spadkodawcy i co najmniej trzech świadków za pomocą urządzenia rejestrującego obraz i dźwięk na trwałym nośniku danych, a nagranie to zostanie przekazane na takim nośniku danych notariuszowi lub do sądu spadku nie później niż w ciągu trzech miesięcy od dnia otwarcia spadku.”. </w:t>
            </w:r>
          </w:p>
          <w:p w14:paraId="6FF97B96" w14:textId="77777777" w:rsidR="00C6094D" w:rsidRPr="00F16336" w:rsidRDefault="00C6094D" w:rsidP="00C6094D">
            <w:pPr>
              <w:autoSpaceDE w:val="0"/>
              <w:autoSpaceDN w:val="0"/>
              <w:adjustRightInd w:val="0"/>
              <w:jc w:val="both"/>
              <w:rPr>
                <w:rFonts w:eastAsia="Times New Roman" w:cstheme="minorHAnsi"/>
                <w:sz w:val="20"/>
                <w:szCs w:val="20"/>
                <w:lang w:eastAsia="pl-PL"/>
              </w:rPr>
            </w:pPr>
            <w:r w:rsidRPr="00F16336">
              <w:rPr>
                <w:rFonts w:eastAsia="Times New Roman" w:cstheme="minorHAnsi"/>
                <w:sz w:val="20"/>
                <w:szCs w:val="20"/>
                <w:lang w:eastAsia="pl-PL"/>
              </w:rPr>
              <w:t xml:space="preserve">Proponowana norma zakłada konieczność przekazania nagrania audiowizualnego notariuszowi lub sądowi spadku nie później niż w ciągu trzech miesięcy od dnia otwarcia spadku. Jednakże </w:t>
            </w:r>
            <w:r w:rsidRPr="00794169">
              <w:rPr>
                <w:rFonts w:eastAsia="Times New Roman" w:cstheme="minorHAnsi"/>
                <w:b/>
                <w:bCs/>
                <w:sz w:val="20"/>
                <w:szCs w:val="20"/>
                <w:lang w:eastAsia="pl-PL"/>
              </w:rPr>
              <w:t>zaproponowany przepis nie precyzuje celu złożenia nagrania notariuszowi lub sądowi spadku</w:t>
            </w:r>
            <w:r w:rsidRPr="00F16336">
              <w:rPr>
                <w:rFonts w:eastAsia="Times New Roman" w:cstheme="minorHAnsi"/>
                <w:sz w:val="20"/>
                <w:szCs w:val="20"/>
                <w:lang w:eastAsia="pl-PL"/>
              </w:rPr>
              <w:t xml:space="preserve"> - w przeciwieństwie do poprzedniej propozycji (zakładającej przekazanie nagrania wyłącznie do sądu spadku w celu dokonania oględzin i sporządzenia odpowiedniego protokołu). Wprawdzie w uzasadnieniu do projektu projektodawca zaznaczył, iż celem złożenia nośnika danych u notariusza ma być sporządzenie przez niego protokołu z przyjęcia na przechowanie nośnika danych (art. 107 prawa o notariacie), ale nie wynika to wprost z treści propozycji normy prawnej a powinno, </w:t>
            </w:r>
            <w:r w:rsidRPr="00794169">
              <w:rPr>
                <w:rFonts w:eastAsia="Times New Roman" w:cstheme="minorHAnsi"/>
                <w:b/>
                <w:bCs/>
                <w:sz w:val="20"/>
                <w:szCs w:val="20"/>
                <w:lang w:eastAsia="pl-PL"/>
              </w:rPr>
              <w:t>i po wtóre – nie zakłada</w:t>
            </w:r>
            <w:r w:rsidRPr="00F16336">
              <w:rPr>
                <w:rFonts w:eastAsia="Times New Roman" w:cstheme="minorHAnsi"/>
                <w:sz w:val="20"/>
                <w:szCs w:val="20"/>
                <w:lang w:eastAsia="pl-PL"/>
              </w:rPr>
              <w:t xml:space="preserve"> (jak ponownie, w Uzasadnieniu, chciałby projektodawca) </w:t>
            </w:r>
            <w:r w:rsidRPr="00794169">
              <w:rPr>
                <w:rFonts w:eastAsia="Times New Roman" w:cstheme="minorHAnsi"/>
                <w:b/>
                <w:bCs/>
                <w:sz w:val="20"/>
                <w:szCs w:val="20"/>
                <w:lang w:eastAsia="pl-PL"/>
              </w:rPr>
              <w:t xml:space="preserve">obowiązku przekazania przez notariusza nośnika </w:t>
            </w:r>
            <w:r w:rsidRPr="00794169">
              <w:rPr>
                <w:rFonts w:eastAsia="Times New Roman" w:cstheme="minorHAnsi"/>
                <w:b/>
                <w:bCs/>
                <w:sz w:val="20"/>
                <w:szCs w:val="20"/>
                <w:lang w:eastAsia="pl-PL"/>
              </w:rPr>
              <w:lastRenderedPageBreak/>
              <w:t>danych do sądu spadku po śmierci testatora</w:t>
            </w:r>
            <w:r w:rsidRPr="00F16336">
              <w:rPr>
                <w:rFonts w:eastAsia="Times New Roman" w:cstheme="minorHAnsi"/>
                <w:sz w:val="20"/>
                <w:szCs w:val="20"/>
                <w:lang w:eastAsia="pl-PL"/>
              </w:rPr>
              <w:t xml:space="preserve">. Nie wiadomo zatem, czy otrzymane nagranie notariusz miałby przekazać do sądu spadku, czy wydać uprawnionej osobie (analogicznie do wypisu sporządzanych testamentów). </w:t>
            </w:r>
          </w:p>
          <w:p w14:paraId="43390CAF" w14:textId="201206E2" w:rsidR="00F852B4" w:rsidRPr="00D103B4" w:rsidRDefault="00C6094D" w:rsidP="00C6094D">
            <w:pPr>
              <w:autoSpaceDE w:val="0"/>
              <w:autoSpaceDN w:val="0"/>
              <w:adjustRightInd w:val="0"/>
              <w:jc w:val="both"/>
              <w:rPr>
                <w:rFonts w:eastAsia="Times New Roman" w:cstheme="minorHAnsi"/>
                <w:sz w:val="20"/>
                <w:szCs w:val="20"/>
                <w:lang w:eastAsia="pl-PL"/>
              </w:rPr>
            </w:pPr>
            <w:r w:rsidRPr="00D103B4">
              <w:rPr>
                <w:rFonts w:eastAsia="Times New Roman" w:cstheme="minorHAnsi"/>
                <w:i/>
                <w:iCs/>
                <w:sz w:val="20"/>
                <w:szCs w:val="20"/>
                <w:lang w:eastAsia="pl-PL"/>
              </w:rPr>
              <w:t xml:space="preserve">Na marginesie należy zwrócić uwagę, iż w Uzasadnieniu projektodawca założył, że przekazanie nagrania ma nastąpić na nośniku danych, niekoniecznie na „sprzęcie” służącym do nagrania, a w razie potrzeby powinno dojść do przeniesienia nagrania z pamięci urządzenia nagrywającego na przenośny nośnik danych. </w:t>
            </w:r>
            <w:r w:rsidRPr="00794169">
              <w:rPr>
                <w:rFonts w:eastAsia="Times New Roman" w:cstheme="minorHAnsi"/>
                <w:b/>
                <w:bCs/>
                <w:i/>
                <w:iCs/>
                <w:sz w:val="20"/>
                <w:szCs w:val="20"/>
                <w:lang w:eastAsia="pl-PL"/>
              </w:rPr>
              <w:t>Bez najmniejszego problemu można sobie wyobrazić, że przeniesienie danych następowałoby zatem bez udziału świadków lub/i sądu, a to już może rodzić możliwość dokonania ingerencji w nagranie. Tak skopiowany plik audiowideo nie będzie dokumentem pierwotnym dokumentującym wolę testatora, a jedynie kopią pierwotnego pliku, co oznacza, że bez dostępu do oryginalnego pliku dochodzenie autentyczności nagrania może być utrudnione</w:t>
            </w:r>
            <w:r w:rsidRPr="00D103B4">
              <w:rPr>
                <w:rFonts w:eastAsia="Times New Roman" w:cstheme="minorHAnsi"/>
                <w:i/>
                <w:iCs/>
                <w:sz w:val="20"/>
                <w:szCs w:val="20"/>
                <w:lang w:eastAsia="pl-PL"/>
              </w:rPr>
              <w:t>. Trzeba też zaznaczyć, iż badanie biegłych w zakresie technik komputerowych i audiowizualnych, które będzie konieczne przy każdej spornej sprawie z testamentem audiowizualnym (jako jedynej formie, jakby zakładał projektodawca), wydłuży czas postępowania spadkowego i spowoduje wzrost jego kosztów.</w:t>
            </w:r>
          </w:p>
        </w:tc>
        <w:tc>
          <w:tcPr>
            <w:tcW w:w="4076" w:type="dxa"/>
          </w:tcPr>
          <w:p w14:paraId="40306960" w14:textId="4483CEBD" w:rsidR="00BF5692" w:rsidRDefault="00BF5692" w:rsidP="009D0E2C">
            <w:pPr>
              <w:jc w:val="both"/>
              <w:rPr>
                <w:rFonts w:eastAsia="Times New Roman" w:cstheme="minorHAnsi"/>
                <w:b/>
                <w:bCs/>
                <w:sz w:val="20"/>
                <w:szCs w:val="20"/>
                <w:lang w:eastAsia="pl-PL"/>
              </w:rPr>
            </w:pPr>
            <w:r w:rsidRPr="00516470">
              <w:rPr>
                <w:rFonts w:eastAsia="Times New Roman" w:cstheme="minorHAnsi"/>
                <w:b/>
                <w:bCs/>
                <w:sz w:val="20"/>
                <w:szCs w:val="20"/>
                <w:lang w:eastAsia="pl-PL"/>
              </w:rPr>
              <w:lastRenderedPageBreak/>
              <w:t>Uwaga nie</w:t>
            </w:r>
            <w:r w:rsidR="00C5274E">
              <w:rPr>
                <w:rFonts w:eastAsia="Times New Roman" w:cstheme="minorHAnsi"/>
                <w:b/>
                <w:bCs/>
                <w:sz w:val="20"/>
                <w:szCs w:val="20"/>
                <w:lang w:eastAsia="pl-PL"/>
              </w:rPr>
              <w:t>zasadna</w:t>
            </w:r>
          </w:p>
          <w:p w14:paraId="04127EAB" w14:textId="644C2A92" w:rsidR="00BF5692" w:rsidRDefault="00BF5692" w:rsidP="00BF5692">
            <w:pPr>
              <w:jc w:val="both"/>
              <w:rPr>
                <w:rFonts w:eastAsia="Times New Roman" w:cstheme="minorHAnsi"/>
                <w:sz w:val="20"/>
                <w:szCs w:val="20"/>
                <w:lang w:eastAsia="pl-PL"/>
              </w:rPr>
            </w:pPr>
            <w:r w:rsidRPr="000E405A">
              <w:rPr>
                <w:rFonts w:eastAsia="Times New Roman" w:cstheme="minorHAnsi"/>
                <w:sz w:val="20"/>
                <w:szCs w:val="20"/>
                <w:lang w:eastAsia="pl-PL"/>
              </w:rPr>
              <w:t xml:space="preserve">Proponowane </w:t>
            </w:r>
            <w:r>
              <w:rPr>
                <w:rFonts w:eastAsia="Times New Roman" w:cstheme="minorHAnsi"/>
                <w:sz w:val="20"/>
                <w:szCs w:val="20"/>
                <w:lang w:eastAsia="pl-PL"/>
              </w:rPr>
              <w:t xml:space="preserve">w projekcie </w:t>
            </w:r>
            <w:r w:rsidRPr="000E405A">
              <w:rPr>
                <w:rFonts w:eastAsia="Times New Roman" w:cstheme="minorHAnsi"/>
                <w:sz w:val="20"/>
                <w:szCs w:val="20"/>
                <w:lang w:eastAsia="pl-PL"/>
              </w:rPr>
              <w:t>rozwiązani</w:t>
            </w:r>
            <w:r>
              <w:rPr>
                <w:rFonts w:eastAsia="Times New Roman" w:cstheme="minorHAnsi"/>
                <w:sz w:val="20"/>
                <w:szCs w:val="20"/>
                <w:lang w:eastAsia="pl-PL"/>
              </w:rPr>
              <w:t>a</w:t>
            </w:r>
            <w:r w:rsidRPr="000E405A">
              <w:rPr>
                <w:rFonts w:eastAsia="Times New Roman" w:cstheme="minorHAnsi"/>
                <w:sz w:val="20"/>
                <w:szCs w:val="20"/>
                <w:lang w:eastAsia="pl-PL"/>
              </w:rPr>
              <w:t xml:space="preserve"> wynika</w:t>
            </w:r>
            <w:r>
              <w:rPr>
                <w:rFonts w:eastAsia="Times New Roman" w:cstheme="minorHAnsi"/>
                <w:sz w:val="20"/>
                <w:szCs w:val="20"/>
                <w:lang w:eastAsia="pl-PL"/>
              </w:rPr>
              <w:t>ją</w:t>
            </w:r>
            <w:r w:rsidRPr="000E405A">
              <w:rPr>
                <w:rFonts w:eastAsia="Times New Roman" w:cstheme="minorHAnsi"/>
                <w:sz w:val="20"/>
                <w:szCs w:val="20"/>
                <w:lang w:eastAsia="pl-PL"/>
              </w:rPr>
              <w:t xml:space="preserve"> z celowej decyzji Zespołu problemowego do spraw prawa spadkowego Komisji Kodyfikacyjnej Prawa Cywilnego.</w:t>
            </w:r>
            <w:r>
              <w:rPr>
                <w:rFonts w:eastAsia="Times New Roman" w:cstheme="minorHAnsi"/>
                <w:sz w:val="20"/>
                <w:szCs w:val="20"/>
                <w:lang w:eastAsia="pl-PL"/>
              </w:rPr>
              <w:t xml:space="preserve"> </w:t>
            </w:r>
            <w:r w:rsidR="00B76506">
              <w:rPr>
                <w:rFonts w:eastAsia="Times New Roman" w:cstheme="minorHAnsi"/>
                <w:sz w:val="20"/>
                <w:szCs w:val="20"/>
                <w:lang w:eastAsia="pl-PL"/>
              </w:rPr>
              <w:t xml:space="preserve">Uwaga opiera się zaś na nieprawidłowych założeniach </w:t>
            </w:r>
            <w:r w:rsidR="00B76506">
              <w:rPr>
                <w:rFonts w:eastAsia="Times New Roman" w:cstheme="minorHAnsi"/>
                <w:sz w:val="20"/>
                <w:szCs w:val="20"/>
                <w:lang w:eastAsia="pl-PL"/>
              </w:rPr>
              <w:lastRenderedPageBreak/>
              <w:t>wyjściowych</w:t>
            </w:r>
            <w:r w:rsidR="00C5274E">
              <w:rPr>
                <w:rFonts w:eastAsia="Times New Roman" w:cstheme="minorHAnsi"/>
                <w:sz w:val="20"/>
                <w:szCs w:val="20"/>
                <w:lang w:eastAsia="pl-PL"/>
              </w:rPr>
              <w:t xml:space="preserve"> pomijających zmodyfikowaną treść art. 654 k.p.c</w:t>
            </w:r>
            <w:r w:rsidR="00B76506">
              <w:rPr>
                <w:rFonts w:eastAsia="Times New Roman" w:cstheme="minorHAnsi"/>
                <w:sz w:val="20"/>
                <w:szCs w:val="20"/>
                <w:lang w:eastAsia="pl-PL"/>
              </w:rPr>
              <w:t>.</w:t>
            </w:r>
          </w:p>
          <w:p w14:paraId="2E76CA5A" w14:textId="761A607A" w:rsidR="006E6769" w:rsidRPr="006E6769" w:rsidRDefault="00EE6C7E" w:rsidP="006E6769">
            <w:pPr>
              <w:jc w:val="both"/>
              <w:rPr>
                <w:rFonts w:eastAsia="Times New Roman" w:cstheme="minorHAnsi"/>
                <w:b/>
                <w:sz w:val="20"/>
                <w:szCs w:val="20"/>
                <w:lang w:eastAsia="pl-PL"/>
              </w:rPr>
            </w:pPr>
            <w:r>
              <w:rPr>
                <w:rFonts w:eastAsia="Times New Roman" w:cstheme="minorHAnsi"/>
                <w:b/>
                <w:sz w:val="20"/>
                <w:szCs w:val="20"/>
                <w:lang w:eastAsia="pl-PL"/>
              </w:rPr>
              <w:t xml:space="preserve"> </w:t>
            </w:r>
          </w:p>
          <w:p w14:paraId="7FD54F1E" w14:textId="58AB9C61" w:rsidR="00C5274E" w:rsidRDefault="006E6769" w:rsidP="00C5274E">
            <w:pPr>
              <w:jc w:val="both"/>
              <w:rPr>
                <w:rFonts w:eastAsia="Times New Roman" w:cstheme="minorHAnsi"/>
                <w:bCs/>
                <w:sz w:val="20"/>
                <w:szCs w:val="20"/>
                <w:lang w:eastAsia="pl-PL"/>
              </w:rPr>
            </w:pPr>
            <w:r w:rsidRPr="006E6769">
              <w:rPr>
                <w:rFonts w:eastAsia="Times New Roman" w:cstheme="minorHAnsi"/>
                <w:bCs/>
                <w:sz w:val="20"/>
                <w:szCs w:val="20"/>
                <w:lang w:eastAsia="pl-PL"/>
              </w:rPr>
              <w:t xml:space="preserve">Zgodnie z proponowanym art. 654 k.p.c. przepisy dotyczące postępowania w przedmiocie ogłoszenia testamentu (tj. art. 646 i n. k.p.c.) będzie się stosowało odpowiednio nie tylko do pisma stwierdzającego treść testamentu ustnego, ale też do trwałego nośnika danych, na którym utrwalona została treść testamentu ustnego. </w:t>
            </w:r>
            <w:r w:rsidR="00EE6C7E" w:rsidRPr="006E6769">
              <w:rPr>
                <w:rFonts w:eastAsia="Times New Roman" w:cstheme="minorHAnsi"/>
                <w:bCs/>
                <w:sz w:val="20"/>
                <w:szCs w:val="20"/>
                <w:lang w:eastAsia="pl-PL"/>
              </w:rPr>
              <w:t xml:space="preserve">Oznacza to m.in., że osoba, u której znajduje się </w:t>
            </w:r>
            <w:r w:rsidR="00EE6C7E">
              <w:rPr>
                <w:rFonts w:eastAsia="Times New Roman" w:cstheme="minorHAnsi"/>
                <w:bCs/>
                <w:sz w:val="20"/>
                <w:szCs w:val="20"/>
                <w:lang w:eastAsia="pl-PL"/>
              </w:rPr>
              <w:t>taki nośnik, na którym znajduje się utrwalenie treści testamentu ustnego</w:t>
            </w:r>
            <w:r w:rsidR="00EE6C7E" w:rsidRPr="006E6769">
              <w:rPr>
                <w:rFonts w:eastAsia="Times New Roman" w:cstheme="minorHAnsi"/>
                <w:bCs/>
                <w:sz w:val="20"/>
                <w:szCs w:val="20"/>
                <w:lang w:eastAsia="pl-PL"/>
              </w:rPr>
              <w:t xml:space="preserve">, będzie obowiązana złożyć </w:t>
            </w:r>
            <w:r w:rsidR="00EE6C7E">
              <w:rPr>
                <w:rFonts w:eastAsia="Times New Roman" w:cstheme="minorHAnsi"/>
                <w:bCs/>
                <w:sz w:val="20"/>
                <w:szCs w:val="20"/>
                <w:lang w:eastAsia="pl-PL"/>
              </w:rPr>
              <w:t>go</w:t>
            </w:r>
            <w:r w:rsidR="00EE6C7E" w:rsidRPr="006E6769">
              <w:rPr>
                <w:rFonts w:eastAsia="Times New Roman" w:cstheme="minorHAnsi"/>
                <w:bCs/>
                <w:sz w:val="20"/>
                <w:szCs w:val="20"/>
                <w:lang w:eastAsia="pl-PL"/>
              </w:rPr>
              <w:t xml:space="preserve"> w sądzie spadku, gdy dowie się o śmierci spadkodawcy, chyba że złoży </w:t>
            </w:r>
            <w:r w:rsidR="00EE6C7E">
              <w:rPr>
                <w:rFonts w:eastAsia="Times New Roman" w:cstheme="minorHAnsi"/>
                <w:bCs/>
                <w:sz w:val="20"/>
                <w:szCs w:val="20"/>
                <w:lang w:eastAsia="pl-PL"/>
              </w:rPr>
              <w:t xml:space="preserve">go właśnie u </w:t>
            </w:r>
            <w:r w:rsidR="00EE6C7E" w:rsidRPr="006E6769">
              <w:rPr>
                <w:rFonts w:eastAsia="Times New Roman" w:cstheme="minorHAnsi"/>
                <w:bCs/>
                <w:sz w:val="20"/>
                <w:szCs w:val="20"/>
                <w:lang w:eastAsia="pl-PL"/>
              </w:rPr>
              <w:t>notariusza</w:t>
            </w:r>
            <w:r w:rsidR="00EE6C7E" w:rsidRPr="00B76506">
              <w:rPr>
                <w:rFonts w:eastAsia="Times New Roman" w:cstheme="minorHAnsi"/>
                <w:bCs/>
                <w:sz w:val="20"/>
                <w:szCs w:val="20"/>
                <w:lang w:eastAsia="pl-PL"/>
              </w:rPr>
              <w:t xml:space="preserve">. </w:t>
            </w:r>
            <w:r w:rsidR="00EE6C7E" w:rsidRPr="00307896">
              <w:rPr>
                <w:rFonts w:eastAsia="Times New Roman" w:cstheme="minorHAnsi"/>
                <w:bCs/>
                <w:sz w:val="20"/>
                <w:szCs w:val="20"/>
                <w:lang w:eastAsia="pl-PL"/>
              </w:rPr>
              <w:t xml:space="preserve">Zgodnie zaś </w:t>
            </w:r>
            <w:r w:rsidR="00EE6C7E" w:rsidRPr="00B76506">
              <w:rPr>
                <w:rFonts w:eastAsia="Times New Roman" w:cstheme="minorHAnsi"/>
                <w:bCs/>
                <w:sz w:val="20"/>
                <w:szCs w:val="20"/>
                <w:lang w:eastAsia="pl-PL"/>
              </w:rPr>
              <w:t>z art.</w:t>
            </w:r>
            <w:r w:rsidR="00EE6C7E">
              <w:rPr>
                <w:rFonts w:eastAsia="Times New Roman" w:cstheme="minorHAnsi"/>
                <w:bCs/>
                <w:sz w:val="20"/>
                <w:szCs w:val="20"/>
                <w:lang w:eastAsia="pl-PL"/>
              </w:rPr>
              <w:t xml:space="preserve"> </w:t>
            </w:r>
            <w:r w:rsidR="00EE6C7E" w:rsidRPr="00B76506">
              <w:rPr>
                <w:rFonts w:eastAsia="Times New Roman" w:cstheme="minorHAnsi"/>
                <w:bCs/>
                <w:sz w:val="20"/>
                <w:szCs w:val="20"/>
                <w:lang w:eastAsia="pl-PL"/>
              </w:rPr>
              <w:t>649</w:t>
            </w:r>
            <w:r w:rsidR="00EE6C7E">
              <w:rPr>
                <w:rFonts w:eastAsia="Times New Roman" w:cstheme="minorHAnsi"/>
                <w:bCs/>
                <w:sz w:val="20"/>
                <w:szCs w:val="20"/>
                <w:lang w:eastAsia="pl-PL"/>
              </w:rPr>
              <w:t xml:space="preserve"> </w:t>
            </w:r>
            <w:r w:rsidR="00EE6C7E" w:rsidRPr="00B76506">
              <w:rPr>
                <w:rFonts w:eastAsia="Times New Roman" w:cstheme="minorHAnsi"/>
                <w:bCs/>
                <w:sz w:val="20"/>
                <w:szCs w:val="20"/>
                <w:lang w:eastAsia="pl-PL"/>
              </w:rPr>
              <w:t>§</w:t>
            </w:r>
            <w:r w:rsidR="00EE6C7E">
              <w:rPr>
                <w:rFonts w:eastAsia="Times New Roman" w:cstheme="minorHAnsi"/>
                <w:bCs/>
                <w:sz w:val="20"/>
                <w:szCs w:val="20"/>
                <w:lang w:eastAsia="pl-PL"/>
              </w:rPr>
              <w:t xml:space="preserve"> </w:t>
            </w:r>
            <w:r w:rsidR="00EE6C7E" w:rsidRPr="0007565D">
              <w:rPr>
                <w:rFonts w:eastAsia="Times New Roman" w:cstheme="minorHAnsi"/>
                <w:bCs/>
                <w:sz w:val="20"/>
                <w:szCs w:val="20"/>
                <w:lang w:eastAsia="pl-PL"/>
              </w:rPr>
              <w:t xml:space="preserve">1 </w:t>
            </w:r>
            <w:r w:rsidR="00EE6C7E">
              <w:rPr>
                <w:rFonts w:eastAsia="Times New Roman" w:cstheme="minorHAnsi"/>
                <w:bCs/>
                <w:sz w:val="20"/>
                <w:szCs w:val="20"/>
                <w:lang w:eastAsia="pl-PL"/>
              </w:rPr>
              <w:t xml:space="preserve">k.p.c. </w:t>
            </w:r>
            <w:r w:rsidR="00EE6C7E" w:rsidRPr="00307896">
              <w:rPr>
                <w:rFonts w:eastAsia="Times New Roman" w:cstheme="minorHAnsi"/>
                <w:bCs/>
                <w:sz w:val="20"/>
                <w:szCs w:val="20"/>
                <w:lang w:eastAsia="pl-PL"/>
              </w:rPr>
              <w:t>no</w:t>
            </w:r>
            <w:r w:rsidR="00EE6C7E" w:rsidRPr="0007565D">
              <w:rPr>
                <w:rFonts w:eastAsia="Times New Roman" w:cstheme="minorHAnsi"/>
                <w:bCs/>
                <w:sz w:val="20"/>
                <w:szCs w:val="20"/>
                <w:lang w:eastAsia="pl-PL"/>
              </w:rPr>
              <w:t>tariusz</w:t>
            </w:r>
            <w:r w:rsidR="00EE6C7E" w:rsidRPr="00307896">
              <w:rPr>
                <w:rFonts w:eastAsia="Times New Roman" w:cstheme="minorHAnsi"/>
                <w:bCs/>
                <w:sz w:val="20"/>
                <w:szCs w:val="20"/>
                <w:lang w:eastAsia="pl-PL"/>
              </w:rPr>
              <w:t>,</w:t>
            </w:r>
            <w:r w:rsidR="00EE6C7E" w:rsidRPr="0007565D">
              <w:rPr>
                <w:rFonts w:eastAsia="Times New Roman" w:cstheme="minorHAnsi"/>
                <w:bCs/>
                <w:sz w:val="20"/>
                <w:szCs w:val="20"/>
                <w:lang w:eastAsia="pl-PL"/>
              </w:rPr>
              <w:t xml:space="preserve"> gdy</w:t>
            </w:r>
            <w:r w:rsidR="00EE6C7E" w:rsidRPr="00B76506">
              <w:rPr>
                <w:rFonts w:eastAsia="Times New Roman" w:cstheme="minorHAnsi"/>
                <w:bCs/>
                <w:sz w:val="20"/>
                <w:szCs w:val="20"/>
                <w:lang w:eastAsia="pl-PL"/>
              </w:rPr>
              <w:t xml:space="preserve"> </w:t>
            </w:r>
            <w:r w:rsidR="00EE6C7E">
              <w:rPr>
                <w:rFonts w:eastAsia="Times New Roman" w:cstheme="minorHAnsi"/>
                <w:bCs/>
                <w:sz w:val="20"/>
                <w:szCs w:val="20"/>
                <w:lang w:eastAsia="pl-PL"/>
              </w:rPr>
              <w:t>będzie miał</w:t>
            </w:r>
            <w:r w:rsidR="00EE6C7E" w:rsidRPr="00B76506">
              <w:rPr>
                <w:rFonts w:eastAsia="Times New Roman" w:cstheme="minorHAnsi"/>
                <w:bCs/>
                <w:sz w:val="20"/>
                <w:szCs w:val="20"/>
                <w:lang w:eastAsia="pl-PL"/>
              </w:rPr>
              <w:t xml:space="preserve"> dowód śmierci spadkodawc</w:t>
            </w:r>
            <w:r w:rsidR="00EE6C7E">
              <w:rPr>
                <w:rFonts w:eastAsia="Times New Roman" w:cstheme="minorHAnsi"/>
                <w:bCs/>
                <w:sz w:val="20"/>
                <w:szCs w:val="20"/>
                <w:lang w:eastAsia="pl-PL"/>
              </w:rPr>
              <w:t>y, będzie miał obowiązek na zasadach ogólnych „</w:t>
            </w:r>
            <w:r w:rsidR="00EE6C7E" w:rsidRPr="00B76506">
              <w:rPr>
                <w:rFonts w:eastAsia="Times New Roman" w:cstheme="minorHAnsi"/>
                <w:bCs/>
                <w:sz w:val="20"/>
                <w:szCs w:val="20"/>
                <w:lang w:eastAsia="pl-PL"/>
              </w:rPr>
              <w:t>otw</w:t>
            </w:r>
            <w:r w:rsidR="00EE6C7E">
              <w:rPr>
                <w:rFonts w:eastAsia="Times New Roman" w:cstheme="minorHAnsi"/>
                <w:bCs/>
                <w:sz w:val="20"/>
                <w:szCs w:val="20"/>
                <w:lang w:eastAsia="pl-PL"/>
              </w:rPr>
              <w:t>o</w:t>
            </w:r>
            <w:r w:rsidR="00EE6C7E" w:rsidRPr="00B76506">
              <w:rPr>
                <w:rFonts w:eastAsia="Times New Roman" w:cstheme="minorHAnsi"/>
                <w:bCs/>
                <w:sz w:val="20"/>
                <w:szCs w:val="20"/>
                <w:lang w:eastAsia="pl-PL"/>
              </w:rPr>
              <w:t>r</w:t>
            </w:r>
            <w:r w:rsidR="00EE6C7E">
              <w:rPr>
                <w:rFonts w:eastAsia="Times New Roman" w:cstheme="minorHAnsi"/>
                <w:bCs/>
                <w:sz w:val="20"/>
                <w:szCs w:val="20"/>
                <w:lang w:eastAsia="pl-PL"/>
              </w:rPr>
              <w:t>zyć</w:t>
            </w:r>
            <w:r w:rsidR="00EE6C7E" w:rsidRPr="00B76506">
              <w:rPr>
                <w:rFonts w:eastAsia="Times New Roman" w:cstheme="minorHAnsi"/>
                <w:bCs/>
                <w:sz w:val="20"/>
                <w:szCs w:val="20"/>
                <w:lang w:eastAsia="pl-PL"/>
              </w:rPr>
              <w:t xml:space="preserve"> i ogł</w:t>
            </w:r>
            <w:r w:rsidR="00EE6C7E">
              <w:rPr>
                <w:rFonts w:eastAsia="Times New Roman" w:cstheme="minorHAnsi"/>
                <w:bCs/>
                <w:sz w:val="20"/>
                <w:szCs w:val="20"/>
                <w:lang w:eastAsia="pl-PL"/>
              </w:rPr>
              <w:t>osić</w:t>
            </w:r>
            <w:r w:rsidR="00EE6C7E" w:rsidRPr="00B76506">
              <w:rPr>
                <w:rFonts w:eastAsia="Times New Roman" w:cstheme="minorHAnsi"/>
                <w:bCs/>
                <w:sz w:val="20"/>
                <w:szCs w:val="20"/>
                <w:lang w:eastAsia="pl-PL"/>
              </w:rPr>
              <w:t xml:space="preserve"> testament</w:t>
            </w:r>
            <w:r w:rsidR="00EE6C7E">
              <w:rPr>
                <w:rFonts w:eastAsia="Times New Roman" w:cstheme="minorHAnsi"/>
                <w:bCs/>
                <w:sz w:val="20"/>
                <w:szCs w:val="20"/>
                <w:lang w:eastAsia="pl-PL"/>
              </w:rPr>
              <w:t>”</w:t>
            </w:r>
            <w:r w:rsidR="00EE6C7E" w:rsidRPr="00B76506">
              <w:rPr>
                <w:rFonts w:eastAsia="Times New Roman" w:cstheme="minorHAnsi"/>
                <w:bCs/>
                <w:sz w:val="20"/>
                <w:szCs w:val="20"/>
                <w:lang w:eastAsia="pl-PL"/>
              </w:rPr>
              <w:t>,</w:t>
            </w:r>
            <w:r w:rsidR="00EE6C7E">
              <w:rPr>
                <w:rFonts w:eastAsia="Times New Roman" w:cstheme="minorHAnsi"/>
                <w:bCs/>
                <w:sz w:val="20"/>
                <w:szCs w:val="20"/>
                <w:lang w:eastAsia="pl-PL"/>
              </w:rPr>
              <w:t xml:space="preserve"> co dotyczy także testamentu ustnego zarejestrowanego na trwałym nośniku danych. </w:t>
            </w:r>
            <w:r w:rsidR="00C5274E">
              <w:rPr>
                <w:rFonts w:eastAsia="Times New Roman" w:cstheme="minorHAnsi"/>
                <w:bCs/>
                <w:sz w:val="20"/>
                <w:szCs w:val="20"/>
                <w:lang w:eastAsia="pl-PL"/>
              </w:rPr>
              <w:t>W takiej sytuacji zgodnie z proponowanym art. 651 k.p.c. notariusz będzie zobowiązany w</w:t>
            </w:r>
            <w:r w:rsidR="00C5274E" w:rsidRPr="00C5274E">
              <w:rPr>
                <w:rFonts w:eastAsia="Times New Roman" w:cstheme="minorHAnsi"/>
                <w:bCs/>
                <w:sz w:val="20"/>
                <w:szCs w:val="20"/>
                <w:lang w:eastAsia="pl-PL"/>
              </w:rPr>
              <w:t xml:space="preserve"> protokole otwarcia i ogłoszenia testamentu opis</w:t>
            </w:r>
            <w:r w:rsidR="00C5274E">
              <w:rPr>
                <w:rFonts w:eastAsia="Times New Roman" w:cstheme="minorHAnsi"/>
                <w:bCs/>
                <w:sz w:val="20"/>
                <w:szCs w:val="20"/>
                <w:lang w:eastAsia="pl-PL"/>
              </w:rPr>
              <w:t xml:space="preserve">ać </w:t>
            </w:r>
            <w:r w:rsidR="00C5274E" w:rsidRPr="00C5274E">
              <w:rPr>
                <w:rFonts w:eastAsia="Times New Roman" w:cstheme="minorHAnsi"/>
                <w:bCs/>
                <w:sz w:val="20"/>
                <w:szCs w:val="20"/>
                <w:lang w:eastAsia="pl-PL"/>
              </w:rPr>
              <w:t xml:space="preserve">stan zewnętrzny </w:t>
            </w:r>
            <w:r w:rsidR="00C5274E">
              <w:rPr>
                <w:rFonts w:eastAsia="Times New Roman" w:cstheme="minorHAnsi"/>
                <w:bCs/>
                <w:sz w:val="20"/>
                <w:szCs w:val="20"/>
                <w:lang w:eastAsia="pl-PL"/>
              </w:rPr>
              <w:t xml:space="preserve">nośnika </w:t>
            </w:r>
            <w:r w:rsidR="00C5274E" w:rsidRPr="00C5274E">
              <w:rPr>
                <w:rFonts w:eastAsia="Times New Roman" w:cstheme="minorHAnsi"/>
                <w:bCs/>
                <w:sz w:val="20"/>
                <w:szCs w:val="20"/>
                <w:lang w:eastAsia="pl-PL"/>
              </w:rPr>
              <w:t xml:space="preserve">oraz </w:t>
            </w:r>
            <w:r w:rsidR="00C5274E">
              <w:rPr>
                <w:rFonts w:eastAsia="Times New Roman" w:cstheme="minorHAnsi"/>
                <w:bCs/>
                <w:sz w:val="20"/>
                <w:szCs w:val="20"/>
                <w:lang w:eastAsia="pl-PL"/>
              </w:rPr>
              <w:t>m.in.</w:t>
            </w:r>
            <w:r w:rsidR="00C5274E" w:rsidRPr="00C5274E">
              <w:rPr>
                <w:rFonts w:eastAsia="Times New Roman" w:cstheme="minorHAnsi"/>
                <w:bCs/>
                <w:sz w:val="20"/>
                <w:szCs w:val="20"/>
                <w:lang w:eastAsia="pl-PL"/>
              </w:rPr>
              <w:t xml:space="preserve"> zamie</w:t>
            </w:r>
            <w:r w:rsidR="00C5274E">
              <w:rPr>
                <w:rFonts w:eastAsia="Times New Roman" w:cstheme="minorHAnsi"/>
                <w:bCs/>
                <w:sz w:val="20"/>
                <w:szCs w:val="20"/>
                <w:lang w:eastAsia="pl-PL"/>
              </w:rPr>
              <w:t>ścić</w:t>
            </w:r>
            <w:r w:rsidR="00C5274E" w:rsidRPr="00C5274E">
              <w:rPr>
                <w:rFonts w:eastAsia="Times New Roman" w:cstheme="minorHAnsi"/>
                <w:bCs/>
                <w:sz w:val="20"/>
                <w:szCs w:val="20"/>
                <w:lang w:eastAsia="pl-PL"/>
              </w:rPr>
              <w:t xml:space="preserve"> informacje umożliwiające identyfikację spadkodawcy oraz świadków, a także treść oświadczenia spadkodawcy</w:t>
            </w:r>
            <w:r w:rsidR="00C5274E">
              <w:rPr>
                <w:rFonts w:eastAsia="Times New Roman" w:cstheme="minorHAnsi"/>
                <w:bCs/>
                <w:sz w:val="20"/>
                <w:szCs w:val="20"/>
                <w:lang w:eastAsia="pl-PL"/>
              </w:rPr>
              <w:t xml:space="preserve">.Do opisywanej sytuacji znajdą również zastosowanie art. 652 k.p.c. w z.w. z proponowanym art. 654 k.p.c. O </w:t>
            </w:r>
            <w:r w:rsidR="00C5274E" w:rsidRPr="00C5274E">
              <w:rPr>
                <w:rFonts w:eastAsia="Times New Roman" w:cstheme="minorHAnsi"/>
                <w:bCs/>
                <w:sz w:val="20"/>
                <w:szCs w:val="20"/>
                <w:lang w:eastAsia="pl-PL"/>
              </w:rPr>
              <w:t xml:space="preserve">dokonanym </w:t>
            </w:r>
            <w:r w:rsidR="00C5274E" w:rsidRPr="00C5274E">
              <w:rPr>
                <w:rFonts w:eastAsia="Times New Roman" w:cstheme="minorHAnsi"/>
                <w:bCs/>
                <w:sz w:val="20"/>
                <w:szCs w:val="20"/>
                <w:lang w:eastAsia="pl-PL"/>
              </w:rPr>
              <w:lastRenderedPageBreak/>
              <w:t xml:space="preserve">otwarciu i ogłoszeniu testamentu notariusz </w:t>
            </w:r>
            <w:r w:rsidR="00C5274E">
              <w:rPr>
                <w:rFonts w:eastAsia="Times New Roman" w:cstheme="minorHAnsi"/>
                <w:bCs/>
                <w:sz w:val="20"/>
                <w:szCs w:val="20"/>
                <w:lang w:eastAsia="pl-PL"/>
              </w:rPr>
              <w:t xml:space="preserve">będzie zobowiązany </w:t>
            </w:r>
            <w:r w:rsidR="00C5274E" w:rsidRPr="00C5274E">
              <w:rPr>
                <w:rFonts w:eastAsia="Times New Roman" w:cstheme="minorHAnsi"/>
                <w:bCs/>
                <w:sz w:val="20"/>
                <w:szCs w:val="20"/>
                <w:lang w:eastAsia="pl-PL"/>
              </w:rPr>
              <w:t>zawiad</w:t>
            </w:r>
            <w:r w:rsidR="00C5274E">
              <w:rPr>
                <w:rFonts w:eastAsia="Times New Roman" w:cstheme="minorHAnsi"/>
                <w:bCs/>
                <w:sz w:val="20"/>
                <w:szCs w:val="20"/>
                <w:lang w:eastAsia="pl-PL"/>
              </w:rPr>
              <w:t>omić</w:t>
            </w:r>
            <w:r w:rsidR="00C5274E" w:rsidRPr="00C5274E">
              <w:rPr>
                <w:rFonts w:eastAsia="Times New Roman" w:cstheme="minorHAnsi"/>
                <w:bCs/>
                <w:sz w:val="20"/>
                <w:szCs w:val="20"/>
                <w:lang w:eastAsia="pl-PL"/>
              </w:rPr>
              <w:t xml:space="preserve"> w miarę możności osoby, których rozrządzenia testamentowe dotyczą, oraz wykonawcę testamentu, tymczasowego przedstawiciela i kuratora spadku</w:t>
            </w:r>
            <w:r w:rsidR="00C5274E">
              <w:rPr>
                <w:rFonts w:eastAsia="Times New Roman" w:cstheme="minorHAnsi"/>
                <w:bCs/>
                <w:sz w:val="20"/>
                <w:szCs w:val="20"/>
                <w:lang w:eastAsia="pl-PL"/>
              </w:rPr>
              <w:t>, a także</w:t>
            </w:r>
            <w:r w:rsidR="00C5274E" w:rsidRPr="00C5274E">
              <w:rPr>
                <w:rFonts w:eastAsia="Times New Roman" w:cstheme="minorHAnsi"/>
                <w:bCs/>
                <w:sz w:val="20"/>
                <w:szCs w:val="20"/>
                <w:lang w:eastAsia="pl-PL"/>
              </w:rPr>
              <w:t xml:space="preserve"> niezwłocznie zawiadomi</w:t>
            </w:r>
            <w:r w:rsidR="00C5274E">
              <w:rPr>
                <w:rFonts w:eastAsia="Times New Roman" w:cstheme="minorHAnsi"/>
                <w:bCs/>
                <w:sz w:val="20"/>
                <w:szCs w:val="20"/>
                <w:lang w:eastAsia="pl-PL"/>
              </w:rPr>
              <w:t xml:space="preserve">ć </w:t>
            </w:r>
            <w:r w:rsidR="00C5274E" w:rsidRPr="00C5274E">
              <w:rPr>
                <w:rFonts w:eastAsia="Times New Roman" w:cstheme="minorHAnsi"/>
                <w:bCs/>
                <w:sz w:val="20"/>
                <w:szCs w:val="20"/>
                <w:lang w:eastAsia="pl-PL"/>
              </w:rPr>
              <w:t>o tym sąd spadku, przesyłając odpis sporządzonego protokołu</w:t>
            </w:r>
            <w:r w:rsidR="00C5274E">
              <w:rPr>
                <w:rFonts w:eastAsia="Times New Roman" w:cstheme="minorHAnsi"/>
                <w:bCs/>
                <w:sz w:val="20"/>
                <w:szCs w:val="20"/>
                <w:lang w:eastAsia="pl-PL"/>
              </w:rPr>
              <w:t xml:space="preserve">. Jednocześnie zastosowanie znajdzie również art. </w:t>
            </w:r>
            <w:r w:rsidR="00F62AC6">
              <w:rPr>
                <w:rFonts w:eastAsia="Times New Roman" w:cstheme="minorHAnsi"/>
                <w:bCs/>
                <w:sz w:val="20"/>
                <w:szCs w:val="20"/>
                <w:lang w:eastAsia="pl-PL"/>
              </w:rPr>
              <w:t>653</w:t>
            </w:r>
            <w:r w:rsidR="00C5274E">
              <w:rPr>
                <w:rFonts w:eastAsia="Times New Roman" w:cstheme="minorHAnsi"/>
                <w:bCs/>
                <w:sz w:val="20"/>
                <w:szCs w:val="20"/>
                <w:lang w:eastAsia="pl-PL"/>
              </w:rPr>
              <w:t xml:space="preserve"> k.p.c. w z.w. z proponowanym art. </w:t>
            </w:r>
            <w:r w:rsidR="00F62AC6">
              <w:rPr>
                <w:rFonts w:eastAsia="Times New Roman" w:cstheme="minorHAnsi"/>
                <w:bCs/>
                <w:sz w:val="20"/>
                <w:szCs w:val="20"/>
                <w:lang w:eastAsia="pl-PL"/>
              </w:rPr>
              <w:t>654</w:t>
            </w:r>
            <w:r w:rsidR="00C5274E">
              <w:rPr>
                <w:rFonts w:eastAsia="Times New Roman" w:cstheme="minorHAnsi"/>
                <w:bCs/>
                <w:sz w:val="20"/>
                <w:szCs w:val="20"/>
                <w:lang w:eastAsia="pl-PL"/>
              </w:rPr>
              <w:t xml:space="preserve"> k.p.c., a więc </w:t>
            </w:r>
            <w:r w:rsidR="00C5274E" w:rsidRPr="00C5274E">
              <w:rPr>
                <w:rFonts w:eastAsia="Times New Roman" w:cstheme="minorHAnsi"/>
                <w:bCs/>
                <w:sz w:val="20"/>
                <w:szCs w:val="20"/>
                <w:lang w:eastAsia="pl-PL"/>
              </w:rPr>
              <w:t xml:space="preserve">na żądanie sądu spadku notariusz </w:t>
            </w:r>
            <w:r w:rsidR="00C5274E">
              <w:rPr>
                <w:rFonts w:eastAsia="Times New Roman" w:cstheme="minorHAnsi"/>
                <w:bCs/>
                <w:sz w:val="20"/>
                <w:szCs w:val="20"/>
                <w:lang w:eastAsia="pl-PL"/>
              </w:rPr>
              <w:t>zobowiązany będzie przesłać trwały nośnik do sądu spadku.</w:t>
            </w:r>
          </w:p>
          <w:p w14:paraId="7631D528" w14:textId="77777777" w:rsidR="00F62AC6" w:rsidRDefault="00F62AC6" w:rsidP="00C5274E">
            <w:pPr>
              <w:jc w:val="both"/>
              <w:rPr>
                <w:rFonts w:eastAsia="Times New Roman" w:cstheme="minorHAnsi"/>
                <w:bCs/>
                <w:sz w:val="20"/>
                <w:szCs w:val="20"/>
                <w:lang w:eastAsia="pl-PL"/>
              </w:rPr>
            </w:pPr>
          </w:p>
          <w:p w14:paraId="2FA14ED4" w14:textId="77777777" w:rsidR="00F62AC6" w:rsidRDefault="00F62AC6" w:rsidP="00F62AC6">
            <w:pPr>
              <w:jc w:val="both"/>
              <w:rPr>
                <w:rFonts w:eastAsia="Times New Roman" w:cstheme="minorHAnsi"/>
                <w:bCs/>
                <w:sz w:val="20"/>
                <w:szCs w:val="20"/>
                <w:lang w:eastAsia="pl-PL"/>
              </w:rPr>
            </w:pPr>
            <w:r>
              <w:rPr>
                <w:rFonts w:eastAsia="Times New Roman" w:cstheme="minorHAnsi"/>
                <w:bCs/>
                <w:sz w:val="20"/>
                <w:szCs w:val="20"/>
                <w:lang w:eastAsia="pl-PL"/>
              </w:rPr>
              <w:t>Ponadto użycie w przepisie sformułowania, że n</w:t>
            </w:r>
            <w:r w:rsidRPr="00962BA5">
              <w:rPr>
                <w:rFonts w:eastAsia="Times New Roman" w:cstheme="minorHAnsi"/>
                <w:bCs/>
                <w:sz w:val="20"/>
                <w:szCs w:val="20"/>
                <w:lang w:eastAsia="pl-PL"/>
              </w:rPr>
              <w:t>agranie powinno zostać przekazane na trwałym nośniku danych notariuszowi lub do sądu spadku nie później niż w ciągu trzech miesięcy od dnia otwarcia spadku</w:t>
            </w:r>
            <w:r>
              <w:rPr>
                <w:rFonts w:eastAsia="Times New Roman" w:cstheme="minorHAnsi"/>
                <w:bCs/>
                <w:sz w:val="20"/>
                <w:szCs w:val="20"/>
                <w:lang w:eastAsia="pl-PL"/>
              </w:rPr>
              <w:t xml:space="preserve"> </w:t>
            </w:r>
            <w:r w:rsidRPr="00962BA5">
              <w:rPr>
                <w:rFonts w:eastAsia="Times New Roman" w:cstheme="minorHAnsi"/>
                <w:bCs/>
                <w:sz w:val="20"/>
                <w:szCs w:val="20"/>
                <w:lang w:eastAsia="pl-PL"/>
              </w:rPr>
              <w:t xml:space="preserve">oznacza, że nośnik ten może być przekazany notariuszowi także po chwili testowania przez daną osobę fizyczną, lecz jeszcze przed jej śmiercią. Przykładem tego może być sytuacja, w której po chwili testowania testator zapadnie w śpiączkę, z której nie wybudzi się do śmierci po kilku miesiącach lub latach. W takim przypadku do chwili śmierci spadkodawcy możliwe będzie przekazanie nośnika z nagraniem oświadczenia woli testatora </w:t>
            </w:r>
            <w:r>
              <w:rPr>
                <w:rFonts w:eastAsia="Times New Roman" w:cstheme="minorHAnsi"/>
                <w:bCs/>
                <w:sz w:val="20"/>
                <w:szCs w:val="20"/>
                <w:lang w:eastAsia="pl-PL"/>
              </w:rPr>
              <w:t xml:space="preserve">właśnie </w:t>
            </w:r>
            <w:r w:rsidRPr="00962BA5">
              <w:rPr>
                <w:rFonts w:eastAsia="Times New Roman" w:cstheme="minorHAnsi"/>
                <w:bCs/>
                <w:sz w:val="20"/>
                <w:szCs w:val="20"/>
                <w:lang w:eastAsia="pl-PL"/>
              </w:rPr>
              <w:t xml:space="preserve">notariuszowi, który sporządzić powinien protokół z przyjęcia na przechowanie testamentu (por. art. 107 § 2 w zw. z art. 107 § 1 Prawa o notariacie) . </w:t>
            </w:r>
            <w:r w:rsidRPr="004C127E">
              <w:rPr>
                <w:rFonts w:eastAsia="Times New Roman" w:cstheme="minorHAnsi"/>
                <w:bCs/>
                <w:sz w:val="20"/>
                <w:szCs w:val="20"/>
                <w:lang w:eastAsia="pl-PL"/>
              </w:rPr>
              <w:t xml:space="preserve">Po chwili śmierci spadkodawcy zastosowanie do takiej </w:t>
            </w:r>
            <w:r w:rsidRPr="004C127E">
              <w:rPr>
                <w:rFonts w:eastAsia="Times New Roman" w:cstheme="minorHAnsi"/>
                <w:bCs/>
                <w:sz w:val="20"/>
                <w:szCs w:val="20"/>
                <w:lang w:eastAsia="pl-PL"/>
              </w:rPr>
              <w:lastRenderedPageBreak/>
              <w:t>sytuacji znajdą art. 646– 653 k.p.c. w zw. z planowanym art. 654 k.p.c. Ponieważ będzie już wówczas można określić, który sąd jest sądem spadku, pozwoli to również na przekazanie nagrania na trwałym nośniku danych także do tego sądu (art. 653 k.p.c. w zw. z planowanym art. 654 k.p.c.).</w:t>
            </w:r>
          </w:p>
          <w:p w14:paraId="0BDFD6AB" w14:textId="77777777" w:rsidR="00B76506" w:rsidRDefault="00B76506" w:rsidP="006E6769">
            <w:pPr>
              <w:jc w:val="both"/>
              <w:rPr>
                <w:rFonts w:eastAsia="Times New Roman" w:cstheme="minorHAnsi"/>
                <w:bCs/>
                <w:sz w:val="20"/>
                <w:szCs w:val="20"/>
                <w:lang w:eastAsia="pl-PL"/>
              </w:rPr>
            </w:pPr>
          </w:p>
          <w:p w14:paraId="7EA8679F" w14:textId="6481E808" w:rsidR="00F852B4" w:rsidRPr="000660EA" w:rsidRDefault="00B76506" w:rsidP="009D0E2C">
            <w:pPr>
              <w:jc w:val="both"/>
              <w:rPr>
                <w:rFonts w:eastAsia="Times New Roman" w:cstheme="minorHAnsi"/>
                <w:sz w:val="20"/>
                <w:szCs w:val="20"/>
                <w:lang w:eastAsia="pl-PL"/>
              </w:rPr>
            </w:pPr>
            <w:r>
              <w:rPr>
                <w:rFonts w:eastAsia="Times New Roman" w:cstheme="minorHAnsi"/>
                <w:sz w:val="20"/>
                <w:szCs w:val="20"/>
                <w:lang w:eastAsia="pl-PL"/>
              </w:rPr>
              <w:t>Zespół wyraźnie też zaznaczył, że n</w:t>
            </w:r>
            <w:r w:rsidRPr="003F7E53">
              <w:rPr>
                <w:rFonts w:eastAsia="Times New Roman" w:cstheme="minorHAnsi"/>
                <w:sz w:val="20"/>
                <w:szCs w:val="20"/>
                <w:lang w:eastAsia="pl-PL"/>
              </w:rPr>
              <w:t xml:space="preserve">ośnik nie powinien być utożsamiany z urządzeniem, na którym doszło do sporządzenia takiego nagrania. Nie jest więc konieczne złożenie u notariusza lub w sądzie spadku np. telefonu komórkowego, którym utrwalono ustne oświadczenie spadkodawcy. Konieczne jest jednak, aby takie nagranie (tzn. jego wierna kopia) zostało przesłane do notariusza lub sądu spadku na odpowiednim trwałym nośniku danych (np. pamięć USB, dysk zewnętrzny). </w:t>
            </w:r>
            <w:r>
              <w:rPr>
                <w:rFonts w:eastAsia="Times New Roman" w:cstheme="minorHAnsi"/>
                <w:sz w:val="20"/>
                <w:szCs w:val="20"/>
                <w:lang w:eastAsia="pl-PL"/>
              </w:rPr>
              <w:t xml:space="preserve">Zespół miał </w:t>
            </w:r>
            <w:r w:rsidRPr="003F7E53">
              <w:rPr>
                <w:rFonts w:eastAsia="Times New Roman" w:cstheme="minorHAnsi"/>
                <w:sz w:val="20"/>
                <w:szCs w:val="20"/>
                <w:lang w:eastAsia="pl-PL"/>
              </w:rPr>
              <w:t xml:space="preserve">przy tym świadomość, że prawie na pewno w każdym z takich przypadków stwierdzania treści testamentu ustnego konieczna będzie analiza prawdziwości nagrania przez biegłego. Zdecydowano się jednak podjąć ryzyko dopuszczania stwierdzania treści testamentu ustnego w ten sposób, gdyż z obecnego stanu wiedzy w tym zakresie wynika, że biegli są w stanie zweryfikować, czy dane nagranie nie zostało sfałszowane. </w:t>
            </w:r>
            <w:r>
              <w:rPr>
                <w:rFonts w:eastAsia="Times New Roman" w:cstheme="minorHAnsi"/>
                <w:sz w:val="20"/>
                <w:szCs w:val="20"/>
                <w:lang w:eastAsia="pl-PL"/>
              </w:rPr>
              <w:t>J</w:t>
            </w:r>
            <w:r w:rsidRPr="003F7E53">
              <w:rPr>
                <w:rFonts w:eastAsia="Times New Roman" w:cstheme="minorHAnsi"/>
                <w:sz w:val="20"/>
                <w:szCs w:val="20"/>
                <w:lang w:eastAsia="pl-PL"/>
              </w:rPr>
              <w:t xml:space="preserve">akakolwiek wątpliwość sądu co do rzeczywistego sporządzenia testamentu ustnego powinna z urzędu pociągać za sobą powołanie biegłego </w:t>
            </w:r>
            <w:r w:rsidRPr="003F7E53">
              <w:rPr>
                <w:rFonts w:eastAsia="Times New Roman" w:cstheme="minorHAnsi"/>
                <w:sz w:val="20"/>
                <w:szCs w:val="20"/>
                <w:lang w:eastAsia="pl-PL"/>
              </w:rPr>
              <w:lastRenderedPageBreak/>
              <w:t>mogącego ustalić, czy nie nastąpiła ingerencja w przedstawione sądowi nagranie. Sąd może wówczas także nakazać poddanie badaniu oryginalnego nośnika, na którym doszło do utrwalenia oświadczenia woli testatora. Jego brak powinien podlegać ocenie przez sąd na zasadach ogólnych i może niekiedy prowadzić do uznania, że do sporządzenia testamentu ustnego w rzeczywistości nie doszło.</w:t>
            </w:r>
          </w:p>
        </w:tc>
      </w:tr>
      <w:tr w:rsidR="00C6094D" w:rsidRPr="00D103B4" w14:paraId="1C9DDA6B" w14:textId="77777777" w:rsidTr="00B241C8">
        <w:trPr>
          <w:jc w:val="center"/>
        </w:trPr>
        <w:tc>
          <w:tcPr>
            <w:tcW w:w="562" w:type="dxa"/>
          </w:tcPr>
          <w:p w14:paraId="306D4F69" w14:textId="1A511D35" w:rsidR="00C6094D" w:rsidRPr="00D103B4" w:rsidRDefault="00D103B4" w:rsidP="009D0E2C">
            <w:pPr>
              <w:spacing w:before="120"/>
              <w:ind w:right="-534"/>
              <w:rPr>
                <w:rFonts w:cstheme="minorHAnsi"/>
                <w:b/>
                <w:sz w:val="20"/>
                <w:szCs w:val="20"/>
              </w:rPr>
            </w:pPr>
            <w:r>
              <w:rPr>
                <w:rFonts w:cstheme="minorHAnsi"/>
                <w:b/>
                <w:sz w:val="20"/>
                <w:szCs w:val="20"/>
              </w:rPr>
              <w:lastRenderedPageBreak/>
              <w:t>1</w:t>
            </w:r>
            <w:r w:rsidR="00C90560">
              <w:rPr>
                <w:rFonts w:cstheme="minorHAnsi"/>
                <w:b/>
                <w:sz w:val="20"/>
                <w:szCs w:val="20"/>
              </w:rPr>
              <w:t>3</w:t>
            </w:r>
            <w:r>
              <w:rPr>
                <w:rFonts w:cstheme="minorHAnsi"/>
                <w:b/>
                <w:sz w:val="20"/>
                <w:szCs w:val="20"/>
              </w:rPr>
              <w:t>.</w:t>
            </w:r>
          </w:p>
        </w:tc>
        <w:tc>
          <w:tcPr>
            <w:tcW w:w="1843" w:type="dxa"/>
            <w:vAlign w:val="center"/>
          </w:tcPr>
          <w:p w14:paraId="6C8C39FF" w14:textId="74BA018C" w:rsidR="00C6094D" w:rsidRPr="00D103B4" w:rsidRDefault="00C6094D" w:rsidP="009D0E2C">
            <w:pPr>
              <w:spacing w:before="120" w:after="120"/>
              <w:jc w:val="center"/>
              <w:rPr>
                <w:rFonts w:cstheme="minorHAnsi"/>
                <w:b/>
                <w:bCs/>
                <w:sz w:val="20"/>
                <w:szCs w:val="20"/>
              </w:rPr>
            </w:pPr>
            <w:r w:rsidRPr="00D103B4">
              <w:rPr>
                <w:rFonts w:cstheme="minorHAnsi"/>
                <w:b/>
                <w:bCs/>
                <w:sz w:val="20"/>
                <w:szCs w:val="20"/>
              </w:rPr>
              <w:t>Stowarzyszenie Notariuszy RP</w:t>
            </w:r>
          </w:p>
        </w:tc>
        <w:tc>
          <w:tcPr>
            <w:tcW w:w="1843" w:type="dxa"/>
            <w:vAlign w:val="center"/>
          </w:tcPr>
          <w:p w14:paraId="5A99D715" w14:textId="357B1ECA" w:rsidR="00C6094D" w:rsidRPr="00D103B4" w:rsidRDefault="00C6094D" w:rsidP="009D0E2C">
            <w:pPr>
              <w:spacing w:before="120" w:after="120"/>
              <w:jc w:val="center"/>
              <w:rPr>
                <w:rFonts w:cstheme="minorHAnsi"/>
                <w:sz w:val="20"/>
                <w:szCs w:val="20"/>
              </w:rPr>
            </w:pPr>
            <w:r w:rsidRPr="00D103B4">
              <w:rPr>
                <w:rFonts w:cstheme="minorHAnsi"/>
                <w:sz w:val="20"/>
                <w:szCs w:val="20"/>
              </w:rPr>
              <w:t>Art. 1 pkt 5 projektu (</w:t>
            </w:r>
            <w:r w:rsidRPr="00D103B4">
              <w:rPr>
                <w:rFonts w:cstheme="minorHAnsi"/>
                <w:color w:val="000000"/>
                <w:sz w:val="20"/>
                <w:szCs w:val="20"/>
              </w:rPr>
              <w:t>954</w:t>
            </w:r>
            <w:r w:rsidRPr="00D103B4">
              <w:rPr>
                <w:rFonts w:cstheme="minorHAnsi"/>
                <w:color w:val="000000"/>
                <w:sz w:val="20"/>
                <w:szCs w:val="20"/>
                <w:vertAlign w:val="superscript"/>
              </w:rPr>
              <w:t>1</w:t>
            </w:r>
            <w:r w:rsidRPr="00D103B4">
              <w:rPr>
                <w:rFonts w:cstheme="minorHAnsi"/>
                <w:color w:val="000000"/>
                <w:sz w:val="20"/>
                <w:szCs w:val="20"/>
              </w:rPr>
              <w:t xml:space="preserve"> k.c.)</w:t>
            </w:r>
          </w:p>
        </w:tc>
        <w:tc>
          <w:tcPr>
            <w:tcW w:w="5670" w:type="dxa"/>
            <w:vAlign w:val="center"/>
          </w:tcPr>
          <w:p w14:paraId="45AB34DB" w14:textId="77777777" w:rsidR="00C6094D" w:rsidRPr="00C6094D" w:rsidRDefault="00C6094D" w:rsidP="00C6094D">
            <w:pPr>
              <w:autoSpaceDE w:val="0"/>
              <w:autoSpaceDN w:val="0"/>
              <w:adjustRightInd w:val="0"/>
              <w:jc w:val="both"/>
              <w:rPr>
                <w:rFonts w:eastAsia="Times New Roman" w:cstheme="minorHAnsi"/>
                <w:sz w:val="20"/>
                <w:szCs w:val="20"/>
                <w:lang w:eastAsia="pl-PL"/>
              </w:rPr>
            </w:pPr>
            <w:r w:rsidRPr="00C6094D">
              <w:rPr>
                <w:rFonts w:eastAsia="Times New Roman" w:cstheme="minorHAnsi"/>
                <w:sz w:val="20"/>
                <w:szCs w:val="20"/>
                <w:lang w:eastAsia="pl-PL"/>
              </w:rPr>
              <w:t xml:space="preserve">ZG SNRP podtrzymuje stanowisko wyrażone uprzednio, aprobujące przeniesienie regulacji dotyczącej testamentu wojskowego z poziomu rozporządzenia do kodeksu. </w:t>
            </w:r>
          </w:p>
          <w:p w14:paraId="54179B29" w14:textId="22638AC5" w:rsidR="00C6094D" w:rsidRPr="00C6094D" w:rsidRDefault="00C6094D" w:rsidP="00C6094D">
            <w:pPr>
              <w:autoSpaceDE w:val="0"/>
              <w:autoSpaceDN w:val="0"/>
              <w:adjustRightInd w:val="0"/>
              <w:jc w:val="both"/>
              <w:rPr>
                <w:rFonts w:eastAsia="Times New Roman" w:cstheme="minorHAnsi"/>
                <w:sz w:val="20"/>
                <w:szCs w:val="20"/>
                <w:lang w:eastAsia="pl-PL"/>
              </w:rPr>
            </w:pPr>
            <w:r w:rsidRPr="00C6094D">
              <w:rPr>
                <w:rFonts w:eastAsia="Times New Roman" w:cstheme="minorHAnsi"/>
                <w:sz w:val="20"/>
                <w:szCs w:val="20"/>
                <w:lang w:eastAsia="pl-PL"/>
              </w:rPr>
              <w:t xml:space="preserve">Jednocześnie zauważamy, iż </w:t>
            </w:r>
            <w:r w:rsidRPr="009D270D">
              <w:rPr>
                <w:rFonts w:eastAsia="Times New Roman" w:cstheme="minorHAnsi"/>
                <w:b/>
                <w:bCs/>
                <w:sz w:val="20"/>
                <w:szCs w:val="20"/>
                <w:lang w:eastAsia="pl-PL"/>
              </w:rPr>
              <w:t>niezrozumiałym jest uczynienie przesłanki sporządzenia testamentu wojskowego - obok przebywania na obszarze działań zbrojnych – niemożność lub utrudnienie sporządzenia przez wojskowego testamentu notarialnego.</w:t>
            </w:r>
            <w:r w:rsidRPr="00C6094D">
              <w:rPr>
                <w:rFonts w:eastAsia="Times New Roman" w:cstheme="minorHAnsi"/>
                <w:sz w:val="20"/>
                <w:szCs w:val="20"/>
                <w:lang w:eastAsia="pl-PL"/>
              </w:rPr>
              <w:t xml:space="preserve"> Tak zredagowana norma oznaczać będzie, iż przedmiotem badania ważności każdego testamentu wojskowego będzie także lokalna „dostępność notariusza”. Wydaje się to być całkowicie niepotrzebne. </w:t>
            </w:r>
          </w:p>
          <w:p w14:paraId="5ADD2CC0" w14:textId="28A8596D" w:rsidR="00C6094D" w:rsidRPr="00D103B4" w:rsidRDefault="00C6094D" w:rsidP="00C6094D">
            <w:pPr>
              <w:autoSpaceDE w:val="0"/>
              <w:autoSpaceDN w:val="0"/>
              <w:adjustRightInd w:val="0"/>
              <w:jc w:val="both"/>
              <w:rPr>
                <w:rFonts w:eastAsia="Times New Roman" w:cstheme="minorHAnsi"/>
                <w:sz w:val="20"/>
                <w:szCs w:val="20"/>
                <w:lang w:eastAsia="pl-PL"/>
              </w:rPr>
            </w:pPr>
            <w:r w:rsidRPr="00D103B4">
              <w:rPr>
                <w:rFonts w:eastAsia="Times New Roman" w:cstheme="minorHAnsi"/>
                <w:b/>
                <w:bCs/>
                <w:sz w:val="20"/>
                <w:szCs w:val="20"/>
                <w:lang w:eastAsia="pl-PL"/>
              </w:rPr>
              <w:t>ZG SNRP pozytywnie ocenia</w:t>
            </w:r>
            <w:r w:rsidRPr="00D103B4">
              <w:rPr>
                <w:rFonts w:eastAsia="Times New Roman" w:cstheme="minorHAnsi"/>
                <w:sz w:val="20"/>
                <w:szCs w:val="20"/>
                <w:lang w:eastAsia="pl-PL"/>
              </w:rPr>
              <w:t xml:space="preserve"> </w:t>
            </w:r>
            <w:r w:rsidRPr="00D103B4">
              <w:rPr>
                <w:rFonts w:eastAsia="Times New Roman" w:cstheme="minorHAnsi"/>
                <w:b/>
                <w:bCs/>
                <w:sz w:val="20"/>
                <w:szCs w:val="20"/>
                <w:lang w:eastAsia="pl-PL"/>
              </w:rPr>
              <w:t>rezygnację z możliwości sporządzenia testamentu wojskowego przez wojskowego przebywającego na misji zagranicznej</w:t>
            </w:r>
            <w:r w:rsidRPr="00D103B4">
              <w:rPr>
                <w:rFonts w:eastAsia="Times New Roman" w:cstheme="minorHAnsi"/>
                <w:sz w:val="20"/>
                <w:szCs w:val="20"/>
                <w:lang w:eastAsia="pl-PL"/>
              </w:rPr>
              <w:t xml:space="preserve"> (zgodnie z Ustawą o zasadach użycia lub pobytu Sił Zbrojnych Rzeczypospolitej Polskiej poza granicami państwa), która to propozycja (z pierwszej wersji projektu) stała w potencjalnym konflikcie z przepisami unijnego rozporządzenia spadkowego.</w:t>
            </w:r>
          </w:p>
        </w:tc>
        <w:tc>
          <w:tcPr>
            <w:tcW w:w="4076" w:type="dxa"/>
          </w:tcPr>
          <w:p w14:paraId="10B35F9A" w14:textId="700DCCA6" w:rsidR="00BF5692" w:rsidRDefault="009478A6" w:rsidP="009D0E2C">
            <w:pPr>
              <w:jc w:val="both"/>
              <w:rPr>
                <w:rFonts w:eastAsia="Times New Roman" w:cstheme="minorHAnsi"/>
                <w:b/>
                <w:bCs/>
                <w:sz w:val="20"/>
                <w:szCs w:val="20"/>
                <w:lang w:eastAsia="pl-PL"/>
              </w:rPr>
            </w:pPr>
            <w:r>
              <w:rPr>
                <w:rFonts w:eastAsia="Times New Roman" w:cstheme="minorHAnsi"/>
                <w:b/>
                <w:bCs/>
                <w:sz w:val="20"/>
                <w:szCs w:val="20"/>
                <w:lang w:eastAsia="pl-PL"/>
              </w:rPr>
              <w:t>Uwaga nieuwzględniona</w:t>
            </w:r>
          </w:p>
          <w:p w14:paraId="78395017" w14:textId="0C62E9F4" w:rsidR="00BF5692" w:rsidRDefault="00BF5692" w:rsidP="004F0B65">
            <w:pPr>
              <w:jc w:val="both"/>
              <w:rPr>
                <w:rFonts w:eastAsia="Times New Roman" w:cstheme="minorHAnsi"/>
                <w:sz w:val="20"/>
                <w:szCs w:val="20"/>
                <w:lang w:eastAsia="pl-PL"/>
              </w:rPr>
            </w:pPr>
            <w:r w:rsidRPr="000E405A">
              <w:rPr>
                <w:rFonts w:eastAsia="Times New Roman" w:cstheme="minorHAnsi"/>
                <w:sz w:val="20"/>
                <w:szCs w:val="20"/>
                <w:lang w:eastAsia="pl-PL"/>
              </w:rPr>
              <w:t xml:space="preserve">Proponowane </w:t>
            </w:r>
            <w:r>
              <w:rPr>
                <w:rFonts w:eastAsia="Times New Roman" w:cstheme="minorHAnsi"/>
                <w:sz w:val="20"/>
                <w:szCs w:val="20"/>
                <w:lang w:eastAsia="pl-PL"/>
              </w:rPr>
              <w:t xml:space="preserve">w projekcie </w:t>
            </w:r>
            <w:r w:rsidRPr="000E405A">
              <w:rPr>
                <w:rFonts w:eastAsia="Times New Roman" w:cstheme="minorHAnsi"/>
                <w:sz w:val="20"/>
                <w:szCs w:val="20"/>
                <w:lang w:eastAsia="pl-PL"/>
              </w:rPr>
              <w:t>rozwiązani</w:t>
            </w:r>
            <w:r>
              <w:rPr>
                <w:rFonts w:eastAsia="Times New Roman" w:cstheme="minorHAnsi"/>
                <w:sz w:val="20"/>
                <w:szCs w:val="20"/>
                <w:lang w:eastAsia="pl-PL"/>
              </w:rPr>
              <w:t>e</w:t>
            </w:r>
            <w:r w:rsidRPr="000E405A">
              <w:rPr>
                <w:rFonts w:eastAsia="Times New Roman" w:cstheme="minorHAnsi"/>
                <w:sz w:val="20"/>
                <w:szCs w:val="20"/>
                <w:lang w:eastAsia="pl-PL"/>
              </w:rPr>
              <w:t xml:space="preserve"> wynika</w:t>
            </w:r>
            <w:r>
              <w:rPr>
                <w:rFonts w:eastAsia="Times New Roman" w:cstheme="minorHAnsi"/>
                <w:sz w:val="20"/>
                <w:szCs w:val="20"/>
                <w:lang w:eastAsia="pl-PL"/>
              </w:rPr>
              <w:t>ją</w:t>
            </w:r>
            <w:r w:rsidRPr="000E405A">
              <w:rPr>
                <w:rFonts w:eastAsia="Times New Roman" w:cstheme="minorHAnsi"/>
                <w:sz w:val="20"/>
                <w:szCs w:val="20"/>
                <w:lang w:eastAsia="pl-PL"/>
              </w:rPr>
              <w:t xml:space="preserve"> z celowej decyzji Zespołu problemowego do spraw prawa spadkowego Komisji Kodyfikacyjnej Prawa Cywilnego.</w:t>
            </w:r>
            <w:r>
              <w:rPr>
                <w:rFonts w:eastAsia="Times New Roman" w:cstheme="minorHAnsi"/>
                <w:sz w:val="20"/>
                <w:szCs w:val="20"/>
                <w:lang w:eastAsia="pl-PL"/>
              </w:rPr>
              <w:t xml:space="preserve"> </w:t>
            </w:r>
            <w:r w:rsidRPr="00BF5692">
              <w:rPr>
                <w:rFonts w:eastAsia="Times New Roman" w:cstheme="minorHAnsi"/>
                <w:sz w:val="20"/>
                <w:szCs w:val="20"/>
                <w:lang w:eastAsia="pl-PL"/>
              </w:rPr>
              <w:t xml:space="preserve">Sygnałem braku możliwości właściwego działania podmiotów wykonujących funkcje publiczne na danym obszarze objętym działaniami zbrojnymi (a także dowodem na to, że dany obszar jest rzeczywiście objęty takimi działaniami) może być </w:t>
            </w:r>
            <w:r>
              <w:rPr>
                <w:rFonts w:eastAsia="Times New Roman" w:cstheme="minorHAnsi"/>
                <w:sz w:val="20"/>
                <w:szCs w:val="20"/>
                <w:lang w:eastAsia="pl-PL"/>
              </w:rPr>
              <w:t xml:space="preserve">właśnie </w:t>
            </w:r>
            <w:r w:rsidRPr="00BF5692">
              <w:rPr>
                <w:rFonts w:eastAsia="Times New Roman" w:cstheme="minorHAnsi"/>
                <w:sz w:val="20"/>
                <w:szCs w:val="20"/>
                <w:lang w:eastAsia="pl-PL"/>
              </w:rPr>
              <w:t xml:space="preserve">niemożliwość sporządzenia przez testatora testamentu w formie publicznej, jaką jest forma aktu notarialnego. Testator może jednocześnie obawiać się tego, że sporządzony przez niego testament w formie własnoręcznej na skutek działań zbrojnych zostanie zniszczony lub zagubiony. Z tego więc względu w art. 954 § 1 k.c. zdecydowano się na przyjęcie rozwiązania odmiennego niż w art. 952 § 1 k.c. Skutkiem będzie możliwość sporządzenia testamentu wojskowego także w sytuacjach, w których testator potencjalnie mógłby sporządzić testament własnoręczny, jednak nie ma on </w:t>
            </w:r>
            <w:r w:rsidRPr="00BF5692">
              <w:rPr>
                <w:rFonts w:eastAsia="Times New Roman" w:cstheme="minorHAnsi"/>
                <w:sz w:val="20"/>
                <w:szCs w:val="20"/>
                <w:lang w:eastAsia="pl-PL"/>
              </w:rPr>
              <w:lastRenderedPageBreak/>
              <w:t>możliwości sporządzenia testamentu w formie aktu notarialnego lub możliwość ta jest nadmiernie utrudniona. Doprecyzowanie tego, w jakich sytuacjach przesłanka ta jest rzeczywiście spełniona należy pozostawić orzecznictwu.</w:t>
            </w:r>
          </w:p>
          <w:p w14:paraId="7C8666B4" w14:textId="77777777" w:rsidR="00BF5692" w:rsidRDefault="00BF5692" w:rsidP="00932DE0">
            <w:pPr>
              <w:ind w:left="31"/>
              <w:jc w:val="both"/>
              <w:rPr>
                <w:rFonts w:eastAsia="Times New Roman" w:cstheme="minorHAnsi"/>
                <w:sz w:val="20"/>
                <w:szCs w:val="20"/>
                <w:lang w:eastAsia="pl-PL"/>
              </w:rPr>
            </w:pPr>
          </w:p>
          <w:p w14:paraId="6733DFD4" w14:textId="5AF0D6C8" w:rsidR="0083136E" w:rsidRPr="00FE5B7F" w:rsidRDefault="0083136E" w:rsidP="00932DE0">
            <w:pPr>
              <w:ind w:left="31"/>
              <w:jc w:val="both"/>
              <w:rPr>
                <w:rFonts w:eastAsia="Times New Roman" w:cstheme="minorHAnsi"/>
                <w:sz w:val="20"/>
                <w:szCs w:val="20"/>
                <w:lang w:eastAsia="pl-PL"/>
              </w:rPr>
            </w:pPr>
            <w:r>
              <w:rPr>
                <w:rFonts w:eastAsia="Times New Roman" w:cstheme="minorHAnsi"/>
                <w:sz w:val="20"/>
                <w:szCs w:val="20"/>
                <w:lang w:eastAsia="pl-PL"/>
              </w:rPr>
              <w:t>Zamiarem projektodawcy jest</w:t>
            </w:r>
            <w:r w:rsidR="00BF5692">
              <w:rPr>
                <w:rFonts w:eastAsia="Times New Roman" w:cstheme="minorHAnsi"/>
                <w:sz w:val="20"/>
                <w:szCs w:val="20"/>
                <w:lang w:eastAsia="pl-PL"/>
              </w:rPr>
              <w:t xml:space="preserve"> ponadto to</w:t>
            </w:r>
            <w:r>
              <w:rPr>
                <w:rFonts w:eastAsia="Times New Roman" w:cstheme="minorHAnsi"/>
                <w:sz w:val="20"/>
                <w:szCs w:val="20"/>
                <w:lang w:eastAsia="pl-PL"/>
              </w:rPr>
              <w:t xml:space="preserve">, </w:t>
            </w:r>
            <w:r w:rsidR="00BF5692">
              <w:rPr>
                <w:rFonts w:eastAsia="Times New Roman" w:cstheme="minorHAnsi"/>
                <w:sz w:val="20"/>
                <w:szCs w:val="20"/>
                <w:lang w:eastAsia="pl-PL"/>
              </w:rPr>
              <w:t>a</w:t>
            </w:r>
            <w:r>
              <w:rPr>
                <w:rFonts w:eastAsia="Times New Roman" w:cstheme="minorHAnsi"/>
                <w:sz w:val="20"/>
                <w:szCs w:val="20"/>
                <w:lang w:eastAsia="pl-PL"/>
              </w:rPr>
              <w:t xml:space="preserve">by spadkodawca korzystał przede wszystkim ze zwykłych form testamentu, zaś z form szczególnych rzeczywiście w zupełnie wyjątkowych sytuacjach. Dotyczy to również osób, uprawnionych do sporządzenia testamentu wojskowego, który jest przewidziany jako testament szczególny. Sąd nie tyle będzie badał „lokalną dostępność notariusza”, co istnienie (lub nie) możliwości sporządzenia przez spadkodawcę testamentu w formie notarialnej. Spadkodawca może nie mieć takiej możliwości albo </w:t>
            </w:r>
            <w:r w:rsidR="00FE5B7F" w:rsidRPr="00FE5B7F">
              <w:rPr>
                <w:rFonts w:eastAsia="Times New Roman" w:cstheme="minorHAnsi"/>
                <w:sz w:val="20"/>
                <w:szCs w:val="20"/>
                <w:lang w:eastAsia="pl-PL"/>
              </w:rPr>
              <w:t>może</w:t>
            </w:r>
            <w:r w:rsidRPr="00FE5B7F">
              <w:rPr>
                <w:rFonts w:eastAsia="Times New Roman" w:cstheme="minorHAnsi"/>
                <w:sz w:val="20"/>
                <w:szCs w:val="20"/>
                <w:lang w:eastAsia="pl-PL"/>
              </w:rPr>
              <w:t xml:space="preserve"> to</w:t>
            </w:r>
            <w:r w:rsidR="00FE5B7F" w:rsidRPr="00FE5B7F">
              <w:rPr>
                <w:rFonts w:eastAsia="Times New Roman" w:cstheme="minorHAnsi"/>
                <w:sz w:val="20"/>
                <w:szCs w:val="20"/>
                <w:lang w:eastAsia="pl-PL"/>
              </w:rPr>
              <w:t xml:space="preserve"> być</w:t>
            </w:r>
            <w:r w:rsidRPr="00FE5B7F">
              <w:rPr>
                <w:rFonts w:eastAsia="Times New Roman" w:cstheme="minorHAnsi"/>
                <w:sz w:val="20"/>
                <w:szCs w:val="20"/>
                <w:lang w:eastAsia="pl-PL"/>
              </w:rPr>
              <w:t xml:space="preserve"> nadmiernie utrudnione, nawet jeśli notariusz jest „lokalnie dostępny”. </w:t>
            </w:r>
          </w:p>
          <w:p w14:paraId="33011DB7" w14:textId="77777777" w:rsidR="00FE5B7F" w:rsidRPr="00FE5B7F" w:rsidRDefault="00FE5B7F" w:rsidP="009D0E2C">
            <w:pPr>
              <w:jc w:val="both"/>
              <w:rPr>
                <w:rFonts w:eastAsia="Times New Roman" w:cstheme="minorHAnsi"/>
                <w:sz w:val="20"/>
                <w:szCs w:val="20"/>
                <w:lang w:eastAsia="pl-PL"/>
              </w:rPr>
            </w:pPr>
          </w:p>
          <w:p w14:paraId="73929807" w14:textId="719F5C66" w:rsidR="00FE5B7F" w:rsidRPr="00FE5B7F" w:rsidRDefault="00FE5B7F" w:rsidP="009D0E2C">
            <w:pPr>
              <w:jc w:val="both"/>
              <w:rPr>
                <w:rFonts w:eastAsia="Times New Roman" w:cstheme="minorHAnsi"/>
                <w:sz w:val="20"/>
                <w:szCs w:val="20"/>
                <w:lang w:eastAsia="pl-PL"/>
              </w:rPr>
            </w:pPr>
            <w:r w:rsidRPr="00FE5B7F">
              <w:rPr>
                <w:rFonts w:eastAsia="Times New Roman" w:cstheme="minorHAnsi"/>
                <w:sz w:val="20"/>
                <w:szCs w:val="20"/>
                <w:lang w:eastAsia="pl-PL"/>
              </w:rPr>
              <w:t xml:space="preserve">Co do możliwości sporządzenia testamentu wojskowego przez wojskowego przebywającego na misji zagranicznej, projekt nie wyklucza takiej sytuacji – istotne jest natomiast to, czy spełnione zostaną przesłanki sporządzenia testamentu wojskowego, a zatem </w:t>
            </w:r>
          </w:p>
          <w:p w14:paraId="720A9FB5" w14:textId="5C70FCBB" w:rsidR="00BA7947" w:rsidRPr="000660EA" w:rsidRDefault="00FE5B7F" w:rsidP="009D0E2C">
            <w:pPr>
              <w:jc w:val="both"/>
              <w:rPr>
                <w:sz w:val="20"/>
                <w:szCs w:val="20"/>
              </w:rPr>
            </w:pPr>
            <w:r w:rsidRPr="00FE5B7F">
              <w:rPr>
                <w:sz w:val="20"/>
                <w:szCs w:val="20"/>
              </w:rPr>
              <w:t>fakt przebywania na obszarze objętym działaniami zbrojnymi</w:t>
            </w:r>
            <w:r w:rsidR="00BA7947">
              <w:rPr>
                <w:sz w:val="20"/>
                <w:szCs w:val="20"/>
              </w:rPr>
              <w:t xml:space="preserve"> oraz niemożność albo </w:t>
            </w:r>
            <w:r w:rsidR="00BA7947">
              <w:rPr>
                <w:sz w:val="20"/>
                <w:szCs w:val="20"/>
              </w:rPr>
              <w:lastRenderedPageBreak/>
              <w:t>nadmierna trudność</w:t>
            </w:r>
            <w:r w:rsidRPr="00FE5B7F">
              <w:rPr>
                <w:sz w:val="20"/>
                <w:szCs w:val="20"/>
              </w:rPr>
              <w:t xml:space="preserve"> sporządzeni</w:t>
            </w:r>
            <w:r w:rsidR="00BA7947">
              <w:rPr>
                <w:sz w:val="20"/>
                <w:szCs w:val="20"/>
              </w:rPr>
              <w:t>a</w:t>
            </w:r>
            <w:r w:rsidRPr="00FE5B7F">
              <w:rPr>
                <w:sz w:val="20"/>
                <w:szCs w:val="20"/>
              </w:rPr>
              <w:t xml:space="preserve"> testamentu w formie aktu notarialnego</w:t>
            </w:r>
            <w:r w:rsidR="00BA7947">
              <w:rPr>
                <w:sz w:val="20"/>
                <w:szCs w:val="20"/>
              </w:rPr>
              <w:t xml:space="preserve">. </w:t>
            </w:r>
          </w:p>
        </w:tc>
      </w:tr>
      <w:tr w:rsidR="00E81469" w:rsidRPr="00D103B4" w14:paraId="623A2376" w14:textId="77777777" w:rsidTr="00B241C8">
        <w:trPr>
          <w:jc w:val="center"/>
        </w:trPr>
        <w:tc>
          <w:tcPr>
            <w:tcW w:w="562" w:type="dxa"/>
          </w:tcPr>
          <w:p w14:paraId="08E058C5" w14:textId="34DA3526" w:rsidR="00E81469" w:rsidRPr="00D103B4" w:rsidRDefault="00D103B4" w:rsidP="009D0E2C">
            <w:pPr>
              <w:spacing w:before="120" w:line="276" w:lineRule="auto"/>
              <w:ind w:right="-534"/>
              <w:rPr>
                <w:rFonts w:cstheme="minorHAnsi"/>
                <w:b/>
                <w:sz w:val="20"/>
                <w:szCs w:val="20"/>
              </w:rPr>
            </w:pPr>
            <w:r>
              <w:rPr>
                <w:rFonts w:cstheme="minorHAnsi"/>
                <w:b/>
                <w:sz w:val="20"/>
                <w:szCs w:val="20"/>
              </w:rPr>
              <w:lastRenderedPageBreak/>
              <w:t>1</w:t>
            </w:r>
            <w:r w:rsidR="00C90560">
              <w:rPr>
                <w:rFonts w:cstheme="minorHAnsi"/>
                <w:b/>
                <w:sz w:val="20"/>
                <w:szCs w:val="20"/>
              </w:rPr>
              <w:t>4</w:t>
            </w:r>
            <w:r w:rsidR="00143C74" w:rsidRPr="00D103B4">
              <w:rPr>
                <w:rFonts w:cstheme="minorHAnsi"/>
                <w:b/>
                <w:sz w:val="20"/>
                <w:szCs w:val="20"/>
              </w:rPr>
              <w:t>.</w:t>
            </w:r>
          </w:p>
        </w:tc>
        <w:tc>
          <w:tcPr>
            <w:tcW w:w="1843" w:type="dxa"/>
            <w:vAlign w:val="center"/>
          </w:tcPr>
          <w:p w14:paraId="21BA28BA" w14:textId="528A330F" w:rsidR="00E81469" w:rsidRPr="00D103B4" w:rsidRDefault="00794DC2" w:rsidP="009D0E2C">
            <w:pPr>
              <w:spacing w:before="120" w:after="120" w:line="276" w:lineRule="auto"/>
              <w:jc w:val="center"/>
              <w:rPr>
                <w:rFonts w:cstheme="minorHAnsi"/>
                <w:b/>
                <w:bCs/>
                <w:sz w:val="20"/>
                <w:szCs w:val="20"/>
              </w:rPr>
            </w:pPr>
            <w:r w:rsidRPr="00D103B4">
              <w:rPr>
                <w:rFonts w:cstheme="minorHAnsi"/>
                <w:b/>
                <w:bCs/>
                <w:sz w:val="20"/>
                <w:szCs w:val="20"/>
              </w:rPr>
              <w:t>Ośrodek Badań, Studiów i Legislacji Krajowej Rady Radców Prawnych</w:t>
            </w:r>
          </w:p>
        </w:tc>
        <w:tc>
          <w:tcPr>
            <w:tcW w:w="1843" w:type="dxa"/>
            <w:vAlign w:val="center"/>
          </w:tcPr>
          <w:p w14:paraId="7DB93305" w14:textId="016D7579" w:rsidR="00E81469" w:rsidRPr="00D103B4" w:rsidRDefault="00794DC2" w:rsidP="009D0E2C">
            <w:pPr>
              <w:spacing w:before="120" w:after="120" w:line="276" w:lineRule="auto"/>
              <w:jc w:val="center"/>
              <w:rPr>
                <w:rFonts w:cstheme="minorHAnsi"/>
                <w:sz w:val="20"/>
                <w:szCs w:val="20"/>
              </w:rPr>
            </w:pPr>
            <w:r w:rsidRPr="00D103B4">
              <w:rPr>
                <w:rFonts w:cstheme="minorHAnsi"/>
                <w:sz w:val="20"/>
                <w:szCs w:val="20"/>
              </w:rPr>
              <w:t xml:space="preserve">Art. 1 pkt </w:t>
            </w:r>
            <w:r w:rsidR="00143C74" w:rsidRPr="00D103B4">
              <w:rPr>
                <w:rFonts w:cstheme="minorHAnsi"/>
                <w:sz w:val="20"/>
                <w:szCs w:val="20"/>
              </w:rPr>
              <w:t>5</w:t>
            </w:r>
            <w:r w:rsidRPr="00D103B4">
              <w:rPr>
                <w:rFonts w:cstheme="minorHAnsi"/>
                <w:sz w:val="20"/>
                <w:szCs w:val="20"/>
              </w:rPr>
              <w:t xml:space="preserve"> projektu</w:t>
            </w:r>
            <w:r w:rsidR="003170B1" w:rsidRPr="00D103B4">
              <w:rPr>
                <w:rFonts w:cstheme="minorHAnsi"/>
                <w:sz w:val="20"/>
                <w:szCs w:val="20"/>
              </w:rPr>
              <w:t xml:space="preserve"> (</w:t>
            </w:r>
            <w:r w:rsidR="003170B1" w:rsidRPr="00D103B4">
              <w:rPr>
                <w:rFonts w:cstheme="minorHAnsi"/>
                <w:color w:val="000000"/>
                <w:sz w:val="20"/>
                <w:szCs w:val="20"/>
              </w:rPr>
              <w:t>954</w:t>
            </w:r>
            <w:r w:rsidR="003170B1" w:rsidRPr="00D103B4">
              <w:rPr>
                <w:rFonts w:cstheme="minorHAnsi"/>
                <w:color w:val="000000"/>
                <w:sz w:val="20"/>
                <w:szCs w:val="20"/>
                <w:vertAlign w:val="superscript"/>
              </w:rPr>
              <w:t>1</w:t>
            </w:r>
            <w:r w:rsidR="003170B1" w:rsidRPr="00D103B4">
              <w:rPr>
                <w:rFonts w:cstheme="minorHAnsi"/>
                <w:color w:val="000000"/>
                <w:sz w:val="20"/>
                <w:szCs w:val="20"/>
              </w:rPr>
              <w:t xml:space="preserve"> § 1, 2 i 3 k.c.)</w:t>
            </w:r>
          </w:p>
        </w:tc>
        <w:tc>
          <w:tcPr>
            <w:tcW w:w="5670" w:type="dxa"/>
            <w:vAlign w:val="center"/>
          </w:tcPr>
          <w:p w14:paraId="4D33CF91" w14:textId="035AD1E6" w:rsidR="004B0AFA" w:rsidRPr="00D103B4" w:rsidRDefault="00143C74" w:rsidP="00F46DB3">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Wątpliwości budzi proponowany w art. 1 pkt 5 Projektu art. 954</w:t>
            </w:r>
            <w:r w:rsidRPr="00D103B4">
              <w:rPr>
                <w:rFonts w:cstheme="minorHAnsi"/>
                <w:color w:val="000000"/>
                <w:sz w:val="20"/>
                <w:szCs w:val="20"/>
                <w:vertAlign w:val="superscript"/>
              </w:rPr>
              <w:t>1</w:t>
            </w:r>
            <w:r w:rsidRPr="00D103B4">
              <w:rPr>
                <w:rFonts w:cstheme="minorHAnsi"/>
                <w:color w:val="000000"/>
                <w:sz w:val="20"/>
                <w:szCs w:val="20"/>
              </w:rPr>
              <w:t xml:space="preserve"> § 1, 2 i 3 k.c., zgodnie z którym: </w:t>
            </w:r>
          </w:p>
          <w:p w14:paraId="11D70156" w14:textId="14C0BA16" w:rsidR="00143C74" w:rsidRPr="00D103B4" w:rsidRDefault="00143C74" w:rsidP="00F46DB3">
            <w:pPr>
              <w:pStyle w:val="Akapitzlist"/>
              <w:numPr>
                <w:ilvl w:val="0"/>
                <w:numId w:val="24"/>
              </w:num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testament wojskowy może być sporządzony tylko na obszarze objętym działaniami zbrojnymi, co oznacza że testament w tej formie nie będzie mógł być sporządzony przez żołnierzy Sił Zbrojnych Rzeczypospolitej, osoby pełniące służbę w jednostkach zmilitaryzowanych oraz inne osoby zaangażowane w działania zbrojne, gdy trafią one do</w:t>
            </w:r>
            <w:r w:rsidRPr="00D103B4">
              <w:rPr>
                <w:rFonts w:cstheme="minorHAnsi"/>
                <w:b/>
                <w:bCs/>
                <w:color w:val="000000"/>
                <w:sz w:val="20"/>
                <w:szCs w:val="20"/>
              </w:rPr>
              <w:t xml:space="preserve"> niewoli poza obszarem objętym działaniami zbrojnymi</w:t>
            </w:r>
            <w:r w:rsidRPr="00D103B4">
              <w:rPr>
                <w:rFonts w:cstheme="minorHAnsi"/>
                <w:color w:val="000000"/>
                <w:sz w:val="20"/>
                <w:szCs w:val="20"/>
              </w:rPr>
              <w:t xml:space="preserve">. Wydaje się, że sporządzenie testamentu wojskowego powinno być możliwe przez wskazane w tym przepisie osoby w niewoli niezależnie od tego, gdzie będą one przebywać – czy na obszarze objętym działaniami zbrojnymi, czy też nie; </w:t>
            </w:r>
          </w:p>
          <w:p w14:paraId="3A843FB1" w14:textId="50051ED9" w:rsidR="00143C74" w:rsidRPr="00D103B4" w:rsidRDefault="00143C74" w:rsidP="00F46DB3">
            <w:pPr>
              <w:pStyle w:val="Akapitzlist"/>
              <w:numPr>
                <w:ilvl w:val="0"/>
                <w:numId w:val="24"/>
              </w:num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 xml:space="preserve">zróżnicowana jest minimalna liczba świadków potrzebnych do sporządzenia testamentu wojskowego zależnie od tego, czy spadkodawca może, czy też nie może podpisać pisma obejmującego jego rozrządzenia na wypadek śmierci oraz zależnie od tego, czy istnieje obawa rychłej śmierci z powodu odniesionych ran lub choroby; wprowadzanie różnic w tym zakresie jest komplikacją, która nie uwzględnia realiów obszaru objętego działaniami zbrojnymi. </w:t>
            </w:r>
            <w:r w:rsidRPr="00D103B4">
              <w:rPr>
                <w:rFonts w:cstheme="minorHAnsi"/>
                <w:b/>
                <w:bCs/>
                <w:color w:val="000000"/>
                <w:sz w:val="20"/>
                <w:szCs w:val="20"/>
              </w:rPr>
              <w:t>Liczba świadków testamentu wojskowego powinna być jednakowa</w:t>
            </w:r>
            <w:r w:rsidRPr="00D103B4">
              <w:rPr>
                <w:rFonts w:cstheme="minorHAnsi"/>
                <w:color w:val="000000"/>
                <w:sz w:val="20"/>
                <w:szCs w:val="20"/>
              </w:rPr>
              <w:t xml:space="preserve"> bez względu na to, czy spadkodawca zachowuje zdolność złożenia swojego podpisu czy też nie i bez względu na to, czy istnieje obawa </w:t>
            </w:r>
            <w:r w:rsidRPr="00D103B4">
              <w:rPr>
                <w:rFonts w:cstheme="minorHAnsi"/>
                <w:color w:val="000000"/>
                <w:sz w:val="20"/>
                <w:szCs w:val="20"/>
              </w:rPr>
              <w:lastRenderedPageBreak/>
              <w:t xml:space="preserve">rychłej śmierci oraz jakie jest jej źródło; gdy spadkodawca nie może podpisać pisma obejmującego jego oświadczenia, za wystarczające powinny być uznane podpisy dwóch świadków testamentu wojskowego; </w:t>
            </w:r>
          </w:p>
          <w:p w14:paraId="32C4C077" w14:textId="77777777" w:rsidR="004B0AFA" w:rsidRPr="00D103B4" w:rsidRDefault="00143C74" w:rsidP="00F46DB3">
            <w:pPr>
              <w:pStyle w:val="Akapitzlist"/>
              <w:numPr>
                <w:ilvl w:val="0"/>
                <w:numId w:val="24"/>
              </w:num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 xml:space="preserve">utrwalenie testamentu wojskowego za pomocą urządzenia rejestrującego obraz i dźwięk będzie prawnie doniosłe tylko wtedy, gdy spadkodawca nie będzie mógł podpisać razem z 2 świadkami pisma obejmującego jego oświadczenie. </w:t>
            </w:r>
            <w:r w:rsidRPr="00335A7D">
              <w:rPr>
                <w:rFonts w:cstheme="minorHAnsi"/>
                <w:color w:val="000000"/>
                <w:sz w:val="20"/>
                <w:szCs w:val="20"/>
              </w:rPr>
              <w:t xml:space="preserve">Tymczasem </w:t>
            </w:r>
            <w:r w:rsidRPr="00335A7D">
              <w:rPr>
                <w:rFonts w:cstheme="minorHAnsi"/>
                <w:b/>
                <w:bCs/>
                <w:color w:val="000000"/>
                <w:sz w:val="20"/>
                <w:szCs w:val="20"/>
              </w:rPr>
              <w:t>możliwość utrwalenia treści testamentu wojskowego za pomocą urządzenia rejestrującego obraz i dźwięk powinna być niezależna od zdolności spadkodawcy do podpisania pisma obejmującego jego oświadczenie</w:t>
            </w:r>
            <w:r w:rsidRPr="00D103B4">
              <w:rPr>
                <w:rFonts w:cstheme="minorHAnsi"/>
                <w:color w:val="000000"/>
                <w:sz w:val="20"/>
                <w:szCs w:val="20"/>
              </w:rPr>
              <w:t>. Z tego powodu fragment art. 954</w:t>
            </w:r>
            <w:r w:rsidRPr="00D103B4">
              <w:rPr>
                <w:rFonts w:cstheme="minorHAnsi"/>
                <w:color w:val="000000"/>
                <w:sz w:val="20"/>
                <w:szCs w:val="20"/>
                <w:vertAlign w:val="superscript"/>
              </w:rPr>
              <w:t>1</w:t>
            </w:r>
            <w:r w:rsidRPr="00D103B4">
              <w:rPr>
                <w:rFonts w:cstheme="minorHAnsi"/>
                <w:color w:val="000000"/>
                <w:sz w:val="20"/>
                <w:szCs w:val="20"/>
              </w:rPr>
              <w:t xml:space="preserve"> § 3 zd. 3 k.c. powinien być wyodrębniony do oddzielnego paragrafu i odnosić się do testamentu wojskowego bez względu na to, czy zostaną pozostawione – nieuwzględniające realiów obszaru objętego działaniami zbrojnymi – różne sposoby sporządzania testamentu wojskowego zależnie od zdolności testatora do podpisania oświadczenia obejmującego jego rozrządzenia na wypadek śmierci; należy też rozważyć, czy możliwość utrwalenia treści testamentu wojskowego za pomocą urządzenia rejestrującego obraz i dźwięk nie powinna istnieć również wtedy, gdy testament wojskowy jest sporządzany w razie obawy rychłej śmierci. Stworzenie takiej możliwości wymagałoby umieszczenia treści zawartej w </w:t>
            </w:r>
            <w:r w:rsidRPr="00D103B4">
              <w:rPr>
                <w:rFonts w:cstheme="minorHAnsi"/>
                <w:color w:val="000000"/>
                <w:sz w:val="20"/>
                <w:szCs w:val="20"/>
              </w:rPr>
              <w:lastRenderedPageBreak/>
              <w:t>proponowanym art. 954</w:t>
            </w:r>
            <w:r w:rsidRPr="00D103B4">
              <w:rPr>
                <w:rFonts w:cstheme="minorHAnsi"/>
                <w:color w:val="000000"/>
                <w:sz w:val="20"/>
                <w:szCs w:val="20"/>
                <w:vertAlign w:val="superscript"/>
              </w:rPr>
              <w:t>1</w:t>
            </w:r>
            <w:r w:rsidRPr="00D103B4">
              <w:rPr>
                <w:rFonts w:cstheme="minorHAnsi"/>
                <w:color w:val="000000"/>
                <w:sz w:val="20"/>
                <w:szCs w:val="20"/>
              </w:rPr>
              <w:t xml:space="preserve"> § 3 zd. 3 k.c. po § 4, jako § 5, a proponowany § 5 musiałby być zmieniony na § 6; </w:t>
            </w:r>
          </w:p>
          <w:p w14:paraId="5E778A2C" w14:textId="77777777" w:rsidR="004B0AFA" w:rsidRPr="00D103B4" w:rsidRDefault="00143C74" w:rsidP="00F46DB3">
            <w:pPr>
              <w:pStyle w:val="Akapitzlist"/>
              <w:numPr>
                <w:ilvl w:val="0"/>
                <w:numId w:val="24"/>
              </w:num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 xml:space="preserve">bieg 3 miesięcznego terminu na przekazanie notariuszowi lub sądowi spadku trwałego nośnika danych z nagraniem testamentu wojskowego utrwalonego za pomocą urządzenia rejestrującego obraz i dźwięk rozpoczyna się od otwarcia spadku. </w:t>
            </w:r>
            <w:r w:rsidRPr="00335A7D">
              <w:rPr>
                <w:rFonts w:cstheme="minorHAnsi"/>
                <w:b/>
                <w:bCs/>
                <w:color w:val="000000"/>
                <w:sz w:val="20"/>
                <w:szCs w:val="20"/>
              </w:rPr>
              <w:t>Regulacja, zgodnie z którą termin ten rozpoczyna upływać od dnia otwarcia spadku, a nie od dnia gdy osoba będąca w posiadaniu trwałego nośnika danych z nagraniem testamentu wojskowego miała możliwość złożenia go notariuszowi lub do sądu spadku nie uwzględnia prawdopodobnych w czasie działań zbrojnych sytuacji, w których moment śmierci spadkodawcy (otwarcia spadku) i moment powstania możliwości złożenia trwałego nośnika danych z nagraniem testamentu wojskowego notariuszowi lub do sądu spadku dzieli znaczny czas, dłuższy niż 3 miesiące.</w:t>
            </w:r>
            <w:r w:rsidRPr="00D103B4">
              <w:rPr>
                <w:rFonts w:cstheme="minorHAnsi"/>
                <w:color w:val="000000"/>
                <w:sz w:val="20"/>
                <w:szCs w:val="20"/>
              </w:rPr>
              <w:t xml:space="preserve"> Nie chodzi przy tym o długość tego terminu, lecz o to, że jego początek powinien wyznaczać dzień, gdy osoba będąca w posiadaniu trwałego nośnika danych z nagraniem testamentu wojskowego uzyskała możliwość złożenia go notariuszowi lub do sądku spadku. Ostatecznie może on wynosić 3 miesiące, chociaż w mojej ocenie powinien być dłuższy. Dodatkowo czas na złożenie trwałego nośnika danych obejmującego nagranie testamentu wojskowego może być ograniczony terminem wynoszącym 1 rok od dnia zakończenia działań zbrojnych, które uzasadniały sporządzenie testamentu wojskowego; </w:t>
            </w:r>
          </w:p>
          <w:p w14:paraId="656528C8" w14:textId="77777777" w:rsidR="00E81469" w:rsidRPr="00335A7D" w:rsidRDefault="00143C74" w:rsidP="00F46DB3">
            <w:pPr>
              <w:pStyle w:val="Akapitzlist"/>
              <w:numPr>
                <w:ilvl w:val="0"/>
                <w:numId w:val="24"/>
              </w:numPr>
              <w:autoSpaceDE w:val="0"/>
              <w:autoSpaceDN w:val="0"/>
              <w:adjustRightInd w:val="0"/>
              <w:spacing w:line="276" w:lineRule="auto"/>
              <w:jc w:val="both"/>
              <w:rPr>
                <w:rFonts w:cstheme="minorHAnsi"/>
                <w:b/>
                <w:bCs/>
                <w:color w:val="000000"/>
                <w:sz w:val="20"/>
                <w:szCs w:val="20"/>
              </w:rPr>
            </w:pPr>
            <w:r w:rsidRPr="00D103B4">
              <w:rPr>
                <w:rFonts w:cstheme="minorHAnsi"/>
                <w:color w:val="000000"/>
                <w:sz w:val="20"/>
                <w:szCs w:val="20"/>
              </w:rPr>
              <w:lastRenderedPageBreak/>
              <w:t>3 miesięczny termin liczony od otwarcia spadku na przekazanie notariuszowi lub sądowi spadku utrwalonego testamentu wojskowego (art. 954</w:t>
            </w:r>
            <w:r w:rsidRPr="00D103B4">
              <w:rPr>
                <w:rFonts w:cstheme="minorHAnsi"/>
                <w:color w:val="000000"/>
                <w:sz w:val="20"/>
                <w:szCs w:val="20"/>
                <w:vertAlign w:val="superscript"/>
              </w:rPr>
              <w:t>1</w:t>
            </w:r>
            <w:r w:rsidRPr="00D103B4">
              <w:rPr>
                <w:rFonts w:cstheme="minorHAnsi"/>
                <w:color w:val="000000"/>
                <w:sz w:val="20"/>
                <w:szCs w:val="20"/>
              </w:rPr>
              <w:t xml:space="preserve"> § 3 k.c.) będzie mieć zastosowanie tylko w przypadku, gdy do jego utrwalenia dojdzie za pomocą urządzenia rejestrującego obraz i dźwięk, a nie będzie mieć zastosowania do przekazania pisma obejmującego oświadczenie spadkodawcy, o którym mowa w art. 954</w:t>
            </w:r>
            <w:r w:rsidRPr="00D103B4">
              <w:rPr>
                <w:rFonts w:cstheme="minorHAnsi"/>
                <w:color w:val="000000"/>
                <w:sz w:val="20"/>
                <w:szCs w:val="20"/>
                <w:vertAlign w:val="superscript"/>
              </w:rPr>
              <w:t>1</w:t>
            </w:r>
            <w:r w:rsidRPr="00D103B4">
              <w:rPr>
                <w:rFonts w:cstheme="minorHAnsi"/>
                <w:color w:val="000000"/>
                <w:sz w:val="20"/>
                <w:szCs w:val="20"/>
              </w:rPr>
              <w:t xml:space="preserve"> § 2 k.c. Wydaje się, że </w:t>
            </w:r>
            <w:r w:rsidRPr="00335A7D">
              <w:rPr>
                <w:rFonts w:cstheme="minorHAnsi"/>
                <w:b/>
                <w:bCs/>
                <w:color w:val="000000"/>
                <w:sz w:val="20"/>
                <w:szCs w:val="20"/>
              </w:rPr>
              <w:t>termin określony w art. 954</w:t>
            </w:r>
            <w:r w:rsidRPr="00335A7D">
              <w:rPr>
                <w:rFonts w:cstheme="minorHAnsi"/>
                <w:b/>
                <w:bCs/>
                <w:color w:val="000000"/>
                <w:sz w:val="20"/>
                <w:szCs w:val="20"/>
                <w:vertAlign w:val="superscript"/>
              </w:rPr>
              <w:t>1</w:t>
            </w:r>
            <w:r w:rsidRPr="00335A7D">
              <w:rPr>
                <w:rFonts w:cstheme="minorHAnsi"/>
                <w:b/>
                <w:bCs/>
                <w:color w:val="000000"/>
                <w:sz w:val="20"/>
                <w:szCs w:val="20"/>
              </w:rPr>
              <w:t xml:space="preserve"> § 3 zd. 3 k.c. powinien mieć zastosowanie zarówno wtedy, gdy oświadczenie spadkodawcy zostanie utrwalone za pomocą urządzenia rejestrującego obraz i dźwięk, jak i wtedy, gdy zostanie ono spisane przez jednego ze świadków.</w:t>
            </w:r>
          </w:p>
          <w:p w14:paraId="1E439A66" w14:textId="77777777" w:rsidR="006E0843" w:rsidRPr="00D103B4" w:rsidRDefault="006E0843" w:rsidP="00F46DB3">
            <w:pPr>
              <w:pStyle w:val="Akapitzlist"/>
              <w:autoSpaceDE w:val="0"/>
              <w:autoSpaceDN w:val="0"/>
              <w:adjustRightInd w:val="0"/>
              <w:spacing w:line="276" w:lineRule="auto"/>
              <w:jc w:val="both"/>
              <w:rPr>
                <w:rFonts w:cstheme="minorHAnsi"/>
                <w:color w:val="000000"/>
                <w:sz w:val="20"/>
                <w:szCs w:val="20"/>
              </w:rPr>
            </w:pPr>
          </w:p>
          <w:p w14:paraId="326D500C" w14:textId="596F8D30" w:rsidR="006E0843" w:rsidRPr="00D103B4" w:rsidRDefault="006E0843" w:rsidP="00F46DB3">
            <w:pPr>
              <w:spacing w:line="276" w:lineRule="auto"/>
              <w:jc w:val="both"/>
              <w:rPr>
                <w:rFonts w:eastAsia="Times New Roman" w:cstheme="minorHAnsi"/>
                <w:bCs/>
                <w:i/>
                <w:iCs/>
                <w:sz w:val="20"/>
                <w:szCs w:val="20"/>
                <w:lang w:eastAsia="pl-PL"/>
              </w:rPr>
            </w:pPr>
            <w:r w:rsidRPr="00D103B4">
              <w:rPr>
                <w:rFonts w:eastAsia="Times New Roman" w:cstheme="minorHAnsi"/>
                <w:bCs/>
                <w:i/>
                <w:iCs/>
                <w:sz w:val="20"/>
                <w:szCs w:val="20"/>
                <w:lang w:eastAsia="pl-PL"/>
              </w:rPr>
              <w:t xml:space="preserve">Uzasadnienie </w:t>
            </w:r>
          </w:p>
          <w:p w14:paraId="0F5DDB1D" w14:textId="77777777" w:rsidR="006E0843" w:rsidRPr="00D103B4" w:rsidRDefault="00E53586" w:rsidP="00F46DB3">
            <w:pPr>
              <w:spacing w:line="276" w:lineRule="auto"/>
              <w:jc w:val="both"/>
              <w:rPr>
                <w:rFonts w:cstheme="minorHAnsi"/>
                <w:color w:val="000000"/>
                <w:sz w:val="20"/>
                <w:szCs w:val="20"/>
              </w:rPr>
            </w:pPr>
            <w:r w:rsidRPr="00D103B4">
              <w:rPr>
                <w:rFonts w:cstheme="minorHAnsi"/>
                <w:color w:val="000000"/>
                <w:sz w:val="20"/>
                <w:szCs w:val="20"/>
              </w:rPr>
              <w:t>Po pierwsze, wątpliwości budzi proponowany w art. 1 pkt 5 Projektu art. 954</w:t>
            </w:r>
            <w:r w:rsidRPr="00D103B4">
              <w:rPr>
                <w:rFonts w:cstheme="minorHAnsi"/>
                <w:color w:val="000000"/>
                <w:sz w:val="20"/>
                <w:szCs w:val="20"/>
                <w:vertAlign w:val="superscript"/>
              </w:rPr>
              <w:t>1</w:t>
            </w:r>
            <w:r w:rsidRPr="00D103B4">
              <w:rPr>
                <w:rFonts w:cstheme="minorHAnsi"/>
                <w:color w:val="000000"/>
                <w:sz w:val="20"/>
                <w:szCs w:val="20"/>
              </w:rPr>
              <w:t xml:space="preserve"> § 1, k.c., zgodnie z którym testament wojskowy może być sporządzony tylko na obszarze objętym działaniami zbrojnymi, co oznacza że testament w tej formie nie będzie mógł być sporządzony przez żołnierzy Sił Zbrojnych Rzeczypospolitej, osoby pełniące służbę w jednostkach zmilitaryzowanych oraz inne osoby zaangażowane w działania zbrojne, gdy trafią one do niewoli i będą znajdować się poza obszarem objętym działaniami zbrojnymi. Wydaje się, że </w:t>
            </w:r>
            <w:r w:rsidRPr="00335A7D">
              <w:rPr>
                <w:rFonts w:cstheme="minorHAnsi"/>
                <w:color w:val="000000"/>
                <w:sz w:val="20"/>
                <w:szCs w:val="20"/>
              </w:rPr>
              <w:t>sporządzenie testamentu wojskowego powinno być możliwe przez wskazane w tym przepisie osoby w niewoli niezależnie od tego, gdzie</w:t>
            </w:r>
            <w:r w:rsidRPr="00D103B4">
              <w:rPr>
                <w:rFonts w:cstheme="minorHAnsi"/>
                <w:color w:val="000000"/>
                <w:sz w:val="20"/>
                <w:szCs w:val="20"/>
              </w:rPr>
              <w:t xml:space="preserve"> będą one przebywać – czy na obszarze objętym działaniami zbrojnymi, czy też nie.</w:t>
            </w:r>
          </w:p>
          <w:p w14:paraId="3B60517E" w14:textId="77777777" w:rsidR="00E53586" w:rsidRPr="00D103B4" w:rsidRDefault="00E53586" w:rsidP="00F46DB3">
            <w:pPr>
              <w:spacing w:line="276" w:lineRule="auto"/>
              <w:jc w:val="both"/>
              <w:rPr>
                <w:rFonts w:cstheme="minorHAnsi"/>
                <w:color w:val="000000"/>
                <w:sz w:val="20"/>
                <w:szCs w:val="20"/>
              </w:rPr>
            </w:pPr>
          </w:p>
          <w:p w14:paraId="6C4D2338" w14:textId="3D7C9F2E" w:rsidR="00E53586" w:rsidRPr="00D103B4" w:rsidRDefault="00E53586" w:rsidP="00F46DB3">
            <w:pPr>
              <w:spacing w:line="276" w:lineRule="auto"/>
              <w:jc w:val="both"/>
              <w:rPr>
                <w:rFonts w:cstheme="minorHAnsi"/>
                <w:color w:val="000000"/>
                <w:sz w:val="20"/>
                <w:szCs w:val="20"/>
              </w:rPr>
            </w:pPr>
            <w:r w:rsidRPr="00D103B4">
              <w:rPr>
                <w:rFonts w:cstheme="minorHAnsi"/>
                <w:color w:val="000000"/>
                <w:sz w:val="20"/>
                <w:szCs w:val="20"/>
              </w:rPr>
              <w:lastRenderedPageBreak/>
              <w:t>Po drugie, wątpliwości budzi zróżnicowana minimalna liczba świadków potrzebnych do sporządzenia testamentu wojskowego zależnie od tego, czy spadkodawca może, czy też nie może podpisać pisma obejmującego jego rozrządzenia na wypadek śmierci oraz zależnie od tego, czy istnieje obawa rychłej śmierci wynikająca z odniesionych ran lub choroby. Wprowadzanie różnic w tym zakresie jest komplikacją, która nie uwzględnia realiów obszaru objętego działaniami zbrojnymi. Sytuacja w czasie działań zbrojnych jest na tyle dynamiczna, że nie trudno wyobrazić sobie sytuację, w której w chwili sporządzania testamentu wobec dwóch świadków spadkodawca był zdolny podpisać pismo obejmujące jego rozrządzenia, a chwilę po sporządzeniu testamentu wskutek postrzału w rękę, niezagrażającego jego życiu, już nie może tego zrobić. W takiej sytuacji w świetle proponowanej regulacji nie będą spełnione przesłanki ważności testamentu wojskowego określone w art. 9541 § 2 k.c. – z powodu braku możliwości podpisania przez spadkodawcę pisma, w art. 954</w:t>
            </w:r>
            <w:r w:rsidRPr="00D103B4">
              <w:rPr>
                <w:rFonts w:cstheme="minorHAnsi"/>
                <w:color w:val="000000"/>
                <w:sz w:val="20"/>
                <w:szCs w:val="20"/>
                <w:vertAlign w:val="superscript"/>
              </w:rPr>
              <w:t>1</w:t>
            </w:r>
            <w:r w:rsidRPr="00D103B4">
              <w:rPr>
                <w:rFonts w:cstheme="minorHAnsi"/>
                <w:color w:val="000000"/>
                <w:sz w:val="20"/>
                <w:szCs w:val="20"/>
              </w:rPr>
              <w:t xml:space="preserve"> § 3 k.c. – z powodu braku trzeciego świadka, a w art. 954</w:t>
            </w:r>
            <w:r w:rsidRPr="00D103B4">
              <w:rPr>
                <w:rFonts w:cstheme="minorHAnsi"/>
                <w:color w:val="000000"/>
                <w:sz w:val="20"/>
                <w:szCs w:val="20"/>
                <w:vertAlign w:val="superscript"/>
              </w:rPr>
              <w:t>1</w:t>
            </w:r>
            <w:r w:rsidRPr="00D103B4">
              <w:rPr>
                <w:rFonts w:cstheme="minorHAnsi"/>
                <w:color w:val="000000"/>
                <w:sz w:val="20"/>
                <w:szCs w:val="20"/>
              </w:rPr>
              <w:t xml:space="preserve"> § 4 k.c. – z powodu braku obawy rychłej śmierci. Dodatkowo testament taki nie będzie ważnym testamentem ustnym z powodu braku trzeciego świadka wymaganego w świetle proponowanego w art. 1 pkt 2 Projektu art. 952 k.c</w:t>
            </w:r>
            <w:r w:rsidRPr="00D103B4">
              <w:rPr>
                <w:rFonts w:cstheme="minorHAnsi"/>
                <w:b/>
                <w:bCs/>
                <w:color w:val="000000"/>
                <w:sz w:val="20"/>
                <w:szCs w:val="20"/>
              </w:rPr>
              <w:t xml:space="preserve">. </w:t>
            </w:r>
            <w:r w:rsidRPr="00335A7D">
              <w:rPr>
                <w:rFonts w:cstheme="minorHAnsi"/>
                <w:color w:val="000000"/>
                <w:sz w:val="20"/>
                <w:szCs w:val="20"/>
              </w:rPr>
              <w:t>Liczba świadków testamentu wojskowego powinna być jednakowa</w:t>
            </w:r>
            <w:r w:rsidRPr="00D103B4">
              <w:rPr>
                <w:rFonts w:cstheme="minorHAnsi"/>
                <w:color w:val="000000"/>
                <w:sz w:val="20"/>
                <w:szCs w:val="20"/>
              </w:rPr>
              <w:t xml:space="preserve"> bez względu na to, czy spadkodawca zachowuje zdolność złożenia swojego podpisu czy też nie oraz bez względu na to czy zachodzi obawa rychłej śmierci i jakie jest jej źródło. W konsekwencji, gdy spadkodawca nie może podpisać pisma obejmującego jego rozrządzenia majątkiem na wypadek śmierci, za </w:t>
            </w:r>
            <w:r w:rsidRPr="00D103B4">
              <w:rPr>
                <w:rFonts w:cstheme="minorHAnsi"/>
                <w:color w:val="000000"/>
                <w:sz w:val="20"/>
                <w:szCs w:val="20"/>
              </w:rPr>
              <w:lastRenderedPageBreak/>
              <w:t>wystarczające powinny być uznane podpisy dwóch świadków testamentu wojskowego.</w:t>
            </w:r>
          </w:p>
          <w:p w14:paraId="1CDF9CAB" w14:textId="77777777" w:rsidR="00E53586" w:rsidRPr="00D103B4" w:rsidRDefault="00E53586" w:rsidP="00F46DB3">
            <w:pPr>
              <w:spacing w:line="276" w:lineRule="auto"/>
              <w:jc w:val="both"/>
              <w:rPr>
                <w:rFonts w:cstheme="minorHAnsi"/>
                <w:color w:val="000000"/>
                <w:sz w:val="20"/>
                <w:szCs w:val="20"/>
              </w:rPr>
            </w:pPr>
            <w:r w:rsidRPr="00D103B4">
              <w:rPr>
                <w:rFonts w:cstheme="minorHAnsi"/>
                <w:color w:val="000000"/>
                <w:sz w:val="20"/>
                <w:szCs w:val="20"/>
              </w:rPr>
              <w:t>Po trzecie, wątpliwości budzi to, że w świetle proponowanego art. 954</w:t>
            </w:r>
            <w:r w:rsidRPr="00D103B4">
              <w:rPr>
                <w:rFonts w:cstheme="minorHAnsi"/>
                <w:color w:val="000000"/>
                <w:sz w:val="20"/>
                <w:szCs w:val="20"/>
                <w:vertAlign w:val="superscript"/>
              </w:rPr>
              <w:t>1</w:t>
            </w:r>
            <w:r w:rsidRPr="00D103B4">
              <w:rPr>
                <w:rFonts w:cstheme="minorHAnsi"/>
                <w:color w:val="000000"/>
                <w:sz w:val="20"/>
                <w:szCs w:val="20"/>
              </w:rPr>
              <w:t xml:space="preserve"> § 3 k.c. utrwalenie testamentu wojskowego za pomocą urządzenia rejestrującego obraz i dźwięk będzie prawnie doniosłe tylko wtedy, gdy spadkodawca nie będzie mógł podpisać razem z 2 świadkami pisma obejmującego jego rozrządzenia majątkiem na wypadek śmierci. </w:t>
            </w:r>
            <w:r w:rsidRPr="00335A7D">
              <w:rPr>
                <w:rFonts w:cstheme="minorHAnsi"/>
                <w:color w:val="000000"/>
                <w:sz w:val="20"/>
                <w:szCs w:val="20"/>
              </w:rPr>
              <w:t>Tymczasem możliwość</w:t>
            </w:r>
            <w:r w:rsidRPr="00D103B4">
              <w:rPr>
                <w:rFonts w:cstheme="minorHAnsi"/>
                <w:b/>
                <w:bCs/>
                <w:color w:val="000000"/>
                <w:sz w:val="20"/>
                <w:szCs w:val="20"/>
              </w:rPr>
              <w:t xml:space="preserve"> </w:t>
            </w:r>
            <w:r w:rsidRPr="00D103B4">
              <w:rPr>
                <w:rFonts w:cstheme="minorHAnsi"/>
                <w:color w:val="000000"/>
                <w:sz w:val="20"/>
                <w:szCs w:val="20"/>
              </w:rPr>
              <w:t>utrwalenia treści testamentu wojskowego za pomocą urządzenia rejestrującego obraz i dźwięk powinna być niezależna od zdolności spadkodawcy do podpisania pisma obejmującego jego oświadczenie. Z tego powodu fragment art. 954</w:t>
            </w:r>
            <w:r w:rsidRPr="00D103B4">
              <w:rPr>
                <w:rFonts w:cstheme="minorHAnsi"/>
                <w:color w:val="000000"/>
                <w:sz w:val="20"/>
                <w:szCs w:val="20"/>
                <w:vertAlign w:val="superscript"/>
              </w:rPr>
              <w:t>1</w:t>
            </w:r>
            <w:r w:rsidRPr="00D103B4">
              <w:rPr>
                <w:rFonts w:cstheme="minorHAnsi"/>
                <w:color w:val="000000"/>
                <w:sz w:val="20"/>
                <w:szCs w:val="20"/>
              </w:rPr>
              <w:t xml:space="preserve"> § 3 zd. 3 k.c. powinien być wyodrębniony do oddzielnego paragrafu i odnosić się do testamentu wojskowego bez względu na to, czy zostaną pozostawione – nieuwzględniające realiów obszaru objętego działaniami zbrojnymi – różne sposoby sporządzania testamentu wojskowego zależnie od zdolności testatora do podpisania oświadczenia obejmującego jego rozrządzenia na wypadek śmierci.</w:t>
            </w:r>
          </w:p>
          <w:p w14:paraId="523B72EB" w14:textId="77777777" w:rsidR="00E53586" w:rsidRPr="00D103B4" w:rsidRDefault="00E53586" w:rsidP="00F46DB3">
            <w:pPr>
              <w:spacing w:line="276" w:lineRule="auto"/>
              <w:jc w:val="both"/>
              <w:rPr>
                <w:rFonts w:cstheme="minorHAnsi"/>
                <w:color w:val="000000"/>
                <w:sz w:val="20"/>
                <w:szCs w:val="20"/>
              </w:rPr>
            </w:pPr>
          </w:p>
          <w:p w14:paraId="7B4DC4A6" w14:textId="77777777" w:rsidR="00E53586" w:rsidRPr="00D103B4" w:rsidRDefault="00E53586" w:rsidP="00F46DB3">
            <w:pPr>
              <w:spacing w:line="276" w:lineRule="auto"/>
              <w:jc w:val="both"/>
              <w:rPr>
                <w:rFonts w:cstheme="minorHAnsi"/>
                <w:color w:val="000000"/>
                <w:sz w:val="20"/>
                <w:szCs w:val="20"/>
              </w:rPr>
            </w:pPr>
            <w:r w:rsidRPr="00D103B4">
              <w:rPr>
                <w:rFonts w:cstheme="minorHAnsi"/>
                <w:color w:val="000000"/>
                <w:sz w:val="20"/>
                <w:szCs w:val="20"/>
              </w:rPr>
              <w:t xml:space="preserve">Należy też rozważyć, czy </w:t>
            </w:r>
            <w:r w:rsidRPr="00D103B4">
              <w:rPr>
                <w:rFonts w:cstheme="minorHAnsi"/>
                <w:b/>
                <w:bCs/>
                <w:color w:val="000000"/>
                <w:sz w:val="20"/>
                <w:szCs w:val="20"/>
              </w:rPr>
              <w:t>możliwość</w:t>
            </w:r>
            <w:r w:rsidRPr="00D103B4">
              <w:rPr>
                <w:rFonts w:cstheme="minorHAnsi"/>
                <w:color w:val="000000"/>
                <w:sz w:val="20"/>
                <w:szCs w:val="20"/>
              </w:rPr>
              <w:t xml:space="preserve"> utrwalenia treści testamentu wojskowego za pomocą urządzenia rejestrującego obraz i dźwięk nie powinna istnieć również wtedy, gdy testament wojskowy jest sporządzany w razie obawy rychłej śmierci. Stworzenie takiej możliwości wymagałoby umieszczenia treści zawartej w proponowanym art. 954</w:t>
            </w:r>
            <w:r w:rsidRPr="00D103B4">
              <w:rPr>
                <w:rFonts w:cstheme="minorHAnsi"/>
                <w:color w:val="000000"/>
                <w:sz w:val="20"/>
                <w:szCs w:val="20"/>
                <w:vertAlign w:val="superscript"/>
              </w:rPr>
              <w:t xml:space="preserve">1 </w:t>
            </w:r>
            <w:r w:rsidRPr="00D103B4">
              <w:rPr>
                <w:rFonts w:cstheme="minorHAnsi"/>
                <w:color w:val="000000"/>
                <w:sz w:val="20"/>
                <w:szCs w:val="20"/>
              </w:rPr>
              <w:t>§ 3 zd. 3 k.c. po § 4, jako § 5, a proponowany § 5 musiałby być zmieniony na § 6.</w:t>
            </w:r>
          </w:p>
          <w:p w14:paraId="0C7575F2" w14:textId="77777777" w:rsidR="00E15E08" w:rsidRPr="00D103B4" w:rsidRDefault="00E15E08" w:rsidP="00F46DB3">
            <w:pPr>
              <w:spacing w:line="276" w:lineRule="auto"/>
              <w:jc w:val="both"/>
              <w:rPr>
                <w:rFonts w:cstheme="minorHAnsi"/>
                <w:color w:val="000000"/>
                <w:sz w:val="20"/>
                <w:szCs w:val="20"/>
              </w:rPr>
            </w:pPr>
          </w:p>
          <w:p w14:paraId="276A521B" w14:textId="77777777" w:rsidR="00E15E08" w:rsidRPr="00D103B4" w:rsidRDefault="00E15E08" w:rsidP="00F46DB3">
            <w:pPr>
              <w:spacing w:line="276" w:lineRule="auto"/>
              <w:jc w:val="both"/>
              <w:rPr>
                <w:rFonts w:cstheme="minorHAnsi"/>
                <w:color w:val="000000"/>
                <w:sz w:val="20"/>
                <w:szCs w:val="20"/>
              </w:rPr>
            </w:pPr>
            <w:r w:rsidRPr="00D103B4">
              <w:rPr>
                <w:rFonts w:cstheme="minorHAnsi"/>
                <w:color w:val="000000"/>
                <w:sz w:val="20"/>
                <w:szCs w:val="20"/>
              </w:rPr>
              <w:lastRenderedPageBreak/>
              <w:t>Po czwarte, z uwagi na warunki panujące na obszarze objętym działaniami zbrojnymi, a zwłaszcza ich dynamikę i nieprzewidywalność, wątpliwości budzi to, że przewidziany w art. 954</w:t>
            </w:r>
            <w:r w:rsidRPr="00D103B4">
              <w:rPr>
                <w:rFonts w:cstheme="minorHAnsi"/>
                <w:color w:val="000000"/>
                <w:sz w:val="20"/>
                <w:szCs w:val="20"/>
                <w:vertAlign w:val="superscript"/>
              </w:rPr>
              <w:t>1</w:t>
            </w:r>
            <w:r w:rsidRPr="00D103B4">
              <w:rPr>
                <w:rFonts w:cstheme="minorHAnsi"/>
                <w:color w:val="000000"/>
                <w:sz w:val="20"/>
                <w:szCs w:val="20"/>
              </w:rPr>
              <w:t xml:space="preserve"> § 3 zd. 3 k.c. bieg 3 miesięcznego terminu na przekazanie notariuszowi lub sądowi spadku trwałego nośnika danych z nagraniem testamentu wojskowego utrwalonego za pomocą urządzenia rejestrującego obraz i dźwięk rozpoczyna się od otwarcia spadku. Regulacja, zgodnie z którą termin ten rozpoczyna upływać od dnia otwarcia spadku, a nie od dnia gdy osoba będąca w posiadaniu trwałego nośnika danych z nagraniem testamentu wojskowego uzyskała możliwość złożenia go notariuszowi lub do sądu spadku nie uwzględnia prawdopodobnych w czasie działań zbrojnych sytuacji, w których moment śmierci spadkodawcy (otwarcia spadku) i moment uzyskania możliwości złożenia trwałego nośnika danych z nagraniem testamentu wojskowego notariuszowi lub do sądu spadku dzieli znaczny czas, dłuższy niż 3 miesiące. Oznacza to, że przewidziany w proponowanym art. 954</w:t>
            </w:r>
            <w:r w:rsidRPr="00D103B4">
              <w:rPr>
                <w:rFonts w:cstheme="minorHAnsi"/>
                <w:color w:val="000000"/>
                <w:sz w:val="20"/>
                <w:szCs w:val="20"/>
                <w:vertAlign w:val="superscript"/>
              </w:rPr>
              <w:t>1</w:t>
            </w:r>
            <w:r w:rsidRPr="00D103B4">
              <w:rPr>
                <w:rFonts w:cstheme="minorHAnsi"/>
                <w:color w:val="000000"/>
                <w:sz w:val="20"/>
                <w:szCs w:val="20"/>
              </w:rPr>
              <w:t xml:space="preserve"> § 3 zd. 3 k.c. termin na złożenie notariuszowi lub do sądu spadku trwałego nośnika danych obejmującego nagranie testamentu wojskowego może upłynąć bezskutecznie zanim jego posiadacz będzie mieć taką możliwość.</w:t>
            </w:r>
          </w:p>
          <w:p w14:paraId="0CCD78B6" w14:textId="77777777" w:rsidR="00E15E08" w:rsidRPr="00D103B4" w:rsidRDefault="00E15E08" w:rsidP="00F46DB3">
            <w:pPr>
              <w:spacing w:line="276" w:lineRule="auto"/>
              <w:jc w:val="both"/>
              <w:rPr>
                <w:rFonts w:cstheme="minorHAnsi"/>
                <w:color w:val="000000"/>
                <w:sz w:val="20"/>
                <w:szCs w:val="20"/>
              </w:rPr>
            </w:pPr>
          </w:p>
          <w:p w14:paraId="6B2FCC6F" w14:textId="77777777" w:rsidR="00E15E08" w:rsidRPr="00D103B4" w:rsidRDefault="00E15E08" w:rsidP="00F46DB3">
            <w:pPr>
              <w:spacing w:line="276" w:lineRule="auto"/>
              <w:jc w:val="both"/>
              <w:rPr>
                <w:rFonts w:cstheme="minorHAnsi"/>
                <w:color w:val="000000"/>
                <w:sz w:val="20"/>
                <w:szCs w:val="20"/>
              </w:rPr>
            </w:pPr>
            <w:r w:rsidRPr="00D103B4">
              <w:rPr>
                <w:rFonts w:cstheme="minorHAnsi"/>
                <w:color w:val="000000"/>
                <w:sz w:val="20"/>
                <w:szCs w:val="20"/>
              </w:rPr>
              <w:t xml:space="preserve">Termin na złożenie notariuszowi lub do sądu spadku trwałego nośnika danych obejmującego nagranie testamentu wojskowego może wynosić 3 miesiące, lecz jego początek powinien wyznaczać dzień, gdy osoba będąca w posiadaniu trwałego nośnika danych uzyskuje możliwość złożenia go notariuszowi lub do sądku spadku. Nie chodzi przy tym o długość tego terminu, lecz o to, że jego </w:t>
            </w:r>
            <w:r w:rsidRPr="00D103B4">
              <w:rPr>
                <w:rFonts w:cstheme="minorHAnsi"/>
                <w:color w:val="000000"/>
                <w:sz w:val="20"/>
                <w:szCs w:val="20"/>
              </w:rPr>
              <w:lastRenderedPageBreak/>
              <w:t>początek powinien wyznaczać dzień, gdy osoba będąca w posiadaniu trwałego nośnika danych z nagraniem testamentu wojskowego uzyskała możliwość złożenia go notariuszowi lub do sądku spadku. Ostatecznie może on wynosić 3 miesiące, chociaż w mojej ocenie powinien być dłuższy. Obecna długość tego terminu nie uwzględnia różnych uwarunkowań obszaru objętego działaniami zbrojnymi. Dodatkowo czas na złożenie trwałego nośnika danych obejmującego nagranie testamentu wojskowego może być ograniczony terminem wynoszącym 1 rok od dnia zakończenia działań zbrojnych, które uzasadniały sporządzenie testamentu wojskowego.</w:t>
            </w:r>
          </w:p>
          <w:p w14:paraId="7C400A66" w14:textId="77777777" w:rsidR="00E15E08" w:rsidRPr="00D103B4" w:rsidRDefault="00E15E08" w:rsidP="00F46DB3">
            <w:pPr>
              <w:spacing w:line="276" w:lineRule="auto"/>
              <w:jc w:val="both"/>
              <w:rPr>
                <w:rFonts w:cstheme="minorHAnsi"/>
                <w:color w:val="000000"/>
                <w:sz w:val="20"/>
                <w:szCs w:val="20"/>
              </w:rPr>
            </w:pPr>
          </w:p>
          <w:p w14:paraId="44E743A6" w14:textId="161F1D8E" w:rsidR="00E15E08" w:rsidRPr="00D103B4" w:rsidRDefault="00E15E08" w:rsidP="00F46DB3">
            <w:pPr>
              <w:spacing w:line="276" w:lineRule="auto"/>
              <w:jc w:val="both"/>
              <w:rPr>
                <w:rFonts w:cstheme="minorHAnsi"/>
                <w:color w:val="000000"/>
                <w:sz w:val="20"/>
                <w:szCs w:val="20"/>
              </w:rPr>
            </w:pPr>
            <w:r w:rsidRPr="00D103B4">
              <w:rPr>
                <w:rFonts w:cstheme="minorHAnsi"/>
                <w:color w:val="000000"/>
                <w:sz w:val="20"/>
                <w:szCs w:val="20"/>
              </w:rPr>
              <w:t>Po piąte, wątpliwości budzi to, że w świetle art. 954</w:t>
            </w:r>
            <w:r w:rsidRPr="00D103B4">
              <w:rPr>
                <w:rFonts w:cstheme="minorHAnsi"/>
                <w:color w:val="000000"/>
                <w:sz w:val="20"/>
                <w:szCs w:val="20"/>
                <w:vertAlign w:val="superscript"/>
              </w:rPr>
              <w:t>1</w:t>
            </w:r>
            <w:r w:rsidRPr="00D103B4">
              <w:rPr>
                <w:rFonts w:cstheme="minorHAnsi"/>
                <w:color w:val="000000"/>
                <w:sz w:val="20"/>
                <w:szCs w:val="20"/>
              </w:rPr>
              <w:t xml:space="preserve"> k.c. trzymiesięczny termin liczony od otwarcia spadku na przekazanie notariuszowi lub sądowi spadku utrwalonego testamentu wojskowego (art. 954</w:t>
            </w:r>
            <w:r w:rsidRPr="00D103B4">
              <w:rPr>
                <w:rFonts w:cstheme="minorHAnsi"/>
                <w:color w:val="000000"/>
                <w:sz w:val="20"/>
                <w:szCs w:val="20"/>
                <w:vertAlign w:val="superscript"/>
              </w:rPr>
              <w:t>1</w:t>
            </w:r>
            <w:r w:rsidRPr="00D103B4">
              <w:rPr>
                <w:rFonts w:cstheme="minorHAnsi"/>
                <w:color w:val="000000"/>
                <w:sz w:val="20"/>
                <w:szCs w:val="20"/>
              </w:rPr>
              <w:t xml:space="preserve"> § 3 k.c.) będzie mieć zastosowanie tylko w przypadku, gdy do jego utrwalenia dojdzie za pomocą urządzenia rejestrującego obraz i dźwięk, a nie będzie mieć zastosowania do przekazania pisma obejmującego oświadczenie spadkodawcy, o którym mowa w art. 954</w:t>
            </w:r>
            <w:r w:rsidRPr="00D103B4">
              <w:rPr>
                <w:rFonts w:cstheme="minorHAnsi"/>
                <w:color w:val="000000"/>
                <w:sz w:val="20"/>
                <w:szCs w:val="20"/>
                <w:vertAlign w:val="superscript"/>
              </w:rPr>
              <w:t>1</w:t>
            </w:r>
            <w:r w:rsidRPr="00D103B4">
              <w:rPr>
                <w:rFonts w:cstheme="minorHAnsi"/>
                <w:color w:val="000000"/>
                <w:sz w:val="20"/>
                <w:szCs w:val="20"/>
              </w:rPr>
              <w:t xml:space="preserve"> § 2 k.c. Wydaje się, że termin określony w art. 9541 § 3 zd. 3 k.c. powinien mieć zastosowanie zarówno wtedy, gdy oświadczenie spadkodawcy zostanie utrwalone za pomocą urządzenia rejestrującego obraz i dźwięk, jak i wtedy, gdy zostanie ono spisane przez jednego ze świadków. Przyczyny tych zastrzeżeń są analogiczne do tych, które uzasadniają powyżej sformułowane zastrzeżenia odnośnie do art. 952 § 3 </w:t>
            </w:r>
            <w:r w:rsidRPr="00D103B4">
              <w:rPr>
                <w:rFonts w:cstheme="minorHAnsi"/>
                <w:i/>
                <w:iCs/>
                <w:color w:val="000000"/>
                <w:sz w:val="20"/>
                <w:szCs w:val="20"/>
              </w:rPr>
              <w:t>in fine</w:t>
            </w:r>
            <w:r w:rsidRPr="00D103B4">
              <w:rPr>
                <w:rFonts w:cstheme="minorHAnsi"/>
                <w:color w:val="000000"/>
                <w:sz w:val="20"/>
                <w:szCs w:val="20"/>
              </w:rPr>
              <w:t xml:space="preserve"> k.c.</w:t>
            </w:r>
          </w:p>
        </w:tc>
        <w:tc>
          <w:tcPr>
            <w:tcW w:w="4076" w:type="dxa"/>
          </w:tcPr>
          <w:p w14:paraId="0E4E978F" w14:textId="27FF3992" w:rsidR="00E81469" w:rsidRDefault="00932DE0" w:rsidP="00932DE0">
            <w:pPr>
              <w:spacing w:line="276" w:lineRule="auto"/>
              <w:jc w:val="both"/>
              <w:rPr>
                <w:rFonts w:cstheme="minorHAnsi"/>
                <w:b/>
                <w:bCs/>
                <w:sz w:val="20"/>
                <w:szCs w:val="20"/>
              </w:rPr>
            </w:pPr>
            <w:r>
              <w:rPr>
                <w:rFonts w:cstheme="minorHAnsi"/>
                <w:sz w:val="20"/>
                <w:szCs w:val="20"/>
              </w:rPr>
              <w:lastRenderedPageBreak/>
              <w:t xml:space="preserve">a. </w:t>
            </w:r>
            <w:r w:rsidRPr="00932DE0">
              <w:rPr>
                <w:rFonts w:cstheme="minorHAnsi"/>
                <w:b/>
                <w:bCs/>
                <w:sz w:val="20"/>
                <w:szCs w:val="20"/>
              </w:rPr>
              <w:t>Uwaga uwzględniona</w:t>
            </w:r>
            <w:r w:rsidR="00B62BF7">
              <w:rPr>
                <w:rFonts w:cstheme="minorHAnsi"/>
                <w:b/>
                <w:bCs/>
                <w:sz w:val="20"/>
                <w:szCs w:val="20"/>
              </w:rPr>
              <w:t xml:space="preserve"> </w:t>
            </w:r>
          </w:p>
          <w:p w14:paraId="593ADB61" w14:textId="77777777" w:rsidR="00BF5692" w:rsidRDefault="00BF5692" w:rsidP="00932DE0">
            <w:pPr>
              <w:spacing w:line="276" w:lineRule="auto"/>
              <w:jc w:val="both"/>
              <w:rPr>
                <w:rFonts w:cstheme="minorHAnsi"/>
                <w:b/>
                <w:bCs/>
                <w:sz w:val="20"/>
                <w:szCs w:val="20"/>
              </w:rPr>
            </w:pPr>
          </w:p>
          <w:p w14:paraId="5F4BE6A0" w14:textId="05505DF9" w:rsidR="00BF5692" w:rsidRPr="004F0B65" w:rsidRDefault="00BF5692" w:rsidP="00932DE0">
            <w:pPr>
              <w:spacing w:line="276" w:lineRule="auto"/>
              <w:jc w:val="both"/>
              <w:rPr>
                <w:rFonts w:cstheme="minorHAnsi"/>
                <w:sz w:val="20"/>
                <w:szCs w:val="20"/>
              </w:rPr>
            </w:pPr>
            <w:r w:rsidRPr="004F0B65">
              <w:rPr>
                <w:rFonts w:cstheme="minorHAnsi"/>
                <w:sz w:val="20"/>
                <w:szCs w:val="20"/>
              </w:rPr>
              <w:t>Rozszerzono projektowany § 1 i § 5 art. 954</w:t>
            </w:r>
            <w:r w:rsidRPr="004F0B65">
              <w:rPr>
                <w:rFonts w:cstheme="minorHAnsi"/>
                <w:sz w:val="20"/>
                <w:szCs w:val="20"/>
                <w:vertAlign w:val="superscript"/>
              </w:rPr>
              <w:t>1</w:t>
            </w:r>
            <w:r w:rsidRPr="004F0B65">
              <w:rPr>
                <w:rFonts w:cstheme="minorHAnsi"/>
                <w:sz w:val="20"/>
                <w:szCs w:val="20"/>
              </w:rPr>
              <w:t xml:space="preserve"> § 1 na sytuacje przebywania przez testatora w niewoli (tak jak miało to miejsce dotychczas w Rozporządzeniu MON z 1965 r.).</w:t>
            </w:r>
          </w:p>
          <w:p w14:paraId="1E02FDE2" w14:textId="77777777" w:rsidR="00932DE0" w:rsidRDefault="00932DE0" w:rsidP="00932DE0">
            <w:pPr>
              <w:spacing w:line="276" w:lineRule="auto"/>
              <w:ind w:left="314"/>
              <w:jc w:val="both"/>
              <w:rPr>
                <w:rFonts w:cstheme="minorHAnsi"/>
                <w:b/>
                <w:bCs/>
                <w:sz w:val="20"/>
                <w:szCs w:val="20"/>
              </w:rPr>
            </w:pPr>
          </w:p>
          <w:p w14:paraId="5BBD8DCA" w14:textId="77777777" w:rsidR="00932DE0" w:rsidRDefault="00932DE0" w:rsidP="00932DE0">
            <w:pPr>
              <w:spacing w:line="276" w:lineRule="auto"/>
              <w:jc w:val="both"/>
              <w:rPr>
                <w:rFonts w:cstheme="minorHAnsi"/>
                <w:sz w:val="20"/>
                <w:szCs w:val="20"/>
              </w:rPr>
            </w:pPr>
            <w:r>
              <w:rPr>
                <w:rFonts w:cstheme="minorHAnsi"/>
                <w:sz w:val="20"/>
                <w:szCs w:val="20"/>
              </w:rPr>
              <w:t xml:space="preserve">b. </w:t>
            </w:r>
            <w:r w:rsidRPr="00932DE0">
              <w:rPr>
                <w:rFonts w:cstheme="minorHAnsi"/>
                <w:b/>
                <w:bCs/>
                <w:sz w:val="20"/>
                <w:szCs w:val="20"/>
              </w:rPr>
              <w:t>Uwaga nieuwzględniona</w:t>
            </w:r>
            <w:r>
              <w:rPr>
                <w:rFonts w:cstheme="minorHAnsi"/>
                <w:sz w:val="20"/>
                <w:szCs w:val="20"/>
              </w:rPr>
              <w:t xml:space="preserve"> </w:t>
            </w:r>
          </w:p>
          <w:p w14:paraId="0DA7E47A" w14:textId="77777777" w:rsidR="00F811D8" w:rsidRDefault="00F811D8" w:rsidP="00932DE0">
            <w:pPr>
              <w:spacing w:line="276" w:lineRule="auto"/>
              <w:jc w:val="both"/>
              <w:rPr>
                <w:rFonts w:eastAsia="Times New Roman" w:cstheme="minorHAnsi"/>
                <w:b/>
                <w:bCs/>
                <w:sz w:val="20"/>
                <w:szCs w:val="20"/>
                <w:lang w:eastAsia="pl-PL"/>
              </w:rPr>
            </w:pPr>
          </w:p>
          <w:p w14:paraId="755B912F" w14:textId="7731DB51" w:rsidR="00BF5692" w:rsidRPr="004F0B65" w:rsidRDefault="00BF5692" w:rsidP="00BF5692">
            <w:pPr>
              <w:spacing w:line="276" w:lineRule="auto"/>
              <w:jc w:val="both"/>
              <w:rPr>
                <w:rFonts w:eastAsia="Times New Roman" w:cstheme="minorHAnsi"/>
                <w:sz w:val="20"/>
                <w:szCs w:val="20"/>
                <w:lang w:eastAsia="pl-PL"/>
              </w:rPr>
            </w:pPr>
            <w:r w:rsidRPr="004F0B65">
              <w:rPr>
                <w:rFonts w:eastAsia="Times New Roman" w:cstheme="minorHAnsi"/>
                <w:sz w:val="20"/>
                <w:szCs w:val="20"/>
                <w:lang w:eastAsia="pl-PL"/>
              </w:rPr>
              <w:t>Proponowane rozwiązanie wynika z celowej decyzji Zespołu problemowego do spraw prawa spadkowego Komisji Kodyfikacyjnej Prawa Cywilnego. Tak jak dotychczas to było przewidziane w rozporządzeniu Ministra Obrony Narodowej z 1965 r. projekt przewiduje bowiem sporządzenie testamentu przed świadkami: minimum dwoma (jeżeli spadkodawca może podpisać się na sporządzonym piśmie poświadczającym treść jego testamentu – proponowany art. 954</w:t>
            </w:r>
            <w:r w:rsidRPr="004F0B65">
              <w:rPr>
                <w:rFonts w:eastAsia="Times New Roman" w:cstheme="minorHAnsi"/>
                <w:sz w:val="20"/>
                <w:szCs w:val="20"/>
                <w:vertAlign w:val="superscript"/>
                <w:lang w:eastAsia="pl-PL"/>
              </w:rPr>
              <w:t>1</w:t>
            </w:r>
            <w:r w:rsidRPr="004F0B65">
              <w:rPr>
                <w:rFonts w:eastAsia="Times New Roman" w:cstheme="minorHAnsi"/>
                <w:sz w:val="20"/>
                <w:szCs w:val="20"/>
                <w:lang w:eastAsia="pl-PL"/>
              </w:rPr>
              <w:t xml:space="preserve"> § 2 k.c.) oraz minimum trzema (jeżeli spadkodawca nie może podpisać się na takim dokumencie – proponowany art. 954</w:t>
            </w:r>
            <w:r w:rsidRPr="004F0B65">
              <w:rPr>
                <w:rFonts w:eastAsia="Times New Roman" w:cstheme="minorHAnsi"/>
                <w:sz w:val="20"/>
                <w:szCs w:val="20"/>
                <w:vertAlign w:val="superscript"/>
                <w:lang w:eastAsia="pl-PL"/>
              </w:rPr>
              <w:t>1</w:t>
            </w:r>
            <w:r w:rsidRPr="004F0B65">
              <w:rPr>
                <w:rFonts w:eastAsia="Times New Roman" w:cstheme="minorHAnsi"/>
                <w:sz w:val="20"/>
                <w:szCs w:val="20"/>
                <w:lang w:eastAsia="pl-PL"/>
              </w:rPr>
              <w:t xml:space="preserve"> § 3 k.c.). Uznano bowiem, że dotychczas obowiązująca regulacja, mimo że w większym stopniu odformalizowana względem regulacji odnoszącej się do </w:t>
            </w:r>
            <w:r w:rsidRPr="004F0B65">
              <w:rPr>
                <w:rFonts w:eastAsia="Times New Roman" w:cstheme="minorHAnsi"/>
                <w:sz w:val="20"/>
                <w:szCs w:val="20"/>
                <w:lang w:eastAsia="pl-PL"/>
              </w:rPr>
              <w:lastRenderedPageBreak/>
              <w:t>testamentu ustnego, w wystarczający sposób zapewnia („wyważa”) zarówno bezpieczeństwo</w:t>
            </w:r>
            <w:r w:rsidR="002301EC">
              <w:rPr>
                <w:rFonts w:eastAsia="Times New Roman" w:cstheme="minorHAnsi"/>
                <w:sz w:val="20"/>
                <w:szCs w:val="20"/>
                <w:lang w:eastAsia="pl-PL"/>
              </w:rPr>
              <w:t xml:space="preserve"> obrotu</w:t>
            </w:r>
            <w:r w:rsidRPr="004F0B65">
              <w:rPr>
                <w:rFonts w:eastAsia="Times New Roman" w:cstheme="minorHAnsi"/>
                <w:sz w:val="20"/>
                <w:szCs w:val="20"/>
                <w:lang w:eastAsia="pl-PL"/>
              </w:rPr>
              <w:t xml:space="preserve">, jak i </w:t>
            </w:r>
            <w:r w:rsidR="002301EC">
              <w:rPr>
                <w:rFonts w:eastAsia="Times New Roman" w:cstheme="minorHAnsi"/>
                <w:sz w:val="20"/>
                <w:szCs w:val="20"/>
                <w:lang w:eastAsia="pl-PL"/>
              </w:rPr>
              <w:t>swobodę</w:t>
            </w:r>
            <w:r w:rsidRPr="004F0B65">
              <w:rPr>
                <w:rFonts w:eastAsia="Times New Roman" w:cstheme="minorHAnsi"/>
                <w:sz w:val="20"/>
                <w:szCs w:val="20"/>
                <w:lang w:eastAsia="pl-PL"/>
              </w:rPr>
              <w:t xml:space="preserve"> testowania w tak szczególnej sytuacji, jak pozostawanie przez testatora na terenie objętym działaniami zbrojnymi. W sytuacji, gdy spadkodawca może się podpisać sam jest niejako gwarantem prawdziwości treści oświadczenia woli i w takiej sytuacji wymaga się jedynie dwóch świadków. W przypadku zaś gdy brakuje podpisu spadkodawcy wymagana jest liczba trzech świadków – co zmniejsza ryzyko ewentualnej manipulacji treścią testamentu. </w:t>
            </w:r>
          </w:p>
          <w:p w14:paraId="54DD9B81" w14:textId="77777777" w:rsidR="00BF5692" w:rsidRPr="004F0B65" w:rsidRDefault="00BF5692" w:rsidP="00BF5692">
            <w:pPr>
              <w:spacing w:line="276" w:lineRule="auto"/>
              <w:jc w:val="both"/>
              <w:rPr>
                <w:rFonts w:eastAsia="Times New Roman" w:cstheme="minorHAnsi"/>
                <w:sz w:val="20"/>
                <w:szCs w:val="20"/>
                <w:lang w:eastAsia="pl-PL"/>
              </w:rPr>
            </w:pPr>
            <w:r w:rsidRPr="004F0B65">
              <w:rPr>
                <w:rFonts w:eastAsia="Times New Roman" w:cstheme="minorHAnsi"/>
                <w:sz w:val="20"/>
                <w:szCs w:val="20"/>
                <w:lang w:eastAsia="pl-PL"/>
              </w:rPr>
              <w:t>Podobnie zdecydowano zachować się zasadę, że w razie obawy rychłej śmierci spadkodawcy wskutek odniesionych ran lub choroby, testament może być sporządzony również w ten sposób, że spadkodawca oświadczy ostatnią wolę ustnie wobec co najmniej dwóch świadków, choćby niejednocześnie obecnych. Sytuacja taka jest na tyle szczególna, że uznano, iż jednoczesna obecność świadków nie jest w takim przypadku konieczna i nie można wymagać, aby świadków tych było więcej niż dwóch.</w:t>
            </w:r>
          </w:p>
          <w:p w14:paraId="035776CA" w14:textId="77777777" w:rsidR="00BF5692" w:rsidRDefault="00BF5692" w:rsidP="00932DE0">
            <w:pPr>
              <w:spacing w:line="276" w:lineRule="auto"/>
              <w:jc w:val="both"/>
              <w:rPr>
                <w:rFonts w:eastAsia="Times New Roman" w:cstheme="minorHAnsi"/>
                <w:b/>
                <w:bCs/>
                <w:sz w:val="20"/>
                <w:szCs w:val="20"/>
                <w:lang w:eastAsia="pl-PL"/>
              </w:rPr>
            </w:pPr>
          </w:p>
          <w:p w14:paraId="6688DBBA" w14:textId="77777777" w:rsidR="00BF5692" w:rsidRPr="005169DD" w:rsidRDefault="00F811D8" w:rsidP="00BF5692">
            <w:pPr>
              <w:spacing w:line="276" w:lineRule="auto"/>
              <w:jc w:val="both"/>
              <w:rPr>
                <w:rFonts w:cstheme="minorHAnsi"/>
                <w:sz w:val="20"/>
                <w:szCs w:val="20"/>
              </w:rPr>
            </w:pPr>
            <w:r w:rsidRPr="005169DD">
              <w:rPr>
                <w:rFonts w:eastAsia="Times New Roman" w:cstheme="minorHAnsi"/>
                <w:sz w:val="20"/>
                <w:szCs w:val="20"/>
                <w:lang w:eastAsia="pl-PL"/>
              </w:rPr>
              <w:t xml:space="preserve">c. </w:t>
            </w:r>
            <w:r w:rsidR="00BF5692" w:rsidRPr="005169DD">
              <w:rPr>
                <w:rFonts w:cstheme="minorHAnsi"/>
                <w:b/>
                <w:bCs/>
                <w:sz w:val="20"/>
                <w:szCs w:val="20"/>
              </w:rPr>
              <w:t>Uwaga nieuwzględniona</w:t>
            </w:r>
            <w:r w:rsidR="00BF5692" w:rsidRPr="005169DD">
              <w:rPr>
                <w:rFonts w:cstheme="minorHAnsi"/>
                <w:sz w:val="20"/>
                <w:szCs w:val="20"/>
              </w:rPr>
              <w:t xml:space="preserve"> </w:t>
            </w:r>
          </w:p>
          <w:p w14:paraId="2D06A31E" w14:textId="77777777" w:rsidR="00342F9B" w:rsidRPr="005169DD" w:rsidRDefault="00342F9B" w:rsidP="00BF5692">
            <w:pPr>
              <w:spacing w:line="276" w:lineRule="auto"/>
              <w:jc w:val="both"/>
              <w:rPr>
                <w:rFonts w:cstheme="minorHAnsi"/>
                <w:sz w:val="20"/>
                <w:szCs w:val="20"/>
              </w:rPr>
            </w:pPr>
          </w:p>
          <w:p w14:paraId="57748147" w14:textId="77777777" w:rsidR="005169DD" w:rsidRPr="004F0B65" w:rsidRDefault="005169DD" w:rsidP="005169DD">
            <w:pPr>
              <w:spacing w:line="276" w:lineRule="auto"/>
              <w:jc w:val="both"/>
              <w:rPr>
                <w:rFonts w:eastAsia="Times New Roman" w:cstheme="minorHAnsi"/>
                <w:bCs/>
                <w:sz w:val="20"/>
                <w:szCs w:val="20"/>
                <w:lang w:eastAsia="pl-PL"/>
              </w:rPr>
            </w:pPr>
            <w:r w:rsidRPr="004F0B65">
              <w:rPr>
                <w:rFonts w:eastAsia="Times New Roman" w:cstheme="minorHAnsi"/>
                <w:bCs/>
                <w:sz w:val="20"/>
                <w:szCs w:val="20"/>
                <w:lang w:eastAsia="pl-PL"/>
              </w:rPr>
              <w:lastRenderedPageBreak/>
              <w:t xml:space="preserve">Proponowane rozwiązanie wynika z celowej decyzji Zespołu problemowego do spraw prawa spadkowego Komisji Kodyfikacyjnej Prawa Cywilnego. Tak jak w przypadku testamentu ustnego, w szczególnym wypadku sytuacji, w której spadkodawca nie może się podpisać, wyjątkowo zdecydowano się przyjąć, że jego oświadczenie w obecności świadków może być także utrwalone za pomocą urządzenia rejestrującego obraz i dźwięk na trwałym nośniku danych. Nagranie to powinno zostać przekazane na takim nośniku danych notariuszowi lub do sądu spadku nie później niż w ciągu trzech miesięcy od dnia otwarcia spadku. Także w tym przypadku ograniczenie możliwości stwierdzania treści testamentu ustnego relatywnie krótkim terminem zawitym ma na celu ograniczenie prób fałszowania takiego testamentu wiele lat po śmierci spadkodawcy. </w:t>
            </w:r>
          </w:p>
          <w:p w14:paraId="2B906B0B" w14:textId="77777777" w:rsidR="005169DD" w:rsidRPr="004F0B65" w:rsidRDefault="005169DD" w:rsidP="005169DD">
            <w:pPr>
              <w:spacing w:line="276" w:lineRule="auto"/>
              <w:jc w:val="both"/>
              <w:rPr>
                <w:rFonts w:eastAsia="Times New Roman" w:cstheme="minorHAnsi"/>
                <w:bCs/>
                <w:sz w:val="20"/>
                <w:szCs w:val="20"/>
                <w:lang w:eastAsia="pl-PL"/>
              </w:rPr>
            </w:pPr>
          </w:p>
          <w:p w14:paraId="5E674E33" w14:textId="77777777" w:rsidR="005169DD" w:rsidRPr="004F0B65" w:rsidRDefault="005169DD" w:rsidP="005169DD">
            <w:pPr>
              <w:spacing w:line="276" w:lineRule="auto"/>
              <w:jc w:val="both"/>
              <w:rPr>
                <w:rFonts w:eastAsia="Times New Roman" w:cstheme="minorHAnsi"/>
                <w:bCs/>
                <w:sz w:val="20"/>
                <w:szCs w:val="20"/>
                <w:lang w:eastAsia="pl-PL"/>
              </w:rPr>
            </w:pPr>
            <w:r w:rsidRPr="004F0B65">
              <w:rPr>
                <w:rFonts w:eastAsia="Times New Roman" w:cstheme="minorHAnsi"/>
                <w:bCs/>
                <w:sz w:val="20"/>
                <w:szCs w:val="20"/>
                <w:lang w:eastAsia="pl-PL"/>
              </w:rPr>
              <w:t>Przyjęto zarazem, że na tle art. 954</w:t>
            </w:r>
            <w:r w:rsidRPr="004F0B65">
              <w:rPr>
                <w:rFonts w:eastAsia="Times New Roman" w:cstheme="minorHAnsi"/>
                <w:bCs/>
                <w:sz w:val="20"/>
                <w:szCs w:val="20"/>
                <w:vertAlign w:val="superscript"/>
                <w:lang w:eastAsia="pl-PL"/>
              </w:rPr>
              <w:t>1</w:t>
            </w:r>
            <w:r w:rsidRPr="004F0B65">
              <w:rPr>
                <w:rFonts w:eastAsia="Times New Roman" w:cstheme="minorHAnsi"/>
                <w:bCs/>
                <w:sz w:val="20"/>
                <w:szCs w:val="20"/>
                <w:lang w:eastAsia="pl-PL"/>
              </w:rPr>
              <w:t xml:space="preserve"> § 3 k.c. obie formy stwierdzenia treści testamentu wojskowego powinny być ze sobą równoważne i żadna z nich nie powinna być traktowana jako subsydiarna wobec drugiej. </w:t>
            </w:r>
          </w:p>
          <w:p w14:paraId="3C2FE620" w14:textId="77777777" w:rsidR="005169DD" w:rsidRPr="004F0B65" w:rsidRDefault="005169DD" w:rsidP="005169DD">
            <w:pPr>
              <w:spacing w:line="276" w:lineRule="auto"/>
              <w:jc w:val="both"/>
              <w:rPr>
                <w:rFonts w:eastAsia="Times New Roman" w:cstheme="minorHAnsi"/>
                <w:bCs/>
                <w:sz w:val="20"/>
                <w:szCs w:val="20"/>
                <w:lang w:eastAsia="pl-PL"/>
              </w:rPr>
            </w:pPr>
          </w:p>
          <w:p w14:paraId="149C2D2C" w14:textId="77777777" w:rsidR="005169DD" w:rsidRPr="004F0B65" w:rsidRDefault="005169DD" w:rsidP="005169DD">
            <w:pPr>
              <w:spacing w:line="276" w:lineRule="auto"/>
              <w:jc w:val="both"/>
              <w:rPr>
                <w:rFonts w:eastAsia="Times New Roman" w:cstheme="minorHAnsi"/>
                <w:bCs/>
                <w:sz w:val="20"/>
                <w:szCs w:val="20"/>
                <w:lang w:eastAsia="pl-PL"/>
              </w:rPr>
            </w:pPr>
            <w:r w:rsidRPr="004F0B65">
              <w:rPr>
                <w:rFonts w:eastAsia="Times New Roman" w:cstheme="minorHAnsi"/>
                <w:bCs/>
                <w:sz w:val="20"/>
                <w:szCs w:val="20"/>
                <w:lang w:eastAsia="pl-PL"/>
              </w:rPr>
              <w:lastRenderedPageBreak/>
              <w:t xml:space="preserve">Nie zdecydowano się też zrezygnować z możliwości sporządzania przez świadków testamentu pisma, w którym utrwalona mogłaby być treść oświadczenie testatora. Przeważył za tym argument odwołujący się do możliwych ograniczeń w posiadaniu i posługiwaniu się urządzeniami rejestrującymi obraz i dźwięk, które mogą istnieć na obszarze objętym działaniami zbrojnymi.  </w:t>
            </w:r>
          </w:p>
          <w:p w14:paraId="73986801" w14:textId="183FED21" w:rsidR="00342F9B" w:rsidRDefault="00342F9B" w:rsidP="00342F9B">
            <w:pPr>
              <w:spacing w:line="276" w:lineRule="auto"/>
              <w:jc w:val="both"/>
              <w:rPr>
                <w:rFonts w:eastAsia="Times New Roman" w:cstheme="minorHAnsi"/>
                <w:bCs/>
                <w:sz w:val="20"/>
                <w:szCs w:val="20"/>
                <w:lang w:eastAsia="pl-PL"/>
              </w:rPr>
            </w:pPr>
          </w:p>
          <w:p w14:paraId="4B94840E" w14:textId="77777777" w:rsidR="005169DD" w:rsidRPr="00342F9B" w:rsidRDefault="005169DD" w:rsidP="00342F9B">
            <w:pPr>
              <w:spacing w:line="276" w:lineRule="auto"/>
              <w:jc w:val="both"/>
              <w:rPr>
                <w:rFonts w:eastAsia="Times New Roman" w:cstheme="minorHAnsi"/>
                <w:bCs/>
                <w:sz w:val="20"/>
                <w:szCs w:val="20"/>
                <w:lang w:eastAsia="pl-PL"/>
              </w:rPr>
            </w:pPr>
          </w:p>
          <w:p w14:paraId="48435660" w14:textId="68FC1AD0" w:rsidR="00342F9B" w:rsidRDefault="00342F9B" w:rsidP="00342F9B">
            <w:pPr>
              <w:spacing w:line="276" w:lineRule="auto"/>
              <w:jc w:val="both"/>
              <w:rPr>
                <w:rFonts w:cstheme="minorHAnsi"/>
                <w:sz w:val="20"/>
                <w:szCs w:val="20"/>
              </w:rPr>
            </w:pPr>
            <w:r>
              <w:rPr>
                <w:rFonts w:eastAsia="Times New Roman" w:cstheme="minorHAnsi"/>
                <w:sz w:val="20"/>
                <w:szCs w:val="20"/>
                <w:lang w:eastAsia="pl-PL"/>
              </w:rPr>
              <w:t>d</w:t>
            </w:r>
            <w:r w:rsidRPr="00F811D8">
              <w:rPr>
                <w:rFonts w:eastAsia="Times New Roman" w:cstheme="minorHAnsi"/>
                <w:sz w:val="20"/>
                <w:szCs w:val="20"/>
                <w:lang w:eastAsia="pl-PL"/>
              </w:rPr>
              <w:t xml:space="preserve">. </w:t>
            </w:r>
            <w:r w:rsidRPr="00932DE0">
              <w:rPr>
                <w:rFonts w:cstheme="minorHAnsi"/>
                <w:b/>
                <w:bCs/>
                <w:sz w:val="20"/>
                <w:szCs w:val="20"/>
              </w:rPr>
              <w:t xml:space="preserve">Uwaga </w:t>
            </w:r>
            <w:r w:rsidR="006E6769">
              <w:rPr>
                <w:rFonts w:cstheme="minorHAnsi"/>
                <w:b/>
                <w:bCs/>
                <w:sz w:val="20"/>
                <w:szCs w:val="20"/>
              </w:rPr>
              <w:t>u</w:t>
            </w:r>
            <w:r w:rsidRPr="00932DE0">
              <w:rPr>
                <w:rFonts w:cstheme="minorHAnsi"/>
                <w:b/>
                <w:bCs/>
                <w:sz w:val="20"/>
                <w:szCs w:val="20"/>
              </w:rPr>
              <w:t>względniona</w:t>
            </w:r>
            <w:r>
              <w:rPr>
                <w:rFonts w:cstheme="minorHAnsi"/>
                <w:sz w:val="20"/>
                <w:szCs w:val="20"/>
              </w:rPr>
              <w:t xml:space="preserve"> </w:t>
            </w:r>
          </w:p>
          <w:p w14:paraId="5A558341" w14:textId="77777777" w:rsidR="00342F9B" w:rsidRDefault="00342F9B" w:rsidP="00342F9B">
            <w:pPr>
              <w:spacing w:line="276" w:lineRule="auto"/>
              <w:jc w:val="both"/>
              <w:rPr>
                <w:rFonts w:cstheme="minorHAnsi"/>
                <w:sz w:val="20"/>
                <w:szCs w:val="20"/>
              </w:rPr>
            </w:pPr>
          </w:p>
          <w:p w14:paraId="20796962" w14:textId="77777777" w:rsidR="00342F9B" w:rsidRPr="00342F9B" w:rsidRDefault="00342F9B" w:rsidP="00342F9B">
            <w:pPr>
              <w:spacing w:line="276" w:lineRule="auto"/>
              <w:jc w:val="both"/>
              <w:rPr>
                <w:rFonts w:eastAsia="Times New Roman" w:cstheme="minorHAnsi"/>
                <w:bCs/>
                <w:sz w:val="20"/>
                <w:szCs w:val="20"/>
                <w:lang w:eastAsia="pl-PL"/>
              </w:rPr>
            </w:pPr>
            <w:r w:rsidRPr="00342F9B">
              <w:rPr>
                <w:rFonts w:eastAsia="Times New Roman" w:cstheme="minorHAnsi"/>
                <w:bCs/>
                <w:sz w:val="20"/>
                <w:szCs w:val="20"/>
                <w:lang w:eastAsia="pl-PL"/>
              </w:rPr>
              <w:t>W 954</w:t>
            </w:r>
            <w:r w:rsidRPr="00342F9B">
              <w:rPr>
                <w:rFonts w:eastAsia="Times New Roman" w:cstheme="minorHAnsi"/>
                <w:bCs/>
                <w:sz w:val="20"/>
                <w:szCs w:val="20"/>
                <w:vertAlign w:val="superscript"/>
                <w:lang w:eastAsia="pl-PL"/>
              </w:rPr>
              <w:t>1</w:t>
            </w:r>
            <w:r w:rsidRPr="00342F9B">
              <w:rPr>
                <w:rFonts w:eastAsia="Times New Roman" w:cstheme="minorHAnsi"/>
                <w:bCs/>
                <w:sz w:val="20"/>
                <w:szCs w:val="20"/>
                <w:lang w:eastAsia="pl-PL"/>
              </w:rPr>
              <w:t xml:space="preserve"> § 4 zd 4 k.c. jednoznacznie przesądzono, że bieg terminu z art. 954</w:t>
            </w:r>
            <w:r w:rsidRPr="00342F9B">
              <w:rPr>
                <w:rFonts w:eastAsia="Times New Roman" w:cstheme="minorHAnsi"/>
                <w:bCs/>
                <w:sz w:val="20"/>
                <w:szCs w:val="20"/>
                <w:vertAlign w:val="superscript"/>
                <w:lang w:eastAsia="pl-PL"/>
              </w:rPr>
              <w:t>1</w:t>
            </w:r>
            <w:r w:rsidRPr="00342F9B">
              <w:rPr>
                <w:rFonts w:eastAsia="Times New Roman" w:cstheme="minorHAnsi"/>
                <w:bCs/>
                <w:sz w:val="20"/>
                <w:szCs w:val="20"/>
                <w:lang w:eastAsia="pl-PL"/>
              </w:rPr>
              <w:t xml:space="preserve"> § 4 zd. 2 k.c. ulega zawieszeniu, jeżeli złożenie wniosku do sądu spadku lub przesłuchanie świadków nie jest możliwe z powodu siły wyższej.</w:t>
            </w:r>
          </w:p>
          <w:p w14:paraId="34D22894" w14:textId="77777777" w:rsidR="00F811D8" w:rsidRDefault="00F811D8" w:rsidP="00342F9B">
            <w:pPr>
              <w:spacing w:line="276" w:lineRule="auto"/>
              <w:jc w:val="both"/>
              <w:rPr>
                <w:rFonts w:eastAsia="Times New Roman" w:cstheme="minorHAnsi"/>
                <w:sz w:val="20"/>
                <w:szCs w:val="20"/>
                <w:lang w:eastAsia="pl-PL"/>
              </w:rPr>
            </w:pPr>
          </w:p>
          <w:p w14:paraId="276830C9" w14:textId="7A0DE8E8" w:rsidR="00342F9B" w:rsidRDefault="00342F9B" w:rsidP="00342F9B">
            <w:pPr>
              <w:spacing w:line="276" w:lineRule="auto"/>
              <w:jc w:val="both"/>
              <w:rPr>
                <w:rFonts w:cstheme="minorHAnsi"/>
                <w:b/>
                <w:bCs/>
                <w:sz w:val="20"/>
                <w:szCs w:val="20"/>
              </w:rPr>
            </w:pPr>
            <w:r>
              <w:rPr>
                <w:rFonts w:eastAsia="Times New Roman" w:cstheme="minorHAnsi"/>
                <w:sz w:val="20"/>
                <w:szCs w:val="20"/>
                <w:lang w:eastAsia="pl-PL"/>
              </w:rPr>
              <w:t xml:space="preserve">e. </w:t>
            </w:r>
            <w:r w:rsidRPr="00932DE0">
              <w:rPr>
                <w:rFonts w:cstheme="minorHAnsi"/>
                <w:b/>
                <w:bCs/>
                <w:sz w:val="20"/>
                <w:szCs w:val="20"/>
              </w:rPr>
              <w:t>Uwaga nieuwzględniona</w:t>
            </w:r>
            <w:r w:rsidR="005169DD">
              <w:rPr>
                <w:rFonts w:cstheme="minorHAnsi"/>
                <w:b/>
                <w:bCs/>
                <w:sz w:val="20"/>
                <w:szCs w:val="20"/>
              </w:rPr>
              <w:t>.</w:t>
            </w:r>
          </w:p>
          <w:p w14:paraId="7FD27B12" w14:textId="77777777" w:rsidR="005169DD" w:rsidRDefault="005169DD" w:rsidP="00342F9B">
            <w:pPr>
              <w:spacing w:line="276" w:lineRule="auto"/>
              <w:jc w:val="both"/>
              <w:rPr>
                <w:rFonts w:eastAsia="Times New Roman" w:cstheme="minorHAnsi"/>
                <w:sz w:val="20"/>
                <w:szCs w:val="20"/>
                <w:lang w:eastAsia="pl-PL"/>
              </w:rPr>
            </w:pPr>
          </w:p>
          <w:p w14:paraId="15789F79" w14:textId="191B561A" w:rsidR="00342F9B" w:rsidRPr="00342F9B" w:rsidRDefault="00342F9B" w:rsidP="00342F9B">
            <w:pPr>
              <w:spacing w:line="276" w:lineRule="auto"/>
              <w:jc w:val="both"/>
              <w:rPr>
                <w:rFonts w:eastAsia="Times New Roman" w:cstheme="minorHAnsi"/>
                <w:bCs/>
                <w:sz w:val="20"/>
                <w:szCs w:val="20"/>
                <w:lang w:eastAsia="pl-PL"/>
              </w:rPr>
            </w:pPr>
            <w:r w:rsidRPr="00342F9B">
              <w:rPr>
                <w:rFonts w:eastAsia="Times New Roman" w:cstheme="minorHAnsi"/>
                <w:bCs/>
                <w:sz w:val="20"/>
                <w:szCs w:val="20"/>
                <w:lang w:eastAsia="pl-PL"/>
              </w:rPr>
              <w:t xml:space="preserve">Zgodnie z proponowanym art. 654 k.p.c. przepisy dotyczące postępowania w przedmiocie ogłoszenia testamentu (tj. art. 646 i n. k.p.c.) będzie się stosowało odpowiednio nie tylko do pisma stwierdzającego treść testamentu ustnego, ale też do trwałego nośnika danych, na którym utrwalona została </w:t>
            </w:r>
            <w:r w:rsidRPr="00342F9B">
              <w:rPr>
                <w:rFonts w:eastAsia="Times New Roman" w:cstheme="minorHAnsi"/>
                <w:bCs/>
                <w:sz w:val="20"/>
                <w:szCs w:val="20"/>
                <w:lang w:eastAsia="pl-PL"/>
              </w:rPr>
              <w:lastRenderedPageBreak/>
              <w:t>treść testamentu ustnego. Oznacza to m.in., że osoba, u której znajduje się podpisane własnoręcznie przez testatora pismo stwierdzające treść testamentu ustnego, będzie obowiązana złożyć je w sądzie spadku, gdy dowie się o śmierci spadkodawcy, chyba że złożyła je u notariusza. Z tego też względu w proponowanym art. 95</w:t>
            </w:r>
            <w:r>
              <w:rPr>
                <w:rFonts w:eastAsia="Times New Roman" w:cstheme="minorHAnsi"/>
                <w:bCs/>
                <w:sz w:val="20"/>
                <w:szCs w:val="20"/>
                <w:lang w:eastAsia="pl-PL"/>
              </w:rPr>
              <w:t>4</w:t>
            </w:r>
            <w:r w:rsidRPr="004F0B65">
              <w:rPr>
                <w:rFonts w:eastAsia="Times New Roman" w:cstheme="minorHAnsi"/>
                <w:bCs/>
                <w:sz w:val="20"/>
                <w:szCs w:val="20"/>
                <w:vertAlign w:val="superscript"/>
                <w:lang w:eastAsia="pl-PL"/>
              </w:rPr>
              <w:t>1</w:t>
            </w:r>
            <w:r w:rsidRPr="00342F9B">
              <w:rPr>
                <w:rFonts w:eastAsia="Times New Roman" w:cstheme="minorHAnsi"/>
                <w:bCs/>
                <w:sz w:val="20"/>
                <w:szCs w:val="20"/>
                <w:lang w:eastAsia="pl-PL"/>
              </w:rPr>
              <w:t xml:space="preserve"> § </w:t>
            </w:r>
            <w:r>
              <w:rPr>
                <w:rFonts w:eastAsia="Times New Roman" w:cstheme="minorHAnsi"/>
                <w:bCs/>
                <w:sz w:val="20"/>
                <w:szCs w:val="20"/>
                <w:lang w:eastAsia="pl-PL"/>
              </w:rPr>
              <w:t>3</w:t>
            </w:r>
            <w:r w:rsidRPr="00342F9B">
              <w:rPr>
                <w:rFonts w:eastAsia="Times New Roman" w:cstheme="minorHAnsi"/>
                <w:bCs/>
                <w:sz w:val="20"/>
                <w:szCs w:val="20"/>
                <w:lang w:eastAsia="pl-PL"/>
              </w:rPr>
              <w:t xml:space="preserve"> k.c. (w przeciwieństwie do proponowanego art. 95</w:t>
            </w:r>
            <w:r>
              <w:rPr>
                <w:rFonts w:eastAsia="Times New Roman" w:cstheme="minorHAnsi"/>
                <w:bCs/>
                <w:sz w:val="20"/>
                <w:szCs w:val="20"/>
                <w:lang w:eastAsia="pl-PL"/>
              </w:rPr>
              <w:t>4</w:t>
            </w:r>
            <w:r w:rsidRPr="00307896">
              <w:rPr>
                <w:rFonts w:eastAsia="Times New Roman" w:cstheme="minorHAnsi"/>
                <w:bCs/>
                <w:sz w:val="20"/>
                <w:szCs w:val="20"/>
                <w:vertAlign w:val="superscript"/>
                <w:lang w:eastAsia="pl-PL"/>
              </w:rPr>
              <w:t>1</w:t>
            </w:r>
            <w:r w:rsidRPr="00342F9B">
              <w:rPr>
                <w:rFonts w:eastAsia="Times New Roman" w:cstheme="minorHAnsi"/>
                <w:bCs/>
                <w:sz w:val="20"/>
                <w:szCs w:val="20"/>
                <w:lang w:eastAsia="pl-PL"/>
              </w:rPr>
              <w:t xml:space="preserve"> § </w:t>
            </w:r>
            <w:r>
              <w:rPr>
                <w:rFonts w:eastAsia="Times New Roman" w:cstheme="minorHAnsi"/>
                <w:bCs/>
                <w:sz w:val="20"/>
                <w:szCs w:val="20"/>
                <w:lang w:eastAsia="pl-PL"/>
              </w:rPr>
              <w:t>2</w:t>
            </w:r>
            <w:r w:rsidRPr="00342F9B">
              <w:rPr>
                <w:rFonts w:eastAsia="Times New Roman" w:cstheme="minorHAnsi"/>
                <w:bCs/>
                <w:sz w:val="20"/>
                <w:szCs w:val="20"/>
                <w:lang w:eastAsia="pl-PL"/>
              </w:rPr>
              <w:t xml:space="preserve"> k.c.) nie było potrzeby wprowadzania szczególnego terminu zawitego do złożenia takiego pisma do sądu spadku albo notariusza i uzależniania od zachowania tego terminu możliwości stwierdzenia treści testamentu ustnego.</w:t>
            </w:r>
          </w:p>
          <w:p w14:paraId="771B0274" w14:textId="4056DADF" w:rsidR="00342F9B" w:rsidRPr="00F811D8" w:rsidRDefault="00342F9B" w:rsidP="00342F9B">
            <w:pPr>
              <w:spacing w:line="276" w:lineRule="auto"/>
              <w:jc w:val="both"/>
              <w:rPr>
                <w:rFonts w:eastAsia="Times New Roman" w:cstheme="minorHAnsi"/>
                <w:sz w:val="20"/>
                <w:szCs w:val="20"/>
                <w:lang w:eastAsia="pl-PL"/>
              </w:rPr>
            </w:pPr>
          </w:p>
        </w:tc>
      </w:tr>
      <w:bookmarkEnd w:id="0"/>
      <w:tr w:rsidR="004B0AFA" w:rsidRPr="00D103B4" w14:paraId="3ECAF978" w14:textId="77777777" w:rsidTr="00B241C8">
        <w:trPr>
          <w:jc w:val="center"/>
        </w:trPr>
        <w:tc>
          <w:tcPr>
            <w:tcW w:w="562" w:type="dxa"/>
          </w:tcPr>
          <w:p w14:paraId="61D9FAB5" w14:textId="38C72D17" w:rsidR="004B0AFA" w:rsidRPr="00D103B4" w:rsidRDefault="00D103B4" w:rsidP="009D0E2C">
            <w:pPr>
              <w:spacing w:before="120" w:line="276" w:lineRule="auto"/>
              <w:ind w:right="-534"/>
              <w:rPr>
                <w:rFonts w:cstheme="minorHAnsi"/>
                <w:b/>
                <w:sz w:val="20"/>
                <w:szCs w:val="20"/>
              </w:rPr>
            </w:pPr>
            <w:r>
              <w:rPr>
                <w:rFonts w:cstheme="minorHAnsi"/>
                <w:b/>
                <w:sz w:val="20"/>
                <w:szCs w:val="20"/>
              </w:rPr>
              <w:lastRenderedPageBreak/>
              <w:t>1</w:t>
            </w:r>
            <w:r w:rsidR="00C90560">
              <w:rPr>
                <w:rFonts w:cstheme="minorHAnsi"/>
                <w:b/>
                <w:sz w:val="20"/>
                <w:szCs w:val="20"/>
              </w:rPr>
              <w:t>5</w:t>
            </w:r>
            <w:r w:rsidR="004B0AFA" w:rsidRPr="00D103B4">
              <w:rPr>
                <w:rFonts w:cstheme="minorHAnsi"/>
                <w:b/>
                <w:sz w:val="20"/>
                <w:szCs w:val="20"/>
              </w:rPr>
              <w:t>.</w:t>
            </w:r>
          </w:p>
        </w:tc>
        <w:tc>
          <w:tcPr>
            <w:tcW w:w="1843" w:type="dxa"/>
            <w:vAlign w:val="center"/>
          </w:tcPr>
          <w:p w14:paraId="0273CD18" w14:textId="0B6813EB" w:rsidR="004B0AFA" w:rsidRPr="00D103B4" w:rsidRDefault="004B0AFA" w:rsidP="009D0E2C">
            <w:pPr>
              <w:spacing w:before="120" w:after="120" w:line="276" w:lineRule="auto"/>
              <w:jc w:val="center"/>
              <w:rPr>
                <w:rFonts w:cstheme="minorHAnsi"/>
                <w:b/>
                <w:bCs/>
                <w:sz w:val="20"/>
                <w:szCs w:val="20"/>
              </w:rPr>
            </w:pPr>
            <w:r w:rsidRPr="00D103B4">
              <w:rPr>
                <w:rFonts w:cstheme="minorHAnsi"/>
                <w:b/>
                <w:bCs/>
                <w:sz w:val="20"/>
                <w:szCs w:val="20"/>
              </w:rPr>
              <w:t>Ośrodek Badań, Studiów i Legislacji Krajowej Rady Radców Prawnych</w:t>
            </w:r>
          </w:p>
        </w:tc>
        <w:tc>
          <w:tcPr>
            <w:tcW w:w="1843" w:type="dxa"/>
            <w:vAlign w:val="center"/>
          </w:tcPr>
          <w:p w14:paraId="2F8FD54E" w14:textId="1BB6D8BD" w:rsidR="004B0AFA" w:rsidRPr="00D103B4" w:rsidRDefault="004B0AFA" w:rsidP="009D0E2C">
            <w:pPr>
              <w:spacing w:before="120" w:after="120" w:line="276" w:lineRule="auto"/>
              <w:jc w:val="center"/>
              <w:rPr>
                <w:rFonts w:cstheme="minorHAnsi"/>
                <w:sz w:val="20"/>
                <w:szCs w:val="20"/>
              </w:rPr>
            </w:pPr>
            <w:r w:rsidRPr="00D103B4">
              <w:rPr>
                <w:rFonts w:cstheme="minorHAnsi"/>
                <w:sz w:val="20"/>
                <w:szCs w:val="20"/>
              </w:rPr>
              <w:t>Art. 1 pkt 5 projektu</w:t>
            </w:r>
            <w:r w:rsidR="003170B1" w:rsidRPr="00D103B4">
              <w:rPr>
                <w:rFonts w:cstheme="minorHAnsi"/>
                <w:color w:val="000000"/>
                <w:sz w:val="20"/>
                <w:szCs w:val="20"/>
              </w:rPr>
              <w:t xml:space="preserve"> (art. 954</w:t>
            </w:r>
            <w:r w:rsidR="003170B1" w:rsidRPr="00D103B4">
              <w:rPr>
                <w:rFonts w:cstheme="minorHAnsi"/>
                <w:color w:val="000000"/>
                <w:sz w:val="20"/>
                <w:szCs w:val="20"/>
                <w:vertAlign w:val="superscript"/>
              </w:rPr>
              <w:t>1</w:t>
            </w:r>
            <w:r w:rsidR="003170B1" w:rsidRPr="00D103B4">
              <w:rPr>
                <w:rFonts w:cstheme="minorHAnsi"/>
                <w:color w:val="000000"/>
                <w:sz w:val="20"/>
                <w:szCs w:val="20"/>
              </w:rPr>
              <w:t xml:space="preserve"> § 4 k.c.)</w:t>
            </w:r>
          </w:p>
        </w:tc>
        <w:tc>
          <w:tcPr>
            <w:tcW w:w="5670" w:type="dxa"/>
            <w:vAlign w:val="center"/>
          </w:tcPr>
          <w:p w14:paraId="49DAE127" w14:textId="77777777" w:rsidR="004B0AFA" w:rsidRPr="00D103B4" w:rsidRDefault="0045430C" w:rsidP="009D0E2C">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W proponowanym w art. 1 pkt 5 Projektu art. 954</w:t>
            </w:r>
            <w:r w:rsidRPr="00D103B4">
              <w:rPr>
                <w:rFonts w:cstheme="minorHAnsi"/>
                <w:color w:val="000000"/>
                <w:sz w:val="20"/>
                <w:szCs w:val="20"/>
                <w:vertAlign w:val="superscript"/>
              </w:rPr>
              <w:t>1</w:t>
            </w:r>
            <w:r w:rsidRPr="00D103B4">
              <w:rPr>
                <w:rFonts w:cstheme="minorHAnsi"/>
                <w:color w:val="000000"/>
                <w:sz w:val="20"/>
                <w:szCs w:val="20"/>
              </w:rPr>
              <w:t xml:space="preserve"> § 4 k.c. proponuje się, aby możliwość sporządzenia testamentu wojskowego w trybie uproszczonym w stosunku do trybów określonych w art. 954</w:t>
            </w:r>
            <w:r w:rsidRPr="00D103B4">
              <w:rPr>
                <w:rFonts w:cstheme="minorHAnsi"/>
                <w:color w:val="000000"/>
                <w:sz w:val="20"/>
                <w:szCs w:val="20"/>
                <w:vertAlign w:val="superscript"/>
              </w:rPr>
              <w:t>1</w:t>
            </w:r>
            <w:r w:rsidRPr="00D103B4">
              <w:rPr>
                <w:rFonts w:cstheme="minorHAnsi"/>
                <w:color w:val="000000"/>
                <w:sz w:val="20"/>
                <w:szCs w:val="20"/>
              </w:rPr>
              <w:t xml:space="preserve"> § 1-3 k.c. (wobec świadków, który nie muszą być jednocześnie obecni) była uzależniona od obawy rychłej śmierci wskutek odniesionych ran lub choroby. Wydaje się, że taka możliwość powinna istnieć w przypadku obawy rychłej śmierci osoby uprawnionej do sporządzenia testamentu wojskowego bez względu na to, czym ta obawa jest spowodowana, czy odniesionymi ranami, chorobą, czy przebiegiem działań zbrojnych.</w:t>
            </w:r>
          </w:p>
          <w:p w14:paraId="523F95F6" w14:textId="77777777" w:rsidR="00ED1933" w:rsidRPr="00D103B4" w:rsidRDefault="00ED1933" w:rsidP="00ED1933">
            <w:pPr>
              <w:spacing w:line="276" w:lineRule="auto"/>
              <w:jc w:val="both"/>
              <w:rPr>
                <w:rFonts w:eastAsia="Times New Roman" w:cstheme="minorHAnsi"/>
                <w:bCs/>
                <w:i/>
                <w:iCs/>
                <w:sz w:val="20"/>
                <w:szCs w:val="20"/>
                <w:lang w:eastAsia="pl-PL"/>
              </w:rPr>
            </w:pPr>
          </w:p>
          <w:p w14:paraId="605F83F5" w14:textId="6C68DD39" w:rsidR="00113486" w:rsidRPr="00D103B4" w:rsidRDefault="00113486" w:rsidP="00ED1933">
            <w:pPr>
              <w:spacing w:line="276" w:lineRule="auto"/>
              <w:jc w:val="both"/>
              <w:rPr>
                <w:rFonts w:eastAsia="Times New Roman" w:cstheme="minorHAnsi"/>
                <w:bCs/>
                <w:i/>
                <w:iCs/>
                <w:sz w:val="20"/>
                <w:szCs w:val="20"/>
                <w:lang w:eastAsia="pl-PL"/>
              </w:rPr>
            </w:pPr>
            <w:r w:rsidRPr="00D103B4">
              <w:rPr>
                <w:rFonts w:eastAsia="Times New Roman" w:cstheme="minorHAnsi"/>
                <w:bCs/>
                <w:i/>
                <w:iCs/>
                <w:sz w:val="20"/>
                <w:szCs w:val="20"/>
                <w:lang w:eastAsia="pl-PL"/>
              </w:rPr>
              <w:t xml:space="preserve">Uzasadnienie </w:t>
            </w:r>
          </w:p>
          <w:p w14:paraId="3BF6E509" w14:textId="22B74FA1" w:rsidR="00113486" w:rsidRPr="00D103B4" w:rsidRDefault="00113486" w:rsidP="009D0E2C">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W proponowanym w art. 1 pkt 5 Projektu art. 954</w:t>
            </w:r>
            <w:r w:rsidRPr="00D103B4">
              <w:rPr>
                <w:rFonts w:cstheme="minorHAnsi"/>
                <w:color w:val="000000"/>
                <w:sz w:val="20"/>
                <w:szCs w:val="20"/>
                <w:vertAlign w:val="superscript"/>
              </w:rPr>
              <w:t>1</w:t>
            </w:r>
            <w:r w:rsidRPr="00D103B4">
              <w:rPr>
                <w:rFonts w:cstheme="minorHAnsi"/>
                <w:color w:val="000000"/>
                <w:sz w:val="20"/>
                <w:szCs w:val="20"/>
              </w:rPr>
              <w:t xml:space="preserve"> § 4 k.c. proponuje się, aby możliwość sporządzenia testamentu wojskowego w trybie uproszczonym w stosunku do trybów określonych w art. 9541 § 1-3 k.c. była uzależniona od obawy rychłej śmierci wskutek odniesionych ran lub choroby. Wydaje się, że taka możliwość powinna istnieć w przypadku obawy rychłej śmierci osoby uprawnionej do sporządzenia testamentu wojskowego bez względu na to, czym ta obawa jest spowodowana, czy odniesionymi ranami, chorobą, czy przebiegiem działań zbrojnych. Dynamika i nieprzewidywalność rozwoju sytuacji na obszarze objętym działaniami zbrojnymi powoduje, że źródła obawy rychłej śmierci uzasadniające sporządzenie testamentu wojskowego wobec świadków, którzy nie muszą być jednocześnie obecni, mogą być bardzo różnorodne. Wydaje się niewłaściwe ograniczanie źródeł obawy rychłej śmierci do zamkniętego katalogu obejmującego jedynie odniesione rany i chorobę. Utrzymanie proponowanego art. </w:t>
            </w:r>
            <w:r w:rsidRPr="00D103B4">
              <w:rPr>
                <w:rFonts w:cstheme="minorHAnsi"/>
                <w:color w:val="000000"/>
                <w:sz w:val="20"/>
                <w:szCs w:val="20"/>
              </w:rPr>
              <w:lastRenderedPageBreak/>
              <w:t>954</w:t>
            </w:r>
            <w:r w:rsidRPr="00D103B4">
              <w:rPr>
                <w:rFonts w:cstheme="minorHAnsi"/>
                <w:color w:val="000000"/>
                <w:sz w:val="20"/>
                <w:szCs w:val="20"/>
                <w:vertAlign w:val="superscript"/>
              </w:rPr>
              <w:t>1</w:t>
            </w:r>
            <w:r w:rsidRPr="00D103B4">
              <w:rPr>
                <w:rFonts w:cstheme="minorHAnsi"/>
                <w:color w:val="000000"/>
                <w:sz w:val="20"/>
                <w:szCs w:val="20"/>
              </w:rPr>
              <w:t xml:space="preserve"> § 4 k.c. oznaczać będzie, że obawa rychłej śmierci wynikająca z przeprowadzania przez przeciwnika na obszarze objętym działaniami zbrojnymi losowej selekcji do egzekucji nie będzie uzasadniała sporządzenia testamentu wojskowego wobec niejednocześnie obecnych świadków, a sporządzenie testamentu wobec jednocześnie obecnych może być w takiej sytuacji niemożliwe. Obawa rychłej śmierci spowodowana przebiegiem działań zbrojnych może uzasadniać sporządzenie testamentu wojskowego w uproszczony sposób w równym stopniu, co obawa rychłej śmierci wynikająca z odniesionych ran lub choroby. Nieuzasadnione jest różnicowanie możliwości sporządzenia testamentu wojskowego w sposób uproszczony w zbliżonych do siebie sytuacjach.</w:t>
            </w:r>
          </w:p>
        </w:tc>
        <w:tc>
          <w:tcPr>
            <w:tcW w:w="4076" w:type="dxa"/>
          </w:tcPr>
          <w:p w14:paraId="60EFEFA2" w14:textId="6CE188DA" w:rsidR="00342F9B" w:rsidRDefault="00342F9B" w:rsidP="00342F9B">
            <w:pPr>
              <w:spacing w:line="276" w:lineRule="auto"/>
              <w:jc w:val="both"/>
              <w:rPr>
                <w:rFonts w:cstheme="minorHAnsi"/>
                <w:b/>
                <w:bCs/>
                <w:sz w:val="20"/>
                <w:szCs w:val="20"/>
              </w:rPr>
            </w:pPr>
            <w:r w:rsidRPr="00342F9B">
              <w:rPr>
                <w:rFonts w:cstheme="minorHAnsi"/>
                <w:b/>
                <w:bCs/>
                <w:sz w:val="20"/>
                <w:szCs w:val="20"/>
              </w:rPr>
              <w:lastRenderedPageBreak/>
              <w:t xml:space="preserve">Uwaga </w:t>
            </w:r>
            <w:r>
              <w:rPr>
                <w:rFonts w:cstheme="minorHAnsi"/>
                <w:b/>
                <w:bCs/>
                <w:sz w:val="20"/>
                <w:szCs w:val="20"/>
              </w:rPr>
              <w:t>nie</w:t>
            </w:r>
            <w:r w:rsidRPr="00342F9B">
              <w:rPr>
                <w:rFonts w:cstheme="minorHAnsi"/>
                <w:b/>
                <w:bCs/>
                <w:sz w:val="20"/>
                <w:szCs w:val="20"/>
              </w:rPr>
              <w:t>uwzględniona.</w:t>
            </w:r>
          </w:p>
          <w:p w14:paraId="2789E55E" w14:textId="6274D6F6" w:rsidR="00F256E7" w:rsidRDefault="006E6769" w:rsidP="00342F9B">
            <w:pPr>
              <w:spacing w:line="276" w:lineRule="auto"/>
              <w:jc w:val="both"/>
              <w:rPr>
                <w:rFonts w:cstheme="minorHAnsi"/>
                <w:sz w:val="20"/>
                <w:szCs w:val="20"/>
              </w:rPr>
            </w:pPr>
            <w:r w:rsidRPr="004F0B65">
              <w:rPr>
                <w:rFonts w:cstheme="minorHAnsi"/>
                <w:bCs/>
                <w:sz w:val="20"/>
                <w:szCs w:val="20"/>
              </w:rPr>
              <w:t xml:space="preserve">Proponowane rozwiązanie wynika z celowej decyzji </w:t>
            </w:r>
            <w:r w:rsidRPr="004F0B65">
              <w:rPr>
                <w:rFonts w:cstheme="minorHAnsi"/>
                <w:sz w:val="20"/>
                <w:szCs w:val="20"/>
              </w:rPr>
              <w:t>Zespołu problemowego do spraw prawa spadkowego Komisji Kodyfikacyjnej Prawa Cywilnego.</w:t>
            </w:r>
            <w:r w:rsidR="00B62BF7">
              <w:rPr>
                <w:rFonts w:cstheme="minorHAnsi"/>
                <w:sz w:val="20"/>
                <w:szCs w:val="20"/>
              </w:rPr>
              <w:t xml:space="preserve"> </w:t>
            </w:r>
            <w:r w:rsidRPr="004F0B65">
              <w:rPr>
                <w:rFonts w:cstheme="minorHAnsi"/>
                <w:sz w:val="20"/>
                <w:szCs w:val="20"/>
              </w:rPr>
              <w:t>Przyję</w:t>
            </w:r>
            <w:r>
              <w:rPr>
                <w:rFonts w:cstheme="minorHAnsi"/>
                <w:sz w:val="20"/>
                <w:szCs w:val="20"/>
              </w:rPr>
              <w:t>ła ona</w:t>
            </w:r>
            <w:r w:rsidRPr="004F0B65">
              <w:rPr>
                <w:rFonts w:cstheme="minorHAnsi"/>
                <w:sz w:val="20"/>
                <w:szCs w:val="20"/>
              </w:rPr>
              <w:t xml:space="preserve"> trzy formy, w których testament wojskowy może być sporządzony</w:t>
            </w:r>
            <w:r w:rsidR="00F256E7">
              <w:rPr>
                <w:rFonts w:cstheme="minorHAnsi"/>
                <w:sz w:val="20"/>
                <w:szCs w:val="20"/>
              </w:rPr>
              <w:t xml:space="preserve"> (</w:t>
            </w:r>
            <w:r w:rsidR="00DA74A6">
              <w:rPr>
                <w:rFonts w:cstheme="minorHAnsi"/>
                <w:sz w:val="20"/>
                <w:szCs w:val="20"/>
              </w:rPr>
              <w:t>w</w:t>
            </w:r>
            <w:r w:rsidR="00F256E7">
              <w:rPr>
                <w:rFonts w:cstheme="minorHAnsi"/>
                <w:sz w:val="20"/>
                <w:szCs w:val="20"/>
              </w:rPr>
              <w:t xml:space="preserve"> sposób zbliżony do dotychczas </w:t>
            </w:r>
            <w:r w:rsidRPr="004F0B65">
              <w:rPr>
                <w:rFonts w:cstheme="minorHAnsi"/>
                <w:sz w:val="20"/>
                <w:szCs w:val="20"/>
              </w:rPr>
              <w:t>przewidziane</w:t>
            </w:r>
            <w:r w:rsidR="00F256E7">
              <w:rPr>
                <w:rFonts w:cstheme="minorHAnsi"/>
                <w:sz w:val="20"/>
                <w:szCs w:val="20"/>
              </w:rPr>
              <w:t>go</w:t>
            </w:r>
            <w:r w:rsidRPr="004F0B65">
              <w:rPr>
                <w:rFonts w:cstheme="minorHAnsi"/>
                <w:sz w:val="20"/>
                <w:szCs w:val="20"/>
              </w:rPr>
              <w:t xml:space="preserve"> w rozporządzeniu Ministra Obrony Narodowej z 1965 r.</w:t>
            </w:r>
            <w:r w:rsidR="00F256E7">
              <w:rPr>
                <w:rFonts w:cstheme="minorHAnsi"/>
                <w:sz w:val="20"/>
                <w:szCs w:val="20"/>
              </w:rPr>
              <w:t>).</w:t>
            </w:r>
            <w:r w:rsidRPr="004F0B65">
              <w:rPr>
                <w:rFonts w:cstheme="minorHAnsi"/>
                <w:sz w:val="20"/>
                <w:szCs w:val="20"/>
              </w:rPr>
              <w:t xml:space="preserve"> Uznano bowiem, że dotychczas obowiązująca regulacja, mimo że w większym stopniu odformalizowana względem regulacji odnoszącej się do testamentu ustnego, w wystarczający sposób zapewnia zarówno bezpieczeństwo</w:t>
            </w:r>
            <w:r w:rsidR="00DA74A6">
              <w:rPr>
                <w:rFonts w:cstheme="minorHAnsi"/>
                <w:sz w:val="20"/>
                <w:szCs w:val="20"/>
              </w:rPr>
              <w:t xml:space="preserve"> obrotu</w:t>
            </w:r>
            <w:r w:rsidRPr="004F0B65">
              <w:rPr>
                <w:rFonts w:cstheme="minorHAnsi"/>
                <w:sz w:val="20"/>
                <w:szCs w:val="20"/>
              </w:rPr>
              <w:t xml:space="preserve">, jak i </w:t>
            </w:r>
            <w:r w:rsidR="00DA74A6">
              <w:rPr>
                <w:rFonts w:cstheme="minorHAnsi"/>
                <w:sz w:val="20"/>
                <w:szCs w:val="20"/>
              </w:rPr>
              <w:t>swobodę</w:t>
            </w:r>
            <w:r w:rsidRPr="004F0B65">
              <w:rPr>
                <w:rFonts w:cstheme="minorHAnsi"/>
                <w:sz w:val="20"/>
                <w:szCs w:val="20"/>
              </w:rPr>
              <w:t xml:space="preserve"> testowania w tak szczególnej sytuacji, jak pozostawanie przez testatora na terenie objętym działaniami zbrojnymi.</w:t>
            </w:r>
            <w:r w:rsidR="00F256E7">
              <w:rPr>
                <w:rFonts w:cstheme="minorHAnsi"/>
                <w:sz w:val="20"/>
                <w:szCs w:val="20"/>
              </w:rPr>
              <w:t xml:space="preserve"> </w:t>
            </w:r>
          </w:p>
          <w:p w14:paraId="24D41B3D" w14:textId="77777777" w:rsidR="00F256E7" w:rsidRDefault="00F256E7" w:rsidP="00342F9B">
            <w:pPr>
              <w:spacing w:line="276" w:lineRule="auto"/>
              <w:jc w:val="both"/>
              <w:rPr>
                <w:rFonts w:cstheme="minorHAnsi"/>
                <w:sz w:val="20"/>
                <w:szCs w:val="20"/>
              </w:rPr>
            </w:pPr>
          </w:p>
          <w:p w14:paraId="07338026" w14:textId="459E0BEB" w:rsidR="00F256E7" w:rsidRDefault="00872961" w:rsidP="00342F9B">
            <w:pPr>
              <w:spacing w:line="276" w:lineRule="auto"/>
              <w:jc w:val="both"/>
              <w:rPr>
                <w:rFonts w:cstheme="minorHAnsi"/>
                <w:sz w:val="20"/>
                <w:szCs w:val="20"/>
              </w:rPr>
            </w:pPr>
            <w:r>
              <w:rPr>
                <w:rFonts w:cstheme="minorHAnsi"/>
                <w:sz w:val="20"/>
                <w:szCs w:val="20"/>
              </w:rPr>
              <w:t xml:space="preserve">Zauważyć należy również, że proponowany art. 954 </w:t>
            </w:r>
            <w:r w:rsidRPr="00872961">
              <w:rPr>
                <w:rFonts w:cstheme="minorHAnsi"/>
                <w:sz w:val="20"/>
                <w:szCs w:val="20"/>
              </w:rPr>
              <w:t>§ 4</w:t>
            </w:r>
            <w:r>
              <w:rPr>
                <w:rFonts w:cstheme="minorHAnsi"/>
                <w:sz w:val="20"/>
                <w:szCs w:val="20"/>
              </w:rPr>
              <w:t xml:space="preserve"> k.c. przewiduje bardzo niewielkie wymagania formalne dla sporządzenia testamentu wojskowego, gdyż przewiduje możliwość złożenia oświadczenia wobec </w:t>
            </w:r>
            <w:r w:rsidRPr="00872961">
              <w:rPr>
                <w:rFonts w:cstheme="minorHAnsi"/>
                <w:sz w:val="20"/>
                <w:szCs w:val="20"/>
              </w:rPr>
              <w:t>co najmniej dwóch świadków, choćby niejednocześnie obecnych.</w:t>
            </w:r>
            <w:r>
              <w:rPr>
                <w:rFonts w:cstheme="minorHAnsi"/>
                <w:sz w:val="20"/>
                <w:szCs w:val="20"/>
              </w:rPr>
              <w:t xml:space="preserve"> Stąd też przesłanki umożliwiające sporządzenie testamentu w tej formie muszą być bardzo zawężone i łatwe do wykazania dowodowo. Przesłankami tymi </w:t>
            </w:r>
            <w:r>
              <w:rPr>
                <w:rFonts w:cstheme="minorHAnsi"/>
                <w:sz w:val="20"/>
                <w:szCs w:val="20"/>
              </w:rPr>
              <w:lastRenderedPageBreak/>
              <w:t xml:space="preserve">(oprócz </w:t>
            </w:r>
            <w:r w:rsidRPr="00872961">
              <w:rPr>
                <w:rFonts w:cstheme="minorHAnsi"/>
                <w:sz w:val="20"/>
                <w:szCs w:val="20"/>
              </w:rPr>
              <w:t>przebywania na obszarze objętym działaniami zbrojnymi</w:t>
            </w:r>
            <w:r>
              <w:rPr>
                <w:rFonts w:cstheme="minorHAnsi"/>
                <w:sz w:val="20"/>
                <w:szCs w:val="20"/>
              </w:rPr>
              <w:t xml:space="preserve">) jest również </w:t>
            </w:r>
            <w:r w:rsidRPr="00872961">
              <w:rPr>
                <w:rFonts w:cstheme="minorHAnsi"/>
                <w:sz w:val="20"/>
                <w:szCs w:val="20"/>
              </w:rPr>
              <w:t>obaw</w:t>
            </w:r>
            <w:r>
              <w:rPr>
                <w:rFonts w:cstheme="minorHAnsi"/>
                <w:sz w:val="20"/>
                <w:szCs w:val="20"/>
              </w:rPr>
              <w:t>a</w:t>
            </w:r>
            <w:r w:rsidRPr="00872961">
              <w:rPr>
                <w:rFonts w:cstheme="minorHAnsi"/>
                <w:sz w:val="20"/>
                <w:szCs w:val="20"/>
              </w:rPr>
              <w:t xml:space="preserve"> rychłej śmierci wskutek odniesionych ran lub choroby</w:t>
            </w:r>
            <w:r>
              <w:rPr>
                <w:rFonts w:cstheme="minorHAnsi"/>
                <w:sz w:val="20"/>
                <w:szCs w:val="20"/>
              </w:rPr>
              <w:t xml:space="preserve">. Fakt, że testator jest ranny lub chory jest okolicznością łatwą do wykazania w sposób obiektywny także wobec osób trzecich. Uznanie, że dla sporządzenia testamentu wojskowego w tej formie wystarczy każdorazowo obawa rychłej śmierci spadkodawcy oznaczałoby, że zazwyczaj sam fakt </w:t>
            </w:r>
            <w:r w:rsidRPr="00872961">
              <w:rPr>
                <w:rFonts w:cstheme="minorHAnsi"/>
                <w:sz w:val="20"/>
                <w:szCs w:val="20"/>
              </w:rPr>
              <w:t>przebywania na obszarze objętym działaniami zbrojnymi</w:t>
            </w:r>
            <w:r>
              <w:rPr>
                <w:rFonts w:cstheme="minorHAnsi"/>
                <w:sz w:val="20"/>
                <w:szCs w:val="20"/>
              </w:rPr>
              <w:t xml:space="preserve"> rodziłby taką obawę, a więc w każdej takiej sytuacji testator mógłby sporządzić testament wojskowy w uproszczonej formie. Rodziłoby to podobne problemy jakie obecnie istnieją na tle art. 952 k.c. z ryzykiem subiektywizowania pojęcia obawy rychłej śmierci.</w:t>
            </w:r>
          </w:p>
          <w:p w14:paraId="136826A7" w14:textId="77777777" w:rsidR="00872961" w:rsidRDefault="00872961" w:rsidP="00342F9B">
            <w:pPr>
              <w:spacing w:line="276" w:lineRule="auto"/>
              <w:jc w:val="both"/>
              <w:rPr>
                <w:rFonts w:cstheme="minorHAnsi"/>
                <w:sz w:val="20"/>
                <w:szCs w:val="20"/>
              </w:rPr>
            </w:pPr>
          </w:p>
          <w:p w14:paraId="09BD50A1" w14:textId="234C0D41" w:rsidR="004B0AFA" w:rsidRPr="00D103B4" w:rsidRDefault="00F256E7" w:rsidP="00342F9B">
            <w:pPr>
              <w:spacing w:line="276" w:lineRule="auto"/>
              <w:jc w:val="both"/>
              <w:rPr>
                <w:rFonts w:cstheme="minorHAnsi"/>
                <w:sz w:val="20"/>
                <w:szCs w:val="20"/>
              </w:rPr>
            </w:pPr>
            <w:r>
              <w:rPr>
                <w:rFonts w:cstheme="minorHAnsi"/>
                <w:sz w:val="20"/>
                <w:szCs w:val="20"/>
              </w:rPr>
              <w:t xml:space="preserve">Zarazem sytuacje, w których możliwe jest sporządzenie testamentu wojskowego nie wyłączają sporządzenia testamentu ustnego. </w:t>
            </w:r>
            <w:r w:rsidRPr="00F256E7">
              <w:rPr>
                <w:rFonts w:cstheme="minorHAnsi"/>
                <w:sz w:val="20"/>
                <w:szCs w:val="20"/>
              </w:rPr>
              <w:t xml:space="preserve">Jeżeli </w:t>
            </w:r>
            <w:r>
              <w:rPr>
                <w:rFonts w:cstheme="minorHAnsi"/>
                <w:sz w:val="20"/>
                <w:szCs w:val="20"/>
              </w:rPr>
              <w:t xml:space="preserve">więc </w:t>
            </w:r>
            <w:r w:rsidRPr="00F256E7">
              <w:rPr>
                <w:rFonts w:cstheme="minorHAnsi"/>
                <w:sz w:val="20"/>
                <w:szCs w:val="20"/>
              </w:rPr>
              <w:t>wskutek szczególnych i nagłych okoliczności zachowanie zwykłej formy testamentu</w:t>
            </w:r>
            <w:r>
              <w:rPr>
                <w:rFonts w:cstheme="minorHAnsi"/>
                <w:sz w:val="20"/>
                <w:szCs w:val="20"/>
              </w:rPr>
              <w:t xml:space="preserve"> będzie</w:t>
            </w:r>
            <w:r w:rsidRPr="00F256E7">
              <w:rPr>
                <w:rFonts w:cstheme="minorHAnsi"/>
                <w:sz w:val="20"/>
                <w:szCs w:val="20"/>
              </w:rPr>
              <w:t xml:space="preserve"> niemożliwe albo nadmiernie utrudnione, a zachodzi</w:t>
            </w:r>
            <w:r>
              <w:rPr>
                <w:rFonts w:cstheme="minorHAnsi"/>
                <w:sz w:val="20"/>
                <w:szCs w:val="20"/>
              </w:rPr>
              <w:t>ć będzie</w:t>
            </w:r>
            <w:r w:rsidRPr="00F256E7">
              <w:rPr>
                <w:rFonts w:cstheme="minorHAnsi"/>
                <w:sz w:val="20"/>
                <w:szCs w:val="20"/>
              </w:rPr>
              <w:t xml:space="preserve"> obawa rychłej śmierci spadkodawcy, spadkodawca </w:t>
            </w:r>
            <w:r>
              <w:rPr>
                <w:rFonts w:cstheme="minorHAnsi"/>
                <w:sz w:val="20"/>
                <w:szCs w:val="20"/>
              </w:rPr>
              <w:t>będzie mógł</w:t>
            </w:r>
            <w:r w:rsidRPr="00F256E7">
              <w:rPr>
                <w:rFonts w:cstheme="minorHAnsi"/>
                <w:sz w:val="20"/>
                <w:szCs w:val="20"/>
              </w:rPr>
              <w:t xml:space="preserve"> oświadczyć ostatnią wolę ustnie przy </w:t>
            </w:r>
            <w:r w:rsidRPr="00F256E7">
              <w:rPr>
                <w:rFonts w:cstheme="minorHAnsi"/>
                <w:sz w:val="20"/>
                <w:szCs w:val="20"/>
              </w:rPr>
              <w:lastRenderedPageBreak/>
              <w:t>jednoczesnej obecności co najmniej trzech świadków</w:t>
            </w:r>
            <w:r>
              <w:rPr>
                <w:rFonts w:cstheme="minorHAnsi"/>
                <w:sz w:val="20"/>
                <w:szCs w:val="20"/>
              </w:rPr>
              <w:t>.</w:t>
            </w:r>
          </w:p>
        </w:tc>
      </w:tr>
      <w:tr w:rsidR="005F7478" w:rsidRPr="00D103B4" w14:paraId="73C7DB3F" w14:textId="77777777" w:rsidTr="00B241C8">
        <w:trPr>
          <w:jc w:val="center"/>
        </w:trPr>
        <w:tc>
          <w:tcPr>
            <w:tcW w:w="562" w:type="dxa"/>
          </w:tcPr>
          <w:p w14:paraId="0669F765" w14:textId="4C19A3EC" w:rsidR="005F7478" w:rsidRPr="00D103B4" w:rsidRDefault="00D103B4" w:rsidP="009D0E2C">
            <w:pPr>
              <w:spacing w:before="120"/>
              <w:ind w:right="-534"/>
              <w:rPr>
                <w:rFonts w:cstheme="minorHAnsi"/>
                <w:b/>
                <w:sz w:val="20"/>
                <w:szCs w:val="20"/>
              </w:rPr>
            </w:pPr>
            <w:r>
              <w:rPr>
                <w:rFonts w:cstheme="minorHAnsi"/>
                <w:b/>
                <w:sz w:val="20"/>
                <w:szCs w:val="20"/>
              </w:rPr>
              <w:lastRenderedPageBreak/>
              <w:t>1</w:t>
            </w:r>
            <w:r w:rsidR="00C90560">
              <w:rPr>
                <w:rFonts w:cstheme="minorHAnsi"/>
                <w:b/>
                <w:sz w:val="20"/>
                <w:szCs w:val="20"/>
              </w:rPr>
              <w:t>6</w:t>
            </w:r>
            <w:r>
              <w:rPr>
                <w:rFonts w:cstheme="minorHAnsi"/>
                <w:b/>
                <w:sz w:val="20"/>
                <w:szCs w:val="20"/>
              </w:rPr>
              <w:t>.</w:t>
            </w:r>
          </w:p>
        </w:tc>
        <w:tc>
          <w:tcPr>
            <w:tcW w:w="1843" w:type="dxa"/>
            <w:vAlign w:val="center"/>
          </w:tcPr>
          <w:p w14:paraId="424CBACD" w14:textId="77777777" w:rsidR="005F7478" w:rsidRPr="00D103B4" w:rsidRDefault="005F7478" w:rsidP="005F7478">
            <w:pPr>
              <w:spacing w:before="120" w:after="120"/>
              <w:jc w:val="center"/>
              <w:rPr>
                <w:rFonts w:cstheme="minorHAnsi"/>
                <w:b/>
                <w:bCs/>
                <w:sz w:val="20"/>
                <w:szCs w:val="20"/>
              </w:rPr>
            </w:pPr>
            <w:r w:rsidRPr="00D103B4">
              <w:rPr>
                <w:rFonts w:cstheme="minorHAnsi"/>
                <w:b/>
                <w:bCs/>
                <w:sz w:val="20"/>
                <w:szCs w:val="20"/>
              </w:rPr>
              <w:t xml:space="preserve">Sąd Apelacyjny w Łodzi </w:t>
            </w:r>
          </w:p>
          <w:p w14:paraId="2A449B36" w14:textId="14A734E0" w:rsidR="005F7478" w:rsidRPr="00D103B4" w:rsidRDefault="005F7478" w:rsidP="005F7478">
            <w:pPr>
              <w:spacing w:before="120" w:after="120"/>
              <w:jc w:val="center"/>
              <w:rPr>
                <w:rFonts w:cstheme="minorHAnsi"/>
                <w:sz w:val="20"/>
                <w:szCs w:val="20"/>
              </w:rPr>
            </w:pPr>
            <w:r w:rsidRPr="00D103B4">
              <w:rPr>
                <w:rFonts w:cstheme="minorHAnsi"/>
                <w:sz w:val="20"/>
                <w:szCs w:val="20"/>
              </w:rPr>
              <w:t>- uwaga Sądu Rejonowego dla Łodzi-Śródmieścia w Łodzi</w:t>
            </w:r>
          </w:p>
        </w:tc>
        <w:tc>
          <w:tcPr>
            <w:tcW w:w="1843" w:type="dxa"/>
            <w:vAlign w:val="center"/>
          </w:tcPr>
          <w:p w14:paraId="25031EF7" w14:textId="0DA08C98" w:rsidR="005F7478" w:rsidRPr="00D103B4" w:rsidRDefault="005F7478" w:rsidP="009D0E2C">
            <w:pPr>
              <w:spacing w:before="120" w:after="120"/>
              <w:jc w:val="center"/>
              <w:rPr>
                <w:rFonts w:cstheme="minorHAnsi"/>
                <w:sz w:val="20"/>
                <w:szCs w:val="20"/>
              </w:rPr>
            </w:pPr>
            <w:r w:rsidRPr="00D103B4">
              <w:rPr>
                <w:rFonts w:cstheme="minorHAnsi"/>
                <w:sz w:val="20"/>
                <w:szCs w:val="20"/>
              </w:rPr>
              <w:t>Art. 1 pkt 8 projektu (art. 956 k.c.)</w:t>
            </w:r>
          </w:p>
        </w:tc>
        <w:tc>
          <w:tcPr>
            <w:tcW w:w="5670" w:type="dxa"/>
            <w:vAlign w:val="center"/>
          </w:tcPr>
          <w:p w14:paraId="03C7B3FD" w14:textId="1834544D" w:rsidR="005F7478" w:rsidRPr="00D103B4" w:rsidRDefault="005F7478" w:rsidP="009D0E2C">
            <w:pPr>
              <w:autoSpaceDE w:val="0"/>
              <w:autoSpaceDN w:val="0"/>
              <w:adjustRightInd w:val="0"/>
              <w:jc w:val="both"/>
              <w:rPr>
                <w:rFonts w:cstheme="minorHAnsi"/>
                <w:color w:val="000000"/>
                <w:sz w:val="20"/>
                <w:szCs w:val="20"/>
              </w:rPr>
            </w:pPr>
            <w:r w:rsidRPr="00D103B4">
              <w:rPr>
                <w:rFonts w:cstheme="minorHAnsi"/>
                <w:sz w:val="20"/>
                <w:szCs w:val="20"/>
              </w:rPr>
              <w:t>W ocenie konsultującego projektowana zmiana art. 956 k.c. jest niepotrzebna i nie usprawni w żaden sposób utrwalania i realizacji ostatniej woli spadkodawcy, dotychczasowa regulacja w tym przedmiocie jest wyczerpująca, wprowadzenie w projektowanym § 1 pojęć niedookreślonych wywoła wyłącznie dodatkowe problemy interpretacyjne i będzie służyć podważaniu zdolności do bycia świadkiem, co podlega dużo jaśniejszej regulacji dotychczasowej.</w:t>
            </w:r>
          </w:p>
        </w:tc>
        <w:tc>
          <w:tcPr>
            <w:tcW w:w="4076" w:type="dxa"/>
          </w:tcPr>
          <w:p w14:paraId="1336E5D7" w14:textId="37A54C68" w:rsidR="00342F9B" w:rsidRPr="00F701E2" w:rsidRDefault="00335A7D" w:rsidP="009D0E2C">
            <w:pPr>
              <w:jc w:val="both"/>
              <w:rPr>
                <w:rFonts w:cstheme="minorHAnsi"/>
                <w:b/>
                <w:bCs/>
                <w:sz w:val="20"/>
                <w:szCs w:val="20"/>
              </w:rPr>
            </w:pPr>
            <w:r w:rsidRPr="00F701E2">
              <w:rPr>
                <w:rFonts w:cstheme="minorHAnsi"/>
                <w:b/>
                <w:bCs/>
                <w:sz w:val="20"/>
                <w:szCs w:val="20"/>
              </w:rPr>
              <w:t xml:space="preserve">Uwaga nieuwzględniona </w:t>
            </w:r>
          </w:p>
          <w:p w14:paraId="1F50A49D" w14:textId="4E108859" w:rsidR="00335A7D" w:rsidRPr="00D103B4" w:rsidRDefault="00335A7D" w:rsidP="009D0E2C">
            <w:pPr>
              <w:jc w:val="both"/>
              <w:rPr>
                <w:rFonts w:cstheme="minorHAnsi"/>
                <w:sz w:val="20"/>
                <w:szCs w:val="20"/>
              </w:rPr>
            </w:pPr>
            <w:r>
              <w:rPr>
                <w:rFonts w:cstheme="minorHAnsi"/>
                <w:sz w:val="20"/>
                <w:szCs w:val="20"/>
              </w:rPr>
              <w:t xml:space="preserve">Uwaga jest bardzo ogólnikowa i wyraża jedynie opinię osoby ją sporządzającej. Co do posłużenia się w art. 956 k.c. pojęciami niedookreślonymi, należy wskazać, że takowe występują również w obecnym brzmieniu przepisu. Pojęcia niedookreślone, jakkolwiek początkowo mogą powodować różnice interpretacyjne, pozwalają </w:t>
            </w:r>
            <w:r w:rsidR="006739DC">
              <w:rPr>
                <w:rFonts w:cstheme="minorHAnsi"/>
                <w:sz w:val="20"/>
                <w:szCs w:val="20"/>
              </w:rPr>
              <w:t xml:space="preserve">na elastyczne stosowanie przepisu w rozmaitych stanach faktycznych. </w:t>
            </w:r>
          </w:p>
        </w:tc>
      </w:tr>
      <w:tr w:rsidR="00937110" w:rsidRPr="00D103B4" w14:paraId="432FFE49" w14:textId="77777777" w:rsidTr="00B241C8">
        <w:trPr>
          <w:jc w:val="center"/>
        </w:trPr>
        <w:tc>
          <w:tcPr>
            <w:tcW w:w="562" w:type="dxa"/>
          </w:tcPr>
          <w:p w14:paraId="28BD0601" w14:textId="0EB2630A" w:rsidR="00937110" w:rsidRPr="00D103B4" w:rsidRDefault="00D103B4" w:rsidP="009D0E2C">
            <w:pPr>
              <w:spacing w:before="120"/>
              <w:ind w:right="-534"/>
              <w:rPr>
                <w:rFonts w:cstheme="minorHAnsi"/>
                <w:b/>
                <w:sz w:val="20"/>
                <w:szCs w:val="20"/>
              </w:rPr>
            </w:pPr>
            <w:r>
              <w:rPr>
                <w:rFonts w:cstheme="minorHAnsi"/>
                <w:b/>
                <w:sz w:val="20"/>
                <w:szCs w:val="20"/>
              </w:rPr>
              <w:t>1</w:t>
            </w:r>
            <w:r w:rsidR="00C90560">
              <w:rPr>
                <w:rFonts w:cstheme="minorHAnsi"/>
                <w:b/>
                <w:sz w:val="20"/>
                <w:szCs w:val="20"/>
              </w:rPr>
              <w:t>7</w:t>
            </w:r>
            <w:r>
              <w:rPr>
                <w:rFonts w:cstheme="minorHAnsi"/>
                <w:b/>
                <w:sz w:val="20"/>
                <w:szCs w:val="20"/>
              </w:rPr>
              <w:t>.</w:t>
            </w:r>
          </w:p>
        </w:tc>
        <w:tc>
          <w:tcPr>
            <w:tcW w:w="1843" w:type="dxa"/>
            <w:vAlign w:val="center"/>
          </w:tcPr>
          <w:p w14:paraId="65313172" w14:textId="1B2E3F22" w:rsidR="00937110" w:rsidRPr="00D103B4" w:rsidRDefault="00937110" w:rsidP="00937110">
            <w:pPr>
              <w:spacing w:before="120" w:after="120"/>
              <w:jc w:val="center"/>
              <w:rPr>
                <w:rFonts w:cstheme="minorHAnsi"/>
                <w:b/>
                <w:bCs/>
                <w:sz w:val="20"/>
                <w:szCs w:val="20"/>
              </w:rPr>
            </w:pPr>
            <w:r w:rsidRPr="00D103B4">
              <w:rPr>
                <w:rFonts w:cstheme="minorHAnsi"/>
                <w:b/>
                <w:bCs/>
                <w:sz w:val="20"/>
                <w:szCs w:val="20"/>
              </w:rPr>
              <w:t>Sąd Apelacyjny w Krakowie</w:t>
            </w:r>
          </w:p>
          <w:p w14:paraId="769C10D4" w14:textId="1AAEDEDE" w:rsidR="00937110" w:rsidRPr="00D103B4" w:rsidRDefault="00937110" w:rsidP="00937110">
            <w:pPr>
              <w:spacing w:before="120" w:after="120"/>
              <w:jc w:val="center"/>
              <w:rPr>
                <w:rFonts w:cstheme="minorHAnsi"/>
                <w:b/>
                <w:bCs/>
                <w:sz w:val="20"/>
                <w:szCs w:val="20"/>
              </w:rPr>
            </w:pPr>
            <w:r w:rsidRPr="00D103B4">
              <w:rPr>
                <w:rFonts w:cstheme="minorHAnsi"/>
                <w:sz w:val="20"/>
                <w:szCs w:val="20"/>
              </w:rPr>
              <w:t>- uwaga Sądu Rejonowego dla Krakowa-Podgórza w Krakowie</w:t>
            </w:r>
          </w:p>
        </w:tc>
        <w:tc>
          <w:tcPr>
            <w:tcW w:w="1843" w:type="dxa"/>
            <w:vAlign w:val="center"/>
          </w:tcPr>
          <w:p w14:paraId="5C3E8542" w14:textId="3E5F3383" w:rsidR="00937110" w:rsidRPr="00D103B4" w:rsidRDefault="00937110" w:rsidP="009D0E2C">
            <w:pPr>
              <w:spacing w:before="120" w:after="120"/>
              <w:jc w:val="center"/>
              <w:rPr>
                <w:rFonts w:cstheme="minorHAnsi"/>
                <w:sz w:val="20"/>
                <w:szCs w:val="20"/>
              </w:rPr>
            </w:pPr>
            <w:r w:rsidRPr="00D103B4">
              <w:rPr>
                <w:rFonts w:cstheme="minorHAnsi"/>
                <w:sz w:val="20"/>
                <w:szCs w:val="20"/>
              </w:rPr>
              <w:t>Art. 1 pkt 8 i 9 projektu (art. 956 § 2 oraz art. 957 § 1 k.c.)</w:t>
            </w:r>
          </w:p>
        </w:tc>
        <w:tc>
          <w:tcPr>
            <w:tcW w:w="5670" w:type="dxa"/>
            <w:vAlign w:val="center"/>
          </w:tcPr>
          <w:p w14:paraId="658B12B6" w14:textId="407E7239" w:rsidR="00937110" w:rsidRPr="00D103B4" w:rsidRDefault="00937110" w:rsidP="009D0E2C">
            <w:pPr>
              <w:autoSpaceDE w:val="0"/>
              <w:autoSpaceDN w:val="0"/>
              <w:adjustRightInd w:val="0"/>
              <w:jc w:val="both"/>
              <w:rPr>
                <w:rFonts w:cstheme="minorHAnsi"/>
                <w:sz w:val="20"/>
                <w:szCs w:val="20"/>
              </w:rPr>
            </w:pPr>
            <w:r w:rsidRPr="00D103B4">
              <w:rPr>
                <w:rFonts w:cstheme="minorHAnsi"/>
                <w:sz w:val="20"/>
                <w:szCs w:val="20"/>
              </w:rPr>
              <w:t>W przypadku utrwalenia testamentu ustnego w formie audio-video nie ma racjonalnych powodów, aby stosować wszystkie przyczyny wyłączenia świadków wskazane w ww. przepisach. Wyłączenia te były uzasadnione w sytuacji, gdy konieczne było przesłuchanie świadków testamentu ustnego w celu ustalenia jego treści przez sąd.</w:t>
            </w:r>
          </w:p>
        </w:tc>
        <w:tc>
          <w:tcPr>
            <w:tcW w:w="4076" w:type="dxa"/>
          </w:tcPr>
          <w:p w14:paraId="1E8EC310" w14:textId="5B710ACB" w:rsidR="00342F9B" w:rsidRPr="00F701E2" w:rsidRDefault="000F6514" w:rsidP="009D0E2C">
            <w:pPr>
              <w:jc w:val="both"/>
              <w:rPr>
                <w:rFonts w:cstheme="minorHAnsi"/>
                <w:b/>
                <w:bCs/>
                <w:sz w:val="20"/>
                <w:szCs w:val="20"/>
              </w:rPr>
            </w:pPr>
            <w:r w:rsidRPr="00F701E2">
              <w:rPr>
                <w:rFonts w:cstheme="minorHAnsi"/>
                <w:b/>
                <w:bCs/>
                <w:sz w:val="20"/>
                <w:szCs w:val="20"/>
              </w:rPr>
              <w:t xml:space="preserve">Uwaga nieuwzględniona </w:t>
            </w:r>
          </w:p>
          <w:p w14:paraId="2359B2E0" w14:textId="19E542F3" w:rsidR="000F6514" w:rsidRPr="00D103B4" w:rsidRDefault="000F6514" w:rsidP="009D0E2C">
            <w:pPr>
              <w:jc w:val="both"/>
              <w:rPr>
                <w:rFonts w:cstheme="minorHAnsi"/>
                <w:sz w:val="20"/>
                <w:szCs w:val="20"/>
              </w:rPr>
            </w:pPr>
            <w:r>
              <w:rPr>
                <w:rFonts w:cstheme="minorHAnsi"/>
                <w:sz w:val="20"/>
                <w:szCs w:val="20"/>
              </w:rPr>
              <w:t>Idąc tym tropem można by uznać</w:t>
            </w:r>
            <w:r w:rsidR="00372209">
              <w:rPr>
                <w:rFonts w:cstheme="minorHAnsi"/>
                <w:sz w:val="20"/>
                <w:szCs w:val="20"/>
              </w:rPr>
              <w:t xml:space="preserve">, że </w:t>
            </w:r>
            <w:r w:rsidR="005C2405">
              <w:rPr>
                <w:rFonts w:cstheme="minorHAnsi"/>
                <w:sz w:val="20"/>
                <w:szCs w:val="20"/>
              </w:rPr>
              <w:t xml:space="preserve">w razie utrwalenia testamentu ustnego w formie audio-wideo zbędna jest w ogóle obecność świadków. Rzecz jednak w tym, że nagranie ma służyć jedynie utrwaleniu treści testamentu ustnego, a nie zastępować roli świadków. A skoro tak, świadkami nie mogą być pewne osoby, których bezstronność mogłaby co najmniej budzić uzasadnione wątpliwości. Świadkowie mają zabezpieczać prawidłowość </w:t>
            </w:r>
            <w:r w:rsidR="0042375B">
              <w:rPr>
                <w:rFonts w:cstheme="minorHAnsi"/>
                <w:sz w:val="20"/>
                <w:szCs w:val="20"/>
              </w:rPr>
              <w:t>dokonania czynności w postaci ustnego testowania.</w:t>
            </w:r>
            <w:r w:rsidR="00B62BF7">
              <w:rPr>
                <w:rFonts w:cstheme="minorHAnsi"/>
                <w:sz w:val="20"/>
                <w:szCs w:val="20"/>
              </w:rPr>
              <w:t xml:space="preserve"> </w:t>
            </w:r>
          </w:p>
        </w:tc>
      </w:tr>
      <w:tr w:rsidR="00937110" w:rsidRPr="00D103B4" w14:paraId="17FCCB49" w14:textId="77777777" w:rsidTr="00B241C8">
        <w:trPr>
          <w:jc w:val="center"/>
        </w:trPr>
        <w:tc>
          <w:tcPr>
            <w:tcW w:w="562" w:type="dxa"/>
          </w:tcPr>
          <w:p w14:paraId="45539193" w14:textId="6C8E22FD" w:rsidR="00937110" w:rsidRPr="00D103B4" w:rsidRDefault="00D103B4" w:rsidP="009D0E2C">
            <w:pPr>
              <w:spacing w:before="120"/>
              <w:ind w:right="-534"/>
              <w:rPr>
                <w:rFonts w:cstheme="minorHAnsi"/>
                <w:b/>
                <w:sz w:val="20"/>
                <w:szCs w:val="20"/>
              </w:rPr>
            </w:pPr>
            <w:r>
              <w:rPr>
                <w:rFonts w:cstheme="minorHAnsi"/>
                <w:b/>
                <w:sz w:val="20"/>
                <w:szCs w:val="20"/>
              </w:rPr>
              <w:t>1</w:t>
            </w:r>
            <w:r w:rsidR="00C90560">
              <w:rPr>
                <w:rFonts w:cstheme="minorHAnsi"/>
                <w:b/>
                <w:sz w:val="20"/>
                <w:szCs w:val="20"/>
              </w:rPr>
              <w:t>8</w:t>
            </w:r>
            <w:r>
              <w:rPr>
                <w:rFonts w:cstheme="minorHAnsi"/>
                <w:b/>
                <w:sz w:val="20"/>
                <w:szCs w:val="20"/>
              </w:rPr>
              <w:t>.</w:t>
            </w:r>
          </w:p>
        </w:tc>
        <w:tc>
          <w:tcPr>
            <w:tcW w:w="1843" w:type="dxa"/>
            <w:vAlign w:val="center"/>
          </w:tcPr>
          <w:p w14:paraId="73126F8E" w14:textId="77777777" w:rsidR="00937110" w:rsidRPr="00D103B4" w:rsidRDefault="00937110" w:rsidP="00937110">
            <w:pPr>
              <w:spacing w:before="120" w:after="120"/>
              <w:jc w:val="center"/>
              <w:rPr>
                <w:rFonts w:cstheme="minorHAnsi"/>
                <w:b/>
                <w:bCs/>
                <w:sz w:val="20"/>
                <w:szCs w:val="20"/>
              </w:rPr>
            </w:pPr>
            <w:r w:rsidRPr="00D103B4">
              <w:rPr>
                <w:rFonts w:cstheme="minorHAnsi"/>
                <w:b/>
                <w:bCs/>
                <w:sz w:val="20"/>
                <w:szCs w:val="20"/>
              </w:rPr>
              <w:t>Sąd Apelacyjny w Krakowie</w:t>
            </w:r>
          </w:p>
          <w:p w14:paraId="32048D0B" w14:textId="254E9180" w:rsidR="00937110" w:rsidRPr="00D103B4" w:rsidRDefault="00937110" w:rsidP="00937110">
            <w:pPr>
              <w:spacing w:before="120" w:after="120"/>
              <w:jc w:val="center"/>
              <w:rPr>
                <w:rFonts w:cstheme="minorHAnsi"/>
                <w:b/>
                <w:bCs/>
                <w:sz w:val="20"/>
                <w:szCs w:val="20"/>
              </w:rPr>
            </w:pPr>
            <w:r w:rsidRPr="00D103B4">
              <w:rPr>
                <w:rFonts w:cstheme="minorHAnsi"/>
                <w:sz w:val="20"/>
                <w:szCs w:val="20"/>
              </w:rPr>
              <w:t xml:space="preserve">- uwaga Sądu Rejonowego dla </w:t>
            </w:r>
            <w:r w:rsidRPr="00D103B4">
              <w:rPr>
                <w:rFonts w:cstheme="minorHAnsi"/>
                <w:sz w:val="20"/>
                <w:szCs w:val="20"/>
              </w:rPr>
              <w:lastRenderedPageBreak/>
              <w:t>Krakowa-Podgórza w Krakowie</w:t>
            </w:r>
          </w:p>
        </w:tc>
        <w:tc>
          <w:tcPr>
            <w:tcW w:w="1843" w:type="dxa"/>
            <w:vAlign w:val="center"/>
          </w:tcPr>
          <w:p w14:paraId="73A3B443" w14:textId="7B5EEB74" w:rsidR="00937110" w:rsidRPr="00D103B4" w:rsidRDefault="00937110" w:rsidP="009D0E2C">
            <w:pPr>
              <w:spacing w:before="120" w:after="120"/>
              <w:jc w:val="center"/>
              <w:rPr>
                <w:rFonts w:cstheme="minorHAnsi"/>
                <w:sz w:val="20"/>
                <w:szCs w:val="20"/>
              </w:rPr>
            </w:pPr>
            <w:r w:rsidRPr="00D103B4">
              <w:rPr>
                <w:rFonts w:cstheme="minorHAnsi"/>
                <w:sz w:val="20"/>
                <w:szCs w:val="20"/>
              </w:rPr>
              <w:lastRenderedPageBreak/>
              <w:t>Art. 1 pkt 9 projektu (art. 957 § 1- 4 k.c.)</w:t>
            </w:r>
          </w:p>
        </w:tc>
        <w:tc>
          <w:tcPr>
            <w:tcW w:w="5670" w:type="dxa"/>
            <w:vAlign w:val="center"/>
          </w:tcPr>
          <w:p w14:paraId="6A8845E6" w14:textId="77777777" w:rsidR="00D012EC" w:rsidRPr="00D103B4" w:rsidRDefault="00D012EC" w:rsidP="00D012EC">
            <w:pPr>
              <w:pStyle w:val="Standard"/>
              <w:jc w:val="both"/>
              <w:rPr>
                <w:rFonts w:asciiTheme="minorHAnsi" w:hAnsiTheme="minorHAnsi" w:cstheme="minorHAnsi"/>
                <w:sz w:val="20"/>
                <w:szCs w:val="20"/>
              </w:rPr>
            </w:pPr>
            <w:r w:rsidRPr="00D103B4">
              <w:rPr>
                <w:rFonts w:asciiTheme="minorHAnsi" w:hAnsiTheme="minorHAnsi" w:cstheme="minorHAnsi"/>
                <w:b/>
                <w:bCs/>
                <w:sz w:val="20"/>
                <w:szCs w:val="20"/>
              </w:rPr>
              <w:t>Wyrażenie „chyba że nie wywołuje to uzasadnionych wątpliwości co do bezstronności” nasuwa zastrzeżenia.</w:t>
            </w:r>
          </w:p>
          <w:p w14:paraId="6A47634D" w14:textId="0B462E9C" w:rsidR="00937110" w:rsidRPr="00D103B4" w:rsidRDefault="00D012EC" w:rsidP="00D012EC">
            <w:pPr>
              <w:autoSpaceDE w:val="0"/>
              <w:autoSpaceDN w:val="0"/>
              <w:adjustRightInd w:val="0"/>
              <w:jc w:val="both"/>
              <w:rPr>
                <w:rFonts w:cstheme="minorHAnsi"/>
                <w:sz w:val="20"/>
                <w:szCs w:val="20"/>
              </w:rPr>
            </w:pPr>
            <w:r w:rsidRPr="00D103B4">
              <w:rPr>
                <w:rFonts w:cstheme="minorHAnsi"/>
                <w:sz w:val="20"/>
                <w:szCs w:val="20"/>
              </w:rPr>
              <w:t>„Bezstronność” (czyli nieopowiadanie się po żadnej ze stron zajmujących różne stanowiska) jawi się jako wyraz nieadekwatny: bezstronność z reguły nie występuje w przypadku spraw dotyczących osoby bliskiej, jest przy tym przymiotem raczej sędziego niż świadka. Wydaje się, że</w:t>
            </w:r>
            <w:r w:rsidR="00B62BF7">
              <w:rPr>
                <w:rFonts w:cstheme="minorHAnsi"/>
                <w:sz w:val="20"/>
                <w:szCs w:val="20"/>
              </w:rPr>
              <w:t xml:space="preserve"> </w:t>
            </w:r>
            <w:r w:rsidRPr="00D103B4">
              <w:rPr>
                <w:rFonts w:cstheme="minorHAnsi"/>
                <w:sz w:val="20"/>
                <w:szCs w:val="20"/>
              </w:rPr>
              <w:t xml:space="preserve">rozstrzygający powinien tu być </w:t>
            </w:r>
            <w:r w:rsidRPr="00D103B4">
              <w:rPr>
                <w:rFonts w:cstheme="minorHAnsi"/>
                <w:sz w:val="20"/>
                <w:szCs w:val="20"/>
              </w:rPr>
              <w:lastRenderedPageBreak/>
              <w:t>brak korzyści czy też interesu świadka w sporządzeniu testamentu danej treści.</w:t>
            </w:r>
          </w:p>
        </w:tc>
        <w:tc>
          <w:tcPr>
            <w:tcW w:w="4076" w:type="dxa"/>
          </w:tcPr>
          <w:p w14:paraId="288A35A4" w14:textId="1AB805DC" w:rsidR="0042375B" w:rsidRPr="000660EA" w:rsidRDefault="00342F9B" w:rsidP="009D0E2C">
            <w:pPr>
              <w:jc w:val="both"/>
              <w:rPr>
                <w:rFonts w:cstheme="minorHAnsi"/>
                <w:b/>
                <w:bCs/>
                <w:sz w:val="20"/>
                <w:szCs w:val="20"/>
              </w:rPr>
            </w:pPr>
            <w:r w:rsidRPr="00F701E2">
              <w:rPr>
                <w:rFonts w:cstheme="minorHAnsi"/>
                <w:b/>
                <w:bCs/>
                <w:sz w:val="20"/>
                <w:szCs w:val="20"/>
              </w:rPr>
              <w:lastRenderedPageBreak/>
              <w:t xml:space="preserve">Uwaga nieuwzględniona </w:t>
            </w:r>
          </w:p>
          <w:p w14:paraId="57A6480A" w14:textId="27486C45" w:rsidR="001001FD" w:rsidRDefault="001001FD" w:rsidP="001001FD">
            <w:pPr>
              <w:jc w:val="both"/>
              <w:rPr>
                <w:rFonts w:cstheme="minorHAnsi"/>
                <w:sz w:val="20"/>
                <w:szCs w:val="20"/>
              </w:rPr>
            </w:pPr>
            <w:r w:rsidRPr="00307896">
              <w:rPr>
                <w:rFonts w:cstheme="minorHAnsi"/>
                <w:bCs/>
                <w:sz w:val="20"/>
                <w:szCs w:val="20"/>
              </w:rPr>
              <w:t xml:space="preserve">Proponowane rozwiązanie wynika z celowej decyzji </w:t>
            </w:r>
            <w:r w:rsidRPr="00307896">
              <w:rPr>
                <w:rFonts w:cstheme="minorHAnsi"/>
                <w:sz w:val="20"/>
                <w:szCs w:val="20"/>
              </w:rPr>
              <w:t>Zespołu problemowego do spraw prawa spadkowego Komisji Kodyfikacyjnej Prawa Cywilnego</w:t>
            </w:r>
            <w:r w:rsidRPr="00D05746">
              <w:rPr>
                <w:rFonts w:cstheme="minorHAnsi"/>
                <w:sz w:val="20"/>
                <w:szCs w:val="20"/>
              </w:rPr>
              <w:t xml:space="preserve">. </w:t>
            </w:r>
            <w:r w:rsidRPr="004F0B65">
              <w:rPr>
                <w:rFonts w:cstheme="minorHAnsi"/>
                <w:sz w:val="20"/>
                <w:szCs w:val="20"/>
              </w:rPr>
              <w:t>Zagadnienie zostało wyjaśnione szerzej w uzasadnieniu projektu.</w:t>
            </w:r>
            <w:r w:rsidR="00D05746">
              <w:rPr>
                <w:rFonts w:cstheme="minorHAnsi"/>
                <w:sz w:val="20"/>
                <w:szCs w:val="20"/>
              </w:rPr>
              <w:t xml:space="preserve"> Zgodnie z Wielkim Słownikiem Języka polskiego </w:t>
            </w:r>
            <w:r w:rsidR="00D05746">
              <w:rPr>
                <w:rFonts w:cstheme="minorHAnsi"/>
                <w:sz w:val="20"/>
                <w:szCs w:val="20"/>
              </w:rPr>
              <w:lastRenderedPageBreak/>
              <w:t xml:space="preserve">„bezstronność” to </w:t>
            </w:r>
            <w:r w:rsidR="00D05746" w:rsidRPr="00D05746">
              <w:rPr>
                <w:rFonts w:cstheme="minorHAnsi"/>
                <w:sz w:val="20"/>
                <w:szCs w:val="20"/>
              </w:rPr>
              <w:t>postawa polegająca na przedstawianiu lub ocenianiu czegoś zgodnie z faktami i bez opowiadania się po żadnej ze stron zajmujących różne stanowiska</w:t>
            </w:r>
            <w:r w:rsidR="00D05746">
              <w:rPr>
                <w:rFonts w:cstheme="minorHAnsi"/>
                <w:sz w:val="20"/>
                <w:szCs w:val="20"/>
              </w:rPr>
              <w:t xml:space="preserve">. Może ona także odnosić się do świadka testamentu, tak jak odnosić się może np. do biegłego (por. art. 282 </w:t>
            </w:r>
            <w:r w:rsidR="00D05746" w:rsidRPr="00D05746">
              <w:rPr>
                <w:rFonts w:cstheme="minorHAnsi"/>
                <w:sz w:val="20"/>
                <w:szCs w:val="20"/>
              </w:rPr>
              <w:t>§  1</w:t>
            </w:r>
            <w:r w:rsidR="00D05746">
              <w:rPr>
                <w:rFonts w:cstheme="minorHAnsi"/>
                <w:sz w:val="20"/>
                <w:szCs w:val="20"/>
              </w:rPr>
              <w:t xml:space="preserve"> k.p.c.).</w:t>
            </w:r>
          </w:p>
          <w:p w14:paraId="212692C8" w14:textId="77777777" w:rsidR="001001FD" w:rsidRDefault="001001FD" w:rsidP="001001FD">
            <w:pPr>
              <w:jc w:val="both"/>
              <w:rPr>
                <w:rFonts w:cstheme="minorHAnsi"/>
                <w:sz w:val="20"/>
                <w:szCs w:val="20"/>
              </w:rPr>
            </w:pPr>
          </w:p>
          <w:p w14:paraId="5FD9D2C1" w14:textId="42F2574C" w:rsidR="001001FD" w:rsidRDefault="00D05746" w:rsidP="001001FD">
            <w:pPr>
              <w:spacing w:line="276" w:lineRule="auto"/>
              <w:jc w:val="both"/>
              <w:rPr>
                <w:rFonts w:cstheme="minorHAnsi"/>
                <w:sz w:val="20"/>
                <w:szCs w:val="20"/>
              </w:rPr>
            </w:pPr>
            <w:r>
              <w:rPr>
                <w:rFonts w:cstheme="minorHAnsi"/>
                <w:sz w:val="20"/>
                <w:szCs w:val="20"/>
              </w:rPr>
              <w:t>Podkreślić należy, że w</w:t>
            </w:r>
            <w:r w:rsidR="001001FD" w:rsidRPr="00307896">
              <w:rPr>
                <w:rFonts w:cstheme="minorHAnsi"/>
                <w:sz w:val="20"/>
                <w:szCs w:val="20"/>
              </w:rPr>
              <w:t xml:space="preserve"> </w:t>
            </w:r>
            <w:r w:rsidR="001001FD" w:rsidRPr="00BE78C6">
              <w:rPr>
                <w:rFonts w:cstheme="minorHAnsi"/>
                <w:sz w:val="20"/>
                <w:szCs w:val="20"/>
              </w:rPr>
              <w:t>wypadkach określonych w art. 957 § 1</w:t>
            </w:r>
            <w:r w:rsidR="001001FD">
              <w:rPr>
                <w:rFonts w:cstheme="minorHAnsi"/>
                <w:sz w:val="20"/>
                <w:szCs w:val="20"/>
              </w:rPr>
              <w:t xml:space="preserve"> i</w:t>
            </w:r>
            <w:r w:rsidR="001001FD" w:rsidRPr="00BE78C6">
              <w:rPr>
                <w:rFonts w:cstheme="minorHAnsi"/>
                <w:sz w:val="20"/>
                <w:szCs w:val="20"/>
              </w:rPr>
              <w:t xml:space="preserve"> 2 k.c. </w:t>
            </w:r>
            <w:r w:rsidR="001001FD">
              <w:rPr>
                <w:rFonts w:cstheme="minorHAnsi"/>
                <w:sz w:val="20"/>
                <w:szCs w:val="20"/>
              </w:rPr>
              <w:t>może</w:t>
            </w:r>
            <w:r w:rsidR="001001FD" w:rsidRPr="00BE78C6">
              <w:rPr>
                <w:rFonts w:cstheme="minorHAnsi"/>
                <w:sz w:val="20"/>
                <w:szCs w:val="20"/>
              </w:rPr>
              <w:t xml:space="preserve"> istnieć faktycznie brak jakichkolwiek wątpliwości co do bezstronności danego świadka, </w:t>
            </w:r>
            <w:r w:rsidR="001001FD">
              <w:rPr>
                <w:rFonts w:cstheme="minorHAnsi"/>
                <w:sz w:val="20"/>
                <w:szCs w:val="20"/>
              </w:rPr>
              <w:t>co oznacza</w:t>
            </w:r>
            <w:r w:rsidR="001001FD" w:rsidRPr="00BE78C6">
              <w:rPr>
                <w:rFonts w:cstheme="minorHAnsi"/>
                <w:sz w:val="20"/>
                <w:szCs w:val="20"/>
              </w:rPr>
              <w:t>, że mimo otrzymania przez niego lub jakąkolwiek inną osobę mu potencjalnie bliską korzyści ze spadku może być on jednak świadkiem testamentu.</w:t>
            </w:r>
            <w:r w:rsidR="001001FD">
              <w:rPr>
                <w:rFonts w:cstheme="minorHAnsi"/>
                <w:sz w:val="20"/>
                <w:szCs w:val="20"/>
              </w:rPr>
              <w:t xml:space="preserve"> Przykładem może być w tym zakresie </w:t>
            </w:r>
            <w:r w:rsidR="001001FD" w:rsidRPr="00BE78C6">
              <w:rPr>
                <w:rFonts w:cstheme="minorHAnsi"/>
                <w:sz w:val="20"/>
                <w:szCs w:val="20"/>
              </w:rPr>
              <w:t>powołani</w:t>
            </w:r>
            <w:r w:rsidR="001001FD">
              <w:rPr>
                <w:rFonts w:cstheme="minorHAnsi"/>
                <w:sz w:val="20"/>
                <w:szCs w:val="20"/>
              </w:rPr>
              <w:t>e takiej osoby</w:t>
            </w:r>
            <w:r w:rsidR="001001FD" w:rsidRPr="00BE78C6">
              <w:rPr>
                <w:rFonts w:cstheme="minorHAnsi"/>
                <w:sz w:val="20"/>
                <w:szCs w:val="20"/>
              </w:rPr>
              <w:t xml:space="preserve"> do bycia wykonawcą testamentu</w:t>
            </w:r>
            <w:r w:rsidR="001001FD">
              <w:rPr>
                <w:rFonts w:cstheme="minorHAnsi"/>
                <w:sz w:val="20"/>
                <w:szCs w:val="20"/>
              </w:rPr>
              <w:t xml:space="preserve">. </w:t>
            </w:r>
          </w:p>
          <w:p w14:paraId="4277169F" w14:textId="77777777" w:rsidR="001001FD" w:rsidRDefault="001001FD" w:rsidP="001001FD">
            <w:pPr>
              <w:spacing w:line="276" w:lineRule="auto"/>
              <w:jc w:val="both"/>
              <w:rPr>
                <w:rFonts w:cstheme="minorHAnsi"/>
                <w:sz w:val="20"/>
                <w:szCs w:val="20"/>
              </w:rPr>
            </w:pPr>
          </w:p>
          <w:p w14:paraId="4FB96FA4" w14:textId="20C582EB" w:rsidR="001001FD" w:rsidRPr="00D103B4" w:rsidRDefault="00D05746" w:rsidP="000660EA">
            <w:pPr>
              <w:spacing w:line="276" w:lineRule="auto"/>
              <w:jc w:val="both"/>
              <w:rPr>
                <w:rFonts w:cstheme="minorHAnsi"/>
                <w:sz w:val="20"/>
                <w:szCs w:val="20"/>
              </w:rPr>
            </w:pPr>
            <w:r>
              <w:rPr>
                <w:rFonts w:cstheme="minorHAnsi"/>
                <w:sz w:val="20"/>
                <w:szCs w:val="20"/>
              </w:rPr>
              <w:t xml:space="preserve">Przyjęte przez </w:t>
            </w:r>
            <w:r w:rsidR="00DA74A6">
              <w:rPr>
                <w:rFonts w:cstheme="minorHAnsi"/>
                <w:sz w:val="20"/>
                <w:szCs w:val="20"/>
              </w:rPr>
              <w:t>Zespół</w:t>
            </w:r>
            <w:r w:rsidR="00DA74A6" w:rsidRPr="00DA74A6">
              <w:rPr>
                <w:rFonts w:cstheme="minorHAnsi"/>
                <w:sz w:val="20"/>
                <w:szCs w:val="20"/>
              </w:rPr>
              <w:t xml:space="preserve"> rozwiązanie umożliwia również odstąpienie od definiowania w przepisie tego, na czym miałaby polegać taka „korzyść” otrzymywana ze spadku przez świadka lub osobę z nim związaną oraz tego, czy powinna mieć ona majątkowy, czy niemajątkowy charakter.</w:t>
            </w:r>
          </w:p>
        </w:tc>
      </w:tr>
      <w:tr w:rsidR="00D012EC" w:rsidRPr="00D103B4" w14:paraId="5B110337" w14:textId="77777777" w:rsidTr="00B241C8">
        <w:trPr>
          <w:jc w:val="center"/>
        </w:trPr>
        <w:tc>
          <w:tcPr>
            <w:tcW w:w="562" w:type="dxa"/>
          </w:tcPr>
          <w:p w14:paraId="1E4928CC" w14:textId="23E13222" w:rsidR="00D012EC" w:rsidRPr="00D103B4" w:rsidRDefault="00C90560" w:rsidP="009D0E2C">
            <w:pPr>
              <w:spacing w:before="120"/>
              <w:ind w:right="-534"/>
              <w:rPr>
                <w:rFonts w:cstheme="minorHAnsi"/>
                <w:b/>
                <w:sz w:val="20"/>
                <w:szCs w:val="20"/>
              </w:rPr>
            </w:pPr>
            <w:r>
              <w:rPr>
                <w:rFonts w:cstheme="minorHAnsi"/>
                <w:b/>
                <w:sz w:val="20"/>
                <w:szCs w:val="20"/>
              </w:rPr>
              <w:lastRenderedPageBreak/>
              <w:t>19</w:t>
            </w:r>
            <w:r w:rsidR="00D103B4">
              <w:rPr>
                <w:rFonts w:cstheme="minorHAnsi"/>
                <w:b/>
                <w:sz w:val="20"/>
                <w:szCs w:val="20"/>
              </w:rPr>
              <w:t>.</w:t>
            </w:r>
          </w:p>
        </w:tc>
        <w:tc>
          <w:tcPr>
            <w:tcW w:w="1843" w:type="dxa"/>
            <w:vAlign w:val="center"/>
          </w:tcPr>
          <w:p w14:paraId="1C463147" w14:textId="77777777" w:rsidR="00D012EC" w:rsidRPr="00D103B4" w:rsidRDefault="00D012EC" w:rsidP="00D012EC">
            <w:pPr>
              <w:spacing w:before="120" w:after="120"/>
              <w:jc w:val="center"/>
              <w:rPr>
                <w:rFonts w:cstheme="minorHAnsi"/>
                <w:b/>
                <w:bCs/>
                <w:sz w:val="20"/>
                <w:szCs w:val="20"/>
              </w:rPr>
            </w:pPr>
            <w:r w:rsidRPr="00D103B4">
              <w:rPr>
                <w:rFonts w:cstheme="minorHAnsi"/>
                <w:b/>
                <w:bCs/>
                <w:sz w:val="20"/>
                <w:szCs w:val="20"/>
              </w:rPr>
              <w:t>Sąd Apelacyjny w Krakowie</w:t>
            </w:r>
          </w:p>
          <w:p w14:paraId="77AEDCA5" w14:textId="4BDD447D" w:rsidR="00D012EC" w:rsidRPr="00D103B4" w:rsidRDefault="00D012EC" w:rsidP="00D012EC">
            <w:pPr>
              <w:spacing w:before="120" w:after="120"/>
              <w:jc w:val="center"/>
              <w:rPr>
                <w:rFonts w:cstheme="minorHAnsi"/>
                <w:b/>
                <w:bCs/>
                <w:sz w:val="20"/>
                <w:szCs w:val="20"/>
              </w:rPr>
            </w:pPr>
            <w:r w:rsidRPr="00D103B4">
              <w:rPr>
                <w:rFonts w:cstheme="minorHAnsi"/>
                <w:sz w:val="20"/>
                <w:szCs w:val="20"/>
              </w:rPr>
              <w:t>- uwaga Sądu Rejonowego dla Krakowa-Podgórza w Krakowie</w:t>
            </w:r>
          </w:p>
        </w:tc>
        <w:tc>
          <w:tcPr>
            <w:tcW w:w="1843" w:type="dxa"/>
            <w:vAlign w:val="center"/>
          </w:tcPr>
          <w:p w14:paraId="0A538B2C" w14:textId="3D6FDCC4" w:rsidR="00D012EC" w:rsidRPr="00D103B4" w:rsidRDefault="00D012EC" w:rsidP="009D0E2C">
            <w:pPr>
              <w:spacing w:before="120" w:after="120"/>
              <w:jc w:val="center"/>
              <w:rPr>
                <w:rFonts w:cstheme="minorHAnsi"/>
                <w:sz w:val="20"/>
                <w:szCs w:val="20"/>
              </w:rPr>
            </w:pPr>
            <w:r w:rsidRPr="00D103B4">
              <w:rPr>
                <w:rFonts w:cstheme="minorHAnsi"/>
                <w:sz w:val="20"/>
                <w:szCs w:val="20"/>
              </w:rPr>
              <w:t>Art. 1 pkt 9 projektu (art. 957 § 3 k.c.)</w:t>
            </w:r>
          </w:p>
        </w:tc>
        <w:tc>
          <w:tcPr>
            <w:tcW w:w="5670" w:type="dxa"/>
            <w:vAlign w:val="center"/>
          </w:tcPr>
          <w:p w14:paraId="420ED9BF" w14:textId="40E29024" w:rsidR="00D012EC" w:rsidRPr="00D103B4" w:rsidRDefault="00D012EC" w:rsidP="00D012EC">
            <w:pPr>
              <w:pStyle w:val="Standard"/>
              <w:jc w:val="both"/>
              <w:rPr>
                <w:rFonts w:asciiTheme="minorHAnsi" w:hAnsiTheme="minorHAnsi" w:cstheme="minorHAnsi"/>
                <w:b/>
                <w:bCs/>
                <w:sz w:val="20"/>
                <w:szCs w:val="20"/>
              </w:rPr>
            </w:pPr>
            <w:r w:rsidRPr="00D103B4">
              <w:rPr>
                <w:rFonts w:asciiTheme="minorHAnsi" w:hAnsiTheme="minorHAnsi" w:cstheme="minorHAnsi"/>
                <w:sz w:val="20"/>
                <w:szCs w:val="20"/>
              </w:rPr>
              <w:t>Przepis ten w zasadzie wyłącza potrzebę regulacji zawartej w art. 957 § 2.</w:t>
            </w:r>
          </w:p>
        </w:tc>
        <w:tc>
          <w:tcPr>
            <w:tcW w:w="4076" w:type="dxa"/>
          </w:tcPr>
          <w:p w14:paraId="290AE205" w14:textId="543C3B79" w:rsidR="00D012EC" w:rsidRDefault="00342F9B" w:rsidP="009D0E2C">
            <w:pPr>
              <w:jc w:val="both"/>
              <w:rPr>
                <w:rFonts w:cstheme="minorHAnsi"/>
                <w:b/>
                <w:bCs/>
                <w:sz w:val="20"/>
                <w:szCs w:val="20"/>
              </w:rPr>
            </w:pPr>
            <w:r w:rsidRPr="00F701E2">
              <w:rPr>
                <w:rFonts w:cstheme="minorHAnsi"/>
                <w:b/>
                <w:bCs/>
                <w:sz w:val="20"/>
                <w:szCs w:val="20"/>
              </w:rPr>
              <w:t xml:space="preserve">Uwaga nieuwzględniona </w:t>
            </w:r>
          </w:p>
          <w:p w14:paraId="4EC44828" w14:textId="25C28373" w:rsidR="00342F9B" w:rsidRPr="000660EA" w:rsidRDefault="00342F9B" w:rsidP="009D0E2C">
            <w:pPr>
              <w:jc w:val="both"/>
              <w:rPr>
                <w:rFonts w:cstheme="minorHAnsi"/>
                <w:sz w:val="20"/>
                <w:szCs w:val="20"/>
              </w:rPr>
            </w:pPr>
            <w:r w:rsidRPr="004F0B65">
              <w:rPr>
                <w:rFonts w:cstheme="minorHAnsi"/>
                <w:bCs/>
                <w:sz w:val="20"/>
                <w:szCs w:val="20"/>
              </w:rPr>
              <w:t xml:space="preserve">Proponowane rozwiązanie wynika z celowej decyzji </w:t>
            </w:r>
            <w:r w:rsidRPr="004F0B65">
              <w:rPr>
                <w:rFonts w:cstheme="minorHAnsi"/>
                <w:sz w:val="20"/>
                <w:szCs w:val="20"/>
              </w:rPr>
              <w:t>Zespołu problemowego do spraw prawa spadkowego Komisji Kodyfikacyjnej Prawa Cywilnego.</w:t>
            </w:r>
            <w:r w:rsidR="00B62BF7">
              <w:rPr>
                <w:rFonts w:cstheme="minorHAnsi"/>
                <w:sz w:val="20"/>
                <w:szCs w:val="20"/>
              </w:rPr>
              <w:t xml:space="preserve"> </w:t>
            </w:r>
            <w:r w:rsidRPr="00342F9B">
              <w:rPr>
                <w:rFonts w:cstheme="minorHAnsi"/>
                <w:sz w:val="20"/>
                <w:szCs w:val="20"/>
              </w:rPr>
              <w:t xml:space="preserve">W art. 957 § 3 k.c. zdecydowano się zastosować pojęcie „uzasadnionych wątpliwości”, które występuje w Kodeksie postępowania cywilnego m.in. w odniesieniu do wyłączenia sędziego (art. 49 § 2 k.p.c.) lub arbitra (art. 1174 § 2 k.p.c.), aby odróżnić tę sytuację, od przypadków objętych art. 957 § 1, </w:t>
            </w:r>
            <w:r w:rsidR="00286631" w:rsidRPr="00B131C0">
              <w:rPr>
                <w:rFonts w:cstheme="minorHAnsi"/>
                <w:sz w:val="20"/>
                <w:szCs w:val="20"/>
              </w:rPr>
              <w:t>§</w:t>
            </w:r>
            <w:r w:rsidR="00286631">
              <w:rPr>
                <w:rFonts w:cstheme="minorHAnsi"/>
                <w:sz w:val="20"/>
                <w:szCs w:val="20"/>
              </w:rPr>
              <w:t xml:space="preserve"> </w:t>
            </w:r>
            <w:r w:rsidRPr="00342F9B">
              <w:rPr>
                <w:rFonts w:cstheme="minorHAnsi"/>
                <w:sz w:val="20"/>
                <w:szCs w:val="20"/>
              </w:rPr>
              <w:t xml:space="preserve">2 i </w:t>
            </w:r>
            <w:r w:rsidR="00286631" w:rsidRPr="00B131C0">
              <w:rPr>
                <w:rFonts w:cstheme="minorHAnsi"/>
                <w:sz w:val="20"/>
                <w:szCs w:val="20"/>
              </w:rPr>
              <w:t>§</w:t>
            </w:r>
            <w:r w:rsidR="00286631">
              <w:rPr>
                <w:rFonts w:cstheme="minorHAnsi"/>
                <w:sz w:val="20"/>
                <w:szCs w:val="20"/>
              </w:rPr>
              <w:t xml:space="preserve"> </w:t>
            </w:r>
            <w:r w:rsidRPr="00342F9B">
              <w:rPr>
                <w:rFonts w:cstheme="minorHAnsi"/>
                <w:sz w:val="20"/>
                <w:szCs w:val="20"/>
              </w:rPr>
              <w:t xml:space="preserve">4 k.c. Na tle art. 957 § 3 k.c., to osoba powołująca się na wyłączenie danej osoby od bycia świadkiem, powinna wykazać co do niej „uzasadnione wątpliwości”. Natomiast w wypadkach określonych w art. 957 § 1, </w:t>
            </w:r>
            <w:r w:rsidR="00286631" w:rsidRPr="00B131C0">
              <w:rPr>
                <w:rFonts w:cstheme="minorHAnsi"/>
                <w:sz w:val="20"/>
                <w:szCs w:val="20"/>
              </w:rPr>
              <w:t>§</w:t>
            </w:r>
            <w:r w:rsidR="00286631">
              <w:rPr>
                <w:rFonts w:cstheme="minorHAnsi"/>
                <w:sz w:val="20"/>
                <w:szCs w:val="20"/>
              </w:rPr>
              <w:t xml:space="preserve"> </w:t>
            </w:r>
            <w:r w:rsidRPr="00342F9B">
              <w:rPr>
                <w:rFonts w:cstheme="minorHAnsi"/>
                <w:sz w:val="20"/>
                <w:szCs w:val="20"/>
              </w:rPr>
              <w:t xml:space="preserve">2 i </w:t>
            </w:r>
            <w:r w:rsidR="00286631" w:rsidRPr="00B131C0">
              <w:rPr>
                <w:rFonts w:cstheme="minorHAnsi"/>
                <w:sz w:val="20"/>
                <w:szCs w:val="20"/>
              </w:rPr>
              <w:t>§</w:t>
            </w:r>
            <w:r w:rsidR="00286631">
              <w:rPr>
                <w:rFonts w:cstheme="minorHAnsi"/>
                <w:sz w:val="20"/>
                <w:szCs w:val="20"/>
              </w:rPr>
              <w:t xml:space="preserve"> </w:t>
            </w:r>
            <w:r w:rsidRPr="00342F9B">
              <w:rPr>
                <w:rFonts w:cstheme="minorHAnsi"/>
                <w:sz w:val="20"/>
                <w:szCs w:val="20"/>
              </w:rPr>
              <w:t xml:space="preserve">4 k.c. powinien istnieć faktycznie „brak jakichkolwiek wątpliwości” co do bezstronności danego świadka, aby uznać, że mimo otrzymania przez niego lub jakąkolwiek inną osobę mu potencjalnie bliską korzyści ze spadku (np. powołania do bycia wykonawcą testamentu) może być on jednak świadkiem testamentu. Ciężar udowodnienia braku takich wątpliwości nałożony jest bowiem na ten podmiot, który wywodzi z tego faktu skutki prawne. </w:t>
            </w:r>
          </w:p>
        </w:tc>
      </w:tr>
      <w:tr w:rsidR="0045430C" w:rsidRPr="00D103B4" w14:paraId="7525B0BA" w14:textId="77777777" w:rsidTr="00B241C8">
        <w:trPr>
          <w:jc w:val="center"/>
        </w:trPr>
        <w:tc>
          <w:tcPr>
            <w:tcW w:w="562" w:type="dxa"/>
          </w:tcPr>
          <w:p w14:paraId="155922D2" w14:textId="114CFD53" w:rsidR="0045430C" w:rsidRPr="00D103B4" w:rsidRDefault="00D103B4" w:rsidP="009D0E2C">
            <w:pPr>
              <w:spacing w:before="120" w:line="276" w:lineRule="auto"/>
              <w:ind w:right="-534"/>
              <w:rPr>
                <w:rFonts w:cstheme="minorHAnsi"/>
                <w:b/>
                <w:sz w:val="20"/>
                <w:szCs w:val="20"/>
              </w:rPr>
            </w:pPr>
            <w:r>
              <w:rPr>
                <w:rFonts w:cstheme="minorHAnsi"/>
                <w:b/>
                <w:sz w:val="20"/>
                <w:szCs w:val="20"/>
              </w:rPr>
              <w:t>2</w:t>
            </w:r>
            <w:r w:rsidR="00C90560">
              <w:rPr>
                <w:rFonts w:cstheme="minorHAnsi"/>
                <w:b/>
                <w:sz w:val="20"/>
                <w:szCs w:val="20"/>
              </w:rPr>
              <w:t>0</w:t>
            </w:r>
            <w:r w:rsidR="0045430C" w:rsidRPr="00D103B4">
              <w:rPr>
                <w:rFonts w:cstheme="minorHAnsi"/>
                <w:b/>
                <w:sz w:val="20"/>
                <w:szCs w:val="20"/>
              </w:rPr>
              <w:t>.</w:t>
            </w:r>
          </w:p>
        </w:tc>
        <w:tc>
          <w:tcPr>
            <w:tcW w:w="1843" w:type="dxa"/>
            <w:vAlign w:val="center"/>
          </w:tcPr>
          <w:p w14:paraId="179980E6" w14:textId="7A6A6AAD" w:rsidR="0045430C" w:rsidRPr="00D103B4" w:rsidRDefault="0045430C" w:rsidP="009D0E2C">
            <w:pPr>
              <w:spacing w:before="120" w:after="120" w:line="276" w:lineRule="auto"/>
              <w:jc w:val="center"/>
              <w:rPr>
                <w:rFonts w:cstheme="minorHAnsi"/>
                <w:b/>
                <w:bCs/>
                <w:sz w:val="20"/>
                <w:szCs w:val="20"/>
              </w:rPr>
            </w:pPr>
            <w:r w:rsidRPr="00D103B4">
              <w:rPr>
                <w:rFonts w:cstheme="minorHAnsi"/>
                <w:b/>
                <w:bCs/>
                <w:sz w:val="20"/>
                <w:szCs w:val="20"/>
              </w:rPr>
              <w:t xml:space="preserve">Ośrodek Badań, Studiów i Legislacji </w:t>
            </w:r>
            <w:r w:rsidRPr="00D103B4">
              <w:rPr>
                <w:rFonts w:cstheme="minorHAnsi"/>
                <w:b/>
                <w:bCs/>
                <w:sz w:val="20"/>
                <w:szCs w:val="20"/>
              </w:rPr>
              <w:lastRenderedPageBreak/>
              <w:t>Krajowej Rady Radców Prawnych</w:t>
            </w:r>
          </w:p>
        </w:tc>
        <w:tc>
          <w:tcPr>
            <w:tcW w:w="1843" w:type="dxa"/>
            <w:vAlign w:val="center"/>
          </w:tcPr>
          <w:p w14:paraId="76F2AA47" w14:textId="001630DF" w:rsidR="0045430C" w:rsidRPr="00D103B4" w:rsidRDefault="0045430C" w:rsidP="009D0E2C">
            <w:pPr>
              <w:spacing w:before="120" w:after="120" w:line="276" w:lineRule="auto"/>
              <w:jc w:val="center"/>
              <w:rPr>
                <w:rFonts w:cstheme="minorHAnsi"/>
                <w:sz w:val="20"/>
                <w:szCs w:val="20"/>
              </w:rPr>
            </w:pPr>
            <w:r w:rsidRPr="00D103B4">
              <w:rPr>
                <w:rFonts w:cstheme="minorHAnsi"/>
                <w:sz w:val="20"/>
                <w:szCs w:val="20"/>
              </w:rPr>
              <w:lastRenderedPageBreak/>
              <w:t>Art. 1 pkt 9 projektu</w:t>
            </w:r>
            <w:r w:rsidR="00A973DE" w:rsidRPr="00D103B4">
              <w:rPr>
                <w:rFonts w:cstheme="minorHAnsi"/>
                <w:sz w:val="20"/>
                <w:szCs w:val="20"/>
              </w:rPr>
              <w:t xml:space="preserve"> (art. 957 </w:t>
            </w:r>
            <w:r w:rsidR="00420339" w:rsidRPr="00D103B4">
              <w:rPr>
                <w:rFonts w:cstheme="minorHAnsi"/>
                <w:sz w:val="20"/>
                <w:szCs w:val="20"/>
              </w:rPr>
              <w:t xml:space="preserve">§ 4 </w:t>
            </w:r>
            <w:r w:rsidR="00A973DE" w:rsidRPr="00D103B4">
              <w:rPr>
                <w:rFonts w:cstheme="minorHAnsi"/>
                <w:sz w:val="20"/>
                <w:szCs w:val="20"/>
              </w:rPr>
              <w:t>k.c.)</w:t>
            </w:r>
          </w:p>
        </w:tc>
        <w:tc>
          <w:tcPr>
            <w:tcW w:w="5670" w:type="dxa"/>
            <w:vAlign w:val="center"/>
          </w:tcPr>
          <w:p w14:paraId="615CE875" w14:textId="77777777" w:rsidR="0045430C" w:rsidRPr="00D103B4" w:rsidRDefault="0045430C" w:rsidP="009D0E2C">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Wątpliwości budzi proponowane w art. 1 pkt 9 Projektu brzmienie art. 957 § 4 k.c. w zakresie, w jakim określono w nim relację osoby niemogącej być świadkiem testamentu z osobą prawną lub jednostką organizacyjną określoną w art. 33</w:t>
            </w:r>
            <w:r w:rsidRPr="00D103B4">
              <w:rPr>
                <w:rFonts w:cstheme="minorHAnsi"/>
                <w:color w:val="000000"/>
                <w:sz w:val="20"/>
                <w:szCs w:val="20"/>
                <w:vertAlign w:val="superscript"/>
              </w:rPr>
              <w:t>1</w:t>
            </w:r>
            <w:r w:rsidRPr="00D103B4">
              <w:rPr>
                <w:rFonts w:cstheme="minorHAnsi"/>
                <w:color w:val="000000"/>
                <w:sz w:val="20"/>
                <w:szCs w:val="20"/>
              </w:rPr>
              <w:t xml:space="preserve"> k.c., dla której została </w:t>
            </w:r>
            <w:r w:rsidRPr="00D103B4">
              <w:rPr>
                <w:rFonts w:cstheme="minorHAnsi"/>
                <w:color w:val="000000"/>
                <w:sz w:val="20"/>
                <w:szCs w:val="20"/>
              </w:rPr>
              <w:lastRenderedPageBreak/>
              <w:t xml:space="preserve">przewidziana korzyść w testamencie. </w:t>
            </w:r>
            <w:r w:rsidRPr="004A26B5">
              <w:rPr>
                <w:rFonts w:cstheme="minorHAnsi"/>
                <w:b/>
                <w:bCs/>
                <w:color w:val="000000"/>
                <w:sz w:val="20"/>
                <w:szCs w:val="20"/>
              </w:rPr>
              <w:t>Określenie tej relacji za pomocą „powiązania” świadka z osobą prawną lub jednostką organizacyjną określoną w art. 33</w:t>
            </w:r>
            <w:r w:rsidRPr="004A26B5">
              <w:rPr>
                <w:rFonts w:cstheme="minorHAnsi"/>
                <w:b/>
                <w:bCs/>
                <w:color w:val="000000"/>
                <w:sz w:val="20"/>
                <w:szCs w:val="20"/>
                <w:vertAlign w:val="superscript"/>
              </w:rPr>
              <w:t>1</w:t>
            </w:r>
            <w:r w:rsidRPr="004A26B5">
              <w:rPr>
                <w:rFonts w:cstheme="minorHAnsi"/>
                <w:b/>
                <w:bCs/>
                <w:color w:val="000000"/>
                <w:sz w:val="20"/>
                <w:szCs w:val="20"/>
              </w:rPr>
              <w:t xml:space="preserve"> k.c. jest zbyt nieostre</w:t>
            </w:r>
            <w:r w:rsidRPr="00D103B4">
              <w:rPr>
                <w:rFonts w:cstheme="minorHAnsi"/>
                <w:color w:val="000000"/>
                <w:sz w:val="20"/>
                <w:szCs w:val="20"/>
              </w:rPr>
              <w:t>. Warto rozważyć, czy nie powinno się ograniczyć tego wyłączenia do świadków będących członkami osoby prawnej lub jednostki organizacyjnej określonej w art. 33</w:t>
            </w:r>
            <w:r w:rsidRPr="00D103B4">
              <w:rPr>
                <w:rFonts w:cstheme="minorHAnsi"/>
                <w:color w:val="000000"/>
                <w:sz w:val="20"/>
                <w:szCs w:val="20"/>
                <w:vertAlign w:val="superscript"/>
              </w:rPr>
              <w:t>1</w:t>
            </w:r>
            <w:r w:rsidRPr="00D103B4">
              <w:rPr>
                <w:rFonts w:cstheme="minorHAnsi"/>
                <w:color w:val="000000"/>
                <w:sz w:val="20"/>
                <w:szCs w:val="20"/>
              </w:rPr>
              <w:t xml:space="preserve"> k.c. lub któregokolwiek z jej organów, a także świadków uprawnionych do udziału w majątku, zysku lub masie likwidacyjnej osoby prawnej lub jednostki organizacyjnej określonej w art. 33</w:t>
            </w:r>
            <w:r w:rsidRPr="00D103B4">
              <w:rPr>
                <w:rFonts w:cstheme="minorHAnsi"/>
                <w:color w:val="000000"/>
                <w:sz w:val="20"/>
                <w:szCs w:val="20"/>
                <w:vertAlign w:val="superscript"/>
              </w:rPr>
              <w:t>1</w:t>
            </w:r>
            <w:r w:rsidRPr="00D103B4">
              <w:rPr>
                <w:rFonts w:cstheme="minorHAnsi"/>
                <w:color w:val="000000"/>
                <w:sz w:val="20"/>
                <w:szCs w:val="20"/>
              </w:rPr>
              <w:t xml:space="preserve"> k.c., dla której przewidziana jest korzyść w testamencie.</w:t>
            </w:r>
          </w:p>
          <w:p w14:paraId="1AE68CC1" w14:textId="77777777" w:rsidR="00113486" w:rsidRPr="00D103B4" w:rsidRDefault="00113486" w:rsidP="009D0E2C">
            <w:pPr>
              <w:autoSpaceDE w:val="0"/>
              <w:autoSpaceDN w:val="0"/>
              <w:adjustRightInd w:val="0"/>
              <w:spacing w:line="276" w:lineRule="auto"/>
              <w:jc w:val="both"/>
              <w:rPr>
                <w:rFonts w:cstheme="minorHAnsi"/>
                <w:color w:val="000000"/>
                <w:sz w:val="20"/>
                <w:szCs w:val="20"/>
              </w:rPr>
            </w:pPr>
          </w:p>
          <w:p w14:paraId="574BB0DA" w14:textId="2735425C" w:rsidR="00113486" w:rsidRPr="00D103B4" w:rsidRDefault="00113486" w:rsidP="00862F7B">
            <w:pPr>
              <w:spacing w:line="276" w:lineRule="auto"/>
              <w:jc w:val="both"/>
              <w:rPr>
                <w:rFonts w:eastAsia="Times New Roman" w:cstheme="minorHAnsi"/>
                <w:bCs/>
                <w:i/>
                <w:iCs/>
                <w:sz w:val="20"/>
                <w:szCs w:val="20"/>
                <w:lang w:eastAsia="pl-PL"/>
              </w:rPr>
            </w:pPr>
            <w:r w:rsidRPr="00D103B4">
              <w:rPr>
                <w:rFonts w:eastAsia="Times New Roman" w:cstheme="minorHAnsi"/>
                <w:bCs/>
                <w:i/>
                <w:iCs/>
                <w:sz w:val="20"/>
                <w:szCs w:val="20"/>
                <w:lang w:eastAsia="pl-PL"/>
              </w:rPr>
              <w:t xml:space="preserve">Uzasadnienie </w:t>
            </w:r>
          </w:p>
          <w:p w14:paraId="795E45F9" w14:textId="07C715C6" w:rsidR="00113486" w:rsidRPr="00D103B4" w:rsidRDefault="00113486" w:rsidP="009D0E2C">
            <w:pPr>
              <w:autoSpaceDE w:val="0"/>
              <w:autoSpaceDN w:val="0"/>
              <w:adjustRightInd w:val="0"/>
              <w:spacing w:line="276" w:lineRule="auto"/>
              <w:jc w:val="both"/>
              <w:rPr>
                <w:rFonts w:cstheme="minorHAnsi"/>
                <w:i/>
                <w:iCs/>
                <w:color w:val="000000"/>
                <w:sz w:val="20"/>
                <w:szCs w:val="20"/>
              </w:rPr>
            </w:pPr>
            <w:r w:rsidRPr="00D103B4">
              <w:rPr>
                <w:rFonts w:cstheme="minorHAnsi"/>
                <w:color w:val="000000"/>
                <w:sz w:val="20"/>
                <w:szCs w:val="20"/>
              </w:rPr>
              <w:t>Proponowane w art. 1 pkt 9 Projektu (art. 957 § 4 k.c.) ujęcie relacji osoby niemogącej być świadkiem testamentu z osobą prawną lub jednostką organizacyjną określoną w art. 33</w:t>
            </w:r>
            <w:r w:rsidRPr="00D103B4">
              <w:rPr>
                <w:rFonts w:cstheme="minorHAnsi"/>
                <w:color w:val="000000"/>
                <w:sz w:val="20"/>
                <w:szCs w:val="20"/>
                <w:vertAlign w:val="superscript"/>
              </w:rPr>
              <w:t>1</w:t>
            </w:r>
            <w:r w:rsidRPr="00D103B4">
              <w:rPr>
                <w:rFonts w:cstheme="minorHAnsi"/>
                <w:color w:val="000000"/>
                <w:sz w:val="20"/>
                <w:szCs w:val="20"/>
              </w:rPr>
              <w:t xml:space="preserve"> k.c., dla której przewidziano korzyść w testamencie obejmuje osoby powiązane w jakikolwiek sposób zarówno w sensie faktycznym, jak i prawnym. Może to odnosić się zarówno do pracowników, osób zatrudnionych lub współpracujących na innych podstawach niż umowa o pracę, jak również osób będących beneficjentami działalności prowadzonej przez osoby prawne lub jednostki organizacyjne określone w art. 33</w:t>
            </w:r>
            <w:r w:rsidRPr="00D103B4">
              <w:rPr>
                <w:rFonts w:cstheme="minorHAnsi"/>
                <w:color w:val="000000"/>
                <w:sz w:val="20"/>
                <w:szCs w:val="20"/>
                <w:vertAlign w:val="superscript"/>
              </w:rPr>
              <w:t>1</w:t>
            </w:r>
            <w:r w:rsidRPr="00D103B4">
              <w:rPr>
                <w:rFonts w:cstheme="minorHAnsi"/>
                <w:color w:val="000000"/>
                <w:sz w:val="20"/>
                <w:szCs w:val="20"/>
              </w:rPr>
              <w:t xml:space="preserve"> k.c., a w szczególności będących beneficjentami świadczeń udzielanych przez takie podmioty. Proponowany przepis nie rozróżnia o jakie powiązania w nim chodzi, co powoduje, że będzie można go interpretować zgodnie z zasadą </w:t>
            </w:r>
            <w:r w:rsidRPr="00D103B4">
              <w:rPr>
                <w:rFonts w:cstheme="minorHAnsi"/>
                <w:i/>
                <w:iCs/>
                <w:color w:val="000000"/>
                <w:sz w:val="20"/>
                <w:szCs w:val="20"/>
              </w:rPr>
              <w:t>lege non distinguente</w:t>
            </w:r>
            <w:r w:rsidR="00EA486A" w:rsidRPr="00D103B4">
              <w:rPr>
                <w:rFonts w:cstheme="minorHAnsi"/>
                <w:i/>
                <w:iCs/>
                <w:color w:val="000000"/>
                <w:sz w:val="20"/>
                <w:szCs w:val="20"/>
              </w:rPr>
              <w:t>.</w:t>
            </w:r>
          </w:p>
          <w:p w14:paraId="50798237" w14:textId="77777777" w:rsidR="00C66935" w:rsidRPr="00D103B4" w:rsidRDefault="00C66935" w:rsidP="009D0E2C">
            <w:pPr>
              <w:autoSpaceDE w:val="0"/>
              <w:autoSpaceDN w:val="0"/>
              <w:adjustRightInd w:val="0"/>
              <w:spacing w:line="276" w:lineRule="auto"/>
              <w:jc w:val="both"/>
              <w:rPr>
                <w:rFonts w:cstheme="minorHAnsi"/>
                <w:i/>
                <w:iCs/>
                <w:color w:val="000000"/>
                <w:sz w:val="20"/>
                <w:szCs w:val="20"/>
              </w:rPr>
            </w:pPr>
          </w:p>
          <w:p w14:paraId="433257FA" w14:textId="77777777" w:rsidR="00C66935" w:rsidRPr="00D103B4" w:rsidRDefault="00C66935" w:rsidP="009D0E2C">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 xml:space="preserve">Wydaje się, że takie wyłączenie jest zbyt szerokie, co widać jeśli weźmie się pod uwagę osoby prawne lub jednostki organizacyjne </w:t>
            </w:r>
            <w:r w:rsidRPr="00D103B4">
              <w:rPr>
                <w:rFonts w:cstheme="minorHAnsi"/>
                <w:color w:val="000000"/>
                <w:sz w:val="20"/>
                <w:szCs w:val="20"/>
              </w:rPr>
              <w:lastRenderedPageBreak/>
              <w:t>określone w art. 33</w:t>
            </w:r>
            <w:r w:rsidRPr="00D103B4">
              <w:rPr>
                <w:rFonts w:cstheme="minorHAnsi"/>
                <w:color w:val="000000"/>
                <w:sz w:val="20"/>
                <w:szCs w:val="20"/>
                <w:vertAlign w:val="superscript"/>
              </w:rPr>
              <w:t>1</w:t>
            </w:r>
            <w:r w:rsidRPr="00D103B4">
              <w:rPr>
                <w:rFonts w:cstheme="minorHAnsi"/>
                <w:color w:val="000000"/>
                <w:sz w:val="20"/>
                <w:szCs w:val="20"/>
              </w:rPr>
              <w:t xml:space="preserve"> k.c. prowadzące rozbudowane przedsiębiorstwa i zatrudniające znaczne liczby osób.</w:t>
            </w:r>
          </w:p>
          <w:p w14:paraId="4759C33C" w14:textId="77777777" w:rsidR="00C66935" w:rsidRPr="00D103B4" w:rsidRDefault="00C66935" w:rsidP="009D0E2C">
            <w:pPr>
              <w:autoSpaceDE w:val="0"/>
              <w:autoSpaceDN w:val="0"/>
              <w:adjustRightInd w:val="0"/>
              <w:spacing w:line="276" w:lineRule="auto"/>
              <w:jc w:val="both"/>
              <w:rPr>
                <w:rFonts w:cstheme="minorHAnsi"/>
                <w:color w:val="000000"/>
                <w:sz w:val="20"/>
                <w:szCs w:val="20"/>
              </w:rPr>
            </w:pPr>
          </w:p>
          <w:p w14:paraId="567B64DF" w14:textId="2AC100BA" w:rsidR="00C66935" w:rsidRPr="00D103B4" w:rsidRDefault="00C66935" w:rsidP="009D0E2C">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Wyłączenie zawarte w proponowanym art. 957 § 4 k.c. powinno obejmować członków osób prawnych i jednostek organizacyjnych wskazanych w art. 33</w:t>
            </w:r>
            <w:r w:rsidRPr="00D103B4">
              <w:rPr>
                <w:rFonts w:cstheme="minorHAnsi"/>
                <w:color w:val="000000"/>
                <w:sz w:val="20"/>
                <w:szCs w:val="20"/>
                <w:vertAlign w:val="superscript"/>
              </w:rPr>
              <w:t>1</w:t>
            </w:r>
            <w:r w:rsidRPr="00D103B4">
              <w:rPr>
                <w:rFonts w:cstheme="minorHAnsi"/>
                <w:color w:val="000000"/>
                <w:sz w:val="20"/>
                <w:szCs w:val="20"/>
              </w:rPr>
              <w:t xml:space="preserve"> k.c. lub ich organów bez względu na to, czy są nimi spółki handlowe, stowarzyszenia, fundacje, koła gospodyń wiejskich, izby rolnicze, spółki dla zagospodarowania wspólnot gruntowych, partie polityczne, czy jakiekolwiek inne jednostki organizacyjne mające co najmniej zdolność prawną. Wyłączenie to powinno obejmować również obligatariuszy, zastawników i użytkowników udziałów oraz akcji, czy beneficjentów świadczeń spełnianych przez fundacje rodzinne. Wydaje się, że wyłączenie w tym zakresie powinno być sformułowane w zaproponowany powyżej sposób funkcjonalny, a nie formalny.</w:t>
            </w:r>
          </w:p>
        </w:tc>
        <w:tc>
          <w:tcPr>
            <w:tcW w:w="4076" w:type="dxa"/>
          </w:tcPr>
          <w:p w14:paraId="009DD334" w14:textId="32399B3C" w:rsidR="00BE78C6" w:rsidRDefault="00BE78C6" w:rsidP="00BE78C6">
            <w:pPr>
              <w:jc w:val="both"/>
              <w:rPr>
                <w:rFonts w:cstheme="minorHAnsi"/>
                <w:b/>
                <w:bCs/>
                <w:sz w:val="20"/>
                <w:szCs w:val="20"/>
              </w:rPr>
            </w:pPr>
            <w:r w:rsidRPr="00F701E2">
              <w:rPr>
                <w:rFonts w:cstheme="minorHAnsi"/>
                <w:b/>
                <w:bCs/>
                <w:sz w:val="20"/>
                <w:szCs w:val="20"/>
              </w:rPr>
              <w:lastRenderedPageBreak/>
              <w:t xml:space="preserve">Uwaga nieuwzględniona </w:t>
            </w:r>
          </w:p>
          <w:p w14:paraId="56D99B3F" w14:textId="5E5CF1CE" w:rsidR="0045430C" w:rsidRPr="00D103B4" w:rsidRDefault="00BE78C6" w:rsidP="00BE78C6">
            <w:pPr>
              <w:spacing w:line="276" w:lineRule="auto"/>
              <w:jc w:val="both"/>
              <w:rPr>
                <w:rFonts w:cstheme="minorHAnsi"/>
                <w:sz w:val="20"/>
                <w:szCs w:val="20"/>
              </w:rPr>
            </w:pPr>
            <w:r w:rsidRPr="00307896">
              <w:rPr>
                <w:rFonts w:cstheme="minorHAnsi"/>
                <w:bCs/>
                <w:sz w:val="20"/>
                <w:szCs w:val="20"/>
              </w:rPr>
              <w:t xml:space="preserve">Proponowane rozwiązanie wynika z celowej decyzji </w:t>
            </w:r>
            <w:r w:rsidRPr="00307896">
              <w:rPr>
                <w:rFonts w:cstheme="minorHAnsi"/>
                <w:sz w:val="20"/>
                <w:szCs w:val="20"/>
              </w:rPr>
              <w:t xml:space="preserve">Zespołu problemowego do spraw prawa spadkowego Komisji Kodyfikacyjnej Prawa </w:t>
            </w:r>
            <w:r w:rsidRPr="00307896">
              <w:rPr>
                <w:rFonts w:cstheme="minorHAnsi"/>
                <w:sz w:val="20"/>
                <w:szCs w:val="20"/>
              </w:rPr>
              <w:lastRenderedPageBreak/>
              <w:t>Cywilnego.</w:t>
            </w:r>
            <w:r w:rsidR="00B62BF7">
              <w:rPr>
                <w:rFonts w:cstheme="minorHAnsi"/>
                <w:sz w:val="20"/>
                <w:szCs w:val="20"/>
              </w:rPr>
              <w:t xml:space="preserve"> </w:t>
            </w:r>
            <w:r w:rsidRPr="00BE78C6">
              <w:rPr>
                <w:rFonts w:cstheme="minorHAnsi"/>
                <w:sz w:val="20"/>
                <w:szCs w:val="20"/>
              </w:rPr>
              <w:t xml:space="preserve">Ze względu na różnorodność form takich </w:t>
            </w:r>
            <w:r>
              <w:rPr>
                <w:rFonts w:cstheme="minorHAnsi"/>
                <w:sz w:val="20"/>
                <w:szCs w:val="20"/>
              </w:rPr>
              <w:t xml:space="preserve">osób prawnych i </w:t>
            </w:r>
            <w:r w:rsidRPr="00BE78C6">
              <w:rPr>
                <w:rFonts w:cstheme="minorHAnsi"/>
                <w:sz w:val="20"/>
                <w:szCs w:val="20"/>
              </w:rPr>
              <w:t>jednostek organizacyjnych niebędących osobami prawnymi, którym ustawa przyznaje zdolność prawną</w:t>
            </w:r>
            <w:r>
              <w:rPr>
                <w:rFonts w:cstheme="minorHAnsi"/>
                <w:sz w:val="20"/>
                <w:szCs w:val="20"/>
              </w:rPr>
              <w:t xml:space="preserve"> oraz</w:t>
            </w:r>
            <w:r w:rsidRPr="00BE78C6">
              <w:rPr>
                <w:rFonts w:cstheme="minorHAnsi"/>
                <w:sz w:val="20"/>
                <w:szCs w:val="20"/>
              </w:rPr>
              <w:t xml:space="preserve"> spełnianych przez nie zadań, konieczne </w:t>
            </w:r>
            <w:r>
              <w:rPr>
                <w:rFonts w:cstheme="minorHAnsi"/>
                <w:sz w:val="20"/>
                <w:szCs w:val="20"/>
              </w:rPr>
              <w:t>było więc</w:t>
            </w:r>
            <w:r w:rsidRPr="00BE78C6">
              <w:rPr>
                <w:rFonts w:cstheme="minorHAnsi"/>
                <w:sz w:val="20"/>
                <w:szCs w:val="20"/>
              </w:rPr>
              <w:t xml:space="preserve"> przyjęcie ogólnej i opisowej formuły, zgodnie z którą świadkiem testamentu nie może być „osoba powiązana” z takim podmiotem. Odrzucono możliwość dokonania w tym zakresie szczegółowego wyliczenia na wzór art. 86 § 3 ustawy z dnia 27 lipca 2001 r. – Prawo o ustroju sądów powszechnych. Uznano, że pojęcie „osoby powiązanej” może zostać w razie potrzeby doprecyzowane przez orzecznictwo. Zwrócono też uwagę na fakt, że przypadki testowania w formie ustnej – zawężonej po zmianach do sytuacji wyjątkowych – na rzecz osób prawnych będą w praktyce marginalne. Jednocześnie uznano za konieczne umożliwienie dokonywania elastycznej oceny każdej takiej sytuacji, przyjmując, że jeżeli zostanie udowodnione, iż w danej sytuacji określone powiązanie nie wywołuje jakichkolwiek wątpliwości co bezstronności świadka, dana osoba nie powinna być wyłączona od możliwości bycia nim.</w:t>
            </w:r>
          </w:p>
        </w:tc>
      </w:tr>
      <w:tr w:rsidR="00E90393" w:rsidRPr="00D103B4" w14:paraId="629DABDA" w14:textId="77777777" w:rsidTr="00B241C8">
        <w:trPr>
          <w:jc w:val="center"/>
        </w:trPr>
        <w:tc>
          <w:tcPr>
            <w:tcW w:w="562" w:type="dxa"/>
          </w:tcPr>
          <w:p w14:paraId="4A98911A" w14:textId="519F0AC1" w:rsidR="00E90393" w:rsidRPr="00D103B4" w:rsidRDefault="00D103B4" w:rsidP="009D0E2C">
            <w:pPr>
              <w:spacing w:before="120" w:line="276" w:lineRule="auto"/>
              <w:ind w:right="-534"/>
              <w:rPr>
                <w:rFonts w:cstheme="minorHAnsi"/>
                <w:b/>
                <w:sz w:val="20"/>
                <w:szCs w:val="20"/>
              </w:rPr>
            </w:pPr>
            <w:r>
              <w:rPr>
                <w:rFonts w:cstheme="minorHAnsi"/>
                <w:b/>
                <w:sz w:val="20"/>
                <w:szCs w:val="20"/>
              </w:rPr>
              <w:lastRenderedPageBreak/>
              <w:t>2</w:t>
            </w:r>
            <w:r w:rsidR="00C90560">
              <w:rPr>
                <w:rFonts w:cstheme="minorHAnsi"/>
                <w:b/>
                <w:sz w:val="20"/>
                <w:szCs w:val="20"/>
              </w:rPr>
              <w:t>1</w:t>
            </w:r>
            <w:r>
              <w:rPr>
                <w:rFonts w:cstheme="minorHAnsi"/>
                <w:b/>
                <w:sz w:val="20"/>
                <w:szCs w:val="20"/>
              </w:rPr>
              <w:t>.</w:t>
            </w:r>
          </w:p>
        </w:tc>
        <w:tc>
          <w:tcPr>
            <w:tcW w:w="1843" w:type="dxa"/>
            <w:vAlign w:val="center"/>
          </w:tcPr>
          <w:p w14:paraId="5A037041" w14:textId="275CB390" w:rsidR="00E90393" w:rsidRPr="00D103B4" w:rsidRDefault="00E90393" w:rsidP="009D0E2C">
            <w:pPr>
              <w:spacing w:before="120" w:after="120" w:line="276" w:lineRule="auto"/>
              <w:jc w:val="center"/>
              <w:rPr>
                <w:rFonts w:cstheme="minorHAnsi"/>
                <w:b/>
                <w:bCs/>
                <w:sz w:val="20"/>
                <w:szCs w:val="20"/>
              </w:rPr>
            </w:pPr>
            <w:r w:rsidRPr="00D103B4">
              <w:rPr>
                <w:rFonts w:cstheme="minorHAnsi"/>
                <w:b/>
                <w:bCs/>
                <w:sz w:val="20"/>
                <w:szCs w:val="20"/>
              </w:rPr>
              <w:t>Konferencja Episkopatu Polski</w:t>
            </w:r>
          </w:p>
        </w:tc>
        <w:tc>
          <w:tcPr>
            <w:tcW w:w="1843" w:type="dxa"/>
            <w:vAlign w:val="center"/>
          </w:tcPr>
          <w:p w14:paraId="50F65756" w14:textId="02B5A4BD" w:rsidR="00E90393" w:rsidRPr="00D103B4" w:rsidRDefault="00E90393" w:rsidP="009D0E2C">
            <w:pPr>
              <w:spacing w:before="120" w:after="120" w:line="276" w:lineRule="auto"/>
              <w:jc w:val="center"/>
              <w:rPr>
                <w:rFonts w:cstheme="minorHAnsi"/>
                <w:sz w:val="20"/>
                <w:szCs w:val="20"/>
              </w:rPr>
            </w:pPr>
            <w:r w:rsidRPr="00D103B4">
              <w:rPr>
                <w:rFonts w:cstheme="minorHAnsi"/>
                <w:sz w:val="20"/>
                <w:szCs w:val="20"/>
              </w:rPr>
              <w:t>Art. 1 pkt 9 projektu (art. 957 § 1 k.c.)</w:t>
            </w:r>
          </w:p>
        </w:tc>
        <w:tc>
          <w:tcPr>
            <w:tcW w:w="5670" w:type="dxa"/>
            <w:vAlign w:val="center"/>
          </w:tcPr>
          <w:p w14:paraId="15816366" w14:textId="24B8C8E7" w:rsidR="00E90393" w:rsidRPr="00D103B4" w:rsidRDefault="00E90393" w:rsidP="009D0E2C">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Poważne wątpliwości budzi projektowany przepis art. 957 k.c. w części, w której wyłącza względną niezdolność do bycia świadkiem, w sytuacji, kied</w:t>
            </w:r>
            <w:r w:rsidR="00EA486A" w:rsidRPr="00D103B4">
              <w:rPr>
                <w:rFonts w:cstheme="minorHAnsi"/>
                <w:color w:val="000000"/>
                <w:sz w:val="20"/>
                <w:szCs w:val="20"/>
              </w:rPr>
              <w:t>y</w:t>
            </w:r>
            <w:r w:rsidRPr="00D103B4">
              <w:rPr>
                <w:rFonts w:cstheme="minorHAnsi"/>
                <w:color w:val="000000"/>
                <w:sz w:val="20"/>
                <w:szCs w:val="20"/>
              </w:rPr>
              <w:t xml:space="preserve"> „brak uzasadnionych wątpliwości” co do bezstronności świadka. </w:t>
            </w:r>
            <w:r w:rsidRPr="00CF09E7">
              <w:rPr>
                <w:rFonts w:cstheme="minorHAnsi"/>
                <w:b/>
                <w:bCs/>
                <w:color w:val="000000"/>
                <w:sz w:val="20"/>
                <w:szCs w:val="20"/>
              </w:rPr>
              <w:t>Trudno sobie wyobrazić sytuację, w której świadek pozostaje całkowicie neutralny (bezstronny) wobec dokonywanych przez spadkodawcę w jego obecności rozrządzeń dotyczą jego samego lub jego bliskich</w:t>
            </w:r>
            <w:r w:rsidRPr="00D103B4">
              <w:rPr>
                <w:rFonts w:cstheme="minorHAnsi"/>
                <w:color w:val="000000"/>
                <w:sz w:val="20"/>
                <w:szCs w:val="20"/>
              </w:rPr>
              <w:t>.</w:t>
            </w:r>
          </w:p>
        </w:tc>
        <w:tc>
          <w:tcPr>
            <w:tcW w:w="4076" w:type="dxa"/>
          </w:tcPr>
          <w:p w14:paraId="291FAF63" w14:textId="67051912" w:rsidR="00BE78C6" w:rsidRDefault="00BE78C6" w:rsidP="00BE78C6">
            <w:pPr>
              <w:jc w:val="both"/>
              <w:rPr>
                <w:rFonts w:cstheme="minorHAnsi"/>
                <w:b/>
                <w:bCs/>
                <w:sz w:val="20"/>
                <w:szCs w:val="20"/>
              </w:rPr>
            </w:pPr>
            <w:r w:rsidRPr="00F701E2">
              <w:rPr>
                <w:rFonts w:cstheme="minorHAnsi"/>
                <w:b/>
                <w:bCs/>
                <w:sz w:val="20"/>
                <w:szCs w:val="20"/>
              </w:rPr>
              <w:t xml:space="preserve">Uwaga nieuwzględniona </w:t>
            </w:r>
          </w:p>
          <w:p w14:paraId="1FCEFBC6" w14:textId="499FC44B" w:rsidR="00BE78C6" w:rsidRPr="00D103B4" w:rsidRDefault="00BE78C6" w:rsidP="004F0B65">
            <w:pPr>
              <w:jc w:val="both"/>
              <w:rPr>
                <w:rFonts w:cstheme="minorHAnsi"/>
                <w:sz w:val="20"/>
                <w:szCs w:val="20"/>
              </w:rPr>
            </w:pPr>
            <w:r w:rsidRPr="00307896">
              <w:rPr>
                <w:rFonts w:cstheme="minorHAnsi"/>
                <w:bCs/>
                <w:sz w:val="20"/>
                <w:szCs w:val="20"/>
              </w:rPr>
              <w:t xml:space="preserve">Proponowane rozwiązanie wynika z celowej decyzji </w:t>
            </w:r>
            <w:r w:rsidRPr="00307896">
              <w:rPr>
                <w:rFonts w:cstheme="minorHAnsi"/>
                <w:sz w:val="20"/>
                <w:szCs w:val="20"/>
              </w:rPr>
              <w:t>Zespołu problemowego do spraw prawa spadkowego Komisji Kodyfikacyjnej Prawa Cywilnego.</w:t>
            </w:r>
            <w:r w:rsidRPr="00342F9B">
              <w:rPr>
                <w:rFonts w:cstheme="minorHAnsi"/>
                <w:sz w:val="20"/>
                <w:szCs w:val="20"/>
              </w:rPr>
              <w:t xml:space="preserve"> </w:t>
            </w:r>
            <w:r w:rsidRPr="004F0B65">
              <w:rPr>
                <w:rFonts w:cstheme="minorHAnsi"/>
                <w:sz w:val="20"/>
                <w:szCs w:val="20"/>
              </w:rPr>
              <w:t>Zagadnienie zostało wyjaśnione szerzej w uzasadnieniu projektu.</w:t>
            </w:r>
            <w:r>
              <w:rPr>
                <w:rFonts w:cstheme="minorHAnsi"/>
                <w:b/>
                <w:bCs/>
                <w:sz w:val="20"/>
                <w:szCs w:val="20"/>
              </w:rPr>
              <w:t xml:space="preserve"> </w:t>
            </w:r>
            <w:r w:rsidRPr="004F0B65">
              <w:rPr>
                <w:rFonts w:cstheme="minorHAnsi"/>
                <w:sz w:val="20"/>
                <w:szCs w:val="20"/>
              </w:rPr>
              <w:t xml:space="preserve">W </w:t>
            </w:r>
            <w:r w:rsidRPr="00BE78C6">
              <w:rPr>
                <w:rFonts w:cstheme="minorHAnsi"/>
                <w:sz w:val="20"/>
                <w:szCs w:val="20"/>
              </w:rPr>
              <w:t>wypadkach określonych w art. 957 § 1</w:t>
            </w:r>
            <w:r>
              <w:rPr>
                <w:rFonts w:cstheme="minorHAnsi"/>
                <w:sz w:val="20"/>
                <w:szCs w:val="20"/>
              </w:rPr>
              <w:t xml:space="preserve"> i</w:t>
            </w:r>
            <w:r w:rsidRPr="00BE78C6">
              <w:rPr>
                <w:rFonts w:cstheme="minorHAnsi"/>
                <w:sz w:val="20"/>
                <w:szCs w:val="20"/>
              </w:rPr>
              <w:t xml:space="preserve"> 2 k.c. </w:t>
            </w:r>
            <w:r>
              <w:rPr>
                <w:rFonts w:cstheme="minorHAnsi"/>
                <w:sz w:val="20"/>
                <w:szCs w:val="20"/>
              </w:rPr>
              <w:t>może</w:t>
            </w:r>
            <w:r w:rsidRPr="00BE78C6">
              <w:rPr>
                <w:rFonts w:cstheme="minorHAnsi"/>
                <w:sz w:val="20"/>
                <w:szCs w:val="20"/>
              </w:rPr>
              <w:t xml:space="preserve"> istnieć faktycznie „brak jakichkolwiek wątpliwości” co do bezstronności danego świadka, </w:t>
            </w:r>
            <w:r>
              <w:rPr>
                <w:rFonts w:cstheme="minorHAnsi"/>
                <w:sz w:val="20"/>
                <w:szCs w:val="20"/>
              </w:rPr>
              <w:t>co oznacza</w:t>
            </w:r>
            <w:r w:rsidRPr="00BE78C6">
              <w:rPr>
                <w:rFonts w:cstheme="minorHAnsi"/>
                <w:sz w:val="20"/>
                <w:szCs w:val="20"/>
              </w:rPr>
              <w:t>, że mimo otrzymania przez niego lub jakąkolwiek inną osobę mu potencjalnie bliską korzyści ze spadku może być on jednak świadkiem testamentu.</w:t>
            </w:r>
            <w:r>
              <w:rPr>
                <w:rFonts w:cstheme="minorHAnsi"/>
                <w:sz w:val="20"/>
                <w:szCs w:val="20"/>
              </w:rPr>
              <w:t xml:space="preserve"> Przykładem może być w tym zakresie </w:t>
            </w:r>
            <w:r w:rsidRPr="00BE78C6">
              <w:rPr>
                <w:rFonts w:cstheme="minorHAnsi"/>
                <w:sz w:val="20"/>
                <w:szCs w:val="20"/>
              </w:rPr>
              <w:t>powołani</w:t>
            </w:r>
            <w:r>
              <w:rPr>
                <w:rFonts w:cstheme="minorHAnsi"/>
                <w:sz w:val="20"/>
                <w:szCs w:val="20"/>
              </w:rPr>
              <w:t>e takiej osoby</w:t>
            </w:r>
            <w:r w:rsidRPr="00BE78C6">
              <w:rPr>
                <w:rFonts w:cstheme="minorHAnsi"/>
                <w:sz w:val="20"/>
                <w:szCs w:val="20"/>
              </w:rPr>
              <w:t xml:space="preserve"> do bycia wykonawcą testamentu</w:t>
            </w:r>
            <w:r>
              <w:rPr>
                <w:rFonts w:cstheme="minorHAnsi"/>
                <w:sz w:val="20"/>
                <w:szCs w:val="20"/>
              </w:rPr>
              <w:t xml:space="preserve">. </w:t>
            </w:r>
            <w:r w:rsidR="00D05746">
              <w:rPr>
                <w:rFonts w:cstheme="minorHAnsi"/>
                <w:sz w:val="20"/>
                <w:szCs w:val="20"/>
              </w:rPr>
              <w:t xml:space="preserve">Podobnie </w:t>
            </w:r>
            <w:r w:rsidR="00D05746" w:rsidRPr="00D05746">
              <w:rPr>
                <w:rFonts w:cstheme="minorHAnsi"/>
                <w:sz w:val="20"/>
                <w:szCs w:val="20"/>
              </w:rPr>
              <w:lastRenderedPageBreak/>
              <w:t xml:space="preserve">pozostawanie przez danego świadka przed wielu laty w małżeństwie lub we wspólnym pożyciu z osobą, dla której w testamencie została przewidziana jakakolwiek korzyść, </w:t>
            </w:r>
            <w:r w:rsidR="00D05746">
              <w:rPr>
                <w:rFonts w:cstheme="minorHAnsi"/>
                <w:sz w:val="20"/>
                <w:szCs w:val="20"/>
              </w:rPr>
              <w:t xml:space="preserve">może </w:t>
            </w:r>
            <w:r w:rsidR="00D05746" w:rsidRPr="00D05746">
              <w:rPr>
                <w:rFonts w:cstheme="minorHAnsi"/>
                <w:sz w:val="20"/>
                <w:szCs w:val="20"/>
              </w:rPr>
              <w:t>nie wywo</w:t>
            </w:r>
            <w:r w:rsidR="00D05746">
              <w:rPr>
                <w:rFonts w:cstheme="minorHAnsi"/>
                <w:sz w:val="20"/>
                <w:szCs w:val="20"/>
              </w:rPr>
              <w:t>ływać</w:t>
            </w:r>
            <w:r w:rsidR="00D05746" w:rsidRPr="00D05746">
              <w:rPr>
                <w:rFonts w:cstheme="minorHAnsi"/>
                <w:sz w:val="20"/>
                <w:szCs w:val="20"/>
              </w:rPr>
              <w:t xml:space="preserve"> obecnie żadnych wątpliwości co do jego bezstronności</w:t>
            </w:r>
            <w:r w:rsidR="00D05746">
              <w:rPr>
                <w:rFonts w:cstheme="minorHAnsi"/>
                <w:sz w:val="20"/>
                <w:szCs w:val="20"/>
              </w:rPr>
              <w:t>.</w:t>
            </w:r>
            <w:r w:rsidR="00D05746" w:rsidRPr="00342F9B">
              <w:rPr>
                <w:rFonts w:cstheme="minorHAnsi"/>
                <w:sz w:val="20"/>
                <w:szCs w:val="20"/>
              </w:rPr>
              <w:t xml:space="preserve"> Ciężar udowodnienia braku takich wątpliwości nałożony jest bowiem na ten podmiot, który wywodzi z tego faktu skutki prawne. </w:t>
            </w:r>
          </w:p>
        </w:tc>
      </w:tr>
      <w:tr w:rsidR="00D05746" w:rsidRPr="00D103B4" w14:paraId="0FB5C1EF" w14:textId="77777777" w:rsidTr="00B241C8">
        <w:trPr>
          <w:jc w:val="center"/>
        </w:trPr>
        <w:tc>
          <w:tcPr>
            <w:tcW w:w="562" w:type="dxa"/>
          </w:tcPr>
          <w:p w14:paraId="2D7611C3" w14:textId="5D6C7164" w:rsidR="00D05746" w:rsidRPr="00D103B4" w:rsidRDefault="00D05746" w:rsidP="00D05746">
            <w:pPr>
              <w:spacing w:before="120"/>
              <w:ind w:right="-534"/>
              <w:rPr>
                <w:rFonts w:cstheme="minorHAnsi"/>
                <w:b/>
                <w:sz w:val="20"/>
                <w:szCs w:val="20"/>
              </w:rPr>
            </w:pPr>
            <w:r>
              <w:rPr>
                <w:rFonts w:cstheme="minorHAnsi"/>
                <w:b/>
                <w:sz w:val="20"/>
                <w:szCs w:val="20"/>
              </w:rPr>
              <w:lastRenderedPageBreak/>
              <w:t>2</w:t>
            </w:r>
            <w:r w:rsidR="00C90560">
              <w:rPr>
                <w:rFonts w:cstheme="minorHAnsi"/>
                <w:b/>
                <w:sz w:val="20"/>
                <w:szCs w:val="20"/>
              </w:rPr>
              <w:t>2</w:t>
            </w:r>
            <w:r w:rsidRPr="00D103B4">
              <w:rPr>
                <w:rFonts w:cstheme="minorHAnsi"/>
                <w:b/>
                <w:sz w:val="20"/>
                <w:szCs w:val="20"/>
              </w:rPr>
              <w:t>.</w:t>
            </w:r>
          </w:p>
        </w:tc>
        <w:tc>
          <w:tcPr>
            <w:tcW w:w="1843" w:type="dxa"/>
            <w:vAlign w:val="center"/>
          </w:tcPr>
          <w:p w14:paraId="25941FD6" w14:textId="159EABB1"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 xml:space="preserve">Krajowa Szkoła Sądownictwa i Prokuratury </w:t>
            </w:r>
          </w:p>
        </w:tc>
        <w:tc>
          <w:tcPr>
            <w:tcW w:w="1843" w:type="dxa"/>
            <w:vAlign w:val="center"/>
          </w:tcPr>
          <w:p w14:paraId="3E961ED9" w14:textId="7DDED106" w:rsidR="00D05746" w:rsidRPr="00D103B4" w:rsidRDefault="00D05746" w:rsidP="00D05746">
            <w:pPr>
              <w:spacing w:before="120" w:after="120"/>
              <w:jc w:val="center"/>
              <w:rPr>
                <w:rFonts w:cstheme="minorHAnsi"/>
                <w:sz w:val="20"/>
                <w:szCs w:val="20"/>
              </w:rPr>
            </w:pPr>
            <w:r w:rsidRPr="00D103B4">
              <w:rPr>
                <w:rFonts w:cstheme="minorHAnsi"/>
                <w:sz w:val="20"/>
                <w:szCs w:val="20"/>
              </w:rPr>
              <w:t>Art. 1 pkt 9 projektu (art. 957 § 1 k.c.)</w:t>
            </w:r>
          </w:p>
        </w:tc>
        <w:tc>
          <w:tcPr>
            <w:tcW w:w="5670" w:type="dxa"/>
            <w:vAlign w:val="center"/>
          </w:tcPr>
          <w:p w14:paraId="202A36F6" w14:textId="7F5C2C51"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 xml:space="preserve">W odpowiedzi na pismo z dnia 5 listopada 2025 r. dotyczące nowej wersji projektu ustawy o zmianie ustawy – Kodeks cywilny oraz niektórych innych ustaw uprzejmie wskazuję na wątpliwość co do proponowanej treści art. 957 § 1, 2 i 4 k.c. (dotyczącej świadków testamentu) w którym dodano zapis: „chyba że nie wywołuje to uzasadnionych wątpliwości co do ich bezstronności”. Jego dodanie powodować będzie konieczność prowadzenia postępowania dowodowego w sytuacji, gdy świadkiem testamentu będzie osoba najbliższa, celem ustalenia, czy istnieją wątpliwości co do jej bezstronności, czy nie. Może to powodować istotne trudności dowodowe. Jeśli miałoby to odbywać się poprzez dowód z przesłuchania świadków w osobach innych członków rodziny, to można z góry przewidzieć, że ci, którzy mieliby otrzymać przysporzenie, będą skłonni zapewniać o bezstronności świadka, a ci, którzy nie figurują w testamencie, częściej mogą ją kwestionować. Z punktu widzenia sądu, bardzo trudno będzie rozstrzygnąć takie wątpliwości co do bezstronności świadka. Tych trudności można uniknąć wprowadzając zasadę, że osoby najbliższe w ogóle nie mogą być świadkami testamentu, gdyż taka regulacja jest jasna i nie nasuwa wątpliwości interpretacyjnych, a § 5 w </w:t>
            </w:r>
            <w:r w:rsidRPr="00D103B4">
              <w:rPr>
                <w:rFonts w:cstheme="minorHAnsi"/>
                <w:color w:val="000000"/>
                <w:sz w:val="20"/>
                <w:szCs w:val="20"/>
              </w:rPr>
              <w:lastRenderedPageBreak/>
              <w:t>wystarczający sposób zabezpiecza interesy pozostałych spadkobierców.</w:t>
            </w:r>
          </w:p>
        </w:tc>
        <w:tc>
          <w:tcPr>
            <w:tcW w:w="4076" w:type="dxa"/>
          </w:tcPr>
          <w:p w14:paraId="6ACA89AA" w14:textId="113A5BA6" w:rsidR="00D05746" w:rsidRDefault="00D05746" w:rsidP="00D05746">
            <w:pPr>
              <w:jc w:val="both"/>
              <w:rPr>
                <w:rFonts w:cstheme="minorHAnsi"/>
                <w:b/>
                <w:bCs/>
                <w:sz w:val="20"/>
                <w:szCs w:val="20"/>
              </w:rPr>
            </w:pPr>
            <w:r w:rsidRPr="00F701E2">
              <w:rPr>
                <w:rFonts w:cstheme="minorHAnsi"/>
                <w:b/>
                <w:bCs/>
                <w:sz w:val="20"/>
                <w:szCs w:val="20"/>
              </w:rPr>
              <w:lastRenderedPageBreak/>
              <w:t xml:space="preserve">Uwaga </w:t>
            </w:r>
            <w:r w:rsidR="00717863">
              <w:rPr>
                <w:rFonts w:cstheme="minorHAnsi"/>
                <w:b/>
                <w:bCs/>
                <w:sz w:val="20"/>
                <w:szCs w:val="20"/>
              </w:rPr>
              <w:t xml:space="preserve">częściowo </w:t>
            </w:r>
            <w:r w:rsidRPr="00F701E2">
              <w:rPr>
                <w:rFonts w:cstheme="minorHAnsi"/>
                <w:b/>
                <w:bCs/>
                <w:sz w:val="20"/>
                <w:szCs w:val="20"/>
              </w:rPr>
              <w:t xml:space="preserve">uwzględniona </w:t>
            </w:r>
          </w:p>
          <w:p w14:paraId="07DD7C7A" w14:textId="159EB882" w:rsidR="00D05746" w:rsidRDefault="00D05746" w:rsidP="00D05746">
            <w:pPr>
              <w:jc w:val="both"/>
              <w:rPr>
                <w:rFonts w:cstheme="minorHAnsi"/>
                <w:sz w:val="20"/>
                <w:szCs w:val="20"/>
              </w:rPr>
            </w:pPr>
            <w:r w:rsidRPr="00307896">
              <w:rPr>
                <w:rFonts w:cstheme="minorHAnsi"/>
                <w:bCs/>
                <w:sz w:val="20"/>
                <w:szCs w:val="20"/>
              </w:rPr>
              <w:t xml:space="preserve">Proponowane rozwiązanie wynika z celowej decyzji </w:t>
            </w:r>
            <w:r w:rsidRPr="00307896">
              <w:rPr>
                <w:rFonts w:cstheme="minorHAnsi"/>
                <w:sz w:val="20"/>
                <w:szCs w:val="20"/>
              </w:rPr>
              <w:t>Zespołu problemowego do spraw prawa spadkowego Komisji Kodyfikacyjnej Prawa Cywilnego.</w:t>
            </w:r>
            <w:r>
              <w:rPr>
                <w:rFonts w:cstheme="minorHAnsi"/>
                <w:sz w:val="20"/>
                <w:szCs w:val="20"/>
              </w:rPr>
              <w:t xml:space="preserve"> </w:t>
            </w:r>
            <w:r w:rsidRPr="00307896">
              <w:rPr>
                <w:rFonts w:cstheme="minorHAnsi"/>
                <w:sz w:val="20"/>
                <w:szCs w:val="20"/>
              </w:rPr>
              <w:t xml:space="preserve">Zagadnienie </w:t>
            </w:r>
            <w:r>
              <w:rPr>
                <w:rFonts w:cstheme="minorHAnsi"/>
                <w:sz w:val="20"/>
                <w:szCs w:val="20"/>
              </w:rPr>
              <w:t xml:space="preserve">to </w:t>
            </w:r>
            <w:r w:rsidRPr="00307896">
              <w:rPr>
                <w:rFonts w:cstheme="minorHAnsi"/>
                <w:sz w:val="20"/>
                <w:szCs w:val="20"/>
              </w:rPr>
              <w:t xml:space="preserve">zostało </w:t>
            </w:r>
            <w:r>
              <w:rPr>
                <w:rFonts w:cstheme="minorHAnsi"/>
                <w:sz w:val="20"/>
                <w:szCs w:val="20"/>
              </w:rPr>
              <w:t xml:space="preserve">też </w:t>
            </w:r>
            <w:r w:rsidRPr="00307896">
              <w:rPr>
                <w:rFonts w:cstheme="minorHAnsi"/>
                <w:sz w:val="20"/>
                <w:szCs w:val="20"/>
              </w:rPr>
              <w:t>wyjaśnione szerzej w uzasadnieniu projektu.</w:t>
            </w:r>
          </w:p>
          <w:p w14:paraId="566A0E15" w14:textId="77777777" w:rsidR="00717863" w:rsidRDefault="00717863" w:rsidP="00D05746">
            <w:pPr>
              <w:jc w:val="both"/>
              <w:rPr>
                <w:rFonts w:cstheme="minorHAnsi"/>
                <w:sz w:val="20"/>
                <w:szCs w:val="20"/>
              </w:rPr>
            </w:pPr>
          </w:p>
          <w:p w14:paraId="0E8B43D4" w14:textId="06DAA016" w:rsidR="00D05746" w:rsidRPr="00D103B4" w:rsidRDefault="00D05746" w:rsidP="00D05746">
            <w:pPr>
              <w:jc w:val="both"/>
              <w:rPr>
                <w:rFonts w:cstheme="minorHAnsi"/>
                <w:sz w:val="20"/>
                <w:szCs w:val="20"/>
              </w:rPr>
            </w:pPr>
            <w:r w:rsidRPr="00342F9B">
              <w:rPr>
                <w:rFonts w:cstheme="minorHAnsi"/>
                <w:sz w:val="20"/>
                <w:szCs w:val="20"/>
              </w:rPr>
              <w:t xml:space="preserve">W art. 957 § 3 k.c. zdecydowano się zastosować pojęcie „uzasadnionych wątpliwości”, które występuje w Kodeksie postępowania cywilnego m.in. w odniesieniu do wyłączenia sędziego (art. 49 § 2 k.p.c.) lub arbitra (art. 1174 § 2 k.p.c.), aby odróżnić tę sytuację, od przypadków objętych art. 957 § 1, </w:t>
            </w:r>
            <w:r w:rsidR="00286631" w:rsidRPr="00B131C0">
              <w:rPr>
                <w:rFonts w:cstheme="minorHAnsi"/>
                <w:sz w:val="20"/>
                <w:szCs w:val="20"/>
              </w:rPr>
              <w:t>§</w:t>
            </w:r>
            <w:r w:rsidR="00286631">
              <w:rPr>
                <w:rFonts w:cstheme="minorHAnsi"/>
                <w:sz w:val="20"/>
                <w:szCs w:val="20"/>
              </w:rPr>
              <w:t xml:space="preserve"> </w:t>
            </w:r>
            <w:r w:rsidRPr="00342F9B">
              <w:rPr>
                <w:rFonts w:cstheme="minorHAnsi"/>
                <w:sz w:val="20"/>
                <w:szCs w:val="20"/>
              </w:rPr>
              <w:t xml:space="preserve">2 i </w:t>
            </w:r>
            <w:r w:rsidR="00286631" w:rsidRPr="00B131C0">
              <w:rPr>
                <w:rFonts w:cstheme="minorHAnsi"/>
                <w:sz w:val="20"/>
                <w:szCs w:val="20"/>
              </w:rPr>
              <w:t>§</w:t>
            </w:r>
            <w:r w:rsidR="00286631">
              <w:rPr>
                <w:rFonts w:cstheme="minorHAnsi"/>
                <w:sz w:val="20"/>
                <w:szCs w:val="20"/>
              </w:rPr>
              <w:t xml:space="preserve"> </w:t>
            </w:r>
            <w:r w:rsidRPr="00342F9B">
              <w:rPr>
                <w:rFonts w:cstheme="minorHAnsi"/>
                <w:sz w:val="20"/>
                <w:szCs w:val="20"/>
              </w:rPr>
              <w:t xml:space="preserve">4 k.c. Na tle art. 957 § 3 k.c., to osoba powołująca się na wyłączenie danej osoby od bycia świadkiem, powinna wykazać co do niej „uzasadnione wątpliwości”. Natomiast w wypadkach określonych w art. 957 § 1, </w:t>
            </w:r>
            <w:r w:rsidR="00286631" w:rsidRPr="00B131C0">
              <w:rPr>
                <w:rFonts w:cstheme="minorHAnsi"/>
                <w:sz w:val="20"/>
                <w:szCs w:val="20"/>
              </w:rPr>
              <w:t>§</w:t>
            </w:r>
            <w:r w:rsidR="00286631">
              <w:rPr>
                <w:rFonts w:cstheme="minorHAnsi"/>
                <w:sz w:val="20"/>
                <w:szCs w:val="20"/>
              </w:rPr>
              <w:t xml:space="preserve"> </w:t>
            </w:r>
            <w:r w:rsidRPr="00342F9B">
              <w:rPr>
                <w:rFonts w:cstheme="minorHAnsi"/>
                <w:sz w:val="20"/>
                <w:szCs w:val="20"/>
              </w:rPr>
              <w:t xml:space="preserve">2 i </w:t>
            </w:r>
            <w:r w:rsidR="00286631" w:rsidRPr="00B131C0">
              <w:rPr>
                <w:rFonts w:cstheme="minorHAnsi"/>
                <w:sz w:val="20"/>
                <w:szCs w:val="20"/>
              </w:rPr>
              <w:t>§</w:t>
            </w:r>
            <w:r w:rsidR="00286631">
              <w:rPr>
                <w:rFonts w:cstheme="minorHAnsi"/>
                <w:sz w:val="20"/>
                <w:szCs w:val="20"/>
              </w:rPr>
              <w:t xml:space="preserve"> </w:t>
            </w:r>
            <w:r w:rsidRPr="00342F9B">
              <w:rPr>
                <w:rFonts w:cstheme="minorHAnsi"/>
                <w:sz w:val="20"/>
                <w:szCs w:val="20"/>
              </w:rPr>
              <w:t xml:space="preserve">4 k.c. powinien istnieć faktycznie „brak jakichkolwiek wątpliwości” co do bezstronności danego świadka, aby uznać, że mimo otrzymania przez niego lub jakąkolwiek inną osobę mu potencjalnie bliską korzyści ze </w:t>
            </w:r>
            <w:r w:rsidRPr="00342F9B">
              <w:rPr>
                <w:rFonts w:cstheme="minorHAnsi"/>
                <w:sz w:val="20"/>
                <w:szCs w:val="20"/>
              </w:rPr>
              <w:lastRenderedPageBreak/>
              <w:t xml:space="preserve">spadku może być on jednak świadkiem testamentu. </w:t>
            </w:r>
            <w:r>
              <w:rPr>
                <w:rFonts w:cstheme="minorHAnsi"/>
                <w:sz w:val="20"/>
                <w:szCs w:val="20"/>
              </w:rPr>
              <w:t xml:space="preserve">Przykładem może być w tym zakresie </w:t>
            </w:r>
            <w:r w:rsidRPr="00BE78C6">
              <w:rPr>
                <w:rFonts w:cstheme="minorHAnsi"/>
                <w:sz w:val="20"/>
                <w:szCs w:val="20"/>
              </w:rPr>
              <w:t>powołani</w:t>
            </w:r>
            <w:r>
              <w:rPr>
                <w:rFonts w:cstheme="minorHAnsi"/>
                <w:sz w:val="20"/>
                <w:szCs w:val="20"/>
              </w:rPr>
              <w:t>e takiej osoby</w:t>
            </w:r>
            <w:r w:rsidRPr="00BE78C6">
              <w:rPr>
                <w:rFonts w:cstheme="minorHAnsi"/>
                <w:sz w:val="20"/>
                <w:szCs w:val="20"/>
              </w:rPr>
              <w:t xml:space="preserve"> do bycia wykonawcą testamentu</w:t>
            </w:r>
            <w:r>
              <w:rPr>
                <w:rFonts w:cstheme="minorHAnsi"/>
                <w:sz w:val="20"/>
                <w:szCs w:val="20"/>
              </w:rPr>
              <w:t xml:space="preserve">. Podobnie </w:t>
            </w:r>
            <w:r w:rsidRPr="00D05746">
              <w:rPr>
                <w:rFonts w:cstheme="minorHAnsi"/>
                <w:sz w:val="20"/>
                <w:szCs w:val="20"/>
              </w:rPr>
              <w:t xml:space="preserve">pozostawanie przez danego świadka przed wielu laty w małżeństwie lub we wspólnym pożyciu z osobą, dla której w testamencie została przewidziana jakakolwiek korzyść, </w:t>
            </w:r>
            <w:r>
              <w:rPr>
                <w:rFonts w:cstheme="minorHAnsi"/>
                <w:sz w:val="20"/>
                <w:szCs w:val="20"/>
              </w:rPr>
              <w:t xml:space="preserve">może </w:t>
            </w:r>
            <w:r w:rsidRPr="00D05746">
              <w:rPr>
                <w:rFonts w:cstheme="minorHAnsi"/>
                <w:sz w:val="20"/>
                <w:szCs w:val="20"/>
              </w:rPr>
              <w:t>nie wywo</w:t>
            </w:r>
            <w:r>
              <w:rPr>
                <w:rFonts w:cstheme="minorHAnsi"/>
                <w:sz w:val="20"/>
                <w:szCs w:val="20"/>
              </w:rPr>
              <w:t>ływać</w:t>
            </w:r>
            <w:r w:rsidRPr="00D05746">
              <w:rPr>
                <w:rFonts w:cstheme="minorHAnsi"/>
                <w:sz w:val="20"/>
                <w:szCs w:val="20"/>
              </w:rPr>
              <w:t xml:space="preserve"> obecnie żadnych wątpliwości co do jego bezstronności</w:t>
            </w:r>
            <w:r>
              <w:rPr>
                <w:rFonts w:cstheme="minorHAnsi"/>
                <w:sz w:val="20"/>
                <w:szCs w:val="20"/>
              </w:rPr>
              <w:t>.</w:t>
            </w:r>
            <w:r w:rsidRPr="00342F9B">
              <w:rPr>
                <w:rFonts w:cstheme="minorHAnsi"/>
                <w:sz w:val="20"/>
                <w:szCs w:val="20"/>
              </w:rPr>
              <w:t xml:space="preserve"> </w:t>
            </w:r>
            <w:r w:rsidR="00466B17">
              <w:rPr>
                <w:rFonts w:cstheme="minorHAnsi"/>
                <w:sz w:val="20"/>
                <w:szCs w:val="20"/>
              </w:rPr>
              <w:t>C</w:t>
            </w:r>
            <w:r w:rsidRPr="00342F9B">
              <w:rPr>
                <w:rFonts w:cstheme="minorHAnsi"/>
                <w:sz w:val="20"/>
                <w:szCs w:val="20"/>
              </w:rPr>
              <w:t xml:space="preserve">iężar udowodnienia braku takich wątpliwości nałożony jest na ten podmiot, który wywodzi z tego faktu skutki prawne. </w:t>
            </w:r>
          </w:p>
        </w:tc>
      </w:tr>
      <w:tr w:rsidR="00D05746" w:rsidRPr="00D103B4" w14:paraId="4D873A65" w14:textId="77777777" w:rsidTr="00B241C8">
        <w:trPr>
          <w:jc w:val="center"/>
        </w:trPr>
        <w:tc>
          <w:tcPr>
            <w:tcW w:w="562" w:type="dxa"/>
          </w:tcPr>
          <w:p w14:paraId="78BED3DF" w14:textId="2446FD05" w:rsidR="00D05746" w:rsidRPr="00D103B4" w:rsidRDefault="00D05746" w:rsidP="00D05746">
            <w:pPr>
              <w:spacing w:before="120" w:line="276" w:lineRule="auto"/>
              <w:ind w:right="-534"/>
              <w:rPr>
                <w:rFonts w:cstheme="minorHAnsi"/>
                <w:b/>
                <w:sz w:val="20"/>
                <w:szCs w:val="20"/>
              </w:rPr>
            </w:pPr>
            <w:r>
              <w:rPr>
                <w:rFonts w:cstheme="minorHAnsi"/>
                <w:b/>
                <w:sz w:val="20"/>
                <w:szCs w:val="20"/>
              </w:rPr>
              <w:lastRenderedPageBreak/>
              <w:t>2</w:t>
            </w:r>
            <w:r w:rsidR="00C90560">
              <w:rPr>
                <w:rFonts w:cstheme="minorHAnsi"/>
                <w:b/>
                <w:sz w:val="20"/>
                <w:szCs w:val="20"/>
              </w:rPr>
              <w:t>3</w:t>
            </w:r>
            <w:r w:rsidRPr="00D103B4">
              <w:rPr>
                <w:rFonts w:cstheme="minorHAnsi"/>
                <w:b/>
                <w:sz w:val="20"/>
                <w:szCs w:val="20"/>
              </w:rPr>
              <w:t>.</w:t>
            </w:r>
          </w:p>
        </w:tc>
        <w:tc>
          <w:tcPr>
            <w:tcW w:w="1843" w:type="dxa"/>
            <w:vAlign w:val="center"/>
          </w:tcPr>
          <w:p w14:paraId="4BD31A4E" w14:textId="5653C5EA"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Konferencja Episkopatu Polski</w:t>
            </w:r>
          </w:p>
        </w:tc>
        <w:tc>
          <w:tcPr>
            <w:tcW w:w="1843" w:type="dxa"/>
            <w:vAlign w:val="center"/>
          </w:tcPr>
          <w:p w14:paraId="7CA50BC2" w14:textId="33171048" w:rsidR="00D05746" w:rsidRPr="00D103B4" w:rsidRDefault="00D05746" w:rsidP="00D05746">
            <w:pPr>
              <w:spacing w:before="120" w:after="120" w:line="276" w:lineRule="auto"/>
              <w:jc w:val="center"/>
              <w:rPr>
                <w:rFonts w:cstheme="minorHAnsi"/>
                <w:sz w:val="20"/>
                <w:szCs w:val="20"/>
              </w:rPr>
            </w:pPr>
            <w:r w:rsidRPr="00D103B4">
              <w:rPr>
                <w:rFonts w:cstheme="minorHAnsi"/>
                <w:sz w:val="20"/>
                <w:szCs w:val="20"/>
              </w:rPr>
              <w:t>Art. 1 pkt 9 projektu (art. 957 § 2 i 3 k.c.)</w:t>
            </w:r>
          </w:p>
        </w:tc>
        <w:tc>
          <w:tcPr>
            <w:tcW w:w="5670" w:type="dxa"/>
            <w:vAlign w:val="center"/>
          </w:tcPr>
          <w:p w14:paraId="47EABACB" w14:textId="77777777" w:rsidR="00D05746" w:rsidRPr="00D103B4" w:rsidRDefault="00D05746" w:rsidP="00D05746">
            <w:pPr>
              <w:spacing w:line="276" w:lineRule="auto"/>
              <w:jc w:val="both"/>
              <w:rPr>
                <w:rFonts w:cstheme="minorHAnsi"/>
                <w:sz w:val="20"/>
                <w:szCs w:val="20"/>
              </w:rPr>
            </w:pPr>
            <w:r w:rsidRPr="00D103B4">
              <w:rPr>
                <w:rFonts w:cstheme="minorHAnsi"/>
                <w:sz w:val="20"/>
                <w:szCs w:val="20"/>
              </w:rPr>
              <w:t xml:space="preserve">Projekt zmian obejmuje także kwestię tzw. bezwzględnej niezdolności bycia świadkiem testamentu. Najważniejszą zmianą jest wprowadzenie granicy wieku uprawniającej do pełnienia roli świadka i uniezależnienie zdolności do bycia świadkiem testamentu od zdolności do czynności prawnych. </w:t>
            </w:r>
            <w:r w:rsidRPr="00D103B4">
              <w:rPr>
                <w:rFonts w:cstheme="minorHAnsi"/>
                <w:b/>
                <w:sz w:val="20"/>
                <w:szCs w:val="20"/>
              </w:rPr>
              <w:t>Można mieć wątpliwości</w:t>
            </w:r>
            <w:r w:rsidRPr="00D103B4">
              <w:rPr>
                <w:rFonts w:cstheme="minorHAnsi"/>
                <w:sz w:val="20"/>
                <w:szCs w:val="20"/>
              </w:rPr>
              <w:t xml:space="preserve"> co do proponowanego kształtu przepisu art. 957 § 2 pkt 1 k.c. O ile jeszcze do przyjęcia jest włączenie do kręgu osób mogących pełnić rolę świadka testamentu osób fizycznych, które ukończyły 16 lat (tego typu unormowanie można znaleźć w obcych porządkach prawnych), z pewnością z takim uzasadnieniem, że pełnienie funkcji świadka nie polega na złożeniu oświadczenia woli, lecz odebraniu treści takiego oświadczenia od innej osoby, to brak powiązania możliwości pełnienia tak doniosłej prawnie i społecznie funkcji, jaką jest świadek testamentu, ze zdolnością do czynnością prawnych, budzi poważne zastrzeżenia. Dotyczą one w szczególności osób ubezwłasnowolnionych całkowicie. Trudno przyjąć, że osoba </w:t>
            </w:r>
            <w:r w:rsidRPr="00D103B4">
              <w:rPr>
                <w:rFonts w:cstheme="minorHAnsi"/>
                <w:sz w:val="20"/>
                <w:szCs w:val="20"/>
              </w:rPr>
              <w:lastRenderedPageBreak/>
              <w:t>fizyczna, która została pozbawiona przez sąd zdolności do czynności prawnych z uwagi na spowodowaną chorobą psychiczną, niedorozwojem umysłowym czy innego rodzaju zaburzeniami psychicznymi niemożność kierowania własnym postępowaniem, da należytą „rękojmię” odtworzenia treści testamentu i to sporządzanego w szczególnych okolicznościach.</w:t>
            </w:r>
          </w:p>
          <w:p w14:paraId="130CDBB6" w14:textId="77777777" w:rsidR="00D05746" w:rsidRPr="00D103B4" w:rsidRDefault="00D05746" w:rsidP="00D05746">
            <w:pPr>
              <w:spacing w:line="276" w:lineRule="auto"/>
              <w:ind w:firstLine="709"/>
              <w:jc w:val="both"/>
              <w:rPr>
                <w:rFonts w:cstheme="minorHAnsi"/>
                <w:sz w:val="20"/>
                <w:szCs w:val="20"/>
              </w:rPr>
            </w:pPr>
            <w:r w:rsidRPr="00D103B4">
              <w:rPr>
                <w:rFonts w:cstheme="minorHAnsi"/>
                <w:sz w:val="20"/>
                <w:szCs w:val="20"/>
              </w:rPr>
              <w:t xml:space="preserve">Ubezwłasnowolnienie całkowite polega na całkowitym pozbawieniu osoby fizycznej samodzielności w podejmowaniu przez nią decyzji na rzecz dokonywania czynności prawnych w jej imieniu przez przedstawiciela ustawowego. W judykaturze przyjmuje się, że stanowiąca przesłankę ubezwłasnowolnienia całkowitego niemożność kierowania własnym postępowaniem ma miejsce w przypadku braku świadomego kontaktu z otoczeniem oraz braku możliwości intelektualnej oceny swojej sytuacji, swojego zachowania i wywołanych nim następstw. Również przedstawiciele doktryny, tak prawnicy, jak lekarze psychiatrzy, niemożność kierowania swoim postępowaniem oznaczający „brak wewnętrznej możności działania” utożsamiają z brakiem „koniecznej zdolności do uświadomienia sobie swego zachowania, określenia jego celu i jego realizacji”, brakiem zdolności do „racjonalnego (rozsądnego) podejmowania decyzji”. O zdolności do kierowania swoim postępowaniem decyduje zatem stopień krytycznej oceny przez badanego jego własnego postępowania oraz świadomość swych działań i zamierzeń. </w:t>
            </w:r>
          </w:p>
          <w:p w14:paraId="6F55800C" w14:textId="77777777" w:rsidR="00D05746" w:rsidRPr="00D103B4" w:rsidRDefault="00D05746" w:rsidP="00D05746">
            <w:pPr>
              <w:spacing w:line="276" w:lineRule="auto"/>
              <w:ind w:firstLine="708"/>
              <w:jc w:val="both"/>
              <w:rPr>
                <w:rFonts w:cstheme="minorHAnsi"/>
                <w:sz w:val="20"/>
                <w:szCs w:val="20"/>
              </w:rPr>
            </w:pPr>
            <w:r w:rsidRPr="00D103B4">
              <w:rPr>
                <w:rFonts w:cstheme="minorHAnsi"/>
                <w:sz w:val="20"/>
                <w:szCs w:val="20"/>
              </w:rPr>
              <w:t xml:space="preserve">Proponuje się również usunięcie z katalogu przyczyn bezwzględnej niezdolności bycia świadkiem testamentu przesłanki w postaci niewładania językiem, w którym spadkodawca sporządził testament. Z uwagi na to, że jest to przesłanka nie odpowiadająca </w:t>
            </w:r>
            <w:r w:rsidRPr="00D103B4">
              <w:rPr>
                <w:rFonts w:cstheme="minorHAnsi"/>
                <w:sz w:val="20"/>
                <w:szCs w:val="20"/>
              </w:rPr>
              <w:lastRenderedPageBreak/>
              <w:t xml:space="preserve">definicji bezwzględnej niezdolności do bycia świadkiem, należy przyjąć, że zmiana ta jest </w:t>
            </w:r>
            <w:r w:rsidRPr="00D103B4">
              <w:rPr>
                <w:rFonts w:cstheme="minorHAnsi"/>
                <w:b/>
                <w:sz w:val="20"/>
                <w:szCs w:val="20"/>
              </w:rPr>
              <w:t>jak najbardziej trafna</w:t>
            </w:r>
            <w:r w:rsidRPr="00D103B4">
              <w:rPr>
                <w:rFonts w:cstheme="minorHAnsi"/>
                <w:sz w:val="20"/>
                <w:szCs w:val="20"/>
              </w:rPr>
              <w:t>.</w:t>
            </w:r>
          </w:p>
          <w:p w14:paraId="62C1011E" w14:textId="0404EABC" w:rsidR="00D05746" w:rsidRPr="00D103B4" w:rsidRDefault="00D05746" w:rsidP="00D05746">
            <w:pPr>
              <w:spacing w:line="276" w:lineRule="auto"/>
              <w:ind w:firstLine="708"/>
              <w:jc w:val="both"/>
              <w:rPr>
                <w:rFonts w:cstheme="minorHAnsi"/>
                <w:i/>
                <w:iCs/>
                <w:sz w:val="20"/>
                <w:szCs w:val="20"/>
              </w:rPr>
            </w:pPr>
            <w:r w:rsidRPr="00D103B4">
              <w:rPr>
                <w:rFonts w:cstheme="minorHAnsi"/>
                <w:sz w:val="20"/>
                <w:szCs w:val="20"/>
              </w:rPr>
              <w:t xml:space="preserve">Kolejną przesłanką wyłączającą zdolność do bycia świadkiem testamentu jest brak możliwości widzenia lub słyszenia. Projektowane zmiany zakładają, że funkcja świadka znajdzie jedynie zastosowanie do testamentów szczególnych, którymi pozostaną tylko testament ustny i wojskowy. Mając na uwadze, ze w ustawie nie zostały wskazane ograniczenia w skorzystaniu z tych form testamentu. tak jak to jest </w:t>
            </w:r>
            <w:r w:rsidRPr="00D103B4">
              <w:rPr>
                <w:rFonts w:cstheme="minorHAnsi"/>
                <w:i/>
                <w:sz w:val="20"/>
                <w:szCs w:val="20"/>
              </w:rPr>
              <w:t>de lege lata</w:t>
            </w:r>
            <w:r w:rsidRPr="00D103B4">
              <w:rPr>
                <w:rFonts w:cstheme="minorHAnsi"/>
                <w:sz w:val="20"/>
                <w:szCs w:val="20"/>
              </w:rPr>
              <w:t xml:space="preserve"> w przypadku testamentu allograficznego (art. 951 § 3 k.c.), </w:t>
            </w:r>
            <w:r w:rsidRPr="00D103B4">
              <w:rPr>
                <w:rFonts w:cstheme="minorHAnsi"/>
                <w:b/>
                <w:sz w:val="20"/>
                <w:szCs w:val="20"/>
              </w:rPr>
              <w:t>można mieć wątpliwości</w:t>
            </w:r>
            <w:r w:rsidRPr="00D103B4">
              <w:rPr>
                <w:rFonts w:cstheme="minorHAnsi"/>
                <w:sz w:val="20"/>
                <w:szCs w:val="20"/>
              </w:rPr>
              <w:t xml:space="preserve">, </w:t>
            </w:r>
            <w:r w:rsidRPr="00FA0632">
              <w:rPr>
                <w:rFonts w:cstheme="minorHAnsi"/>
                <w:b/>
                <w:bCs/>
                <w:sz w:val="20"/>
                <w:szCs w:val="20"/>
              </w:rPr>
              <w:t>czy wyłączenie zawarte w art. 956 § 2 pkt 2 k.c. jest uzasadnione. Oczywistym jest, że w sytuacji, w której testament jest sporządzany przez osobę niesłyszącą, najlepszą gwarancję odzwierciedlenia (oddania) woli spadkodawcy daje osoba posługująca się takim samym systemem znaków porozumiewania się jak spadkodawca.</w:t>
            </w:r>
            <w:r w:rsidRPr="00D103B4">
              <w:rPr>
                <w:rFonts w:cstheme="minorHAnsi"/>
                <w:sz w:val="20"/>
                <w:szCs w:val="20"/>
              </w:rPr>
              <w:t xml:space="preserve"> </w:t>
            </w:r>
          </w:p>
        </w:tc>
        <w:tc>
          <w:tcPr>
            <w:tcW w:w="4076" w:type="dxa"/>
          </w:tcPr>
          <w:p w14:paraId="6DD282CF" w14:textId="195BAA7D" w:rsidR="00D05746" w:rsidRDefault="00D05746" w:rsidP="00D05746">
            <w:pPr>
              <w:jc w:val="both"/>
              <w:rPr>
                <w:rFonts w:cstheme="minorHAnsi"/>
                <w:b/>
                <w:bCs/>
                <w:sz w:val="20"/>
                <w:szCs w:val="20"/>
              </w:rPr>
            </w:pPr>
            <w:r w:rsidRPr="00F701E2">
              <w:rPr>
                <w:rFonts w:cstheme="minorHAnsi"/>
                <w:b/>
                <w:bCs/>
                <w:sz w:val="20"/>
                <w:szCs w:val="20"/>
              </w:rPr>
              <w:lastRenderedPageBreak/>
              <w:t xml:space="preserve">Uwaga nieuwzględniona </w:t>
            </w:r>
          </w:p>
          <w:p w14:paraId="063989DC" w14:textId="77777777" w:rsidR="00540457" w:rsidRDefault="00D05746" w:rsidP="00D05746">
            <w:pPr>
              <w:jc w:val="both"/>
              <w:rPr>
                <w:rFonts w:cstheme="minorHAnsi"/>
                <w:sz w:val="20"/>
                <w:szCs w:val="20"/>
              </w:rPr>
            </w:pPr>
            <w:r w:rsidRPr="00307896">
              <w:rPr>
                <w:rFonts w:cstheme="minorHAnsi"/>
                <w:bCs/>
                <w:sz w:val="20"/>
                <w:szCs w:val="20"/>
              </w:rPr>
              <w:t>Proponowane rozwiązani</w:t>
            </w:r>
            <w:r>
              <w:rPr>
                <w:rFonts w:cstheme="minorHAnsi"/>
                <w:bCs/>
                <w:sz w:val="20"/>
                <w:szCs w:val="20"/>
              </w:rPr>
              <w:t>a</w:t>
            </w:r>
            <w:r w:rsidRPr="00307896">
              <w:rPr>
                <w:rFonts w:cstheme="minorHAnsi"/>
                <w:bCs/>
                <w:sz w:val="20"/>
                <w:szCs w:val="20"/>
              </w:rPr>
              <w:t xml:space="preserve"> wynika</w:t>
            </w:r>
            <w:r>
              <w:rPr>
                <w:rFonts w:cstheme="minorHAnsi"/>
                <w:bCs/>
                <w:sz w:val="20"/>
                <w:szCs w:val="20"/>
              </w:rPr>
              <w:t>ją</w:t>
            </w:r>
            <w:r w:rsidRPr="00307896">
              <w:rPr>
                <w:rFonts w:cstheme="minorHAnsi"/>
                <w:bCs/>
                <w:sz w:val="20"/>
                <w:szCs w:val="20"/>
              </w:rPr>
              <w:t xml:space="preserve"> z celowej decyzji </w:t>
            </w:r>
            <w:r w:rsidRPr="00307896">
              <w:rPr>
                <w:rFonts w:cstheme="minorHAnsi"/>
                <w:sz w:val="20"/>
                <w:szCs w:val="20"/>
              </w:rPr>
              <w:t xml:space="preserve">Zespołu problemowego do spraw prawa </w:t>
            </w:r>
            <w:r w:rsidRPr="00540457">
              <w:rPr>
                <w:rFonts w:cstheme="minorHAnsi"/>
                <w:sz w:val="20"/>
                <w:szCs w:val="20"/>
              </w:rPr>
              <w:t>spadkowego Komisji Kodyfikacyjnej Prawa Cywilnego. Zagadnienia te zostały wyjaśnione szerzej w uzasadnieniu projektu.</w:t>
            </w:r>
            <w:r w:rsidR="00540457">
              <w:rPr>
                <w:rFonts w:cstheme="minorHAnsi"/>
                <w:sz w:val="20"/>
                <w:szCs w:val="20"/>
              </w:rPr>
              <w:t xml:space="preserve"> </w:t>
            </w:r>
          </w:p>
          <w:p w14:paraId="75250718" w14:textId="77777777" w:rsidR="00466B17" w:rsidRDefault="00466B17" w:rsidP="00D05746">
            <w:pPr>
              <w:jc w:val="both"/>
              <w:rPr>
                <w:rFonts w:cstheme="minorHAnsi"/>
                <w:sz w:val="20"/>
                <w:szCs w:val="20"/>
              </w:rPr>
            </w:pPr>
          </w:p>
          <w:p w14:paraId="3FF13835" w14:textId="601D58E9" w:rsidR="00D05746" w:rsidRDefault="00540457" w:rsidP="00D05746">
            <w:pPr>
              <w:jc w:val="both"/>
              <w:rPr>
                <w:rFonts w:cstheme="minorHAnsi"/>
                <w:sz w:val="20"/>
                <w:szCs w:val="20"/>
              </w:rPr>
            </w:pPr>
            <w:r>
              <w:rPr>
                <w:rFonts w:cstheme="minorHAnsi"/>
                <w:sz w:val="20"/>
                <w:szCs w:val="20"/>
              </w:rPr>
              <w:t>W projekcie przyjęto</w:t>
            </w:r>
            <w:r w:rsidRPr="00540457">
              <w:rPr>
                <w:rFonts w:cstheme="minorHAnsi"/>
                <w:sz w:val="20"/>
                <w:szCs w:val="20"/>
              </w:rPr>
              <w:t>, że świadkiem testamentu mogą być również osoby niepełnoletnie, które ukończyły 16 rok życia. Osoby w tym wieku mogą być w stanie oddać treść złożonego wobec nich oświadczenia woli spadkodawcy, a ponadto mogą w sytuacjach szczególnych i nagłych zagrażających jego życiu zarejestrować takie oświadczenie na trwałym nośniku.</w:t>
            </w:r>
            <w:r>
              <w:rPr>
                <w:rFonts w:cstheme="minorHAnsi"/>
                <w:sz w:val="20"/>
                <w:szCs w:val="20"/>
              </w:rPr>
              <w:t xml:space="preserve"> Nie było więc potrzeby wiązania funkcji świadka ze zdolnością do czynności prawnych.</w:t>
            </w:r>
          </w:p>
          <w:p w14:paraId="2EEB20A3" w14:textId="77777777" w:rsidR="00540457" w:rsidRDefault="00540457" w:rsidP="00D05746">
            <w:pPr>
              <w:jc w:val="both"/>
              <w:rPr>
                <w:rFonts w:cstheme="minorHAnsi"/>
                <w:sz w:val="20"/>
                <w:szCs w:val="20"/>
              </w:rPr>
            </w:pPr>
          </w:p>
          <w:p w14:paraId="316930F5" w14:textId="7DC4BE15" w:rsidR="00540457" w:rsidRDefault="00540457" w:rsidP="00D05746">
            <w:pPr>
              <w:jc w:val="both"/>
              <w:rPr>
                <w:rFonts w:cstheme="minorHAnsi"/>
                <w:sz w:val="20"/>
                <w:szCs w:val="20"/>
              </w:rPr>
            </w:pPr>
            <w:r>
              <w:rPr>
                <w:rFonts w:cstheme="minorHAnsi"/>
                <w:sz w:val="20"/>
                <w:szCs w:val="20"/>
              </w:rPr>
              <w:lastRenderedPageBreak/>
              <w:t>Podkreślić należy również, że w</w:t>
            </w:r>
            <w:r w:rsidRPr="00540457">
              <w:rPr>
                <w:rFonts w:cstheme="minorHAnsi"/>
                <w:sz w:val="20"/>
                <w:szCs w:val="20"/>
              </w:rPr>
              <w:t xml:space="preserve"> nowym § 1 art. 956 k.c. zdecydowano się zdefiniować to, że świadkiem testamentu jest osoba, w obecności której spadkodawca składa swoje oświadczenie woli, mająca świadomość sporządzania przez spadkodawcę testamentu i rozumiejąca treść oświadczenia spadkodawcy. Takie zdefiniowanie pojęcia świadka testamentu wyłącza z jego zakresu osoby, które nie zdawały sobie sprawy z tego, że biorą udział w akcie testowania, a także osoby, które nie rozumieją treści oświadczenia woli spadkodawcy. </w:t>
            </w:r>
          </w:p>
          <w:p w14:paraId="2154CE9E" w14:textId="5727D2AB" w:rsidR="00D05746" w:rsidRPr="00D103B4" w:rsidRDefault="00D05746" w:rsidP="00D05746">
            <w:pPr>
              <w:spacing w:line="276" w:lineRule="auto"/>
              <w:jc w:val="both"/>
              <w:rPr>
                <w:rFonts w:cstheme="minorHAnsi"/>
                <w:sz w:val="20"/>
                <w:szCs w:val="20"/>
              </w:rPr>
            </w:pPr>
          </w:p>
        </w:tc>
      </w:tr>
      <w:tr w:rsidR="00D05746" w:rsidRPr="00D103B4" w14:paraId="02CEC752" w14:textId="77777777" w:rsidTr="00B241C8">
        <w:trPr>
          <w:jc w:val="center"/>
        </w:trPr>
        <w:tc>
          <w:tcPr>
            <w:tcW w:w="562" w:type="dxa"/>
          </w:tcPr>
          <w:p w14:paraId="0E0AFF07" w14:textId="52656DAD" w:rsidR="00D05746" w:rsidRPr="00D103B4" w:rsidRDefault="00D05746" w:rsidP="00D05746">
            <w:pPr>
              <w:spacing w:before="120"/>
              <w:ind w:right="-534"/>
              <w:rPr>
                <w:rFonts w:cstheme="minorHAnsi"/>
                <w:b/>
                <w:sz w:val="20"/>
                <w:szCs w:val="20"/>
              </w:rPr>
            </w:pPr>
            <w:r>
              <w:rPr>
                <w:rFonts w:cstheme="minorHAnsi"/>
                <w:b/>
                <w:sz w:val="20"/>
                <w:szCs w:val="20"/>
              </w:rPr>
              <w:lastRenderedPageBreak/>
              <w:t>2</w:t>
            </w:r>
            <w:r w:rsidR="00C90560">
              <w:rPr>
                <w:rFonts w:cstheme="minorHAnsi"/>
                <w:b/>
                <w:sz w:val="20"/>
                <w:szCs w:val="20"/>
              </w:rPr>
              <w:t>4</w:t>
            </w:r>
            <w:r>
              <w:rPr>
                <w:rFonts w:cstheme="minorHAnsi"/>
                <w:b/>
                <w:sz w:val="20"/>
                <w:szCs w:val="20"/>
              </w:rPr>
              <w:t>.</w:t>
            </w:r>
          </w:p>
        </w:tc>
        <w:tc>
          <w:tcPr>
            <w:tcW w:w="1843" w:type="dxa"/>
            <w:vAlign w:val="center"/>
          </w:tcPr>
          <w:p w14:paraId="005A1633" w14:textId="77777777"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 xml:space="preserve">Sąd Apelacyjny w Łodzi </w:t>
            </w:r>
          </w:p>
          <w:p w14:paraId="56E66424" w14:textId="1B12485E" w:rsidR="00D05746" w:rsidRPr="00D103B4" w:rsidRDefault="00D05746" w:rsidP="00D05746">
            <w:pPr>
              <w:spacing w:before="120" w:after="120"/>
              <w:jc w:val="center"/>
              <w:rPr>
                <w:rFonts w:cstheme="minorHAnsi"/>
                <w:b/>
                <w:bCs/>
                <w:sz w:val="20"/>
                <w:szCs w:val="20"/>
              </w:rPr>
            </w:pPr>
            <w:r w:rsidRPr="00D103B4">
              <w:rPr>
                <w:rFonts w:cstheme="minorHAnsi"/>
                <w:sz w:val="20"/>
                <w:szCs w:val="20"/>
              </w:rPr>
              <w:t>- uwaga Sądu Rejonowego dla Łodzi-Śródmieścia w Łodzi</w:t>
            </w:r>
          </w:p>
        </w:tc>
        <w:tc>
          <w:tcPr>
            <w:tcW w:w="1843" w:type="dxa"/>
            <w:vAlign w:val="center"/>
          </w:tcPr>
          <w:p w14:paraId="5F9CA68C" w14:textId="1F71C85D" w:rsidR="00D05746" w:rsidRPr="00D103B4" w:rsidRDefault="00D05746" w:rsidP="00D05746">
            <w:pPr>
              <w:spacing w:before="120" w:after="120"/>
              <w:jc w:val="center"/>
              <w:rPr>
                <w:rFonts w:cstheme="minorHAnsi"/>
                <w:sz w:val="20"/>
                <w:szCs w:val="20"/>
              </w:rPr>
            </w:pPr>
            <w:r w:rsidRPr="00D103B4">
              <w:rPr>
                <w:rFonts w:cstheme="minorHAnsi"/>
                <w:sz w:val="20"/>
                <w:szCs w:val="20"/>
              </w:rPr>
              <w:t>Art. 1 pkt 9 projektu (art. 957 § 2 i 3 k.c.)</w:t>
            </w:r>
          </w:p>
        </w:tc>
        <w:tc>
          <w:tcPr>
            <w:tcW w:w="5670" w:type="dxa"/>
            <w:vAlign w:val="center"/>
          </w:tcPr>
          <w:p w14:paraId="17AE312A" w14:textId="497393E3" w:rsidR="00D05746" w:rsidRPr="00D103B4" w:rsidRDefault="00D05746" w:rsidP="00D05746">
            <w:pPr>
              <w:spacing w:line="276" w:lineRule="auto"/>
              <w:jc w:val="both"/>
              <w:rPr>
                <w:rFonts w:cstheme="minorHAnsi"/>
                <w:sz w:val="20"/>
                <w:szCs w:val="20"/>
              </w:rPr>
            </w:pPr>
            <w:r w:rsidRPr="00D103B4">
              <w:rPr>
                <w:rFonts w:cstheme="minorHAnsi"/>
                <w:sz w:val="20"/>
                <w:szCs w:val="20"/>
              </w:rPr>
              <w:t xml:space="preserve">W ocenie konsultującego w § 2 i 3 projektowanego art. 957 k.c. stanowi się </w:t>
            </w:r>
            <w:r w:rsidRPr="00FA0632">
              <w:rPr>
                <w:rFonts w:cstheme="minorHAnsi"/>
                <w:b/>
                <w:bCs/>
                <w:sz w:val="20"/>
                <w:szCs w:val="20"/>
              </w:rPr>
              <w:t>zbyt rygorystyczne ograniczenie uprawnienia do bycia świadkiem testamentu ustnego</w:t>
            </w:r>
            <w:r w:rsidRPr="00D103B4">
              <w:rPr>
                <w:rFonts w:cstheme="minorHAnsi"/>
                <w:sz w:val="20"/>
                <w:szCs w:val="20"/>
              </w:rPr>
              <w:t xml:space="preserve">, nie wydaje się również celowe wprowadzenie do zakazu bycia świadkiem pojęcia </w:t>
            </w:r>
            <w:r w:rsidRPr="00FA0632">
              <w:rPr>
                <w:rFonts w:cstheme="minorHAnsi"/>
                <w:b/>
                <w:bCs/>
                <w:sz w:val="20"/>
                <w:szCs w:val="20"/>
              </w:rPr>
              <w:t>„uzasadnionych wątpliwości co do bezstronności”, jest to pojęcie wieloznaczne, nie poddające się jednoznacznej interpretacji i będzie mogło być łatwo wykorzystywana do utrudnienia realizacji ostatniej woli spadkodawcy.</w:t>
            </w:r>
            <w:r w:rsidRPr="00D103B4">
              <w:rPr>
                <w:rFonts w:cstheme="minorHAnsi"/>
                <w:sz w:val="20"/>
                <w:szCs w:val="20"/>
              </w:rPr>
              <w:t xml:space="preserve"> </w:t>
            </w:r>
            <w:r w:rsidRPr="00FA0632">
              <w:rPr>
                <w:rFonts w:cstheme="minorHAnsi"/>
                <w:b/>
                <w:bCs/>
                <w:sz w:val="20"/>
                <w:szCs w:val="20"/>
              </w:rPr>
              <w:t>Odnosząc się do projektowanego § 2 zakazanie bycia świadkom osobom</w:t>
            </w:r>
            <w:r w:rsidRPr="00D103B4">
              <w:rPr>
                <w:rFonts w:cstheme="minorHAnsi"/>
                <w:sz w:val="20"/>
                <w:szCs w:val="20"/>
              </w:rPr>
              <w:t xml:space="preserve"> </w:t>
            </w:r>
            <w:r w:rsidRPr="00FA0632">
              <w:rPr>
                <w:rFonts w:cstheme="minorHAnsi"/>
                <w:b/>
                <w:bCs/>
                <w:sz w:val="20"/>
                <w:szCs w:val="20"/>
              </w:rPr>
              <w:t>aż do czwartego stopnia pokrewieństwa lub powinowactwa w sytuacjach uzasadniających konieczność sporządzenia testamentu ustnego może uniemożliwiać jego sporządzenie.</w:t>
            </w:r>
          </w:p>
        </w:tc>
        <w:tc>
          <w:tcPr>
            <w:tcW w:w="4076" w:type="dxa"/>
          </w:tcPr>
          <w:p w14:paraId="2D4B2796" w14:textId="6CA84783" w:rsidR="00D05746" w:rsidRDefault="00D05746" w:rsidP="00D05746">
            <w:pPr>
              <w:jc w:val="both"/>
              <w:rPr>
                <w:rFonts w:cstheme="minorHAnsi"/>
                <w:b/>
                <w:bCs/>
                <w:sz w:val="20"/>
                <w:szCs w:val="20"/>
              </w:rPr>
            </w:pPr>
            <w:r w:rsidRPr="00F701E2">
              <w:rPr>
                <w:rFonts w:cstheme="minorHAnsi"/>
                <w:b/>
                <w:bCs/>
                <w:sz w:val="20"/>
                <w:szCs w:val="20"/>
              </w:rPr>
              <w:t xml:space="preserve">Uwaga nieuwzględniona </w:t>
            </w:r>
          </w:p>
          <w:p w14:paraId="0CD272BB" w14:textId="77777777" w:rsidR="009F0ABF" w:rsidRDefault="00D05746" w:rsidP="00D05746">
            <w:pPr>
              <w:jc w:val="both"/>
              <w:rPr>
                <w:rFonts w:cstheme="minorHAnsi"/>
                <w:sz w:val="20"/>
                <w:szCs w:val="20"/>
              </w:rPr>
            </w:pPr>
            <w:r w:rsidRPr="00307896">
              <w:rPr>
                <w:rFonts w:cstheme="minorHAnsi"/>
                <w:bCs/>
                <w:sz w:val="20"/>
                <w:szCs w:val="20"/>
              </w:rPr>
              <w:t>Proponowane rozwiązani</w:t>
            </w:r>
            <w:r>
              <w:rPr>
                <w:rFonts w:cstheme="minorHAnsi"/>
                <w:bCs/>
                <w:sz w:val="20"/>
                <w:szCs w:val="20"/>
              </w:rPr>
              <w:t>a</w:t>
            </w:r>
            <w:r w:rsidRPr="00307896">
              <w:rPr>
                <w:rFonts w:cstheme="minorHAnsi"/>
                <w:bCs/>
                <w:sz w:val="20"/>
                <w:szCs w:val="20"/>
              </w:rPr>
              <w:t xml:space="preserve"> wynika</w:t>
            </w:r>
            <w:r>
              <w:rPr>
                <w:rFonts w:cstheme="minorHAnsi"/>
                <w:bCs/>
                <w:sz w:val="20"/>
                <w:szCs w:val="20"/>
              </w:rPr>
              <w:t>ją</w:t>
            </w:r>
            <w:r w:rsidRPr="00307896">
              <w:rPr>
                <w:rFonts w:cstheme="minorHAnsi"/>
                <w:bCs/>
                <w:sz w:val="20"/>
                <w:szCs w:val="20"/>
              </w:rPr>
              <w:t xml:space="preserve"> z celowej decyzji </w:t>
            </w:r>
            <w:r w:rsidRPr="00307896">
              <w:rPr>
                <w:rFonts w:cstheme="minorHAnsi"/>
                <w:sz w:val="20"/>
                <w:szCs w:val="20"/>
              </w:rPr>
              <w:t>Zespołu problemowego do spraw prawa spadkowego Komisji Kodyfikacyjnej Prawa Cywilnego.</w:t>
            </w:r>
            <w:r w:rsidRPr="00342F9B">
              <w:rPr>
                <w:rFonts w:cstheme="minorHAnsi"/>
                <w:sz w:val="20"/>
                <w:szCs w:val="20"/>
              </w:rPr>
              <w:t xml:space="preserve"> </w:t>
            </w:r>
            <w:r w:rsidRPr="00307896">
              <w:rPr>
                <w:rFonts w:cstheme="minorHAnsi"/>
                <w:sz w:val="20"/>
                <w:szCs w:val="20"/>
              </w:rPr>
              <w:t>Zagadnienie zostało wyjaśnione szerzej w uzasadnieniu projektu.</w:t>
            </w:r>
            <w:r>
              <w:rPr>
                <w:rFonts w:cstheme="minorHAnsi"/>
                <w:sz w:val="20"/>
                <w:szCs w:val="20"/>
              </w:rPr>
              <w:t xml:space="preserve"> </w:t>
            </w:r>
          </w:p>
          <w:p w14:paraId="24A3CC32" w14:textId="77777777" w:rsidR="009F0ABF" w:rsidRDefault="009F0ABF" w:rsidP="00D05746">
            <w:pPr>
              <w:jc w:val="both"/>
              <w:rPr>
                <w:rFonts w:cstheme="minorHAnsi"/>
                <w:sz w:val="20"/>
                <w:szCs w:val="20"/>
              </w:rPr>
            </w:pPr>
          </w:p>
          <w:p w14:paraId="6F41E743" w14:textId="1FD6956C" w:rsidR="009F0ABF" w:rsidRDefault="009F0ABF" w:rsidP="00D05746">
            <w:pPr>
              <w:jc w:val="both"/>
              <w:rPr>
                <w:rFonts w:cstheme="minorHAnsi"/>
                <w:sz w:val="20"/>
                <w:szCs w:val="20"/>
              </w:rPr>
            </w:pPr>
            <w:r>
              <w:rPr>
                <w:rFonts w:cstheme="minorHAnsi"/>
                <w:sz w:val="20"/>
                <w:szCs w:val="20"/>
              </w:rPr>
              <w:t xml:space="preserve">Zgodnie z Wielkim Słownikiem Języka polskiego „bezstronność” to </w:t>
            </w:r>
            <w:r w:rsidRPr="00D05746">
              <w:rPr>
                <w:rFonts w:cstheme="minorHAnsi"/>
                <w:sz w:val="20"/>
                <w:szCs w:val="20"/>
              </w:rPr>
              <w:t>postawa polegająca na przedstawianiu lub ocenianiu czegoś zgodnie z faktami i bez opowiadania się po żadnej ze stron zajmujących różne stanowiska</w:t>
            </w:r>
            <w:r>
              <w:rPr>
                <w:rFonts w:cstheme="minorHAnsi"/>
                <w:sz w:val="20"/>
                <w:szCs w:val="20"/>
              </w:rPr>
              <w:t xml:space="preserve">. Może ona także odnosić się do świadka testamentu, tak jak </w:t>
            </w:r>
            <w:r>
              <w:rPr>
                <w:rFonts w:cstheme="minorHAnsi"/>
                <w:sz w:val="20"/>
                <w:szCs w:val="20"/>
              </w:rPr>
              <w:lastRenderedPageBreak/>
              <w:t xml:space="preserve">odnosić się może np. do biegłego (por. art. 282 </w:t>
            </w:r>
            <w:r w:rsidRPr="00D05746">
              <w:rPr>
                <w:rFonts w:cstheme="minorHAnsi"/>
                <w:sz w:val="20"/>
                <w:szCs w:val="20"/>
              </w:rPr>
              <w:t>§  1</w:t>
            </w:r>
            <w:r>
              <w:rPr>
                <w:rFonts w:cstheme="minorHAnsi"/>
                <w:sz w:val="20"/>
                <w:szCs w:val="20"/>
              </w:rPr>
              <w:t xml:space="preserve"> k.p.c.).</w:t>
            </w:r>
          </w:p>
          <w:p w14:paraId="005BF4FC" w14:textId="77777777" w:rsidR="009F0ABF" w:rsidRDefault="009F0ABF" w:rsidP="00D05746">
            <w:pPr>
              <w:jc w:val="both"/>
              <w:rPr>
                <w:rFonts w:cstheme="minorHAnsi"/>
                <w:sz w:val="20"/>
                <w:szCs w:val="20"/>
              </w:rPr>
            </w:pPr>
          </w:p>
          <w:p w14:paraId="373A7FA2" w14:textId="0281E07B" w:rsidR="00D05746" w:rsidRDefault="00D05746" w:rsidP="00D05746">
            <w:pPr>
              <w:jc w:val="both"/>
              <w:rPr>
                <w:rFonts w:cstheme="minorHAnsi"/>
                <w:sz w:val="20"/>
                <w:szCs w:val="20"/>
              </w:rPr>
            </w:pPr>
            <w:r w:rsidRPr="00B131C0">
              <w:rPr>
                <w:rFonts w:cstheme="minorHAnsi"/>
                <w:sz w:val="20"/>
                <w:szCs w:val="20"/>
              </w:rPr>
              <w:t xml:space="preserve">W art. 957 § 3 k.c. zdecydowano się zastosować pojęcie „uzasadnionych wątpliwości”, które występuje w Kodeksie postępowania cywilnego m.in. w odniesieniu do wyłączenia sędziego (art. 49 § 2 k.p.c.) lub arbitra (art. 1174 § 2 k.p.c.), aby odróżnić tę sytuację, od przypadków objętych art. 957 § 1, </w:t>
            </w:r>
            <w:r w:rsidR="00286631" w:rsidRPr="00B131C0">
              <w:rPr>
                <w:rFonts w:cstheme="minorHAnsi"/>
                <w:sz w:val="20"/>
                <w:szCs w:val="20"/>
              </w:rPr>
              <w:t>§</w:t>
            </w:r>
            <w:r w:rsidR="00286631">
              <w:rPr>
                <w:rFonts w:cstheme="minorHAnsi"/>
                <w:sz w:val="20"/>
                <w:szCs w:val="20"/>
              </w:rPr>
              <w:t xml:space="preserve"> </w:t>
            </w:r>
            <w:r w:rsidRPr="00B131C0">
              <w:rPr>
                <w:rFonts w:cstheme="minorHAnsi"/>
                <w:sz w:val="20"/>
                <w:szCs w:val="20"/>
              </w:rPr>
              <w:t xml:space="preserve">2 i </w:t>
            </w:r>
            <w:r w:rsidR="00286631" w:rsidRPr="00B131C0">
              <w:rPr>
                <w:rFonts w:cstheme="minorHAnsi"/>
                <w:sz w:val="20"/>
                <w:szCs w:val="20"/>
              </w:rPr>
              <w:t>§</w:t>
            </w:r>
            <w:r w:rsidR="00286631">
              <w:rPr>
                <w:rFonts w:cstheme="minorHAnsi"/>
                <w:sz w:val="20"/>
                <w:szCs w:val="20"/>
              </w:rPr>
              <w:t xml:space="preserve"> </w:t>
            </w:r>
            <w:r w:rsidRPr="00B131C0">
              <w:rPr>
                <w:rFonts w:cstheme="minorHAnsi"/>
                <w:sz w:val="20"/>
                <w:szCs w:val="20"/>
              </w:rPr>
              <w:t xml:space="preserve">4 k.c. Na tle art. 957 § 3 k.c., to osoba powołująca się na wyłączenie danej osoby od bycia świadkiem, powinna wykazać co do niej „uzasadnione wątpliwości”. Natomiast w wypadkach określonych w art. 957 § 1, </w:t>
            </w:r>
            <w:r w:rsidR="00286631" w:rsidRPr="00B131C0">
              <w:rPr>
                <w:rFonts w:cstheme="minorHAnsi"/>
                <w:sz w:val="20"/>
                <w:szCs w:val="20"/>
              </w:rPr>
              <w:t>§</w:t>
            </w:r>
            <w:r w:rsidR="00286631">
              <w:rPr>
                <w:rFonts w:cstheme="minorHAnsi"/>
                <w:sz w:val="20"/>
                <w:szCs w:val="20"/>
              </w:rPr>
              <w:t xml:space="preserve"> </w:t>
            </w:r>
            <w:r w:rsidRPr="00B131C0">
              <w:rPr>
                <w:rFonts w:cstheme="minorHAnsi"/>
                <w:sz w:val="20"/>
                <w:szCs w:val="20"/>
              </w:rPr>
              <w:t xml:space="preserve">2 i </w:t>
            </w:r>
            <w:r w:rsidR="00286631" w:rsidRPr="00B131C0">
              <w:rPr>
                <w:rFonts w:cstheme="minorHAnsi"/>
                <w:sz w:val="20"/>
                <w:szCs w:val="20"/>
              </w:rPr>
              <w:t>§</w:t>
            </w:r>
            <w:r w:rsidR="00286631">
              <w:rPr>
                <w:rFonts w:cstheme="minorHAnsi"/>
                <w:sz w:val="20"/>
                <w:szCs w:val="20"/>
              </w:rPr>
              <w:t xml:space="preserve"> </w:t>
            </w:r>
            <w:r w:rsidRPr="00B131C0">
              <w:rPr>
                <w:rFonts w:cstheme="minorHAnsi"/>
                <w:sz w:val="20"/>
                <w:szCs w:val="20"/>
              </w:rPr>
              <w:t xml:space="preserve">4 k.c. powinien istnieć faktycznie „brak jakichkolwiek wątpliwości” co do bezstronności danego świadka, aby uznać, że mimo otrzymania przez niego lub jakąkolwiek inną osobę mu potencjalnie bliską korzyści ze spadku (np. powołania do bycia wykonawcą testamentu) może być on jednak świadkiem testamentu. </w:t>
            </w:r>
            <w:r w:rsidR="00466B17">
              <w:rPr>
                <w:rFonts w:cstheme="minorHAnsi"/>
                <w:sz w:val="20"/>
                <w:szCs w:val="20"/>
              </w:rPr>
              <w:t>U</w:t>
            </w:r>
            <w:r w:rsidRPr="00B131C0">
              <w:rPr>
                <w:rFonts w:cstheme="minorHAnsi"/>
                <w:sz w:val="20"/>
                <w:szCs w:val="20"/>
              </w:rPr>
              <w:t>trudniać to będzie wykazanie dowodowo braku istnienia takich wątpliwości co do bezstronności świadka przez osobę, która się na to powołuje. Ciężar udowodnienia braku takich wątpliwości nałożony jest bowiem na ten podmiot, który wywodzi z tego faktu skutki prawne. Takie rozwiązanie umożliwia również odstąpienie od definiowania w przepisie tego, na czym miałaby polegać taka „korzyść” oraz tego, czy powinna mieć ona majątkowy, czy niemajątkowy charakter.</w:t>
            </w:r>
          </w:p>
          <w:p w14:paraId="21ABD059" w14:textId="77777777" w:rsidR="00624828" w:rsidRDefault="00624828" w:rsidP="00D05746">
            <w:pPr>
              <w:jc w:val="both"/>
              <w:rPr>
                <w:rFonts w:cstheme="minorHAnsi"/>
                <w:sz w:val="20"/>
                <w:szCs w:val="20"/>
              </w:rPr>
            </w:pPr>
          </w:p>
          <w:p w14:paraId="10A0C5BE" w14:textId="0ECC5F15" w:rsidR="00D05746" w:rsidRPr="00D103B4" w:rsidRDefault="00624828" w:rsidP="00D05746">
            <w:pPr>
              <w:jc w:val="both"/>
              <w:rPr>
                <w:rFonts w:cstheme="minorHAnsi"/>
                <w:sz w:val="20"/>
                <w:szCs w:val="20"/>
              </w:rPr>
            </w:pPr>
            <w:r w:rsidRPr="00624828">
              <w:rPr>
                <w:rFonts w:cstheme="minorHAnsi"/>
                <w:sz w:val="20"/>
                <w:szCs w:val="20"/>
              </w:rPr>
              <w:t xml:space="preserve">Aby zrealizować cel przepisu w postaci zagwarantowania bezstronności świadka oraz aby zapewnić brak zewnętrznych wątpliwości osób trzecich względem tej bezstronności, </w:t>
            </w:r>
            <w:r>
              <w:rPr>
                <w:rFonts w:cstheme="minorHAnsi"/>
                <w:sz w:val="20"/>
                <w:szCs w:val="20"/>
              </w:rPr>
              <w:t>Zespół uznał</w:t>
            </w:r>
            <w:r w:rsidRPr="00624828">
              <w:rPr>
                <w:rFonts w:cstheme="minorHAnsi"/>
                <w:sz w:val="20"/>
                <w:szCs w:val="20"/>
              </w:rPr>
              <w:t>, że od bycia świadkiem testamentu powinni być wyłączeni także krewni lub powinowaci beneficjenta spadku do czwartego stopnia pokrewieństwa (tak, aby objąć tym kręgiem przede wszystkim rodzeństwo cioteczne</w:t>
            </w:r>
            <w:r>
              <w:rPr>
                <w:rFonts w:cstheme="minorHAnsi"/>
                <w:sz w:val="20"/>
                <w:szCs w:val="20"/>
              </w:rPr>
              <w:t>)</w:t>
            </w:r>
            <w:r w:rsidRPr="00624828">
              <w:rPr>
                <w:rFonts w:cstheme="minorHAnsi"/>
                <w:sz w:val="20"/>
                <w:szCs w:val="20"/>
              </w:rPr>
              <w:t xml:space="preserve">. Z tych też względów z grona świadków testamentu zdecydowano się wykluczyć również krewnych osoby pozostającej z beneficjentem we wspólnym pożyciu lub stosunku przysposobienia do czwartego stopnia pokrewieństwa (proponowany art. 957 § 2 pkt 5 k.c.). </w:t>
            </w:r>
            <w:r>
              <w:rPr>
                <w:rFonts w:cstheme="minorHAnsi"/>
                <w:sz w:val="20"/>
                <w:szCs w:val="20"/>
              </w:rPr>
              <w:t>W każdym z tych przypadków, j</w:t>
            </w:r>
            <w:r w:rsidRPr="00624828">
              <w:rPr>
                <w:rFonts w:cstheme="minorHAnsi"/>
                <w:sz w:val="20"/>
                <w:szCs w:val="20"/>
              </w:rPr>
              <w:t>eżeli jednak zostanie udowodnione, że w danej sytuacji opisane związki rodzinne nie wywołują uzasadnionych jakichkolwiek wątpliwości co do bezstronności świadka, dana osoba nie powinna być wyłączona od możliwości bycia nim.</w:t>
            </w:r>
          </w:p>
        </w:tc>
      </w:tr>
      <w:tr w:rsidR="00D05746" w:rsidRPr="00D103B4" w14:paraId="1597FB27" w14:textId="77777777" w:rsidTr="00B241C8">
        <w:trPr>
          <w:jc w:val="center"/>
        </w:trPr>
        <w:tc>
          <w:tcPr>
            <w:tcW w:w="562" w:type="dxa"/>
          </w:tcPr>
          <w:p w14:paraId="427B6D55" w14:textId="182D5CEB" w:rsidR="00D05746" w:rsidRPr="00D103B4" w:rsidRDefault="00D05746" w:rsidP="00D05746">
            <w:pPr>
              <w:spacing w:before="120" w:line="276" w:lineRule="auto"/>
              <w:ind w:right="-534"/>
              <w:rPr>
                <w:rFonts w:cstheme="minorHAnsi"/>
                <w:b/>
                <w:sz w:val="20"/>
                <w:szCs w:val="20"/>
              </w:rPr>
            </w:pPr>
            <w:r>
              <w:rPr>
                <w:rFonts w:cstheme="minorHAnsi"/>
                <w:b/>
                <w:sz w:val="20"/>
                <w:szCs w:val="20"/>
              </w:rPr>
              <w:lastRenderedPageBreak/>
              <w:t>2</w:t>
            </w:r>
            <w:r w:rsidR="00C90560">
              <w:rPr>
                <w:rFonts w:cstheme="minorHAnsi"/>
                <w:b/>
                <w:sz w:val="20"/>
                <w:szCs w:val="20"/>
              </w:rPr>
              <w:t>5</w:t>
            </w:r>
            <w:r w:rsidRPr="00D103B4">
              <w:rPr>
                <w:rFonts w:cstheme="minorHAnsi"/>
                <w:b/>
                <w:sz w:val="20"/>
                <w:szCs w:val="20"/>
              </w:rPr>
              <w:t>.</w:t>
            </w:r>
          </w:p>
        </w:tc>
        <w:tc>
          <w:tcPr>
            <w:tcW w:w="1843" w:type="dxa"/>
            <w:vAlign w:val="center"/>
          </w:tcPr>
          <w:p w14:paraId="141E3950" w14:textId="34126E0A"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Ośrodek Badań, Studiów i Legislacji Krajowej Rady Radców Prawnych</w:t>
            </w:r>
          </w:p>
        </w:tc>
        <w:tc>
          <w:tcPr>
            <w:tcW w:w="1843" w:type="dxa"/>
            <w:vAlign w:val="center"/>
          </w:tcPr>
          <w:p w14:paraId="668966F6" w14:textId="5DF12B85" w:rsidR="00D05746" w:rsidRPr="00D103B4" w:rsidRDefault="00D05746" w:rsidP="00D05746">
            <w:pPr>
              <w:spacing w:before="120" w:after="120" w:line="276" w:lineRule="auto"/>
              <w:jc w:val="center"/>
              <w:rPr>
                <w:rFonts w:cstheme="minorHAnsi"/>
                <w:sz w:val="20"/>
                <w:szCs w:val="20"/>
              </w:rPr>
            </w:pPr>
            <w:r w:rsidRPr="00D103B4">
              <w:rPr>
                <w:rFonts w:cstheme="minorHAnsi"/>
                <w:sz w:val="20"/>
                <w:szCs w:val="20"/>
              </w:rPr>
              <w:t>Art. 1 pkt 9 projektu – uwaga redakcyjna</w:t>
            </w:r>
          </w:p>
        </w:tc>
        <w:tc>
          <w:tcPr>
            <w:tcW w:w="5670" w:type="dxa"/>
            <w:vAlign w:val="center"/>
          </w:tcPr>
          <w:p w14:paraId="19ED86F0" w14:textId="77777777"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Poddaję pod rozwagę, czy w proponowanym w art. 1 pkt 9 Projektu nowym brzmieniu art. 957 k.c. w § 2 pkt 1, 2 i 4 spójnika „lub” nie zastąpić „ani”.</w:t>
            </w:r>
          </w:p>
          <w:p w14:paraId="69D1FD05" w14:textId="77777777" w:rsidR="00D05746" w:rsidRPr="00D103B4" w:rsidRDefault="00D05746" w:rsidP="00D05746">
            <w:pPr>
              <w:autoSpaceDE w:val="0"/>
              <w:autoSpaceDN w:val="0"/>
              <w:adjustRightInd w:val="0"/>
              <w:spacing w:line="276" w:lineRule="auto"/>
              <w:jc w:val="both"/>
              <w:rPr>
                <w:rFonts w:cstheme="minorHAnsi"/>
                <w:color w:val="000000"/>
                <w:sz w:val="20"/>
                <w:szCs w:val="20"/>
              </w:rPr>
            </w:pPr>
          </w:p>
          <w:p w14:paraId="35E0F414" w14:textId="58169C03" w:rsidR="00D05746" w:rsidRPr="00D103B4" w:rsidRDefault="00D05746" w:rsidP="00D05746">
            <w:pPr>
              <w:spacing w:line="276" w:lineRule="auto"/>
              <w:jc w:val="both"/>
              <w:rPr>
                <w:rFonts w:cstheme="minorHAnsi"/>
                <w:color w:val="000000"/>
                <w:sz w:val="20"/>
                <w:szCs w:val="20"/>
              </w:rPr>
            </w:pPr>
            <w:r w:rsidRPr="00D103B4">
              <w:rPr>
                <w:rFonts w:eastAsia="Times New Roman" w:cstheme="minorHAnsi"/>
                <w:bCs/>
                <w:i/>
                <w:iCs/>
                <w:sz w:val="20"/>
                <w:szCs w:val="20"/>
                <w:lang w:eastAsia="pl-PL"/>
              </w:rPr>
              <w:t xml:space="preserve">Uzasadnienie </w:t>
            </w:r>
          </w:p>
          <w:p w14:paraId="403FCE59" w14:textId="6BA9CCE1"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 xml:space="preserve">W zdaniach mających na celu wyłączenie wskazanych w nim osób z pewnego zbioru powinno się raczej używać spójnika „ani”. Z tego powodu poddaję pod rozwagę, czy w proponowanym w art. 1 pkt 9 </w:t>
            </w:r>
            <w:r w:rsidRPr="00D103B4">
              <w:rPr>
                <w:rFonts w:cstheme="minorHAnsi"/>
                <w:color w:val="000000"/>
                <w:sz w:val="20"/>
                <w:szCs w:val="20"/>
              </w:rPr>
              <w:lastRenderedPageBreak/>
              <w:t>Projektu nowym brzmieniu art. 957 k.c. w § 2 pkt 1, 2 i 4 spójnika „lub” nie zastąpić „ani”.</w:t>
            </w:r>
          </w:p>
        </w:tc>
        <w:tc>
          <w:tcPr>
            <w:tcW w:w="4076" w:type="dxa"/>
          </w:tcPr>
          <w:p w14:paraId="6ED90E42" w14:textId="51687115" w:rsidR="00D05746" w:rsidRDefault="00D05746" w:rsidP="00D05746">
            <w:pPr>
              <w:jc w:val="both"/>
              <w:rPr>
                <w:rFonts w:cstheme="minorHAnsi"/>
                <w:b/>
                <w:bCs/>
                <w:sz w:val="20"/>
                <w:szCs w:val="20"/>
              </w:rPr>
            </w:pPr>
            <w:r w:rsidRPr="00F701E2">
              <w:rPr>
                <w:rFonts w:cstheme="minorHAnsi"/>
                <w:b/>
                <w:bCs/>
                <w:sz w:val="20"/>
                <w:szCs w:val="20"/>
              </w:rPr>
              <w:lastRenderedPageBreak/>
              <w:t xml:space="preserve">Uwaga </w:t>
            </w:r>
            <w:r w:rsidR="00E66D22">
              <w:rPr>
                <w:rFonts w:cstheme="minorHAnsi"/>
                <w:b/>
                <w:bCs/>
                <w:sz w:val="20"/>
                <w:szCs w:val="20"/>
              </w:rPr>
              <w:t xml:space="preserve">częściowo </w:t>
            </w:r>
            <w:r w:rsidRPr="00F701E2">
              <w:rPr>
                <w:rFonts w:cstheme="minorHAnsi"/>
                <w:b/>
                <w:bCs/>
                <w:sz w:val="20"/>
                <w:szCs w:val="20"/>
              </w:rPr>
              <w:t xml:space="preserve">uwzględniona </w:t>
            </w:r>
          </w:p>
          <w:p w14:paraId="6ADC0425" w14:textId="3F23ECC9" w:rsidR="00D05746" w:rsidRPr="00090FA7" w:rsidRDefault="00E66D22" w:rsidP="00D05746">
            <w:pPr>
              <w:spacing w:line="276" w:lineRule="auto"/>
              <w:jc w:val="both"/>
              <w:rPr>
                <w:rFonts w:cstheme="minorHAnsi"/>
                <w:b/>
                <w:bCs/>
                <w:sz w:val="20"/>
                <w:szCs w:val="20"/>
              </w:rPr>
            </w:pPr>
            <w:r>
              <w:rPr>
                <w:rFonts w:cstheme="minorHAnsi"/>
                <w:color w:val="000000"/>
                <w:sz w:val="20"/>
                <w:szCs w:val="20"/>
              </w:rPr>
              <w:t xml:space="preserve">W </w:t>
            </w:r>
            <w:r w:rsidRPr="00D103B4">
              <w:rPr>
                <w:rFonts w:cstheme="minorHAnsi"/>
                <w:color w:val="000000"/>
                <w:sz w:val="20"/>
                <w:szCs w:val="20"/>
              </w:rPr>
              <w:t>art. 957 § 2 pkt 1</w:t>
            </w:r>
            <w:r>
              <w:rPr>
                <w:rFonts w:cstheme="minorHAnsi"/>
                <w:color w:val="000000"/>
                <w:sz w:val="20"/>
                <w:szCs w:val="20"/>
              </w:rPr>
              <w:t xml:space="preserve"> oraz</w:t>
            </w:r>
            <w:r w:rsidRPr="00D103B4">
              <w:rPr>
                <w:rFonts w:cstheme="minorHAnsi"/>
                <w:color w:val="000000"/>
                <w:sz w:val="20"/>
                <w:szCs w:val="20"/>
              </w:rPr>
              <w:t xml:space="preserve"> </w:t>
            </w:r>
            <w:r>
              <w:rPr>
                <w:rFonts w:cstheme="minorHAnsi"/>
                <w:color w:val="000000"/>
                <w:sz w:val="20"/>
                <w:szCs w:val="20"/>
              </w:rPr>
              <w:t xml:space="preserve">pkt </w:t>
            </w:r>
            <w:r w:rsidRPr="00D103B4">
              <w:rPr>
                <w:rFonts w:cstheme="minorHAnsi"/>
                <w:color w:val="000000"/>
                <w:sz w:val="20"/>
                <w:szCs w:val="20"/>
              </w:rPr>
              <w:t xml:space="preserve">2 </w:t>
            </w:r>
            <w:r>
              <w:rPr>
                <w:rFonts w:cstheme="minorHAnsi"/>
                <w:color w:val="000000"/>
                <w:sz w:val="20"/>
                <w:szCs w:val="20"/>
              </w:rPr>
              <w:t xml:space="preserve">k.c. rzeczywiście następuje wyliczenie podmiotów, które są wyłączone z </w:t>
            </w:r>
            <w:r w:rsidR="0093232B">
              <w:rPr>
                <w:rFonts w:cstheme="minorHAnsi"/>
                <w:color w:val="000000"/>
                <w:sz w:val="20"/>
                <w:szCs w:val="20"/>
              </w:rPr>
              <w:t xml:space="preserve">możliwości </w:t>
            </w:r>
            <w:r>
              <w:rPr>
                <w:rFonts w:cstheme="minorHAnsi"/>
                <w:color w:val="000000"/>
                <w:sz w:val="20"/>
                <w:szCs w:val="20"/>
              </w:rPr>
              <w:t xml:space="preserve">bycia świadkiem testamentu i stąd lepiej pasuje w takim przypadku spójnik „ani”. Natomiast </w:t>
            </w:r>
            <w:r w:rsidR="0093232B">
              <w:rPr>
                <w:rFonts w:cstheme="minorHAnsi"/>
                <w:color w:val="000000"/>
                <w:sz w:val="20"/>
                <w:szCs w:val="20"/>
              </w:rPr>
              <w:t xml:space="preserve">w </w:t>
            </w:r>
            <w:r w:rsidR="0093232B" w:rsidRPr="00D103B4">
              <w:rPr>
                <w:rFonts w:cstheme="minorHAnsi"/>
                <w:color w:val="000000"/>
                <w:sz w:val="20"/>
                <w:szCs w:val="20"/>
              </w:rPr>
              <w:t xml:space="preserve">art. 957 § 2 pkt </w:t>
            </w:r>
            <w:r w:rsidR="0093232B">
              <w:rPr>
                <w:rFonts w:cstheme="minorHAnsi"/>
                <w:color w:val="000000"/>
                <w:sz w:val="20"/>
                <w:szCs w:val="20"/>
              </w:rPr>
              <w:t>4, jako że zawiera on określeni</w:t>
            </w:r>
            <w:r w:rsidR="00434D1B">
              <w:rPr>
                <w:rFonts w:cstheme="minorHAnsi"/>
                <w:color w:val="000000"/>
                <w:sz w:val="20"/>
                <w:szCs w:val="20"/>
              </w:rPr>
              <w:t>a</w:t>
            </w:r>
            <w:r w:rsidR="0093232B">
              <w:rPr>
                <w:rFonts w:cstheme="minorHAnsi"/>
                <w:color w:val="000000"/>
                <w:sz w:val="20"/>
                <w:szCs w:val="20"/>
              </w:rPr>
              <w:t xml:space="preserve"> o charakterze temporalnym</w:t>
            </w:r>
            <w:r w:rsidR="009F0ABF">
              <w:rPr>
                <w:rFonts w:cstheme="minorHAnsi"/>
                <w:color w:val="000000"/>
                <w:sz w:val="20"/>
                <w:szCs w:val="20"/>
              </w:rPr>
              <w:t xml:space="preserve"> („w dacie </w:t>
            </w:r>
            <w:r w:rsidR="009F0ABF">
              <w:rPr>
                <w:rFonts w:cstheme="minorHAnsi"/>
                <w:color w:val="000000"/>
                <w:sz w:val="20"/>
                <w:szCs w:val="20"/>
              </w:rPr>
              <w:lastRenderedPageBreak/>
              <w:t xml:space="preserve">sporządzenia testamentu oraz „w przeszłości”) </w:t>
            </w:r>
            <w:r w:rsidR="003D130D">
              <w:rPr>
                <w:rFonts w:cstheme="minorHAnsi"/>
                <w:color w:val="000000"/>
                <w:sz w:val="20"/>
                <w:szCs w:val="20"/>
              </w:rPr>
              <w:t>spójnik „ani”</w:t>
            </w:r>
            <w:r w:rsidR="0093232B">
              <w:rPr>
                <w:rFonts w:cstheme="minorHAnsi"/>
                <w:color w:val="000000"/>
                <w:sz w:val="20"/>
                <w:szCs w:val="20"/>
              </w:rPr>
              <w:t xml:space="preserve"> rodziłby</w:t>
            </w:r>
            <w:r w:rsidR="003D130D" w:rsidRPr="003D130D">
              <w:rPr>
                <w:rFonts w:cstheme="minorHAnsi"/>
                <w:color w:val="000000"/>
                <w:sz w:val="20"/>
                <w:szCs w:val="20"/>
              </w:rPr>
              <w:t xml:space="preserve"> wątpliwości</w:t>
            </w:r>
            <w:r w:rsidR="009F0ABF">
              <w:rPr>
                <w:rFonts w:cstheme="minorHAnsi"/>
                <w:color w:val="000000"/>
                <w:sz w:val="20"/>
                <w:szCs w:val="20"/>
              </w:rPr>
              <w:t xml:space="preserve"> językowe</w:t>
            </w:r>
            <w:r w:rsidR="00434D1B">
              <w:rPr>
                <w:rFonts w:cstheme="minorHAnsi"/>
                <w:color w:val="000000"/>
                <w:sz w:val="20"/>
                <w:szCs w:val="20"/>
              </w:rPr>
              <w:t xml:space="preserve"> co do tego, czy jeżeli ktoś pozostawał w przeszłości ze świadkiem testamentu we wspólnym pożyciu oraz pozostaje z nim we wspólnym pożyciu nadal objęty jest tym przepisem. </w:t>
            </w:r>
            <w:r w:rsidR="005A2737">
              <w:rPr>
                <w:rFonts w:cstheme="minorHAnsi"/>
                <w:color w:val="000000"/>
                <w:sz w:val="20"/>
                <w:szCs w:val="20"/>
              </w:rPr>
              <w:t>Stąd w takim przypadku właściwszy jest spójnik „lub”.</w:t>
            </w:r>
          </w:p>
        </w:tc>
      </w:tr>
      <w:tr w:rsidR="00D05746" w:rsidRPr="00D103B4" w14:paraId="62CB0C47" w14:textId="77777777" w:rsidTr="00B241C8">
        <w:trPr>
          <w:jc w:val="center"/>
        </w:trPr>
        <w:tc>
          <w:tcPr>
            <w:tcW w:w="562" w:type="dxa"/>
          </w:tcPr>
          <w:p w14:paraId="7A61702E" w14:textId="1F525966" w:rsidR="00D05746" w:rsidRPr="00D103B4" w:rsidRDefault="00D05746" w:rsidP="00D05746">
            <w:pPr>
              <w:spacing w:before="120"/>
              <w:ind w:right="-534"/>
              <w:rPr>
                <w:rFonts w:cstheme="minorHAnsi"/>
                <w:b/>
                <w:sz w:val="20"/>
                <w:szCs w:val="20"/>
              </w:rPr>
            </w:pPr>
            <w:r>
              <w:rPr>
                <w:rFonts w:cstheme="minorHAnsi"/>
                <w:b/>
                <w:sz w:val="20"/>
                <w:szCs w:val="20"/>
              </w:rPr>
              <w:lastRenderedPageBreak/>
              <w:t>2</w:t>
            </w:r>
            <w:r w:rsidR="00C90560">
              <w:rPr>
                <w:rFonts w:cstheme="minorHAnsi"/>
                <w:b/>
                <w:sz w:val="20"/>
                <w:szCs w:val="20"/>
              </w:rPr>
              <w:t>6</w:t>
            </w:r>
            <w:r>
              <w:rPr>
                <w:rFonts w:cstheme="minorHAnsi"/>
                <w:b/>
                <w:sz w:val="20"/>
                <w:szCs w:val="20"/>
              </w:rPr>
              <w:t>.</w:t>
            </w:r>
          </w:p>
        </w:tc>
        <w:tc>
          <w:tcPr>
            <w:tcW w:w="1843" w:type="dxa"/>
            <w:vAlign w:val="center"/>
          </w:tcPr>
          <w:p w14:paraId="35BECD57" w14:textId="77777777"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 xml:space="preserve">Sąd Apelacyjny w Łodzi </w:t>
            </w:r>
          </w:p>
          <w:p w14:paraId="07198F99" w14:textId="73D84789" w:rsidR="00D05746" w:rsidRPr="00D103B4" w:rsidRDefault="00D05746" w:rsidP="00D05746">
            <w:pPr>
              <w:spacing w:before="120" w:after="120"/>
              <w:jc w:val="center"/>
              <w:rPr>
                <w:rFonts w:cstheme="minorHAnsi"/>
                <w:b/>
                <w:bCs/>
                <w:sz w:val="20"/>
                <w:szCs w:val="20"/>
              </w:rPr>
            </w:pPr>
            <w:r w:rsidRPr="00D103B4">
              <w:rPr>
                <w:rFonts w:cstheme="minorHAnsi"/>
                <w:sz w:val="20"/>
                <w:szCs w:val="20"/>
              </w:rPr>
              <w:t>- uwaga Sądu Rejonowego dla Łodzi-Śródmieścia w Łodzi</w:t>
            </w:r>
          </w:p>
        </w:tc>
        <w:tc>
          <w:tcPr>
            <w:tcW w:w="1843" w:type="dxa"/>
            <w:vAlign w:val="center"/>
          </w:tcPr>
          <w:p w14:paraId="7AA68FDC" w14:textId="1487BE1F" w:rsidR="00D05746" w:rsidRPr="00D103B4" w:rsidRDefault="00D05746" w:rsidP="00D05746">
            <w:pPr>
              <w:spacing w:before="120" w:after="120"/>
              <w:jc w:val="center"/>
              <w:rPr>
                <w:rFonts w:cstheme="minorHAnsi"/>
                <w:sz w:val="20"/>
                <w:szCs w:val="20"/>
              </w:rPr>
            </w:pPr>
            <w:r w:rsidRPr="00D103B4">
              <w:rPr>
                <w:rFonts w:cstheme="minorHAnsi"/>
                <w:sz w:val="20"/>
                <w:szCs w:val="20"/>
              </w:rPr>
              <w:t xml:space="preserve">Art. 2 pkt 1 projektu </w:t>
            </w:r>
          </w:p>
        </w:tc>
        <w:tc>
          <w:tcPr>
            <w:tcW w:w="5670" w:type="dxa"/>
            <w:vAlign w:val="center"/>
          </w:tcPr>
          <w:p w14:paraId="62E9DC5D" w14:textId="18817D77"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eastAsia="Times New Roman" w:cstheme="minorHAnsi"/>
                <w:sz w:val="20"/>
                <w:szCs w:val="20"/>
                <w:lang w:eastAsia="pl-PL"/>
              </w:rPr>
              <w:t xml:space="preserve">Rozsądne byłoby rozważenie uprawnienia referendarzy sądowych do rozpoznawania </w:t>
            </w:r>
            <w:r>
              <w:rPr>
                <w:rFonts w:eastAsia="Times New Roman" w:cstheme="minorHAnsi"/>
                <w:sz w:val="20"/>
                <w:szCs w:val="20"/>
                <w:lang w:eastAsia="pl-PL"/>
              </w:rPr>
              <w:t xml:space="preserve">w </w:t>
            </w:r>
            <w:r w:rsidRPr="00D103B4">
              <w:rPr>
                <w:rFonts w:eastAsia="Times New Roman" w:cstheme="minorHAnsi"/>
                <w:sz w:val="20"/>
                <w:szCs w:val="20"/>
                <w:lang w:eastAsia="pl-PL"/>
              </w:rPr>
              <w:t>sprawach o stwierdzenie nabycia spadku z ustawy, w tym również do przeprowadzania rozpraw w tym przedmiocie, tego typu czynności gdzie nie ma kwestii związanej z testamentem, w tym nie ma sporu co do ważności i skuteczności testamentu są czynnościami z zakresu udzielenia ochrony prawnej i referendarze sądowi są kompetentni do rozpoznawania wniosków w tym przedmiocie w stopniu podobnym do notariuszy, którym nadano uprawnienie do sporządzania aktów poświadczenia dziedziczenia, tożsamych w skutkach z postanowieniami o stwierdzeniu nabycia spadku. Jednocześnie wprowadzenie takiego uprawnienia mogłoby znacznie odciążyć sędziów pozwalając na skupieniu się na sprawach spadkowych spornych, w tym związanych z dziedziczeniem testamentowym</w:t>
            </w:r>
          </w:p>
        </w:tc>
        <w:tc>
          <w:tcPr>
            <w:tcW w:w="4076" w:type="dxa"/>
          </w:tcPr>
          <w:p w14:paraId="2E1A03E8" w14:textId="28ED9E76" w:rsidR="00D05746" w:rsidRPr="005C44D8" w:rsidRDefault="00D05746" w:rsidP="00D05746">
            <w:pPr>
              <w:jc w:val="both"/>
              <w:rPr>
                <w:rFonts w:cstheme="minorHAnsi"/>
                <w:b/>
                <w:bCs/>
                <w:sz w:val="20"/>
                <w:szCs w:val="20"/>
              </w:rPr>
            </w:pPr>
            <w:r w:rsidRPr="005C44D8">
              <w:rPr>
                <w:rFonts w:cstheme="minorHAnsi"/>
                <w:b/>
                <w:bCs/>
                <w:sz w:val="20"/>
                <w:szCs w:val="20"/>
              </w:rPr>
              <w:t>Uwaga nieuwzględniona</w:t>
            </w:r>
          </w:p>
          <w:p w14:paraId="3573AFB1" w14:textId="59D090C8" w:rsidR="00D05746" w:rsidRPr="005C44D8" w:rsidRDefault="00D05746" w:rsidP="00D05746">
            <w:pPr>
              <w:jc w:val="both"/>
              <w:rPr>
                <w:rFonts w:cstheme="minorHAnsi"/>
                <w:sz w:val="20"/>
                <w:szCs w:val="20"/>
              </w:rPr>
            </w:pPr>
            <w:r w:rsidRPr="005C44D8">
              <w:rPr>
                <w:rFonts w:cstheme="minorHAnsi"/>
                <w:sz w:val="20"/>
                <w:szCs w:val="20"/>
              </w:rPr>
              <w:t xml:space="preserve">Zgłoszona uwaga to w istocie postulat legislacyjny, który nie dotyczy przedmiotu projektu. Należy wskazać, że w ramach Komisji Kodyfikacyjnej Prawa Cywilnego działa Zespół problemowy do spraw prawa cywilnego procesowego, w którego gestii leży projektowanie zmian w prawie procesowym. Kompetencje referendarzy sądowych są jednym z elementów prawa procesowego i jeśli Zespół dojdzie do wniosku, że zmiany w tym zakresie są konieczne, sformułuje stosowny projekt. Aktualnie w uzgodnieniach </w:t>
            </w:r>
            <w:r w:rsidR="00BC0915">
              <w:rPr>
                <w:rFonts w:cstheme="minorHAnsi"/>
                <w:sz w:val="20"/>
                <w:szCs w:val="20"/>
              </w:rPr>
              <w:t xml:space="preserve">międzyresortowych </w:t>
            </w:r>
            <w:r w:rsidRPr="005C44D8">
              <w:rPr>
                <w:rFonts w:cstheme="minorHAnsi"/>
                <w:sz w:val="20"/>
                <w:szCs w:val="20"/>
              </w:rPr>
              <w:t>znajduje się projekt ustawy o zmianie ustawy – Kodeks postępowania cywilnego oraz niektórych innych ustaw (UD261), w którym przewiduje się zmiany k.p.c. również w zakresie kompetencji referendarzy sądowych (m.in. projektowany art. 1 pkt 11, 21, 64 i 67 dot. art. 69 § 5 k.p.c. , art. 123 § 3 k.p.c., art. 369</w:t>
            </w:r>
            <w:r w:rsidRPr="005C44D8">
              <w:rPr>
                <w:rFonts w:cstheme="minorHAnsi"/>
                <w:sz w:val="20"/>
                <w:szCs w:val="20"/>
                <w:vertAlign w:val="superscript"/>
              </w:rPr>
              <w:t>1</w:t>
            </w:r>
            <w:r w:rsidRPr="005C44D8">
              <w:rPr>
                <w:rFonts w:cstheme="minorHAnsi"/>
                <w:sz w:val="20"/>
                <w:szCs w:val="20"/>
              </w:rPr>
              <w:t xml:space="preserve"> k.p.c. czy art. 373</w:t>
            </w:r>
            <w:r w:rsidRPr="005C44D8">
              <w:rPr>
                <w:rFonts w:cstheme="minorHAnsi"/>
                <w:sz w:val="20"/>
                <w:szCs w:val="20"/>
                <w:vertAlign w:val="superscript"/>
              </w:rPr>
              <w:t>1</w:t>
            </w:r>
            <w:r w:rsidRPr="005C44D8">
              <w:rPr>
                <w:rFonts w:cstheme="minorHAnsi"/>
                <w:sz w:val="20"/>
                <w:szCs w:val="20"/>
              </w:rPr>
              <w:t xml:space="preserve"> k.p.c.). </w:t>
            </w:r>
          </w:p>
          <w:p w14:paraId="40B7B5ED" w14:textId="3EE4D8E7" w:rsidR="00D05746" w:rsidRPr="000660EA" w:rsidRDefault="00D05746" w:rsidP="000660EA">
            <w:pPr>
              <w:tabs>
                <w:tab w:val="left" w:pos="426"/>
              </w:tabs>
              <w:jc w:val="both"/>
              <w:rPr>
                <w:rFonts w:cstheme="minorHAnsi"/>
                <w:sz w:val="20"/>
                <w:szCs w:val="20"/>
              </w:rPr>
            </w:pPr>
            <w:r w:rsidRPr="005C44D8">
              <w:rPr>
                <w:rFonts w:cstheme="minorHAnsi"/>
                <w:sz w:val="20"/>
                <w:szCs w:val="20"/>
              </w:rPr>
              <w:t xml:space="preserve">Jednocześnie należy podkreślić, że zakres kompetencji referendarzy sądowych nie powinien wykraczać poza to, co można uznać za </w:t>
            </w:r>
            <w:r w:rsidRPr="005C44D8">
              <w:rPr>
                <w:rFonts w:cstheme="minorHAnsi"/>
                <w:sz w:val="20"/>
                <w:szCs w:val="20"/>
              </w:rPr>
              <w:lastRenderedPageBreak/>
              <w:t xml:space="preserve">ochronę prawną na gruncie ustawy – Prawo o ustroju sądów powszechnych. </w:t>
            </w:r>
          </w:p>
        </w:tc>
      </w:tr>
      <w:tr w:rsidR="00D05746" w:rsidRPr="00D103B4" w14:paraId="77A139C3" w14:textId="77777777" w:rsidTr="00B241C8">
        <w:trPr>
          <w:jc w:val="center"/>
        </w:trPr>
        <w:tc>
          <w:tcPr>
            <w:tcW w:w="562" w:type="dxa"/>
          </w:tcPr>
          <w:p w14:paraId="4D6DE653" w14:textId="353C501C" w:rsidR="00D05746" w:rsidRPr="00D103B4" w:rsidRDefault="00D05746" w:rsidP="00D05746">
            <w:pPr>
              <w:spacing w:before="120"/>
              <w:ind w:right="-534"/>
              <w:rPr>
                <w:rFonts w:cstheme="minorHAnsi"/>
                <w:b/>
                <w:sz w:val="20"/>
                <w:szCs w:val="20"/>
              </w:rPr>
            </w:pPr>
            <w:r>
              <w:rPr>
                <w:rFonts w:cstheme="minorHAnsi"/>
                <w:b/>
                <w:sz w:val="20"/>
                <w:szCs w:val="20"/>
              </w:rPr>
              <w:lastRenderedPageBreak/>
              <w:t>2</w:t>
            </w:r>
            <w:r w:rsidR="00C90560">
              <w:rPr>
                <w:rFonts w:cstheme="minorHAnsi"/>
                <w:b/>
                <w:sz w:val="20"/>
                <w:szCs w:val="20"/>
              </w:rPr>
              <w:t>7</w:t>
            </w:r>
            <w:r>
              <w:rPr>
                <w:rFonts w:cstheme="minorHAnsi"/>
                <w:b/>
                <w:sz w:val="20"/>
                <w:szCs w:val="20"/>
              </w:rPr>
              <w:t>.</w:t>
            </w:r>
          </w:p>
        </w:tc>
        <w:tc>
          <w:tcPr>
            <w:tcW w:w="1843" w:type="dxa"/>
            <w:vAlign w:val="center"/>
          </w:tcPr>
          <w:p w14:paraId="086A452D" w14:textId="56B7E540"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Sąd Apelacyjny w Krakowie</w:t>
            </w:r>
          </w:p>
          <w:p w14:paraId="0C29EE79" w14:textId="7CFE709D" w:rsidR="00D05746" w:rsidRPr="00D103B4" w:rsidRDefault="00D05746" w:rsidP="00D05746">
            <w:pPr>
              <w:spacing w:before="120" w:after="120"/>
              <w:jc w:val="center"/>
              <w:rPr>
                <w:rFonts w:cstheme="minorHAnsi"/>
                <w:b/>
                <w:bCs/>
                <w:sz w:val="20"/>
                <w:szCs w:val="20"/>
              </w:rPr>
            </w:pPr>
            <w:r w:rsidRPr="00D103B4">
              <w:rPr>
                <w:rFonts w:cstheme="minorHAnsi"/>
                <w:sz w:val="20"/>
                <w:szCs w:val="20"/>
              </w:rPr>
              <w:t>- uwaga Sądu Rejonowego dla Krakowa-Podgórza w Krakowie</w:t>
            </w:r>
          </w:p>
        </w:tc>
        <w:tc>
          <w:tcPr>
            <w:tcW w:w="1843" w:type="dxa"/>
            <w:vAlign w:val="center"/>
          </w:tcPr>
          <w:p w14:paraId="3FAE5626" w14:textId="666AABFD" w:rsidR="00D05746" w:rsidRPr="00D103B4" w:rsidRDefault="00D05746" w:rsidP="00D05746">
            <w:pPr>
              <w:spacing w:before="120" w:after="120"/>
              <w:jc w:val="center"/>
              <w:rPr>
                <w:rFonts w:cstheme="minorHAnsi"/>
                <w:sz w:val="20"/>
                <w:szCs w:val="20"/>
              </w:rPr>
            </w:pPr>
            <w:r w:rsidRPr="00D103B4">
              <w:rPr>
                <w:rFonts w:cstheme="minorHAnsi"/>
                <w:sz w:val="20"/>
                <w:szCs w:val="20"/>
              </w:rPr>
              <w:t>Art. 2 pkt 1 (art. 509</w:t>
            </w:r>
            <w:r w:rsidRPr="00D103B4">
              <w:rPr>
                <w:rFonts w:cstheme="minorHAnsi"/>
                <w:sz w:val="20"/>
                <w:szCs w:val="20"/>
                <w:vertAlign w:val="superscript"/>
              </w:rPr>
              <w:t>1</w:t>
            </w:r>
            <w:r w:rsidRPr="00D103B4">
              <w:rPr>
                <w:rFonts w:cstheme="minorHAnsi"/>
                <w:sz w:val="20"/>
                <w:szCs w:val="20"/>
              </w:rPr>
              <w:t xml:space="preserve"> § 3)</w:t>
            </w:r>
          </w:p>
        </w:tc>
        <w:tc>
          <w:tcPr>
            <w:tcW w:w="5670" w:type="dxa"/>
            <w:vAlign w:val="center"/>
          </w:tcPr>
          <w:p w14:paraId="1E2BC081" w14:textId="08911C02" w:rsidR="00D05746" w:rsidRPr="00D103B4" w:rsidRDefault="00D05746" w:rsidP="00D05746">
            <w:pPr>
              <w:autoSpaceDE w:val="0"/>
              <w:autoSpaceDN w:val="0"/>
              <w:adjustRightInd w:val="0"/>
              <w:spacing w:line="276" w:lineRule="auto"/>
              <w:jc w:val="both"/>
              <w:rPr>
                <w:rFonts w:eastAsia="Times New Roman" w:cstheme="minorHAnsi"/>
                <w:sz w:val="20"/>
                <w:szCs w:val="20"/>
                <w:lang w:eastAsia="pl-PL"/>
              </w:rPr>
            </w:pPr>
            <w:r w:rsidRPr="00D103B4">
              <w:rPr>
                <w:rFonts w:cstheme="minorHAnsi"/>
                <w:sz w:val="20"/>
                <w:szCs w:val="20"/>
              </w:rPr>
              <w:t xml:space="preserve">Nie wydaje się zasadne utrzymanie zasady, że </w:t>
            </w:r>
            <w:r w:rsidRPr="00284D89">
              <w:rPr>
                <w:rFonts w:cstheme="minorHAnsi"/>
                <w:sz w:val="20"/>
                <w:szCs w:val="20"/>
              </w:rPr>
              <w:t>referendarz sądowy nie może orzec o zabezpieczeniu spadku.</w:t>
            </w:r>
            <w:r w:rsidRPr="00D103B4">
              <w:rPr>
                <w:rFonts w:cstheme="minorHAnsi"/>
                <w:sz w:val="20"/>
                <w:szCs w:val="20"/>
              </w:rPr>
              <w:t xml:space="preserve"> Zabezpieczenie spadku nie jest czynnością wymagającą skomplikowanych czynności, a już z pewnością nie bardziej skomplikowanych, niż te, do których referendarz jest upoważniony np. w postępowaniu egzekucyjnym. Przepisy k.p.c. nie wydają się określać zakresu kompetencji referendarzy sądowych wg jednolitych kryteriów, a kwestia zabezpieczenia spadku jest</w:t>
            </w:r>
            <w:r>
              <w:rPr>
                <w:rFonts w:cstheme="minorHAnsi"/>
                <w:sz w:val="20"/>
                <w:szCs w:val="20"/>
              </w:rPr>
              <w:t xml:space="preserve"> </w:t>
            </w:r>
            <w:r w:rsidRPr="00D103B4">
              <w:rPr>
                <w:rFonts w:cstheme="minorHAnsi"/>
                <w:sz w:val="20"/>
                <w:szCs w:val="20"/>
              </w:rPr>
              <w:t>jednym z tego przykładów.</w:t>
            </w:r>
            <w:r>
              <w:rPr>
                <w:rFonts w:cstheme="minorHAnsi"/>
                <w:sz w:val="20"/>
                <w:szCs w:val="20"/>
              </w:rPr>
              <w:t xml:space="preserve"> </w:t>
            </w:r>
          </w:p>
        </w:tc>
        <w:tc>
          <w:tcPr>
            <w:tcW w:w="4076" w:type="dxa"/>
          </w:tcPr>
          <w:p w14:paraId="02763ED4" w14:textId="7AEEA493" w:rsidR="00D05746" w:rsidRDefault="00D05746" w:rsidP="00D05746">
            <w:pPr>
              <w:jc w:val="both"/>
              <w:rPr>
                <w:rFonts w:cstheme="minorHAnsi"/>
                <w:b/>
                <w:bCs/>
                <w:sz w:val="20"/>
                <w:szCs w:val="20"/>
              </w:rPr>
            </w:pPr>
            <w:r w:rsidRPr="00090FA7">
              <w:rPr>
                <w:rFonts w:cstheme="minorHAnsi"/>
                <w:b/>
                <w:bCs/>
                <w:sz w:val="20"/>
                <w:szCs w:val="20"/>
              </w:rPr>
              <w:t>Uwaga nieuwzględniona</w:t>
            </w:r>
          </w:p>
          <w:p w14:paraId="0F84E065" w14:textId="1E963F7A" w:rsidR="00D05746" w:rsidRPr="00284D89" w:rsidRDefault="00D05746" w:rsidP="00D05746">
            <w:pPr>
              <w:jc w:val="both"/>
              <w:rPr>
                <w:rFonts w:cstheme="minorHAnsi"/>
                <w:sz w:val="20"/>
                <w:szCs w:val="20"/>
              </w:rPr>
            </w:pPr>
            <w:r w:rsidRPr="00284D89">
              <w:rPr>
                <w:rFonts w:cstheme="minorHAnsi"/>
                <w:sz w:val="20"/>
                <w:szCs w:val="20"/>
              </w:rPr>
              <w:t>Uzasadnienie jw. (pkt 2</w:t>
            </w:r>
            <w:r w:rsidR="00BC0915">
              <w:rPr>
                <w:rFonts w:cstheme="minorHAnsi"/>
                <w:sz w:val="20"/>
                <w:szCs w:val="20"/>
              </w:rPr>
              <w:t>6</w:t>
            </w:r>
            <w:r w:rsidRPr="00284D89">
              <w:rPr>
                <w:rFonts w:cstheme="minorHAnsi"/>
                <w:sz w:val="20"/>
                <w:szCs w:val="20"/>
              </w:rPr>
              <w:t xml:space="preserve"> – uwaga Sądu Apelacyjnego w Łodzi).</w:t>
            </w:r>
            <w:r>
              <w:rPr>
                <w:rFonts w:cstheme="minorHAnsi"/>
                <w:sz w:val="20"/>
                <w:szCs w:val="20"/>
              </w:rPr>
              <w:t xml:space="preserve"> </w:t>
            </w:r>
          </w:p>
        </w:tc>
      </w:tr>
      <w:tr w:rsidR="00D05746" w:rsidRPr="00D103B4" w14:paraId="77DA43BE" w14:textId="77777777" w:rsidTr="00B241C8">
        <w:trPr>
          <w:jc w:val="center"/>
        </w:trPr>
        <w:tc>
          <w:tcPr>
            <w:tcW w:w="562" w:type="dxa"/>
          </w:tcPr>
          <w:p w14:paraId="044B4674" w14:textId="65DA0289" w:rsidR="00D05746" w:rsidRPr="00D103B4" w:rsidRDefault="00D05746" w:rsidP="00D05746">
            <w:pPr>
              <w:spacing w:before="120" w:line="276" w:lineRule="auto"/>
              <w:ind w:right="-534"/>
              <w:rPr>
                <w:rFonts w:cstheme="minorHAnsi"/>
                <w:b/>
                <w:sz w:val="20"/>
                <w:szCs w:val="20"/>
              </w:rPr>
            </w:pPr>
            <w:r>
              <w:rPr>
                <w:rFonts w:cstheme="minorHAnsi"/>
                <w:b/>
                <w:sz w:val="20"/>
                <w:szCs w:val="20"/>
              </w:rPr>
              <w:t>2</w:t>
            </w:r>
            <w:r w:rsidR="00C90560">
              <w:rPr>
                <w:rFonts w:cstheme="minorHAnsi"/>
                <w:b/>
                <w:sz w:val="20"/>
                <w:szCs w:val="20"/>
              </w:rPr>
              <w:t>8</w:t>
            </w:r>
            <w:r w:rsidRPr="00D103B4">
              <w:rPr>
                <w:rFonts w:cstheme="minorHAnsi"/>
                <w:b/>
                <w:sz w:val="20"/>
                <w:szCs w:val="20"/>
              </w:rPr>
              <w:t>.</w:t>
            </w:r>
          </w:p>
        </w:tc>
        <w:tc>
          <w:tcPr>
            <w:tcW w:w="1843" w:type="dxa"/>
            <w:vAlign w:val="center"/>
          </w:tcPr>
          <w:p w14:paraId="56DA766E" w14:textId="40BC758F"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Ośrodek Badań, Studiów i Legislacji Krajowej Rady Radców Prawnych</w:t>
            </w:r>
          </w:p>
        </w:tc>
        <w:tc>
          <w:tcPr>
            <w:tcW w:w="1843" w:type="dxa"/>
            <w:vAlign w:val="center"/>
          </w:tcPr>
          <w:p w14:paraId="455F130C" w14:textId="77777777" w:rsidR="00D05746" w:rsidRPr="00D103B4" w:rsidRDefault="00D05746" w:rsidP="00D05746">
            <w:pPr>
              <w:spacing w:before="120" w:after="120" w:line="276" w:lineRule="auto"/>
              <w:jc w:val="center"/>
              <w:rPr>
                <w:rFonts w:cstheme="minorHAnsi"/>
                <w:sz w:val="20"/>
                <w:szCs w:val="20"/>
              </w:rPr>
            </w:pPr>
            <w:r w:rsidRPr="00D103B4">
              <w:rPr>
                <w:rFonts w:cstheme="minorHAnsi"/>
                <w:sz w:val="20"/>
                <w:szCs w:val="20"/>
              </w:rPr>
              <w:t>Art. 2 pkt 2 projektu</w:t>
            </w:r>
          </w:p>
          <w:p w14:paraId="15FE2CD6" w14:textId="37C62791" w:rsidR="00D05746" w:rsidRPr="00D103B4" w:rsidRDefault="00D05746" w:rsidP="00D05746">
            <w:pPr>
              <w:spacing w:before="120" w:after="120" w:line="276" w:lineRule="auto"/>
              <w:jc w:val="center"/>
              <w:rPr>
                <w:rFonts w:cstheme="minorHAnsi"/>
                <w:sz w:val="20"/>
                <w:szCs w:val="20"/>
              </w:rPr>
            </w:pPr>
            <w:r w:rsidRPr="00D103B4">
              <w:rPr>
                <w:rFonts w:cstheme="minorHAnsi"/>
                <w:sz w:val="20"/>
                <w:szCs w:val="20"/>
              </w:rPr>
              <w:t>(art. 651 k.p.c.)</w:t>
            </w:r>
          </w:p>
        </w:tc>
        <w:tc>
          <w:tcPr>
            <w:tcW w:w="5670" w:type="dxa"/>
            <w:vAlign w:val="center"/>
          </w:tcPr>
          <w:p w14:paraId="1BD5F7AF" w14:textId="77777777"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Wątpliwości budzi proponowane w art. 2 pkt 2 Projektu brzmienie art. 651 zd. 3 k.p.c. ograniczające obligatoryjną treść protokołu otwarcia i ogłoszenia testamentu tylko do stwierdzenia treści oświadczenia spadkodawcy, podczas gdy w protokole tym powinna być stwierdzona możliwość identyfikacji spadkodawcy, liczba świadków oraz dane świadków zidentyfikowanych na podstawie nagrania.</w:t>
            </w:r>
          </w:p>
          <w:p w14:paraId="1B1EA47C" w14:textId="29CF0BD7" w:rsidR="00D05746" w:rsidRPr="00D103B4" w:rsidRDefault="00D05746" w:rsidP="00D05746">
            <w:pPr>
              <w:spacing w:line="276" w:lineRule="auto"/>
              <w:jc w:val="both"/>
              <w:rPr>
                <w:rFonts w:cstheme="minorHAnsi"/>
                <w:color w:val="000000"/>
                <w:sz w:val="20"/>
                <w:szCs w:val="20"/>
              </w:rPr>
            </w:pPr>
            <w:r w:rsidRPr="00D103B4">
              <w:rPr>
                <w:rFonts w:eastAsia="Times New Roman" w:cstheme="minorHAnsi"/>
                <w:bCs/>
                <w:i/>
                <w:iCs/>
                <w:sz w:val="20"/>
                <w:szCs w:val="20"/>
                <w:lang w:eastAsia="pl-PL"/>
              </w:rPr>
              <w:t>Uzasadnienie</w:t>
            </w:r>
          </w:p>
          <w:p w14:paraId="530ABD2C" w14:textId="396AE26C"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 xml:space="preserve">Wątpliwości budzi proponowane w art. 2 pkt 2 Projektu brzmienie art. 651 zd. 3 k.p.c. ograniczające obligatoryjną treść protokołu otwarcia i ogłoszenia testamentu tylko do stwierdzenia treści oświadczenia spadkodawcy. Z uwagi na to, że przepis ten ma mieć zastosowanie do trwałego nośnika danych, na którym została utrwalona treść testamentu ustnego lub wojskowego, w protokole powinno odnotować się wszystkie fakty istotne dla stwierdzenia, czy spełnione są przesłanki warunkujące ważność tak utrwalonych rozrządzeń majątkiem na wypadek śmierci. W konsekwencji w protokole, o którym mowa w proponowanym art. 651 zd. 3 k.p.c. </w:t>
            </w:r>
            <w:r w:rsidRPr="00D103B4">
              <w:rPr>
                <w:rFonts w:cstheme="minorHAnsi"/>
                <w:color w:val="000000"/>
                <w:sz w:val="20"/>
                <w:szCs w:val="20"/>
              </w:rPr>
              <w:lastRenderedPageBreak/>
              <w:t>powinna być stwierdzona możliwość identyfikacji spadkodawcy, liczba świadków oraz dane świadków zidentyfikowanych na podstawie nagrania.</w:t>
            </w:r>
          </w:p>
        </w:tc>
        <w:tc>
          <w:tcPr>
            <w:tcW w:w="4076" w:type="dxa"/>
          </w:tcPr>
          <w:p w14:paraId="2A1F3692" w14:textId="66932247" w:rsidR="00D05746" w:rsidRPr="001D3CC3" w:rsidRDefault="00D05746" w:rsidP="00D05746">
            <w:pPr>
              <w:spacing w:line="276" w:lineRule="auto"/>
              <w:jc w:val="both"/>
              <w:rPr>
                <w:rFonts w:cstheme="minorHAnsi"/>
                <w:b/>
                <w:bCs/>
                <w:sz w:val="20"/>
                <w:szCs w:val="20"/>
              </w:rPr>
            </w:pPr>
            <w:r w:rsidRPr="001D3CC3">
              <w:rPr>
                <w:rFonts w:cstheme="minorHAnsi"/>
                <w:b/>
                <w:bCs/>
                <w:sz w:val="20"/>
                <w:szCs w:val="20"/>
              </w:rPr>
              <w:lastRenderedPageBreak/>
              <w:t>Uwaga uwzględniona</w:t>
            </w:r>
          </w:p>
          <w:p w14:paraId="0A7D4374" w14:textId="77777777" w:rsidR="00D05746" w:rsidRPr="004F0B65" w:rsidRDefault="00D05746" w:rsidP="00D05746">
            <w:pPr>
              <w:spacing w:line="276" w:lineRule="auto"/>
              <w:jc w:val="both"/>
              <w:rPr>
                <w:rFonts w:cstheme="minorHAnsi"/>
                <w:sz w:val="20"/>
                <w:szCs w:val="20"/>
              </w:rPr>
            </w:pPr>
            <w:bookmarkStart w:id="1" w:name="_Hlk220059845"/>
            <w:r w:rsidRPr="004F0B65">
              <w:rPr>
                <w:rFonts w:cstheme="minorHAnsi"/>
                <w:sz w:val="20"/>
                <w:szCs w:val="20"/>
              </w:rPr>
              <w:t>Przyjęto, że w protokole otwarcia i ogłoszenia testamentu, którego treść została stwierdzona zgodnie z art. 952 § 3 albo art. 954</w:t>
            </w:r>
            <w:r w:rsidRPr="004F0B65">
              <w:rPr>
                <w:rFonts w:cstheme="minorHAnsi"/>
                <w:sz w:val="20"/>
                <w:szCs w:val="20"/>
                <w:vertAlign w:val="superscript"/>
              </w:rPr>
              <w:t>1</w:t>
            </w:r>
            <w:r w:rsidRPr="004F0B65">
              <w:rPr>
                <w:rFonts w:cstheme="minorHAnsi"/>
                <w:sz w:val="20"/>
                <w:szCs w:val="20"/>
              </w:rPr>
              <w:t xml:space="preserve"> § 3 zdanie trzecie Kodeksu cywilnego, zamieszcza się również informacje umożliwiające identyfikację spadkodawcy oraz świadków, a także treść oświadczenia spadkodawcy</w:t>
            </w:r>
            <w:bookmarkEnd w:id="1"/>
            <w:r w:rsidRPr="004F0B65">
              <w:rPr>
                <w:rFonts w:cstheme="minorHAnsi"/>
                <w:sz w:val="20"/>
                <w:szCs w:val="20"/>
              </w:rPr>
              <w:t xml:space="preserve">. </w:t>
            </w:r>
          </w:p>
          <w:p w14:paraId="02916667" w14:textId="77777777" w:rsidR="00D05746" w:rsidRPr="004F0B65" w:rsidRDefault="00D05746" w:rsidP="00D05746">
            <w:pPr>
              <w:spacing w:line="276" w:lineRule="auto"/>
              <w:jc w:val="both"/>
              <w:rPr>
                <w:rFonts w:cstheme="minorHAnsi"/>
                <w:sz w:val="20"/>
                <w:szCs w:val="20"/>
              </w:rPr>
            </w:pPr>
            <w:r w:rsidRPr="004F0B65">
              <w:rPr>
                <w:rFonts w:cstheme="minorHAnsi"/>
                <w:sz w:val="20"/>
                <w:szCs w:val="20"/>
              </w:rPr>
              <w:t xml:space="preserve">Przeważył za tym fakt, że z uwagi na fakt, że regulacja dotycząca możliwości stwierdzenia treści testamentu poprzez nagranie audiowizualne jest rozwiązaniem nowym, zasadne jest zachowanie pewnych podwyższonych środków ostrożności celem ustalenia treści oświadczenia woli testatora. Ponadto po upływie pewnego czasu może nie być możliwości odtworzenia nagrania, dlatego już przy pierwszym odtworzeniu należy </w:t>
            </w:r>
            <w:r w:rsidRPr="004F0B65">
              <w:rPr>
                <w:rFonts w:cstheme="minorHAnsi"/>
                <w:sz w:val="20"/>
                <w:szCs w:val="20"/>
              </w:rPr>
              <w:lastRenderedPageBreak/>
              <w:t xml:space="preserve">odnotować wszystkie okoliczności warunkujące ważność testamentu. </w:t>
            </w:r>
          </w:p>
          <w:p w14:paraId="5E0819FF" w14:textId="50AA6769" w:rsidR="00D05746" w:rsidRPr="00D103B4" w:rsidRDefault="00D05746" w:rsidP="00D05746">
            <w:pPr>
              <w:spacing w:line="276" w:lineRule="auto"/>
              <w:jc w:val="both"/>
              <w:rPr>
                <w:rFonts w:cstheme="minorHAnsi"/>
                <w:sz w:val="20"/>
                <w:szCs w:val="20"/>
              </w:rPr>
            </w:pPr>
          </w:p>
        </w:tc>
      </w:tr>
      <w:tr w:rsidR="00D05746" w:rsidRPr="00D103B4" w14:paraId="5C38D0A5" w14:textId="77777777" w:rsidTr="00B241C8">
        <w:trPr>
          <w:jc w:val="center"/>
        </w:trPr>
        <w:tc>
          <w:tcPr>
            <w:tcW w:w="562" w:type="dxa"/>
          </w:tcPr>
          <w:p w14:paraId="19CF5621" w14:textId="77A01CBB" w:rsidR="00D05746" w:rsidRPr="00D103B4" w:rsidRDefault="00C90560" w:rsidP="00D05746">
            <w:pPr>
              <w:spacing w:before="120"/>
              <w:ind w:right="-534"/>
              <w:rPr>
                <w:rFonts w:cstheme="minorHAnsi"/>
                <w:b/>
                <w:sz w:val="20"/>
                <w:szCs w:val="20"/>
              </w:rPr>
            </w:pPr>
            <w:r>
              <w:rPr>
                <w:rFonts w:cstheme="minorHAnsi"/>
                <w:b/>
                <w:sz w:val="20"/>
                <w:szCs w:val="20"/>
              </w:rPr>
              <w:lastRenderedPageBreak/>
              <w:t>29.</w:t>
            </w:r>
          </w:p>
        </w:tc>
        <w:tc>
          <w:tcPr>
            <w:tcW w:w="1843" w:type="dxa"/>
            <w:vAlign w:val="center"/>
          </w:tcPr>
          <w:p w14:paraId="38F9B992" w14:textId="77777777"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 xml:space="preserve">Sąd Apelacyjny w Katowicach </w:t>
            </w:r>
          </w:p>
          <w:p w14:paraId="4227F8BE" w14:textId="626488AD" w:rsidR="00D05746" w:rsidRPr="00D103B4" w:rsidRDefault="00D05746" w:rsidP="00D05746">
            <w:pPr>
              <w:spacing w:before="120" w:after="120"/>
              <w:jc w:val="center"/>
              <w:rPr>
                <w:rFonts w:cstheme="minorHAnsi"/>
                <w:sz w:val="20"/>
                <w:szCs w:val="20"/>
              </w:rPr>
            </w:pPr>
            <w:r w:rsidRPr="00D103B4">
              <w:rPr>
                <w:rFonts w:cstheme="minorHAnsi"/>
                <w:sz w:val="20"/>
                <w:szCs w:val="20"/>
              </w:rPr>
              <w:t xml:space="preserve">- uwaga Sądu Rejonowego w Dąbrowie Górniczej </w:t>
            </w:r>
          </w:p>
        </w:tc>
        <w:tc>
          <w:tcPr>
            <w:tcW w:w="1843" w:type="dxa"/>
            <w:vAlign w:val="center"/>
          </w:tcPr>
          <w:p w14:paraId="127E792D" w14:textId="204A3131" w:rsidR="00D05746" w:rsidRPr="00D103B4" w:rsidRDefault="00D05746" w:rsidP="00D05746">
            <w:pPr>
              <w:spacing w:before="120" w:after="120"/>
              <w:jc w:val="center"/>
              <w:rPr>
                <w:rFonts w:cstheme="minorHAnsi"/>
                <w:sz w:val="20"/>
                <w:szCs w:val="20"/>
              </w:rPr>
            </w:pPr>
            <w:r w:rsidRPr="00D103B4">
              <w:rPr>
                <w:rFonts w:cstheme="minorHAnsi"/>
                <w:sz w:val="20"/>
                <w:szCs w:val="20"/>
              </w:rPr>
              <w:t>Art. 2 pkt 2 projektu (art. 651 k.p.c.)</w:t>
            </w:r>
          </w:p>
        </w:tc>
        <w:tc>
          <w:tcPr>
            <w:tcW w:w="5670" w:type="dxa"/>
            <w:vAlign w:val="center"/>
          </w:tcPr>
          <w:p w14:paraId="655C6CBA" w14:textId="40B6E6BB" w:rsidR="00D05746" w:rsidRPr="009F11B2" w:rsidRDefault="00D05746" w:rsidP="00D05746">
            <w:pPr>
              <w:autoSpaceDE w:val="0"/>
              <w:autoSpaceDN w:val="0"/>
              <w:adjustRightInd w:val="0"/>
              <w:spacing w:line="276" w:lineRule="auto"/>
              <w:jc w:val="both"/>
              <w:rPr>
                <w:rFonts w:cstheme="minorHAnsi"/>
                <w:color w:val="000000"/>
                <w:sz w:val="20"/>
                <w:szCs w:val="20"/>
              </w:rPr>
            </w:pPr>
            <w:r w:rsidRPr="009F11B2">
              <w:rPr>
                <w:rFonts w:cstheme="minorHAnsi"/>
                <w:color w:val="000000"/>
                <w:sz w:val="20"/>
                <w:szCs w:val="20"/>
              </w:rPr>
              <w:t>Ograniczenie formalizmów związanych z otwarciem i ogłoszeniem testamentu poprzez</w:t>
            </w:r>
            <w:r w:rsidRPr="00D103B4">
              <w:rPr>
                <w:rFonts w:cstheme="minorHAnsi"/>
                <w:color w:val="000000"/>
                <w:sz w:val="20"/>
                <w:szCs w:val="20"/>
              </w:rPr>
              <w:t xml:space="preserve"> </w:t>
            </w:r>
            <w:r w:rsidRPr="009F11B2">
              <w:rPr>
                <w:rFonts w:cstheme="minorHAnsi"/>
                <w:color w:val="000000"/>
                <w:sz w:val="20"/>
                <w:szCs w:val="20"/>
              </w:rPr>
              <w:t xml:space="preserve">wprowadzenie poniższych zmian w Kodeksie postępowania cywilnego </w:t>
            </w:r>
            <w:r w:rsidRPr="00D103B4">
              <w:rPr>
                <w:rFonts w:cstheme="minorHAnsi"/>
                <w:color w:val="000000"/>
                <w:sz w:val="20"/>
                <w:szCs w:val="20"/>
              </w:rPr>
              <w:t>–</w:t>
            </w:r>
            <w:r w:rsidRPr="009F11B2">
              <w:rPr>
                <w:rFonts w:cstheme="minorHAnsi"/>
                <w:color w:val="000000"/>
                <w:sz w:val="20"/>
                <w:szCs w:val="20"/>
              </w:rPr>
              <w:t xml:space="preserve"> oznaczenie</w:t>
            </w:r>
            <w:r w:rsidRPr="00D103B4">
              <w:rPr>
                <w:rFonts w:cstheme="minorHAnsi"/>
                <w:color w:val="000000"/>
                <w:sz w:val="20"/>
                <w:szCs w:val="20"/>
              </w:rPr>
              <w:t xml:space="preserve"> </w:t>
            </w:r>
            <w:r w:rsidRPr="009F11B2">
              <w:rPr>
                <w:rFonts w:cstheme="minorHAnsi"/>
                <w:color w:val="000000"/>
                <w:sz w:val="20"/>
                <w:szCs w:val="20"/>
              </w:rPr>
              <w:t>dotychczasowej treści art. 651 Kodeksu postepowania cywilnego oznaczeniem § 1 i dodanie</w:t>
            </w:r>
          </w:p>
          <w:p w14:paraId="48882C45" w14:textId="5C5A5B16" w:rsidR="00D05746" w:rsidRPr="009F11B2" w:rsidRDefault="00D05746" w:rsidP="00D05746">
            <w:pPr>
              <w:autoSpaceDE w:val="0"/>
              <w:autoSpaceDN w:val="0"/>
              <w:adjustRightInd w:val="0"/>
              <w:spacing w:line="276" w:lineRule="auto"/>
              <w:jc w:val="both"/>
              <w:rPr>
                <w:rFonts w:cstheme="minorHAnsi"/>
                <w:color w:val="000000"/>
                <w:sz w:val="20"/>
                <w:szCs w:val="20"/>
              </w:rPr>
            </w:pPr>
            <w:r w:rsidRPr="009F11B2">
              <w:rPr>
                <w:rFonts w:cstheme="minorHAnsi"/>
                <w:color w:val="000000"/>
                <w:sz w:val="20"/>
                <w:szCs w:val="20"/>
              </w:rPr>
              <w:t>§ 2 w treści:</w:t>
            </w:r>
            <w:r w:rsidRPr="00D103B4">
              <w:rPr>
                <w:rFonts w:cstheme="minorHAnsi"/>
                <w:color w:val="000000"/>
                <w:sz w:val="20"/>
                <w:szCs w:val="20"/>
              </w:rPr>
              <w:t xml:space="preserve"> </w:t>
            </w:r>
            <w:r w:rsidRPr="009F11B2">
              <w:rPr>
                <w:rFonts w:cstheme="minorHAnsi"/>
                <w:i/>
                <w:iCs/>
                <w:color w:val="000000"/>
                <w:sz w:val="20"/>
                <w:szCs w:val="20"/>
              </w:rPr>
              <w:t>Otwarcie i ogłoszenie testamentu może zostać ograniczone do przytoczenia przez</w:t>
            </w:r>
            <w:r w:rsidRPr="00D103B4">
              <w:rPr>
                <w:rFonts w:cstheme="minorHAnsi"/>
                <w:i/>
                <w:iCs/>
                <w:color w:val="000000"/>
                <w:sz w:val="20"/>
                <w:szCs w:val="20"/>
              </w:rPr>
              <w:t xml:space="preserve"> </w:t>
            </w:r>
            <w:r w:rsidRPr="009F11B2">
              <w:rPr>
                <w:rFonts w:cstheme="minorHAnsi"/>
                <w:i/>
                <w:iCs/>
                <w:color w:val="000000"/>
                <w:sz w:val="20"/>
                <w:szCs w:val="20"/>
              </w:rPr>
              <w:t>przewodniczącego treści rozrządzeń testamentowych, w szczególności jeśli strony obecne na</w:t>
            </w:r>
          </w:p>
          <w:p w14:paraId="318A6452" w14:textId="72E4FE55" w:rsidR="00D05746" w:rsidRPr="009F11B2" w:rsidRDefault="00D05746" w:rsidP="00D05746">
            <w:pPr>
              <w:autoSpaceDE w:val="0"/>
              <w:autoSpaceDN w:val="0"/>
              <w:adjustRightInd w:val="0"/>
              <w:spacing w:line="276" w:lineRule="auto"/>
              <w:jc w:val="both"/>
              <w:rPr>
                <w:rFonts w:cstheme="minorHAnsi"/>
                <w:i/>
                <w:iCs/>
                <w:color w:val="000000"/>
                <w:sz w:val="20"/>
                <w:szCs w:val="20"/>
              </w:rPr>
            </w:pPr>
            <w:r w:rsidRPr="009F11B2">
              <w:rPr>
                <w:rFonts w:cstheme="minorHAnsi"/>
                <w:i/>
                <w:iCs/>
                <w:color w:val="000000"/>
                <w:sz w:val="20"/>
                <w:szCs w:val="20"/>
              </w:rPr>
              <w:t>rozprawie miały możliwość zapoznania się z wcześniej z treścią testamentu. W takim wypadku</w:t>
            </w:r>
            <w:r w:rsidRPr="00D103B4">
              <w:rPr>
                <w:rFonts w:cstheme="minorHAnsi"/>
                <w:i/>
                <w:iCs/>
                <w:color w:val="000000"/>
                <w:sz w:val="20"/>
                <w:szCs w:val="20"/>
              </w:rPr>
              <w:t xml:space="preserve"> </w:t>
            </w:r>
            <w:r w:rsidRPr="009F11B2">
              <w:rPr>
                <w:rFonts w:cstheme="minorHAnsi"/>
                <w:i/>
                <w:iCs/>
                <w:color w:val="000000"/>
                <w:sz w:val="20"/>
                <w:szCs w:val="20"/>
              </w:rPr>
              <w:t>odrębnego protokołu otwarcia i ogłoszenia testamentu nie sporządza się.</w:t>
            </w:r>
          </w:p>
          <w:p w14:paraId="25375A8F" w14:textId="77777777" w:rsidR="00D05746" w:rsidRPr="009F11B2" w:rsidRDefault="00D05746" w:rsidP="00D05746">
            <w:pPr>
              <w:autoSpaceDE w:val="0"/>
              <w:autoSpaceDN w:val="0"/>
              <w:adjustRightInd w:val="0"/>
              <w:spacing w:line="276" w:lineRule="auto"/>
              <w:jc w:val="both"/>
              <w:rPr>
                <w:rFonts w:cstheme="minorHAnsi"/>
                <w:color w:val="000000"/>
                <w:sz w:val="20"/>
                <w:szCs w:val="20"/>
              </w:rPr>
            </w:pPr>
            <w:r w:rsidRPr="009F11B2">
              <w:rPr>
                <w:rFonts w:cstheme="minorHAnsi"/>
                <w:color w:val="000000"/>
                <w:sz w:val="20"/>
                <w:szCs w:val="20"/>
              </w:rPr>
              <w:t>Uzasadnienie zmiany:</w:t>
            </w:r>
          </w:p>
          <w:p w14:paraId="213CA611" w14:textId="77777777" w:rsidR="00D05746" w:rsidRPr="00D103B4" w:rsidRDefault="00D05746" w:rsidP="00D05746">
            <w:pPr>
              <w:autoSpaceDE w:val="0"/>
              <w:autoSpaceDN w:val="0"/>
              <w:adjustRightInd w:val="0"/>
              <w:spacing w:line="276" w:lineRule="auto"/>
              <w:jc w:val="both"/>
              <w:rPr>
                <w:rFonts w:cstheme="minorHAnsi"/>
                <w:color w:val="000000"/>
                <w:sz w:val="20"/>
                <w:szCs w:val="20"/>
              </w:rPr>
            </w:pPr>
            <w:r w:rsidRPr="009F11B2">
              <w:rPr>
                <w:rFonts w:cstheme="minorHAnsi"/>
                <w:color w:val="000000"/>
                <w:sz w:val="20"/>
                <w:szCs w:val="20"/>
              </w:rPr>
              <w:t>Powyższe uprości czynności sądu podejmowane w sprawach o stwierdzenia nabycia spadku.</w:t>
            </w:r>
            <w:r w:rsidRPr="00D103B4">
              <w:rPr>
                <w:rFonts w:cstheme="minorHAnsi"/>
                <w:color w:val="000000"/>
                <w:sz w:val="20"/>
                <w:szCs w:val="20"/>
              </w:rPr>
              <w:t xml:space="preserve"> </w:t>
            </w:r>
            <w:r w:rsidRPr="009F11B2">
              <w:rPr>
                <w:rFonts w:cstheme="minorHAnsi"/>
                <w:color w:val="000000"/>
                <w:sz w:val="20"/>
                <w:szCs w:val="20"/>
              </w:rPr>
              <w:t>Niejednokrotnie sąd musi dokonywać formalnej procedury otwarcia i ogłoszenia testamentu,</w:t>
            </w:r>
            <w:r w:rsidRPr="00D103B4">
              <w:rPr>
                <w:rFonts w:cstheme="minorHAnsi"/>
                <w:color w:val="000000"/>
                <w:sz w:val="20"/>
                <w:szCs w:val="20"/>
              </w:rPr>
              <w:t xml:space="preserve"> </w:t>
            </w:r>
            <w:r w:rsidRPr="009F11B2">
              <w:rPr>
                <w:rFonts w:cstheme="minorHAnsi"/>
                <w:color w:val="000000"/>
                <w:sz w:val="20"/>
                <w:szCs w:val="20"/>
              </w:rPr>
              <w:t>sporządzenia protokołu z tych czynności z opisaniem cech</w:t>
            </w:r>
            <w:r w:rsidRPr="00D103B4">
              <w:rPr>
                <w:rFonts w:cstheme="minorHAnsi"/>
                <w:color w:val="000000"/>
                <w:sz w:val="20"/>
                <w:szCs w:val="20"/>
              </w:rPr>
              <w:t xml:space="preserve"> </w:t>
            </w:r>
            <w:r w:rsidRPr="009F11B2">
              <w:rPr>
                <w:rFonts w:cstheme="minorHAnsi"/>
                <w:color w:val="000000"/>
                <w:sz w:val="20"/>
                <w:szCs w:val="20"/>
              </w:rPr>
              <w:t>zewnętrznych testamentu</w:t>
            </w:r>
            <w:r w:rsidRPr="00D103B4">
              <w:rPr>
                <w:rFonts w:cstheme="minorHAnsi"/>
                <w:color w:val="000000"/>
                <w:sz w:val="20"/>
                <w:szCs w:val="20"/>
              </w:rPr>
              <w:t xml:space="preserve"> </w:t>
            </w:r>
            <w:r w:rsidRPr="009F11B2">
              <w:rPr>
                <w:rFonts w:cstheme="minorHAnsi"/>
                <w:color w:val="000000"/>
                <w:sz w:val="20"/>
                <w:szCs w:val="20"/>
              </w:rPr>
              <w:t>i przytoczeniem wszystkich jego rozstrzygnięć - podczas gdy testament jest już znany</w:t>
            </w:r>
            <w:r w:rsidRPr="00D103B4">
              <w:rPr>
                <w:rFonts w:cstheme="minorHAnsi"/>
                <w:color w:val="000000"/>
                <w:sz w:val="20"/>
                <w:szCs w:val="20"/>
              </w:rPr>
              <w:t xml:space="preserve"> </w:t>
            </w:r>
            <w:r w:rsidRPr="009F11B2">
              <w:rPr>
                <w:rFonts w:cstheme="minorHAnsi"/>
                <w:color w:val="000000"/>
                <w:sz w:val="20"/>
                <w:szCs w:val="20"/>
              </w:rPr>
              <w:t>wszystkim stronom postępowania, a jego treść i oryginalność nie budzi wątpliwości.</w:t>
            </w:r>
            <w:r w:rsidRPr="00D103B4">
              <w:rPr>
                <w:rFonts w:cstheme="minorHAnsi"/>
                <w:color w:val="000000"/>
                <w:sz w:val="20"/>
                <w:szCs w:val="20"/>
              </w:rPr>
              <w:t xml:space="preserve"> </w:t>
            </w:r>
          </w:p>
          <w:p w14:paraId="18FB7942" w14:textId="6CC8AABE" w:rsidR="00D05746" w:rsidRPr="00D103B4" w:rsidRDefault="00D05746" w:rsidP="00D05746">
            <w:pPr>
              <w:autoSpaceDE w:val="0"/>
              <w:autoSpaceDN w:val="0"/>
              <w:adjustRightInd w:val="0"/>
              <w:spacing w:line="276" w:lineRule="auto"/>
              <w:jc w:val="both"/>
              <w:rPr>
                <w:rFonts w:cstheme="minorHAnsi"/>
                <w:color w:val="000000"/>
                <w:sz w:val="20"/>
                <w:szCs w:val="20"/>
              </w:rPr>
            </w:pPr>
            <w:r w:rsidRPr="009F11B2">
              <w:rPr>
                <w:rFonts w:cstheme="minorHAnsi"/>
                <w:color w:val="000000"/>
                <w:sz w:val="20"/>
                <w:szCs w:val="20"/>
              </w:rPr>
              <w:t>Względnie należy rozważyć rozwiązanie obu ww. problemów w odmienny sposób, poprzez</w:t>
            </w:r>
            <w:r w:rsidRPr="00D103B4">
              <w:rPr>
                <w:rFonts w:cstheme="minorHAnsi"/>
                <w:color w:val="000000"/>
                <w:sz w:val="20"/>
                <w:szCs w:val="20"/>
              </w:rPr>
              <w:t xml:space="preserve"> inne zmiany legislacyjne, dla osiągnięcia wyżej wskazywanych celów.</w:t>
            </w:r>
          </w:p>
        </w:tc>
        <w:tc>
          <w:tcPr>
            <w:tcW w:w="4076" w:type="dxa"/>
          </w:tcPr>
          <w:p w14:paraId="7D5408B0" w14:textId="6C8DEAE6" w:rsidR="00D05746" w:rsidRPr="000660EA" w:rsidRDefault="00D05746" w:rsidP="00D05746">
            <w:pPr>
              <w:jc w:val="both"/>
              <w:rPr>
                <w:rFonts w:cstheme="minorHAnsi"/>
                <w:b/>
                <w:bCs/>
                <w:sz w:val="20"/>
                <w:szCs w:val="20"/>
              </w:rPr>
            </w:pPr>
            <w:r w:rsidRPr="00A37B36">
              <w:rPr>
                <w:rFonts w:cstheme="minorHAnsi"/>
                <w:b/>
                <w:bCs/>
                <w:sz w:val="20"/>
                <w:szCs w:val="20"/>
              </w:rPr>
              <w:t>Uwaga nieuwzględniona</w:t>
            </w:r>
          </w:p>
          <w:p w14:paraId="02679E84" w14:textId="33570961" w:rsidR="00D05746" w:rsidRPr="00D103B4" w:rsidRDefault="00D05746" w:rsidP="00D05746">
            <w:pPr>
              <w:jc w:val="both"/>
              <w:rPr>
                <w:rFonts w:cstheme="minorHAnsi"/>
                <w:sz w:val="20"/>
                <w:szCs w:val="20"/>
              </w:rPr>
            </w:pPr>
            <w:r w:rsidRPr="00307896">
              <w:rPr>
                <w:rFonts w:cstheme="minorHAnsi"/>
                <w:sz w:val="20"/>
                <w:szCs w:val="20"/>
              </w:rPr>
              <w:t>Proponowane w projekcie rozwiązania wynikają z celowej decyzji Zespołu problemowego do spraw prawa spadkowego Komisji Kodyfikacyjnej Prawa Cywilnego</w:t>
            </w:r>
            <w:r>
              <w:rPr>
                <w:rFonts w:cstheme="minorHAnsi"/>
                <w:sz w:val="20"/>
                <w:szCs w:val="20"/>
              </w:rPr>
              <w:t xml:space="preserve">. Zespół zdecydował się nie modyfikować w tym zakresie czynności otwarcia i ogłoszenia testamentu także ze względu na fakt znaczących </w:t>
            </w:r>
            <w:r w:rsidR="00621CF7">
              <w:rPr>
                <w:rFonts w:cstheme="minorHAnsi"/>
                <w:sz w:val="20"/>
                <w:szCs w:val="20"/>
              </w:rPr>
              <w:t xml:space="preserve">planowanych </w:t>
            </w:r>
            <w:r>
              <w:rPr>
                <w:rFonts w:cstheme="minorHAnsi"/>
                <w:sz w:val="20"/>
                <w:szCs w:val="20"/>
              </w:rPr>
              <w:t xml:space="preserve">zmian w formach testamentu, w tym tego, że </w:t>
            </w:r>
            <w:r w:rsidRPr="00B131C0">
              <w:rPr>
                <w:rFonts w:cstheme="minorHAnsi"/>
                <w:sz w:val="20"/>
                <w:szCs w:val="20"/>
              </w:rPr>
              <w:t xml:space="preserve">treść testamentu ustnego </w:t>
            </w:r>
            <w:r>
              <w:rPr>
                <w:rFonts w:cstheme="minorHAnsi"/>
                <w:sz w:val="20"/>
                <w:szCs w:val="20"/>
              </w:rPr>
              <w:t xml:space="preserve">i wojskowego </w:t>
            </w:r>
            <w:r w:rsidR="00621CF7">
              <w:rPr>
                <w:rFonts w:cstheme="minorHAnsi"/>
                <w:sz w:val="20"/>
                <w:szCs w:val="20"/>
              </w:rPr>
              <w:t>będzie mogła być</w:t>
            </w:r>
            <w:r w:rsidRPr="00B131C0">
              <w:rPr>
                <w:rFonts w:cstheme="minorHAnsi"/>
                <w:sz w:val="20"/>
                <w:szCs w:val="20"/>
              </w:rPr>
              <w:t xml:space="preserve"> stwierdzona w ten sposób, że ustne oświadczenie spadkodawcy złożone w obecności świadków zostanie utrwalone za pomocą urządzenia rejestrującego obraz i dźwięk na trwałym nośniku danych</w:t>
            </w:r>
            <w:r>
              <w:rPr>
                <w:rFonts w:cstheme="minorHAnsi"/>
                <w:sz w:val="20"/>
                <w:szCs w:val="20"/>
              </w:rPr>
              <w:t xml:space="preserve">. Obserwacja praktyki stosowania nowych przepisów być może w przyszłości doprowadzi do wprowadzenia do Kodeksu postępowania cywilnego takiego rozwiązania. </w:t>
            </w:r>
          </w:p>
        </w:tc>
      </w:tr>
      <w:tr w:rsidR="00D05746" w:rsidRPr="00D103B4" w14:paraId="3D87E4C3" w14:textId="77777777" w:rsidTr="00B241C8">
        <w:trPr>
          <w:jc w:val="center"/>
        </w:trPr>
        <w:tc>
          <w:tcPr>
            <w:tcW w:w="562" w:type="dxa"/>
          </w:tcPr>
          <w:p w14:paraId="0DF0CAAC" w14:textId="547B1F67" w:rsidR="00D05746" w:rsidRPr="00D103B4" w:rsidRDefault="00D05746" w:rsidP="00D05746">
            <w:pPr>
              <w:spacing w:before="120"/>
              <w:ind w:right="-534"/>
              <w:rPr>
                <w:rFonts w:cstheme="minorHAnsi"/>
                <w:b/>
                <w:sz w:val="20"/>
                <w:szCs w:val="20"/>
              </w:rPr>
            </w:pPr>
            <w:r>
              <w:rPr>
                <w:rFonts w:cstheme="minorHAnsi"/>
                <w:b/>
                <w:sz w:val="20"/>
                <w:szCs w:val="20"/>
              </w:rPr>
              <w:t>3</w:t>
            </w:r>
            <w:r w:rsidR="00C90560">
              <w:rPr>
                <w:rFonts w:cstheme="minorHAnsi"/>
                <w:b/>
                <w:sz w:val="20"/>
                <w:szCs w:val="20"/>
              </w:rPr>
              <w:t>0</w:t>
            </w:r>
            <w:r>
              <w:rPr>
                <w:rFonts w:cstheme="minorHAnsi"/>
                <w:b/>
                <w:sz w:val="20"/>
                <w:szCs w:val="20"/>
              </w:rPr>
              <w:t>.</w:t>
            </w:r>
          </w:p>
        </w:tc>
        <w:tc>
          <w:tcPr>
            <w:tcW w:w="1843" w:type="dxa"/>
            <w:vAlign w:val="center"/>
          </w:tcPr>
          <w:p w14:paraId="08B01598" w14:textId="77777777"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Sąd Apelacyjny w Krakowie</w:t>
            </w:r>
          </w:p>
          <w:p w14:paraId="699BDDD5" w14:textId="66392B47" w:rsidR="00D05746" w:rsidRPr="00D103B4" w:rsidRDefault="00D05746" w:rsidP="00D05746">
            <w:pPr>
              <w:spacing w:before="120" w:after="120"/>
              <w:jc w:val="center"/>
              <w:rPr>
                <w:rFonts w:cstheme="minorHAnsi"/>
                <w:b/>
                <w:bCs/>
                <w:sz w:val="20"/>
                <w:szCs w:val="20"/>
              </w:rPr>
            </w:pPr>
            <w:r w:rsidRPr="00D103B4">
              <w:rPr>
                <w:rFonts w:cstheme="minorHAnsi"/>
                <w:sz w:val="20"/>
                <w:szCs w:val="20"/>
              </w:rPr>
              <w:lastRenderedPageBreak/>
              <w:t>- uwaga Sądu Rejonowego dla Krakowa-Podgórza w Krakowie</w:t>
            </w:r>
          </w:p>
        </w:tc>
        <w:tc>
          <w:tcPr>
            <w:tcW w:w="1843" w:type="dxa"/>
            <w:vAlign w:val="center"/>
          </w:tcPr>
          <w:p w14:paraId="3A10F251" w14:textId="2B38B5CB" w:rsidR="00D05746" w:rsidRPr="00D103B4" w:rsidRDefault="00D05746" w:rsidP="00D05746">
            <w:pPr>
              <w:spacing w:before="120" w:after="120" w:line="276" w:lineRule="auto"/>
              <w:jc w:val="center"/>
              <w:rPr>
                <w:rFonts w:cstheme="minorHAnsi"/>
                <w:bCs/>
                <w:sz w:val="20"/>
                <w:szCs w:val="20"/>
              </w:rPr>
            </w:pPr>
            <w:r w:rsidRPr="00D103B4">
              <w:rPr>
                <w:rFonts w:cstheme="minorHAnsi"/>
                <w:bCs/>
                <w:sz w:val="20"/>
                <w:szCs w:val="20"/>
              </w:rPr>
              <w:lastRenderedPageBreak/>
              <w:t xml:space="preserve">Art. 2 pkt 4 </w:t>
            </w:r>
          </w:p>
          <w:p w14:paraId="1B9A1ACF" w14:textId="42DB5573" w:rsidR="00D05746" w:rsidRPr="00D103B4" w:rsidRDefault="00D05746" w:rsidP="00D05746">
            <w:pPr>
              <w:spacing w:before="120" w:after="120"/>
              <w:jc w:val="center"/>
              <w:rPr>
                <w:rFonts w:cstheme="minorHAnsi"/>
                <w:sz w:val="20"/>
                <w:szCs w:val="20"/>
              </w:rPr>
            </w:pPr>
            <w:r w:rsidRPr="00D103B4">
              <w:rPr>
                <w:rFonts w:cstheme="minorHAnsi"/>
                <w:bCs/>
                <w:sz w:val="20"/>
                <w:szCs w:val="20"/>
              </w:rPr>
              <w:t>projektu</w:t>
            </w:r>
          </w:p>
        </w:tc>
        <w:tc>
          <w:tcPr>
            <w:tcW w:w="5670" w:type="dxa"/>
            <w:vAlign w:val="center"/>
          </w:tcPr>
          <w:p w14:paraId="0203364B" w14:textId="1308D1A3"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b/>
                <w:bCs/>
                <w:sz w:val="20"/>
                <w:szCs w:val="20"/>
              </w:rPr>
              <w:t>Regulacja procesowa dotycząca testamentu ustnego (innego niż wojskowy), zarówno utrwalonego na piśmie, jak i w formie audio-video, po uchyleniu art. 6</w:t>
            </w:r>
            <w:r w:rsidRPr="00D103B4">
              <w:rPr>
                <w:rFonts w:cstheme="minorHAnsi"/>
                <w:b/>
                <w:bCs/>
                <w:color w:val="000000"/>
                <w:sz w:val="20"/>
                <w:szCs w:val="20"/>
              </w:rPr>
              <w:t>61 i 662 k.p.c., wydaje się niepełna.</w:t>
            </w:r>
            <w:r w:rsidRPr="00D103B4">
              <w:rPr>
                <w:rFonts w:cstheme="minorHAnsi"/>
                <w:color w:val="000000"/>
                <w:sz w:val="20"/>
                <w:szCs w:val="20"/>
              </w:rPr>
              <w:t xml:space="preserve"> W </w:t>
            </w:r>
            <w:r w:rsidRPr="00D103B4">
              <w:rPr>
                <w:rFonts w:cstheme="minorHAnsi"/>
                <w:color w:val="000000"/>
                <w:sz w:val="20"/>
                <w:szCs w:val="20"/>
              </w:rPr>
              <w:lastRenderedPageBreak/>
              <w:t>szczególności, brak przepisu nakładającego obowiązek podania imion, nazwisk i adresów świadków testamentu. Nie ma też szczególnych regulacji dotyczących przesłuchania świadków testamentu, które może być konieczne np. w celu ustalenia istnienia „nadzwyczajnych okoliczności” bądź też „bezstronności” świadków. Będą tu zatem obowiązywać zasady ogólne, w tym prawo odmowy zeznań lub odpowiedzi na pytanie, co nie wydaje się trafne.</w:t>
            </w:r>
          </w:p>
        </w:tc>
        <w:tc>
          <w:tcPr>
            <w:tcW w:w="4076" w:type="dxa"/>
          </w:tcPr>
          <w:p w14:paraId="71F283B3" w14:textId="1C582F36" w:rsidR="00D05746" w:rsidRPr="001D3CC3" w:rsidRDefault="00D05746" w:rsidP="00D05746">
            <w:pPr>
              <w:spacing w:line="276" w:lineRule="auto"/>
              <w:jc w:val="both"/>
              <w:rPr>
                <w:rFonts w:cstheme="minorHAnsi"/>
                <w:b/>
                <w:bCs/>
                <w:sz w:val="20"/>
                <w:szCs w:val="20"/>
              </w:rPr>
            </w:pPr>
            <w:r w:rsidRPr="0032209A">
              <w:rPr>
                <w:rFonts w:cstheme="minorHAnsi"/>
                <w:b/>
                <w:bCs/>
                <w:sz w:val="20"/>
                <w:szCs w:val="20"/>
              </w:rPr>
              <w:lastRenderedPageBreak/>
              <w:t xml:space="preserve">Uwaga </w:t>
            </w:r>
            <w:r>
              <w:rPr>
                <w:rFonts w:cstheme="minorHAnsi"/>
                <w:b/>
                <w:bCs/>
                <w:sz w:val="20"/>
                <w:szCs w:val="20"/>
              </w:rPr>
              <w:t xml:space="preserve">częściowo </w:t>
            </w:r>
            <w:r w:rsidRPr="0032209A">
              <w:rPr>
                <w:rFonts w:cstheme="minorHAnsi"/>
                <w:b/>
                <w:bCs/>
                <w:sz w:val="20"/>
                <w:szCs w:val="20"/>
              </w:rPr>
              <w:t>uwzględniona</w:t>
            </w:r>
          </w:p>
          <w:p w14:paraId="7C2B1127" w14:textId="4A3C1413" w:rsidR="00D05746" w:rsidRDefault="00D05746" w:rsidP="00D05746">
            <w:pPr>
              <w:spacing w:line="276" w:lineRule="auto"/>
              <w:jc w:val="both"/>
              <w:rPr>
                <w:rFonts w:cstheme="minorHAnsi"/>
                <w:sz w:val="20"/>
                <w:szCs w:val="20"/>
              </w:rPr>
            </w:pPr>
            <w:r w:rsidRPr="004F0B65">
              <w:rPr>
                <w:rFonts w:cstheme="minorHAnsi"/>
                <w:sz w:val="20"/>
                <w:szCs w:val="20"/>
              </w:rPr>
              <w:t xml:space="preserve">Proponowane w projekcie rozwiązania wynikają z celowej decyzji Zespołu problemowego do </w:t>
            </w:r>
            <w:r w:rsidRPr="004F0B65">
              <w:rPr>
                <w:rFonts w:cstheme="minorHAnsi"/>
                <w:sz w:val="20"/>
                <w:szCs w:val="20"/>
              </w:rPr>
              <w:lastRenderedPageBreak/>
              <w:t>spraw prawa spadkowego Komisji Kodyfikacyjnej Prawa Cywilnego</w:t>
            </w:r>
            <w:r>
              <w:rPr>
                <w:rFonts w:cstheme="minorHAnsi"/>
                <w:sz w:val="20"/>
                <w:szCs w:val="20"/>
              </w:rPr>
              <w:t>, która zdecydowała się na likwidację d</w:t>
            </w:r>
            <w:r w:rsidRPr="0032209A">
              <w:rPr>
                <w:rFonts w:cstheme="minorHAnsi"/>
                <w:sz w:val="20"/>
                <w:szCs w:val="20"/>
              </w:rPr>
              <w:t>otychczas istniejąc</w:t>
            </w:r>
            <w:r>
              <w:rPr>
                <w:rFonts w:cstheme="minorHAnsi"/>
                <w:sz w:val="20"/>
                <w:szCs w:val="20"/>
              </w:rPr>
              <w:t>ej</w:t>
            </w:r>
            <w:r w:rsidRPr="0032209A">
              <w:rPr>
                <w:rFonts w:cstheme="minorHAnsi"/>
                <w:sz w:val="20"/>
                <w:szCs w:val="20"/>
              </w:rPr>
              <w:t xml:space="preserve"> możliwoś</w:t>
            </w:r>
            <w:r>
              <w:rPr>
                <w:rFonts w:cstheme="minorHAnsi"/>
                <w:sz w:val="20"/>
                <w:szCs w:val="20"/>
              </w:rPr>
              <w:t>ci</w:t>
            </w:r>
            <w:r w:rsidRPr="0032209A">
              <w:rPr>
                <w:rFonts w:cstheme="minorHAnsi"/>
                <w:sz w:val="20"/>
                <w:szCs w:val="20"/>
              </w:rPr>
              <w:t xml:space="preserve"> stwierdzenia treści tego testamentu przez zeznania świadków przed sądem</w:t>
            </w:r>
            <w:r>
              <w:rPr>
                <w:rFonts w:cstheme="minorHAnsi"/>
                <w:sz w:val="20"/>
                <w:szCs w:val="20"/>
              </w:rPr>
              <w:t>. Uznano, że</w:t>
            </w:r>
            <w:r w:rsidRPr="0032209A">
              <w:rPr>
                <w:rFonts w:cstheme="minorHAnsi"/>
                <w:sz w:val="20"/>
                <w:szCs w:val="20"/>
              </w:rPr>
              <w:t xml:space="preserve"> ten sposób stwierdzania treści testamentu ustnego za niedający wystarczającej pewności co do tego, że dana osoba rzeczywiście złożyła dane oświadczenie. Wskazana zmiana powinna istotnie przyczynić się do ograniczenia skuteczności podejmowanych prób fałszowania testamentów ustnych.</w:t>
            </w:r>
          </w:p>
          <w:p w14:paraId="0A4ACF37" w14:textId="77777777" w:rsidR="00D05746" w:rsidRPr="004F0B65" w:rsidRDefault="00D05746" w:rsidP="00D05746">
            <w:pPr>
              <w:spacing w:line="276" w:lineRule="auto"/>
              <w:jc w:val="both"/>
              <w:rPr>
                <w:rFonts w:cstheme="minorHAnsi"/>
                <w:sz w:val="20"/>
                <w:szCs w:val="20"/>
              </w:rPr>
            </w:pPr>
          </w:p>
          <w:p w14:paraId="50468C79" w14:textId="7E17EEA6" w:rsidR="00D05746" w:rsidRPr="000660EA" w:rsidRDefault="00D05746" w:rsidP="000660EA">
            <w:pPr>
              <w:spacing w:line="276" w:lineRule="auto"/>
              <w:jc w:val="both"/>
              <w:rPr>
                <w:rFonts w:cstheme="minorHAnsi"/>
                <w:sz w:val="20"/>
                <w:szCs w:val="20"/>
              </w:rPr>
            </w:pPr>
            <w:r>
              <w:rPr>
                <w:rFonts w:cstheme="minorHAnsi"/>
                <w:sz w:val="20"/>
                <w:szCs w:val="20"/>
              </w:rPr>
              <w:t>Tym niemniej p</w:t>
            </w:r>
            <w:r w:rsidRPr="00307896">
              <w:rPr>
                <w:rFonts w:cstheme="minorHAnsi"/>
                <w:sz w:val="20"/>
                <w:szCs w:val="20"/>
              </w:rPr>
              <w:t>rzyjęto, że w protokole otwarcia i ogłoszenia testamentu, którego treść została stwierdzona zgodnie z art. 952 § 3 albo art. 954</w:t>
            </w:r>
            <w:r w:rsidRPr="00307896">
              <w:rPr>
                <w:rFonts w:cstheme="minorHAnsi"/>
                <w:sz w:val="20"/>
                <w:szCs w:val="20"/>
                <w:vertAlign w:val="superscript"/>
              </w:rPr>
              <w:t>1</w:t>
            </w:r>
            <w:r w:rsidRPr="00307896">
              <w:rPr>
                <w:rFonts w:cstheme="minorHAnsi"/>
                <w:sz w:val="20"/>
                <w:szCs w:val="20"/>
              </w:rPr>
              <w:t xml:space="preserve"> § 3 zdanie trzecie Kodeksu cywilnego, zamieszcza się również informacje umożliwiające identyfikację spadkodawcy oraz świadków, a także treść oświadczenia spadkodawcy. </w:t>
            </w:r>
          </w:p>
        </w:tc>
      </w:tr>
      <w:tr w:rsidR="00D05746" w:rsidRPr="00D103B4" w14:paraId="58257EB1" w14:textId="77777777" w:rsidTr="00B241C8">
        <w:trPr>
          <w:jc w:val="center"/>
        </w:trPr>
        <w:tc>
          <w:tcPr>
            <w:tcW w:w="562" w:type="dxa"/>
          </w:tcPr>
          <w:p w14:paraId="6702D359" w14:textId="12709ACC" w:rsidR="00D05746" w:rsidRPr="00D103B4" w:rsidRDefault="00D05746" w:rsidP="00D05746">
            <w:pPr>
              <w:spacing w:before="120" w:line="276" w:lineRule="auto"/>
              <w:ind w:right="-534"/>
              <w:rPr>
                <w:rFonts w:cstheme="minorHAnsi"/>
                <w:b/>
                <w:sz w:val="20"/>
                <w:szCs w:val="20"/>
              </w:rPr>
            </w:pPr>
            <w:r w:rsidRPr="00D103B4">
              <w:rPr>
                <w:rFonts w:cstheme="minorHAnsi"/>
                <w:b/>
                <w:sz w:val="20"/>
                <w:szCs w:val="20"/>
              </w:rPr>
              <w:lastRenderedPageBreak/>
              <w:t>3</w:t>
            </w:r>
            <w:r w:rsidR="00C90560">
              <w:rPr>
                <w:rFonts w:cstheme="minorHAnsi"/>
                <w:b/>
                <w:sz w:val="20"/>
                <w:szCs w:val="20"/>
              </w:rPr>
              <w:t>1</w:t>
            </w:r>
            <w:r w:rsidRPr="00D103B4">
              <w:rPr>
                <w:rFonts w:cstheme="minorHAnsi"/>
                <w:b/>
                <w:sz w:val="20"/>
                <w:szCs w:val="20"/>
              </w:rPr>
              <w:t>.</w:t>
            </w:r>
          </w:p>
        </w:tc>
        <w:tc>
          <w:tcPr>
            <w:tcW w:w="1843" w:type="dxa"/>
            <w:vAlign w:val="center"/>
          </w:tcPr>
          <w:p w14:paraId="7272F5AA" w14:textId="7A8D99EC"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Konferencja Episkopatu Polski</w:t>
            </w:r>
          </w:p>
        </w:tc>
        <w:tc>
          <w:tcPr>
            <w:tcW w:w="1843" w:type="dxa"/>
            <w:vAlign w:val="center"/>
          </w:tcPr>
          <w:p w14:paraId="0E28E835" w14:textId="31B8FAA9" w:rsidR="00D05746" w:rsidRPr="00D103B4" w:rsidRDefault="00D05746" w:rsidP="00D05746">
            <w:pPr>
              <w:spacing w:before="120" w:after="120" w:line="276" w:lineRule="auto"/>
              <w:jc w:val="center"/>
              <w:rPr>
                <w:rFonts w:cstheme="minorHAnsi"/>
                <w:bCs/>
                <w:sz w:val="20"/>
                <w:szCs w:val="20"/>
              </w:rPr>
            </w:pPr>
            <w:r w:rsidRPr="00D103B4">
              <w:rPr>
                <w:rFonts w:cstheme="minorHAnsi"/>
                <w:bCs/>
                <w:sz w:val="20"/>
                <w:szCs w:val="20"/>
              </w:rPr>
              <w:t xml:space="preserve">Art. 2 pkt 5 projektu </w:t>
            </w:r>
          </w:p>
          <w:p w14:paraId="7FFA1EF1" w14:textId="16BA8FBC" w:rsidR="00D05746" w:rsidRPr="00D103B4" w:rsidRDefault="00D05746" w:rsidP="00D05746">
            <w:pPr>
              <w:spacing w:before="120" w:after="120" w:line="276" w:lineRule="auto"/>
              <w:jc w:val="center"/>
              <w:rPr>
                <w:rFonts w:cstheme="minorHAnsi"/>
                <w:bCs/>
                <w:sz w:val="20"/>
                <w:szCs w:val="20"/>
              </w:rPr>
            </w:pPr>
            <w:r w:rsidRPr="00D103B4">
              <w:rPr>
                <w:rFonts w:cstheme="minorHAnsi"/>
                <w:bCs/>
                <w:sz w:val="20"/>
                <w:szCs w:val="20"/>
              </w:rPr>
              <w:t>(a</w:t>
            </w:r>
            <w:r w:rsidRPr="00D103B4">
              <w:rPr>
                <w:rFonts w:cstheme="minorHAnsi"/>
                <w:bCs/>
                <w:iCs/>
                <w:sz w:val="20"/>
                <w:szCs w:val="20"/>
              </w:rPr>
              <w:t>rt. 663</w:t>
            </w:r>
            <w:r w:rsidRPr="00D103B4">
              <w:rPr>
                <w:rFonts w:cstheme="minorHAnsi"/>
                <w:bCs/>
                <w:sz w:val="20"/>
                <w:szCs w:val="20"/>
              </w:rPr>
              <w:t>¹ k.p.c.</w:t>
            </w:r>
          </w:p>
          <w:p w14:paraId="3981FA17" w14:textId="77777777" w:rsidR="00D05746" w:rsidRPr="00D103B4" w:rsidRDefault="00D05746" w:rsidP="00D05746">
            <w:pPr>
              <w:spacing w:before="120" w:after="120" w:line="276" w:lineRule="auto"/>
              <w:jc w:val="center"/>
              <w:rPr>
                <w:rFonts w:cstheme="minorHAnsi"/>
                <w:bCs/>
                <w:sz w:val="20"/>
                <w:szCs w:val="20"/>
              </w:rPr>
            </w:pPr>
            <w:r w:rsidRPr="00D103B4">
              <w:rPr>
                <w:rFonts w:cstheme="minorHAnsi"/>
                <w:bCs/>
                <w:sz w:val="20"/>
                <w:szCs w:val="20"/>
              </w:rPr>
              <w:t>oraz</w:t>
            </w:r>
          </w:p>
          <w:p w14:paraId="3F477005" w14:textId="50C8484F" w:rsidR="00D05746" w:rsidRPr="00D103B4" w:rsidRDefault="00D05746" w:rsidP="00D05746">
            <w:pPr>
              <w:spacing w:before="120" w:after="120" w:line="276" w:lineRule="auto"/>
              <w:jc w:val="center"/>
              <w:rPr>
                <w:rFonts w:cstheme="minorHAnsi"/>
                <w:sz w:val="20"/>
                <w:szCs w:val="20"/>
              </w:rPr>
            </w:pPr>
            <w:r w:rsidRPr="00D103B4">
              <w:rPr>
                <w:rFonts w:cstheme="minorHAnsi"/>
                <w:bCs/>
                <w:sz w:val="20"/>
                <w:szCs w:val="20"/>
              </w:rPr>
              <w:lastRenderedPageBreak/>
              <w:t>art. 663² k.p.c.)</w:t>
            </w:r>
          </w:p>
        </w:tc>
        <w:tc>
          <w:tcPr>
            <w:tcW w:w="5670" w:type="dxa"/>
            <w:vAlign w:val="center"/>
          </w:tcPr>
          <w:p w14:paraId="3BD2F0EB" w14:textId="77777777" w:rsidR="00D05746" w:rsidRPr="00D103B4" w:rsidRDefault="00D05746" w:rsidP="00D05746">
            <w:pPr>
              <w:spacing w:line="276" w:lineRule="auto"/>
              <w:ind w:firstLine="708"/>
              <w:jc w:val="both"/>
              <w:rPr>
                <w:rFonts w:cstheme="minorHAnsi"/>
                <w:sz w:val="20"/>
                <w:szCs w:val="20"/>
              </w:rPr>
            </w:pPr>
            <w:r w:rsidRPr="00D103B4">
              <w:rPr>
                <w:rFonts w:cstheme="minorHAnsi"/>
                <w:b/>
                <w:sz w:val="20"/>
                <w:szCs w:val="20"/>
              </w:rPr>
              <w:lastRenderedPageBreak/>
              <w:t>Wątpliwości budzi</w:t>
            </w:r>
            <w:r w:rsidRPr="00D103B4">
              <w:rPr>
                <w:rFonts w:cstheme="minorHAnsi"/>
                <w:sz w:val="20"/>
                <w:szCs w:val="20"/>
              </w:rPr>
              <w:t xml:space="preserve"> proponowany kształt przepisu a</w:t>
            </w:r>
            <w:r w:rsidRPr="00D103B4">
              <w:rPr>
                <w:rFonts w:cstheme="minorHAnsi"/>
                <w:iCs/>
                <w:sz w:val="20"/>
                <w:szCs w:val="20"/>
              </w:rPr>
              <w:t>rt. 663</w:t>
            </w:r>
            <w:r w:rsidRPr="00D103B4">
              <w:rPr>
                <w:rFonts w:cstheme="minorHAnsi"/>
                <w:sz w:val="20"/>
                <w:szCs w:val="20"/>
              </w:rPr>
              <w:t xml:space="preserve">¹ k.p.c., zgodnie z którym </w:t>
            </w:r>
            <w:r w:rsidRPr="00D103B4">
              <w:rPr>
                <w:rFonts w:cstheme="minorHAnsi"/>
                <w:i/>
                <w:iCs/>
                <w:sz w:val="20"/>
                <w:szCs w:val="20"/>
              </w:rPr>
              <w:t xml:space="preserve">Kto dowie się o śmierci spadkodawcy, który sporządził testament w okolicznościach określonych w art. </w:t>
            </w:r>
            <w:r w:rsidRPr="00D103B4">
              <w:rPr>
                <w:rFonts w:cstheme="minorHAnsi"/>
                <w:i/>
                <w:sz w:val="20"/>
                <w:szCs w:val="20"/>
              </w:rPr>
              <w:t xml:space="preserve">954¹ § </w:t>
            </w:r>
            <w:r w:rsidRPr="00D103B4">
              <w:rPr>
                <w:rFonts w:cstheme="minorHAnsi"/>
                <w:i/>
                <w:iCs/>
                <w:sz w:val="20"/>
                <w:szCs w:val="20"/>
              </w:rPr>
              <w:t xml:space="preserve">4 Kodeksu cywilnego, obowiązany jest niezwłocznie zawiadomić sąd spadku oraz podać imiona, nazwiska i adresy świadków testamentu, jeżeli okoliczności te są mu znane. Kto nie dopełnia wskazanego </w:t>
            </w:r>
            <w:r w:rsidRPr="00D103B4">
              <w:rPr>
                <w:rFonts w:cstheme="minorHAnsi"/>
                <w:i/>
                <w:iCs/>
                <w:sz w:val="20"/>
                <w:szCs w:val="20"/>
              </w:rPr>
              <w:lastRenderedPageBreak/>
              <w:t>obowiązku, odpowiada za wynikłą stąd szkodę, nadto sąd spadku może wymierzyć mu grzywnę</w:t>
            </w:r>
            <w:r w:rsidRPr="00D103B4">
              <w:rPr>
                <w:rFonts w:cstheme="minorHAnsi"/>
                <w:sz w:val="20"/>
                <w:szCs w:val="20"/>
              </w:rPr>
              <w:t>.</w:t>
            </w:r>
          </w:p>
          <w:p w14:paraId="26712FE7" w14:textId="77777777" w:rsidR="00D05746" w:rsidRPr="00D103B4" w:rsidRDefault="00D05746" w:rsidP="00D05746">
            <w:pPr>
              <w:spacing w:line="276" w:lineRule="auto"/>
              <w:ind w:firstLine="708"/>
              <w:jc w:val="both"/>
              <w:rPr>
                <w:rFonts w:cstheme="minorHAnsi"/>
                <w:sz w:val="20"/>
                <w:szCs w:val="20"/>
              </w:rPr>
            </w:pPr>
            <w:r w:rsidRPr="00D103B4">
              <w:rPr>
                <w:rFonts w:cstheme="minorHAnsi"/>
                <w:b/>
                <w:sz w:val="20"/>
                <w:szCs w:val="20"/>
              </w:rPr>
              <w:t>Zasadnicza wątpliwość</w:t>
            </w:r>
            <w:r w:rsidRPr="00D103B4">
              <w:rPr>
                <w:rFonts w:cstheme="minorHAnsi"/>
                <w:sz w:val="20"/>
                <w:szCs w:val="20"/>
              </w:rPr>
              <w:t xml:space="preserve"> dotyczy tego, że krąg osób, które są zobowiązane do zawiadomienia sądu spadku o śmierci spadkodawcy, został zakreślony zbyt szeroko. Obowiązek ten powinien zostać nałożony na osoby, które uczestniczyły w czynności testowania, a nie na każdego, kto dowie się o śmierci spadkodawcy i o fakcie testowania w okolicznościach wskazanych w </w:t>
            </w:r>
            <w:r w:rsidRPr="00D103B4">
              <w:rPr>
                <w:rFonts w:cstheme="minorHAnsi"/>
                <w:iCs/>
                <w:sz w:val="20"/>
                <w:szCs w:val="20"/>
              </w:rPr>
              <w:t xml:space="preserve">art. </w:t>
            </w:r>
            <w:r w:rsidRPr="00D103B4">
              <w:rPr>
                <w:rFonts w:cstheme="minorHAnsi"/>
                <w:sz w:val="20"/>
                <w:szCs w:val="20"/>
              </w:rPr>
              <w:t xml:space="preserve">954¹ § </w:t>
            </w:r>
            <w:r w:rsidRPr="00D103B4">
              <w:rPr>
                <w:rFonts w:cstheme="minorHAnsi"/>
                <w:iCs/>
                <w:sz w:val="20"/>
                <w:szCs w:val="20"/>
              </w:rPr>
              <w:t>4</w:t>
            </w:r>
            <w:r w:rsidRPr="00D103B4">
              <w:rPr>
                <w:rFonts w:cstheme="minorHAnsi"/>
                <w:sz w:val="20"/>
                <w:szCs w:val="20"/>
              </w:rPr>
              <w:t xml:space="preserve"> k.c.</w:t>
            </w:r>
          </w:p>
          <w:p w14:paraId="5F478429" w14:textId="77777777" w:rsidR="00D05746" w:rsidRPr="00D103B4" w:rsidRDefault="00D05746" w:rsidP="00D05746">
            <w:pPr>
              <w:spacing w:line="276" w:lineRule="auto"/>
              <w:ind w:firstLine="708"/>
              <w:jc w:val="both"/>
              <w:rPr>
                <w:rFonts w:cstheme="minorHAnsi"/>
                <w:sz w:val="20"/>
                <w:szCs w:val="20"/>
              </w:rPr>
            </w:pPr>
            <w:r w:rsidRPr="00D103B4">
              <w:rPr>
                <w:rFonts w:cstheme="minorHAnsi"/>
                <w:b/>
                <w:sz w:val="20"/>
                <w:szCs w:val="20"/>
              </w:rPr>
              <w:t>Pewną niespójność systemową</w:t>
            </w:r>
            <w:r w:rsidRPr="00D103B4">
              <w:rPr>
                <w:rFonts w:cstheme="minorHAnsi"/>
                <w:sz w:val="20"/>
                <w:szCs w:val="20"/>
              </w:rPr>
              <w:t xml:space="preserve"> wykazuje projektowana zmiana Kodeksu postępowania cywilnego, polegająca na dodaniu a</w:t>
            </w:r>
            <w:r w:rsidRPr="00D103B4">
              <w:rPr>
                <w:rFonts w:cstheme="minorHAnsi"/>
                <w:iCs/>
                <w:sz w:val="20"/>
                <w:szCs w:val="20"/>
              </w:rPr>
              <w:t>rt. 663² w brzmieniu:</w:t>
            </w:r>
            <w:r w:rsidRPr="00D103B4">
              <w:rPr>
                <w:rFonts w:cstheme="minorHAnsi"/>
                <w:i/>
                <w:iCs/>
                <w:sz w:val="20"/>
                <w:szCs w:val="20"/>
              </w:rPr>
              <w:t xml:space="preserve"> Świadków testamentu sporządzonego w okolicznościach określonych w art. 954¹ § 4 Kodeksu cywilnego sąd spadku wzywa do złożenia na wyznaczonym posiedzeniu sądowym zeznań stwierdzających treść testamentu. Do postępowania w sprawie przesłuchania świadków testamentu stosuje się odpowiednio przepisy o dowodzie ze świadków w procesie, z tą zmianą, że świadkowie testamentu nie mogą odmówić zeznań ani odpowiedzi na pytanie, ani też nie mogą być zwolnieni od złożenia przyrzeczenia</w:t>
            </w:r>
            <w:r w:rsidRPr="00D103B4">
              <w:rPr>
                <w:rFonts w:cstheme="minorHAnsi"/>
                <w:sz w:val="20"/>
                <w:szCs w:val="20"/>
              </w:rPr>
              <w:t xml:space="preserve">. </w:t>
            </w:r>
          </w:p>
          <w:p w14:paraId="32A153FF" w14:textId="752B372D" w:rsidR="00D05746" w:rsidRPr="00D103B4" w:rsidRDefault="00D05746" w:rsidP="00D05746">
            <w:pPr>
              <w:spacing w:line="276" w:lineRule="auto"/>
              <w:ind w:firstLine="708"/>
              <w:jc w:val="both"/>
              <w:rPr>
                <w:rFonts w:cstheme="minorHAnsi"/>
                <w:sz w:val="20"/>
                <w:szCs w:val="20"/>
              </w:rPr>
            </w:pPr>
            <w:r w:rsidRPr="00D103B4">
              <w:rPr>
                <w:rFonts w:cstheme="minorHAnsi"/>
                <w:b/>
                <w:sz w:val="20"/>
                <w:szCs w:val="20"/>
              </w:rPr>
              <w:t>Niespójność ta</w:t>
            </w:r>
            <w:r w:rsidRPr="00D103B4">
              <w:rPr>
                <w:rFonts w:cstheme="minorHAnsi"/>
                <w:sz w:val="20"/>
                <w:szCs w:val="20"/>
              </w:rPr>
              <w:t xml:space="preserve"> polega na tym, że ustawa dopuszcza w sytuacji sporządzenia testamentu wojskowego w obawie rychłej śmierci spadkodawcy wskutek odniesienia ran lub choroby, stwierdzenie jego treści przez zgodne zeznania świadków złożone przed sądem. W przypadku testamentu ustnego z takiej możliwości zrezygnowano, co należy ocenić negatywnie. </w:t>
            </w:r>
          </w:p>
        </w:tc>
        <w:tc>
          <w:tcPr>
            <w:tcW w:w="4076" w:type="dxa"/>
          </w:tcPr>
          <w:p w14:paraId="33927FC6" w14:textId="772B53CE" w:rsidR="00D05746" w:rsidRPr="00ED3E3C" w:rsidRDefault="00D05746" w:rsidP="00D05746">
            <w:pPr>
              <w:spacing w:line="276" w:lineRule="auto"/>
              <w:jc w:val="both"/>
              <w:rPr>
                <w:rFonts w:cstheme="minorHAnsi"/>
                <w:b/>
                <w:bCs/>
                <w:sz w:val="20"/>
                <w:szCs w:val="20"/>
              </w:rPr>
            </w:pPr>
            <w:r w:rsidRPr="00ED3E3C">
              <w:rPr>
                <w:rFonts w:cstheme="minorHAnsi"/>
                <w:b/>
                <w:bCs/>
                <w:sz w:val="20"/>
                <w:szCs w:val="20"/>
              </w:rPr>
              <w:lastRenderedPageBreak/>
              <w:t xml:space="preserve">Uwaga nieuwzględniona </w:t>
            </w:r>
          </w:p>
          <w:p w14:paraId="68ED07C7" w14:textId="431CB614" w:rsidR="00D05746" w:rsidRPr="004C79D4" w:rsidRDefault="00D05746" w:rsidP="00D05746">
            <w:pPr>
              <w:spacing w:line="276" w:lineRule="auto"/>
              <w:jc w:val="both"/>
              <w:rPr>
                <w:rFonts w:cstheme="minorHAnsi"/>
                <w:sz w:val="20"/>
                <w:szCs w:val="20"/>
              </w:rPr>
            </w:pPr>
            <w:r>
              <w:rPr>
                <w:rFonts w:cstheme="minorHAnsi"/>
                <w:sz w:val="20"/>
                <w:szCs w:val="20"/>
              </w:rPr>
              <w:t>Projektowany przepis art. 663</w:t>
            </w:r>
            <w:r>
              <w:rPr>
                <w:rFonts w:cstheme="minorHAnsi"/>
                <w:sz w:val="20"/>
                <w:szCs w:val="20"/>
                <w:vertAlign w:val="superscript"/>
              </w:rPr>
              <w:t>1</w:t>
            </w:r>
            <w:r>
              <w:rPr>
                <w:rFonts w:cstheme="minorHAnsi"/>
                <w:sz w:val="20"/>
                <w:szCs w:val="20"/>
              </w:rPr>
              <w:t xml:space="preserve"> k.p.c. został sformułowany analogicznie do obecnej treści art. 661 k.c. dotyczącego przesłuchania świadków testamentu ustnego. Z racji tego, że projektodawca zdecydował się na rezygnację z </w:t>
            </w:r>
            <w:r>
              <w:rPr>
                <w:rFonts w:cstheme="minorHAnsi"/>
                <w:sz w:val="20"/>
                <w:szCs w:val="20"/>
              </w:rPr>
              <w:lastRenderedPageBreak/>
              <w:t xml:space="preserve">takiego sposobu stwierdzania treści testamentu ustnego, uchylono rozdział 5 regulujący tę kwestię, a wprowadzono przepisy dotyczące testamentu wojskowego. Treść tego testamentu będzie bowiem mogła być </w:t>
            </w:r>
            <w:r w:rsidRPr="004C79D4">
              <w:rPr>
                <w:rFonts w:cstheme="minorHAnsi"/>
                <w:sz w:val="20"/>
                <w:szCs w:val="20"/>
              </w:rPr>
              <w:t xml:space="preserve">stwierdzona również poprzez zeznania świadków przed sądem. </w:t>
            </w:r>
          </w:p>
          <w:p w14:paraId="3FD96A3B" w14:textId="3AE5B286" w:rsidR="00D05746" w:rsidRPr="004C79D4" w:rsidRDefault="00D05746" w:rsidP="00D05746">
            <w:pPr>
              <w:spacing w:line="276" w:lineRule="auto"/>
              <w:jc w:val="both"/>
              <w:rPr>
                <w:rFonts w:cstheme="minorHAnsi"/>
                <w:sz w:val="20"/>
                <w:szCs w:val="20"/>
              </w:rPr>
            </w:pPr>
            <w:r w:rsidRPr="004C79D4">
              <w:rPr>
                <w:rFonts w:cstheme="minorHAnsi"/>
                <w:sz w:val="20"/>
                <w:szCs w:val="20"/>
              </w:rPr>
              <w:t xml:space="preserve">Nałożenie obowiązku ujawnienia </w:t>
            </w:r>
            <w:r>
              <w:rPr>
                <w:rFonts w:cstheme="minorHAnsi"/>
                <w:sz w:val="20"/>
                <w:szCs w:val="20"/>
              </w:rPr>
              <w:t xml:space="preserve">faktu sporządzenia </w:t>
            </w:r>
            <w:r w:rsidRPr="004C79D4">
              <w:rPr>
                <w:rFonts w:cstheme="minorHAnsi"/>
                <w:sz w:val="20"/>
                <w:szCs w:val="20"/>
              </w:rPr>
              <w:t>testamentu wojskowego na każdą osobę</w:t>
            </w:r>
            <w:r>
              <w:rPr>
                <w:rFonts w:cstheme="minorHAnsi"/>
                <w:sz w:val="20"/>
                <w:szCs w:val="20"/>
              </w:rPr>
              <w:t xml:space="preserve">, </w:t>
            </w:r>
            <w:r w:rsidRPr="004C79D4">
              <w:rPr>
                <w:rFonts w:cstheme="minorHAnsi"/>
                <w:sz w:val="20"/>
                <w:szCs w:val="20"/>
              </w:rPr>
              <w:t xml:space="preserve">która ma wiedzę w tym przedmiocie, </w:t>
            </w:r>
            <w:r>
              <w:rPr>
                <w:rFonts w:cstheme="minorHAnsi"/>
                <w:sz w:val="20"/>
                <w:szCs w:val="20"/>
              </w:rPr>
              <w:t>a nie tylko bezpośrednio „zainteresowaną”</w:t>
            </w:r>
            <w:r w:rsidRPr="004C79D4">
              <w:rPr>
                <w:rFonts w:cstheme="minorHAnsi"/>
                <w:sz w:val="20"/>
                <w:szCs w:val="20"/>
              </w:rPr>
              <w:t>, ma służyć prawidłowemu orzeczeniu przez sąd stwierdzenia nabycia spadku.</w:t>
            </w:r>
            <w:r>
              <w:rPr>
                <w:rFonts w:cstheme="minorHAnsi"/>
                <w:sz w:val="20"/>
                <w:szCs w:val="20"/>
              </w:rPr>
              <w:t xml:space="preserve"> </w:t>
            </w:r>
          </w:p>
          <w:p w14:paraId="722031DA" w14:textId="7D0B8872" w:rsidR="00D05746" w:rsidRPr="00ED3E3C" w:rsidRDefault="00D05746" w:rsidP="00D05746">
            <w:pPr>
              <w:spacing w:line="276" w:lineRule="auto"/>
              <w:jc w:val="both"/>
              <w:rPr>
                <w:rFonts w:cstheme="minorHAnsi"/>
                <w:sz w:val="20"/>
                <w:szCs w:val="20"/>
              </w:rPr>
            </w:pPr>
            <w:r w:rsidRPr="004C79D4">
              <w:rPr>
                <w:rFonts w:cstheme="minorHAnsi"/>
                <w:sz w:val="20"/>
                <w:szCs w:val="20"/>
              </w:rPr>
              <w:t>Wyjątkowość sytuacji (tj. obawa rychłej śmierci spadkodawcy wskutek odniesionych ran lub choroby), w której sporządzany jest testament wojskowy, którego treść może być stwierdzona przez zeznania świadków złożone przed sądem – jeszcze większa niż w przypadku testamentu ustnego – przemawia za umożliwieniem stwierdzenia treści testamentu wojskowego także w ten dodatkowy sposób.</w:t>
            </w:r>
            <w:r>
              <w:rPr>
                <w:rFonts w:cstheme="minorHAnsi"/>
                <w:sz w:val="20"/>
                <w:szCs w:val="20"/>
              </w:rPr>
              <w:t xml:space="preserve"> </w:t>
            </w:r>
          </w:p>
        </w:tc>
      </w:tr>
      <w:tr w:rsidR="00D05746" w:rsidRPr="00D103B4" w14:paraId="79D985B5" w14:textId="77777777" w:rsidTr="00B241C8">
        <w:trPr>
          <w:jc w:val="center"/>
        </w:trPr>
        <w:tc>
          <w:tcPr>
            <w:tcW w:w="562" w:type="dxa"/>
          </w:tcPr>
          <w:p w14:paraId="19B87999" w14:textId="04EF3890" w:rsidR="00D05746" w:rsidRPr="00D103B4" w:rsidRDefault="00D05746" w:rsidP="00D05746">
            <w:pPr>
              <w:spacing w:before="120"/>
              <w:ind w:right="-534"/>
              <w:rPr>
                <w:rFonts w:cstheme="minorHAnsi"/>
                <w:b/>
                <w:sz w:val="20"/>
                <w:szCs w:val="20"/>
              </w:rPr>
            </w:pPr>
            <w:r>
              <w:rPr>
                <w:rFonts w:cstheme="minorHAnsi"/>
                <w:b/>
                <w:sz w:val="20"/>
                <w:szCs w:val="20"/>
              </w:rPr>
              <w:lastRenderedPageBreak/>
              <w:t>3</w:t>
            </w:r>
            <w:r w:rsidR="00C90560">
              <w:rPr>
                <w:rFonts w:cstheme="minorHAnsi"/>
                <w:b/>
                <w:sz w:val="20"/>
                <w:szCs w:val="20"/>
              </w:rPr>
              <w:t>2</w:t>
            </w:r>
            <w:r>
              <w:rPr>
                <w:rFonts w:cstheme="minorHAnsi"/>
                <w:b/>
                <w:sz w:val="20"/>
                <w:szCs w:val="20"/>
              </w:rPr>
              <w:t>.</w:t>
            </w:r>
          </w:p>
        </w:tc>
        <w:tc>
          <w:tcPr>
            <w:tcW w:w="1843" w:type="dxa"/>
            <w:vAlign w:val="center"/>
          </w:tcPr>
          <w:p w14:paraId="551DA3D8" w14:textId="7B8134AB"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Stowarzyszenie Notariuszy RP</w:t>
            </w:r>
          </w:p>
        </w:tc>
        <w:tc>
          <w:tcPr>
            <w:tcW w:w="1843" w:type="dxa"/>
            <w:vAlign w:val="center"/>
          </w:tcPr>
          <w:p w14:paraId="6D237753" w14:textId="580CE539" w:rsidR="00D05746" w:rsidRPr="00D103B4" w:rsidRDefault="00D05746" w:rsidP="00D05746">
            <w:pPr>
              <w:spacing w:before="120" w:after="120"/>
              <w:jc w:val="center"/>
              <w:rPr>
                <w:rFonts w:cstheme="minorHAnsi"/>
                <w:bCs/>
                <w:sz w:val="20"/>
                <w:szCs w:val="20"/>
              </w:rPr>
            </w:pPr>
            <w:r w:rsidRPr="00D103B4">
              <w:rPr>
                <w:rFonts w:cstheme="minorHAnsi"/>
                <w:sz w:val="20"/>
                <w:szCs w:val="20"/>
              </w:rPr>
              <w:t>Art. 2 pkt 6 projektu (art. 669</w:t>
            </w:r>
            <w:r w:rsidRPr="00D103B4">
              <w:rPr>
                <w:rFonts w:cstheme="minorHAnsi"/>
                <w:sz w:val="20"/>
                <w:szCs w:val="20"/>
                <w:vertAlign w:val="superscript"/>
              </w:rPr>
              <w:t>2</w:t>
            </w:r>
            <w:r w:rsidRPr="00D103B4">
              <w:rPr>
                <w:rFonts w:cstheme="minorHAnsi"/>
                <w:sz w:val="20"/>
                <w:szCs w:val="20"/>
              </w:rPr>
              <w:t xml:space="preserve"> § 1 k.p.c.)</w:t>
            </w:r>
          </w:p>
        </w:tc>
        <w:tc>
          <w:tcPr>
            <w:tcW w:w="5670" w:type="dxa"/>
            <w:vAlign w:val="center"/>
          </w:tcPr>
          <w:p w14:paraId="2A74CFE5" w14:textId="20BC8A5A" w:rsidR="00D05746" w:rsidRPr="0053130C" w:rsidRDefault="00D05746" w:rsidP="00D05746">
            <w:pPr>
              <w:spacing w:line="276" w:lineRule="auto"/>
              <w:jc w:val="both"/>
              <w:rPr>
                <w:rFonts w:cstheme="minorHAnsi"/>
                <w:bCs/>
                <w:sz w:val="20"/>
                <w:szCs w:val="20"/>
              </w:rPr>
            </w:pPr>
            <w:r>
              <w:rPr>
                <w:rFonts w:cstheme="minorHAnsi"/>
                <w:bCs/>
                <w:sz w:val="20"/>
                <w:szCs w:val="20"/>
              </w:rPr>
              <w:t xml:space="preserve">1. </w:t>
            </w:r>
            <w:r w:rsidRPr="0053130C">
              <w:rPr>
                <w:rFonts w:cstheme="minorHAnsi"/>
                <w:bCs/>
                <w:sz w:val="20"/>
                <w:szCs w:val="20"/>
              </w:rPr>
              <w:t>Dla uniknięcia wątpliwości postulujemy nadanie proponowanemu art. 669</w:t>
            </w:r>
            <w:r w:rsidRPr="00254D93">
              <w:rPr>
                <w:rFonts w:cstheme="minorHAnsi"/>
                <w:bCs/>
                <w:sz w:val="20"/>
                <w:szCs w:val="20"/>
                <w:vertAlign w:val="superscript"/>
              </w:rPr>
              <w:t>1</w:t>
            </w:r>
            <w:r w:rsidRPr="0053130C">
              <w:rPr>
                <w:rFonts w:cstheme="minorHAnsi"/>
                <w:bCs/>
                <w:sz w:val="20"/>
                <w:szCs w:val="20"/>
              </w:rPr>
              <w:t xml:space="preserve"> §1 Kodeksu postępowania cywilnego następującej treści: </w:t>
            </w:r>
            <w:r w:rsidRPr="0053130C">
              <w:rPr>
                <w:rFonts w:cstheme="minorHAnsi"/>
                <w:bCs/>
                <w:i/>
                <w:iCs/>
                <w:sz w:val="20"/>
                <w:szCs w:val="20"/>
              </w:rPr>
              <w:t xml:space="preserve">„Sąd uchyla prawomocne postanowienie o stwierdzeniu nabycia spadku, jeżeli w odniesieniu do tego samego spadku zostało wcześniej wydane prawomocne postanowienie o stwierdzeniu nabycia spadku lub został sporządzony i zarejestrowany akt poświadczenia dziedziczenia. Sąd może także uchylić je z urzędu.”. </w:t>
            </w:r>
          </w:p>
          <w:p w14:paraId="272A5200" w14:textId="77777777" w:rsidR="00D05746" w:rsidRPr="00D103B4" w:rsidRDefault="00D05746" w:rsidP="00D05746">
            <w:pPr>
              <w:spacing w:line="276" w:lineRule="auto"/>
              <w:ind w:firstLine="708"/>
              <w:jc w:val="both"/>
              <w:rPr>
                <w:rFonts w:cstheme="minorHAnsi"/>
                <w:bCs/>
                <w:sz w:val="20"/>
                <w:szCs w:val="20"/>
              </w:rPr>
            </w:pPr>
            <w:r w:rsidRPr="00D103B4">
              <w:rPr>
                <w:rFonts w:cstheme="minorHAnsi"/>
                <w:bCs/>
                <w:sz w:val="20"/>
                <w:szCs w:val="20"/>
              </w:rPr>
              <w:t>Proponowana zmiana doprecyzowuje proponowaną nowelizację i pozwala uniknąć sygnalizowanych w środowisku notarialnym sytuacji, w których w wyniku wydania w odniesieniu do tego samego spadku aktu poświadczenia dziedziczenia oraz późniejszego postanowienia sądowego, uchylony zostaje pierwotny akt poświadczenia dziedziczenia.</w:t>
            </w:r>
          </w:p>
          <w:p w14:paraId="73AED507" w14:textId="77777777" w:rsidR="00D05746" w:rsidRPr="00223F9D" w:rsidRDefault="00D05746" w:rsidP="00D05746">
            <w:pPr>
              <w:spacing w:line="276" w:lineRule="auto"/>
              <w:ind w:firstLine="708"/>
              <w:jc w:val="both"/>
              <w:rPr>
                <w:rFonts w:cstheme="minorHAnsi"/>
                <w:b/>
                <w:sz w:val="20"/>
                <w:szCs w:val="20"/>
              </w:rPr>
            </w:pPr>
            <w:r w:rsidRPr="0053130C">
              <w:rPr>
                <w:rFonts w:cstheme="minorHAnsi"/>
                <w:bCs/>
                <w:sz w:val="20"/>
                <w:szCs w:val="20"/>
              </w:rPr>
              <w:t xml:space="preserve">W nowym projekcie założono ujawnienie przez sąd, w Rejestrze Spadkowym prowadzonym przez Krajową Radę Notarialną faktu złożenia wniosku o stwierdzenie nabycia spadku, wniosku o uchylenie lub zmianę postanowienia spadkowego, wniosku o uchylenie zarejestrowanego aktu poświadczenia dziedziczenia oraz faktu wydania prawomocnego postanowienia o zwrocie takich wniosków lub wydania innego postanowienia kończącego takie postępowanie. Propozycja ta zasługuje na aprobatę, służy bowiem zapewnieniu bezpieczeństwa obrotu prawnego. </w:t>
            </w:r>
            <w:r w:rsidRPr="0058522D">
              <w:rPr>
                <w:rFonts w:cstheme="minorHAnsi"/>
                <w:bCs/>
                <w:sz w:val="20"/>
                <w:szCs w:val="20"/>
              </w:rPr>
              <w:t xml:space="preserve">Należy przy tym zastosować takie rozwiązania techniczne, aby informacja o wszczętym postępowaniu o uchylenie lub zmianę postanowienia spadkowego (aktu poświadczenia dziedziczenia) była ściśle powiązana z pierwotnym wpisem do Rejestru Spadkowego, tak aby w przypadku sprawdzenia </w:t>
            </w:r>
            <w:r w:rsidRPr="0058522D">
              <w:rPr>
                <w:rFonts w:cstheme="minorHAnsi"/>
                <w:bCs/>
                <w:sz w:val="20"/>
                <w:szCs w:val="20"/>
              </w:rPr>
              <w:lastRenderedPageBreak/>
              <w:t xml:space="preserve">dokumentu w Rejestrze przez podmiot uprawniony, w tym notariusza, w odpowiedzi uzyskana była informacja o rejestracji oraz zakwestionowaniu danego dokumentu. </w:t>
            </w:r>
          </w:p>
          <w:p w14:paraId="68ADCAA3" w14:textId="77777777" w:rsidR="00D05746" w:rsidRDefault="00D05746" w:rsidP="00D05746">
            <w:pPr>
              <w:spacing w:line="276" w:lineRule="auto"/>
              <w:jc w:val="both"/>
              <w:rPr>
                <w:rFonts w:cstheme="minorHAnsi"/>
                <w:bCs/>
                <w:sz w:val="20"/>
                <w:szCs w:val="20"/>
              </w:rPr>
            </w:pPr>
          </w:p>
          <w:p w14:paraId="04A58D8A" w14:textId="0F720CF4" w:rsidR="00D05746" w:rsidRPr="00D103B4" w:rsidRDefault="00D05746" w:rsidP="00D05746">
            <w:pPr>
              <w:spacing w:line="276" w:lineRule="auto"/>
              <w:jc w:val="both"/>
              <w:rPr>
                <w:rFonts w:cstheme="minorHAnsi"/>
                <w:bCs/>
                <w:sz w:val="20"/>
                <w:szCs w:val="20"/>
              </w:rPr>
            </w:pPr>
            <w:r>
              <w:rPr>
                <w:rFonts w:cstheme="minorHAnsi"/>
                <w:bCs/>
                <w:sz w:val="20"/>
                <w:szCs w:val="20"/>
              </w:rPr>
              <w:t xml:space="preserve">2. </w:t>
            </w:r>
            <w:r w:rsidRPr="00D103B4">
              <w:rPr>
                <w:rFonts w:cstheme="minorHAnsi"/>
                <w:bCs/>
                <w:sz w:val="20"/>
                <w:szCs w:val="20"/>
              </w:rPr>
              <w:t xml:space="preserve">Dodanie ponadto obowiązku umieszczenia przez sąd na postanowieniu spadkowym adnotacji o rejestracji postanowienia w Rejestrze Spadkowym także zasługuje na aprobatę. </w:t>
            </w:r>
            <w:r w:rsidRPr="0078704B">
              <w:rPr>
                <w:rFonts w:cstheme="minorHAnsi"/>
                <w:b/>
                <w:sz w:val="20"/>
                <w:szCs w:val="20"/>
              </w:rPr>
              <w:t>Należy jednak doprecyzować propozycję normy prawnej o obowiązek ujawnienia tejże adnotacji na odpisach postanowień spadkowych wydawanym stronom postępowania po jego uprawomocnieniu.</w:t>
            </w:r>
          </w:p>
        </w:tc>
        <w:tc>
          <w:tcPr>
            <w:tcW w:w="4076" w:type="dxa"/>
          </w:tcPr>
          <w:p w14:paraId="339B272C" w14:textId="104ED78D" w:rsidR="00D05746" w:rsidRPr="000E3C0C" w:rsidRDefault="00D05746" w:rsidP="00D05746">
            <w:pPr>
              <w:jc w:val="both"/>
              <w:rPr>
                <w:rFonts w:cstheme="minorHAnsi"/>
                <w:b/>
                <w:bCs/>
                <w:sz w:val="20"/>
                <w:szCs w:val="20"/>
              </w:rPr>
            </w:pPr>
            <w:r>
              <w:rPr>
                <w:rFonts w:cstheme="minorHAnsi"/>
                <w:b/>
                <w:bCs/>
                <w:sz w:val="20"/>
                <w:szCs w:val="20"/>
              </w:rPr>
              <w:lastRenderedPageBreak/>
              <w:t xml:space="preserve">1. </w:t>
            </w:r>
            <w:r w:rsidRPr="000E3C0C">
              <w:rPr>
                <w:rFonts w:cstheme="minorHAnsi"/>
                <w:b/>
                <w:bCs/>
                <w:sz w:val="20"/>
                <w:szCs w:val="20"/>
              </w:rPr>
              <w:t xml:space="preserve">Uwaga </w:t>
            </w:r>
            <w:r>
              <w:rPr>
                <w:rFonts w:cstheme="minorHAnsi"/>
                <w:b/>
                <w:bCs/>
                <w:sz w:val="20"/>
                <w:szCs w:val="20"/>
              </w:rPr>
              <w:t>nie</w:t>
            </w:r>
            <w:r w:rsidRPr="000E3C0C">
              <w:rPr>
                <w:rFonts w:cstheme="minorHAnsi"/>
                <w:b/>
                <w:bCs/>
                <w:sz w:val="20"/>
                <w:szCs w:val="20"/>
              </w:rPr>
              <w:t xml:space="preserve">uwzględniona </w:t>
            </w:r>
          </w:p>
          <w:p w14:paraId="4A3B51CE" w14:textId="5BA776F6" w:rsidR="00D05746" w:rsidRDefault="00D05746" w:rsidP="00D05746">
            <w:pPr>
              <w:spacing w:line="276" w:lineRule="auto"/>
              <w:jc w:val="both"/>
              <w:rPr>
                <w:rFonts w:cstheme="minorHAnsi"/>
                <w:sz w:val="20"/>
                <w:szCs w:val="20"/>
              </w:rPr>
            </w:pPr>
            <w:r>
              <w:rPr>
                <w:rFonts w:cstheme="minorHAnsi"/>
                <w:sz w:val="20"/>
                <w:szCs w:val="20"/>
              </w:rPr>
              <w:t xml:space="preserve">Nie sposób uznać, że proponowana zmiana jedynie „doprecyzowuje” projektowaną regulację. Projekt w swym założeniu zmierza do eliminacji, a co najmniej ograniczenia wydawania tzw. podwójnych postanowień spadkowych. </w:t>
            </w:r>
          </w:p>
          <w:p w14:paraId="36CDEC84" w14:textId="62072706" w:rsidR="00D05746" w:rsidRPr="000E3C0C" w:rsidRDefault="00D05746" w:rsidP="00D05746">
            <w:pPr>
              <w:spacing w:line="276" w:lineRule="auto"/>
              <w:jc w:val="both"/>
              <w:rPr>
                <w:rFonts w:cstheme="minorHAnsi"/>
                <w:sz w:val="20"/>
                <w:szCs w:val="20"/>
              </w:rPr>
            </w:pPr>
            <w:r>
              <w:rPr>
                <w:rFonts w:cstheme="minorHAnsi"/>
                <w:sz w:val="20"/>
                <w:szCs w:val="20"/>
              </w:rPr>
              <w:t xml:space="preserve">Kwestia kolizji aktu poświadczenia dziedziczenia (dalej również APD) z postanowieniem spadkowym, a także kolizji dwóch aktów poświadczenia dziedziczenia </w:t>
            </w:r>
            <w:r w:rsidRPr="000E3C0C">
              <w:rPr>
                <w:rFonts w:cstheme="minorHAnsi"/>
                <w:sz w:val="20"/>
                <w:szCs w:val="20"/>
              </w:rPr>
              <w:t xml:space="preserve">została przez ustawodawcę uregulowana, a regulacja ta jest spójna na gruncie prawa procesowego i materialnego. </w:t>
            </w:r>
          </w:p>
          <w:p w14:paraId="28F7F4AB" w14:textId="7B59BE5D" w:rsidR="00D05746" w:rsidRPr="00F8572A" w:rsidRDefault="00D05746" w:rsidP="00D05746">
            <w:pPr>
              <w:pStyle w:val="NIEARTTEKSTtekstnieartykuowanynppodstprawnarozplubpreambua"/>
              <w:spacing w:before="0" w:line="276" w:lineRule="auto"/>
              <w:ind w:firstLine="0"/>
              <w:rPr>
                <w:rFonts w:asciiTheme="minorHAnsi" w:hAnsiTheme="minorHAnsi" w:cstheme="minorHAnsi"/>
                <w:sz w:val="20"/>
              </w:rPr>
            </w:pPr>
            <w:r w:rsidRPr="000E3C0C">
              <w:rPr>
                <w:rFonts w:asciiTheme="minorHAnsi" w:hAnsiTheme="minorHAnsi" w:cstheme="minorHAnsi"/>
                <w:sz w:val="20"/>
              </w:rPr>
              <w:t>W art. 669</w:t>
            </w:r>
            <w:r w:rsidRPr="000E3C0C">
              <w:rPr>
                <w:rStyle w:val="IGindeksgrny"/>
                <w:rFonts w:asciiTheme="minorHAnsi" w:hAnsiTheme="minorHAnsi" w:cstheme="minorHAnsi"/>
                <w:sz w:val="20"/>
                <w:specVanish w:val="0"/>
              </w:rPr>
              <w:t>1</w:t>
            </w:r>
            <w:r w:rsidRPr="000E3C0C">
              <w:rPr>
                <w:rFonts w:asciiTheme="minorHAnsi" w:hAnsiTheme="minorHAnsi" w:cstheme="minorHAnsi"/>
                <w:sz w:val="20"/>
              </w:rPr>
              <w:t xml:space="preserve"> § 1 k.p.c. ustawodawca reguluje sytuację, w której zarejestrowany akt poświadczenia dziedziczenia dotyczy spadku, co do którego wydane zostało już postanowienie o stwierdzeniu nabycia spadku przez sąd, z kolei sytuacji, w której doszło do zarejestrowania dwóch lub więcej aktów poświadczenia dziedziczenia w odniesieniu do tego samego </w:t>
            </w:r>
            <w:r w:rsidRPr="00F8572A">
              <w:rPr>
                <w:rFonts w:asciiTheme="minorHAnsi" w:hAnsiTheme="minorHAnsi" w:cstheme="minorHAnsi"/>
                <w:sz w:val="20"/>
              </w:rPr>
              <w:t>spadku dotyczy art. 669</w:t>
            </w:r>
            <w:r w:rsidRPr="00F8572A">
              <w:rPr>
                <w:rStyle w:val="IGindeksgrny"/>
                <w:rFonts w:asciiTheme="minorHAnsi" w:hAnsiTheme="minorHAnsi" w:cstheme="minorHAnsi"/>
                <w:sz w:val="20"/>
                <w:specVanish w:val="0"/>
              </w:rPr>
              <w:t>1</w:t>
            </w:r>
            <w:r w:rsidRPr="00F8572A">
              <w:rPr>
                <w:rFonts w:asciiTheme="minorHAnsi" w:hAnsiTheme="minorHAnsi" w:cstheme="minorHAnsi"/>
                <w:sz w:val="20"/>
              </w:rPr>
              <w:t xml:space="preserve"> § 2 k.p.c.</w:t>
            </w:r>
          </w:p>
          <w:p w14:paraId="47E45628" w14:textId="7B04BBE8" w:rsidR="00D05746" w:rsidRDefault="00D05746" w:rsidP="00D05746">
            <w:pPr>
              <w:autoSpaceDE w:val="0"/>
              <w:autoSpaceDN w:val="0"/>
              <w:adjustRightInd w:val="0"/>
              <w:spacing w:line="276" w:lineRule="auto"/>
              <w:jc w:val="both"/>
              <w:rPr>
                <w:rFonts w:cstheme="minorHAnsi"/>
                <w:sz w:val="20"/>
                <w:szCs w:val="20"/>
              </w:rPr>
            </w:pPr>
            <w:r w:rsidRPr="00F8572A">
              <w:rPr>
                <w:rFonts w:cstheme="minorHAnsi"/>
                <w:sz w:val="20"/>
                <w:szCs w:val="20"/>
              </w:rPr>
              <w:t>Na podstawie art. 669</w:t>
            </w:r>
            <w:r w:rsidRPr="00F8572A">
              <w:rPr>
                <w:rFonts w:cstheme="minorHAnsi"/>
                <w:sz w:val="20"/>
                <w:szCs w:val="20"/>
                <w:vertAlign w:val="superscript"/>
              </w:rPr>
              <w:t>1</w:t>
            </w:r>
            <w:r w:rsidRPr="00F8572A">
              <w:rPr>
                <w:rFonts w:cstheme="minorHAnsi"/>
                <w:sz w:val="20"/>
                <w:szCs w:val="20"/>
              </w:rPr>
              <w:t xml:space="preserve"> § 1 k.p.c.</w:t>
            </w:r>
            <w:r>
              <w:rPr>
                <w:rFonts w:cstheme="minorHAnsi"/>
                <w:sz w:val="20"/>
                <w:szCs w:val="20"/>
              </w:rPr>
              <w:t xml:space="preserve"> </w:t>
            </w:r>
            <w:r w:rsidRPr="00F8572A">
              <w:rPr>
                <w:rFonts w:cstheme="minorHAnsi"/>
                <w:sz w:val="20"/>
                <w:szCs w:val="20"/>
              </w:rPr>
              <w:t>sąd spadku</w:t>
            </w:r>
            <w:r>
              <w:rPr>
                <w:rFonts w:cstheme="minorHAnsi"/>
                <w:sz w:val="20"/>
                <w:szCs w:val="20"/>
              </w:rPr>
              <w:t xml:space="preserve"> </w:t>
            </w:r>
            <w:r w:rsidRPr="00F8572A">
              <w:rPr>
                <w:rFonts w:cstheme="minorHAnsi"/>
                <w:sz w:val="20"/>
                <w:szCs w:val="20"/>
              </w:rPr>
              <w:t>uchyla zarejestrowany akt poświadczenia</w:t>
            </w:r>
            <w:r>
              <w:rPr>
                <w:rFonts w:cstheme="minorHAnsi"/>
                <w:sz w:val="20"/>
                <w:szCs w:val="20"/>
              </w:rPr>
              <w:t xml:space="preserve"> </w:t>
            </w:r>
            <w:r w:rsidRPr="00F8572A">
              <w:rPr>
                <w:rFonts w:cstheme="minorHAnsi"/>
                <w:sz w:val="20"/>
                <w:szCs w:val="20"/>
              </w:rPr>
              <w:t>dziedziczenia, jeżeli w odniesieniu</w:t>
            </w:r>
            <w:r>
              <w:rPr>
                <w:rFonts w:cstheme="minorHAnsi"/>
                <w:sz w:val="20"/>
                <w:szCs w:val="20"/>
              </w:rPr>
              <w:t xml:space="preserve"> </w:t>
            </w:r>
            <w:r w:rsidRPr="00F8572A">
              <w:rPr>
                <w:rFonts w:cstheme="minorHAnsi"/>
                <w:sz w:val="20"/>
                <w:szCs w:val="20"/>
              </w:rPr>
              <w:t>do tego</w:t>
            </w:r>
            <w:r>
              <w:rPr>
                <w:rFonts w:cstheme="minorHAnsi"/>
                <w:sz w:val="20"/>
                <w:szCs w:val="20"/>
              </w:rPr>
              <w:t xml:space="preserve"> </w:t>
            </w:r>
            <w:r w:rsidRPr="00F8572A">
              <w:rPr>
                <w:rFonts w:cstheme="minorHAnsi"/>
                <w:sz w:val="20"/>
                <w:szCs w:val="20"/>
              </w:rPr>
              <w:t>samego spadku zostało wydane postanowienie o stwierdzeniu nabycia spadku.</w:t>
            </w:r>
            <w:r>
              <w:rPr>
                <w:rFonts w:cstheme="minorHAnsi"/>
                <w:sz w:val="20"/>
                <w:szCs w:val="20"/>
              </w:rPr>
              <w:t xml:space="preserve"> </w:t>
            </w:r>
            <w:r w:rsidRPr="00F8572A">
              <w:rPr>
                <w:rFonts w:cstheme="minorHAnsi"/>
                <w:sz w:val="20"/>
                <w:szCs w:val="20"/>
              </w:rPr>
              <w:t xml:space="preserve">Według zaś § 2 </w:t>
            </w:r>
            <w:r w:rsidRPr="00F8572A">
              <w:rPr>
                <w:rFonts w:cstheme="minorHAnsi"/>
                <w:sz w:val="20"/>
                <w:szCs w:val="20"/>
              </w:rPr>
              <w:lastRenderedPageBreak/>
              <w:t>tego przepisu w przypadku zarejestrowania dwóch lub więcej aktów</w:t>
            </w:r>
            <w:r>
              <w:rPr>
                <w:rFonts w:cstheme="minorHAnsi"/>
                <w:sz w:val="20"/>
                <w:szCs w:val="20"/>
              </w:rPr>
              <w:t xml:space="preserve"> </w:t>
            </w:r>
            <w:r w:rsidRPr="00F8572A">
              <w:rPr>
                <w:rFonts w:cstheme="minorHAnsi"/>
                <w:sz w:val="20"/>
                <w:szCs w:val="20"/>
              </w:rPr>
              <w:t>poświadczenia dziedziczenia w odniesieniu do tego samego spadku, sąd spadku</w:t>
            </w:r>
            <w:r>
              <w:rPr>
                <w:rFonts w:cstheme="minorHAnsi"/>
                <w:sz w:val="20"/>
                <w:szCs w:val="20"/>
              </w:rPr>
              <w:t>,</w:t>
            </w:r>
            <w:r w:rsidRPr="00F8572A">
              <w:rPr>
                <w:rFonts w:cstheme="minorHAnsi"/>
                <w:sz w:val="20"/>
                <w:szCs w:val="20"/>
              </w:rPr>
              <w:t xml:space="preserve"> na</w:t>
            </w:r>
            <w:r>
              <w:rPr>
                <w:rFonts w:cstheme="minorHAnsi"/>
                <w:sz w:val="20"/>
                <w:szCs w:val="20"/>
              </w:rPr>
              <w:t xml:space="preserve"> </w:t>
            </w:r>
            <w:r w:rsidRPr="00F8572A">
              <w:rPr>
                <w:rFonts w:cstheme="minorHAnsi"/>
                <w:sz w:val="20"/>
                <w:szCs w:val="20"/>
              </w:rPr>
              <w:t>wniosek zainteresowanego</w:t>
            </w:r>
            <w:r>
              <w:rPr>
                <w:rFonts w:cstheme="minorHAnsi"/>
                <w:sz w:val="20"/>
                <w:szCs w:val="20"/>
              </w:rPr>
              <w:t>,</w:t>
            </w:r>
            <w:r w:rsidRPr="00F8572A">
              <w:rPr>
                <w:rFonts w:cstheme="minorHAnsi"/>
                <w:sz w:val="20"/>
                <w:szCs w:val="20"/>
              </w:rPr>
              <w:t xml:space="preserve"> uchyla wszystkie akty</w:t>
            </w:r>
            <w:r>
              <w:rPr>
                <w:rFonts w:cstheme="minorHAnsi"/>
                <w:sz w:val="20"/>
                <w:szCs w:val="20"/>
              </w:rPr>
              <w:t xml:space="preserve"> </w:t>
            </w:r>
            <w:r w:rsidRPr="00F8572A">
              <w:rPr>
                <w:rFonts w:cstheme="minorHAnsi"/>
                <w:sz w:val="20"/>
                <w:szCs w:val="20"/>
              </w:rPr>
              <w:t>poświadczenia dziedziczenia i wydaje</w:t>
            </w:r>
            <w:r>
              <w:rPr>
                <w:rFonts w:cstheme="minorHAnsi"/>
                <w:sz w:val="20"/>
                <w:szCs w:val="20"/>
              </w:rPr>
              <w:t xml:space="preserve"> </w:t>
            </w:r>
            <w:r w:rsidRPr="00F8572A">
              <w:rPr>
                <w:rFonts w:cstheme="minorHAnsi"/>
                <w:sz w:val="20"/>
                <w:szCs w:val="20"/>
              </w:rPr>
              <w:t xml:space="preserve">postanowienie o stwierdzeniu nabycia spadku. </w:t>
            </w:r>
          </w:p>
          <w:p w14:paraId="61F29358" w14:textId="18750943" w:rsidR="00D05746" w:rsidRPr="00595381" w:rsidRDefault="00D05746" w:rsidP="00D05746">
            <w:pPr>
              <w:spacing w:line="276" w:lineRule="auto"/>
              <w:jc w:val="both"/>
              <w:rPr>
                <w:rFonts w:cstheme="minorHAnsi"/>
                <w:sz w:val="20"/>
                <w:szCs w:val="20"/>
              </w:rPr>
            </w:pPr>
            <w:r>
              <w:rPr>
                <w:rFonts w:cstheme="minorHAnsi"/>
                <w:sz w:val="20"/>
                <w:szCs w:val="20"/>
              </w:rPr>
              <w:t xml:space="preserve">Podkreślenia wymaga, że w razie kolizji samych aktów poświadczenia dziedziczenia sąd działa wyłącznie na wniosek, a nie z urzędu. Wynika to z faktu, że postanowienie i APD są sporządzane w zupełnie innych trybach. APD </w:t>
            </w:r>
            <w:r w:rsidRPr="00595381">
              <w:rPr>
                <w:rFonts w:cstheme="minorHAnsi"/>
                <w:sz w:val="20"/>
                <w:szCs w:val="20"/>
              </w:rPr>
              <w:t>sporządza notariusz i choć</w:t>
            </w:r>
            <w:r>
              <w:rPr>
                <w:rFonts w:cstheme="minorHAnsi"/>
                <w:b/>
                <w:bCs/>
                <w:sz w:val="20"/>
                <w:szCs w:val="20"/>
              </w:rPr>
              <w:t xml:space="preserve"> </w:t>
            </w:r>
            <w:r w:rsidRPr="00595381">
              <w:rPr>
                <w:rFonts w:cstheme="minorHAnsi"/>
                <w:sz w:val="20"/>
                <w:szCs w:val="20"/>
              </w:rPr>
              <w:t>ma on skutki prawomocnego postanowienia o stwierdzeniu nabycia spadku, to</w:t>
            </w:r>
            <w:r>
              <w:rPr>
                <w:rFonts w:cstheme="minorHAnsi"/>
                <w:sz w:val="20"/>
                <w:szCs w:val="20"/>
              </w:rPr>
              <w:t xml:space="preserve"> </w:t>
            </w:r>
            <w:r w:rsidRPr="00595381">
              <w:rPr>
                <w:rFonts w:cstheme="minorHAnsi"/>
                <w:sz w:val="20"/>
                <w:szCs w:val="20"/>
              </w:rPr>
              <w:t xml:space="preserve">powstaje </w:t>
            </w:r>
            <w:r>
              <w:rPr>
                <w:rFonts w:cstheme="minorHAnsi"/>
                <w:sz w:val="20"/>
                <w:szCs w:val="20"/>
              </w:rPr>
              <w:t xml:space="preserve">jednak </w:t>
            </w:r>
            <w:r w:rsidRPr="00595381">
              <w:rPr>
                <w:rFonts w:cstheme="minorHAnsi"/>
                <w:sz w:val="20"/>
                <w:szCs w:val="20"/>
              </w:rPr>
              <w:t>poza postępowaniem sądowym,</w:t>
            </w:r>
            <w:r>
              <w:rPr>
                <w:rFonts w:cstheme="minorHAnsi"/>
                <w:sz w:val="20"/>
                <w:szCs w:val="20"/>
              </w:rPr>
              <w:t xml:space="preserve"> </w:t>
            </w:r>
            <w:r w:rsidRPr="00595381">
              <w:rPr>
                <w:rFonts w:cstheme="minorHAnsi"/>
                <w:sz w:val="20"/>
                <w:szCs w:val="20"/>
              </w:rPr>
              <w:t>jest czynnością notarialną</w:t>
            </w:r>
            <w:r>
              <w:rPr>
                <w:rFonts w:cstheme="minorHAnsi"/>
                <w:sz w:val="20"/>
                <w:szCs w:val="20"/>
              </w:rPr>
              <w:t xml:space="preserve"> i </w:t>
            </w:r>
            <w:r w:rsidRPr="00595381">
              <w:rPr>
                <w:rFonts w:cstheme="minorHAnsi"/>
                <w:sz w:val="20"/>
                <w:szCs w:val="20"/>
              </w:rPr>
              <w:t>nie funkcjonuje w ramach nadzoru sądowego z urzędu.</w:t>
            </w:r>
            <w:r>
              <w:rPr>
                <w:rFonts w:cstheme="minorHAnsi"/>
                <w:sz w:val="20"/>
                <w:szCs w:val="20"/>
              </w:rPr>
              <w:t xml:space="preserve"> </w:t>
            </w:r>
            <w:r w:rsidRPr="00595381">
              <w:rPr>
                <w:rFonts w:cstheme="minorHAnsi"/>
                <w:sz w:val="20"/>
                <w:szCs w:val="20"/>
              </w:rPr>
              <w:t>Jeżeli</w:t>
            </w:r>
            <w:r>
              <w:rPr>
                <w:rFonts w:cstheme="minorHAnsi"/>
                <w:sz w:val="20"/>
                <w:szCs w:val="20"/>
              </w:rPr>
              <w:t xml:space="preserve"> zatem</w:t>
            </w:r>
            <w:r w:rsidRPr="00595381">
              <w:rPr>
                <w:rFonts w:cstheme="minorHAnsi"/>
                <w:sz w:val="20"/>
                <w:szCs w:val="20"/>
              </w:rPr>
              <w:t xml:space="preserve"> istnieją dwa akty poświadczenia dziedziczenia dotyczące tego samego spadku, sąd nie „monitoruje” ich automatycznie.</w:t>
            </w:r>
            <w:r>
              <w:rPr>
                <w:rFonts w:cstheme="minorHAnsi"/>
                <w:sz w:val="20"/>
                <w:szCs w:val="20"/>
              </w:rPr>
              <w:t xml:space="preserve"> Inna jest sytuacja w przypadku postanowienia spadkowego. </w:t>
            </w:r>
          </w:p>
          <w:p w14:paraId="1CCD8D4E" w14:textId="75BC4864" w:rsidR="00D05746" w:rsidRDefault="00D05746" w:rsidP="00D05746">
            <w:pPr>
              <w:spacing w:line="276" w:lineRule="auto"/>
              <w:jc w:val="both"/>
              <w:rPr>
                <w:rFonts w:cstheme="minorHAnsi"/>
                <w:sz w:val="20"/>
                <w:szCs w:val="20"/>
              </w:rPr>
            </w:pPr>
            <w:r>
              <w:rPr>
                <w:rFonts w:cstheme="minorHAnsi"/>
                <w:sz w:val="20"/>
                <w:szCs w:val="20"/>
              </w:rPr>
              <w:t>Z kolei jeśli kolizja dotyczy APD i p</w:t>
            </w:r>
            <w:r w:rsidRPr="001F5772">
              <w:rPr>
                <w:rFonts w:cstheme="minorHAnsi"/>
                <w:sz w:val="20"/>
                <w:szCs w:val="20"/>
              </w:rPr>
              <w:t>ostanowieni</w:t>
            </w:r>
            <w:r>
              <w:rPr>
                <w:rFonts w:cstheme="minorHAnsi"/>
                <w:sz w:val="20"/>
                <w:szCs w:val="20"/>
              </w:rPr>
              <w:t xml:space="preserve">a spadkowego albo dwóch postanowień spadkowych, sąd podejmuje działania z urzędu. W pierwszym wypadku uchyla APD, natomiast w drugim zawiadamia uczestników o istniejącej sytuacji celem ewentualnego złożenia skargi o </w:t>
            </w:r>
            <w:r>
              <w:rPr>
                <w:rFonts w:cstheme="minorHAnsi"/>
                <w:sz w:val="20"/>
                <w:szCs w:val="20"/>
              </w:rPr>
              <w:lastRenderedPageBreak/>
              <w:t xml:space="preserve">wznowienie postępowania, bądź zawiadamia prokuratora, by ten wszczął takie postępowania z urzędu (do 3kwietnia 2024 r. alternatywnym rozwiązaniem było złożenie skargi o nadzwyczajnej). Projekt przewiduje, że sąd będzie mógł z urzędu uchylić kolejne postanowienie spadkowe. </w:t>
            </w:r>
          </w:p>
          <w:p w14:paraId="67B500E2" w14:textId="4C972438" w:rsidR="00D05746" w:rsidRDefault="00D05746" w:rsidP="00D05746">
            <w:pPr>
              <w:spacing w:line="276" w:lineRule="auto"/>
              <w:jc w:val="both"/>
              <w:rPr>
                <w:rFonts w:cstheme="minorHAnsi"/>
                <w:sz w:val="20"/>
                <w:szCs w:val="20"/>
              </w:rPr>
            </w:pPr>
            <w:r>
              <w:rPr>
                <w:rFonts w:cstheme="minorHAnsi"/>
                <w:sz w:val="20"/>
                <w:szCs w:val="20"/>
              </w:rPr>
              <w:t>Nadto w</w:t>
            </w:r>
            <w:r w:rsidRPr="00F8572A">
              <w:rPr>
                <w:rFonts w:cstheme="minorHAnsi"/>
                <w:sz w:val="20"/>
                <w:szCs w:val="20"/>
              </w:rPr>
              <w:t xml:space="preserve">noszący uwagę </w:t>
            </w:r>
            <w:r>
              <w:rPr>
                <w:rFonts w:cstheme="minorHAnsi"/>
                <w:sz w:val="20"/>
                <w:szCs w:val="20"/>
              </w:rPr>
              <w:t xml:space="preserve">postulując wskazaną zmianę, nie odnoszą się do potencjalnych skutków tej zmiany w sferze materialnoprawnej. A wskazać trzeba, że zgodnie z treścią art. 1025 </w:t>
            </w:r>
            <w:r w:rsidRPr="00474731">
              <w:rPr>
                <w:rFonts w:ascii="Times New Roman" w:hAnsi="Times New Roman" w:cs="Times New Roman"/>
                <w:sz w:val="20"/>
                <w:szCs w:val="20"/>
              </w:rPr>
              <w:t>§</w:t>
            </w:r>
            <w:r>
              <w:rPr>
                <w:rFonts w:cstheme="minorHAnsi"/>
                <w:sz w:val="20"/>
                <w:szCs w:val="20"/>
              </w:rPr>
              <w:t xml:space="preserve"> 3 ustawy Kodeks cywilny p</w:t>
            </w:r>
            <w:r w:rsidRPr="00106614">
              <w:rPr>
                <w:rFonts w:cstheme="minorHAnsi"/>
                <w:sz w:val="20"/>
                <w:szCs w:val="20"/>
              </w:rPr>
              <w:t>rzeciwko domniemaniu wynikającemu ze stwierdzenia nabycia spadku nie można powoływać się na domniemanie wynikające z zarejestrowanego aktu poświadczenia dziedziczenia.</w:t>
            </w:r>
            <w:r>
              <w:rPr>
                <w:rFonts w:cstheme="minorHAnsi"/>
                <w:sz w:val="20"/>
                <w:szCs w:val="20"/>
              </w:rPr>
              <w:t xml:space="preserve"> Proponowana zmiana musiałaby się wiązać co najmniej ze zmianą również tego przepisu – co jest wykluczone bez dokonania pogłębionych analiz w tej materii i na obecnym etapie prac nad projektem.</w:t>
            </w:r>
          </w:p>
          <w:p w14:paraId="06678646" w14:textId="77777777" w:rsidR="00BC0915" w:rsidRDefault="00BC0915" w:rsidP="00BC0915">
            <w:pPr>
              <w:spacing w:line="276" w:lineRule="auto"/>
              <w:jc w:val="both"/>
              <w:rPr>
                <w:rFonts w:cstheme="minorHAnsi"/>
                <w:sz w:val="20"/>
                <w:szCs w:val="20"/>
              </w:rPr>
            </w:pPr>
            <w:r>
              <w:rPr>
                <w:rFonts w:cstheme="minorHAnsi"/>
                <w:sz w:val="20"/>
                <w:szCs w:val="20"/>
              </w:rPr>
              <w:t xml:space="preserve">Podkreślenia wymaga, że tego rodzaju zmiana byłaby daleko idącą zmianą systemową, do oceny zasadności której wymagane byłyby dalsze analizy, co wykracza poza aktualny zakres projektu. </w:t>
            </w:r>
          </w:p>
          <w:p w14:paraId="4C96E007" w14:textId="77777777" w:rsidR="00BC0915" w:rsidRDefault="00BC0915" w:rsidP="00BC0915">
            <w:pPr>
              <w:spacing w:line="276" w:lineRule="auto"/>
              <w:jc w:val="both"/>
              <w:rPr>
                <w:rFonts w:cstheme="minorHAnsi"/>
                <w:sz w:val="20"/>
                <w:szCs w:val="20"/>
              </w:rPr>
            </w:pPr>
          </w:p>
          <w:p w14:paraId="531D5A03" w14:textId="77777777" w:rsidR="00BC0915" w:rsidRDefault="00BC0915" w:rsidP="00BC0915">
            <w:pPr>
              <w:spacing w:line="276" w:lineRule="auto"/>
              <w:jc w:val="both"/>
              <w:rPr>
                <w:rFonts w:cstheme="minorHAnsi"/>
                <w:sz w:val="20"/>
                <w:szCs w:val="20"/>
              </w:rPr>
            </w:pPr>
            <w:r>
              <w:rPr>
                <w:rFonts w:cstheme="minorHAnsi"/>
                <w:sz w:val="20"/>
                <w:szCs w:val="20"/>
              </w:rPr>
              <w:lastRenderedPageBreak/>
              <w:t xml:space="preserve">Dodatkowo projektodawca wskazuje, że odnośnie do rozwiązań technicznych i powiązania nowych wpisów do RS z pierwotnym wpisem, zagadnienie ujawniania nowych informacji w RS było roboczo konsultowane z KRN, która nie zgłosiła w tym zakresie postulatów. Ponadto łącznikiem wszystkich wpisów w RS jest osoba spadkodawcy. </w:t>
            </w:r>
          </w:p>
          <w:p w14:paraId="559DA9BC" w14:textId="77777777" w:rsidR="00BC0915" w:rsidRDefault="00BC0915" w:rsidP="00D05746">
            <w:pPr>
              <w:spacing w:line="276" w:lineRule="auto"/>
              <w:jc w:val="both"/>
              <w:rPr>
                <w:rFonts w:cstheme="minorHAnsi"/>
                <w:sz w:val="20"/>
                <w:szCs w:val="20"/>
              </w:rPr>
            </w:pPr>
          </w:p>
          <w:p w14:paraId="55ADB29F" w14:textId="77777777" w:rsidR="00D05746" w:rsidRPr="007D1CF5" w:rsidRDefault="00D05746" w:rsidP="00D05746">
            <w:pPr>
              <w:spacing w:line="276" w:lineRule="auto"/>
              <w:jc w:val="both"/>
              <w:rPr>
                <w:rFonts w:cstheme="minorHAnsi"/>
                <w:b/>
                <w:sz w:val="20"/>
                <w:szCs w:val="20"/>
              </w:rPr>
            </w:pPr>
            <w:r w:rsidRPr="007D1CF5">
              <w:rPr>
                <w:rFonts w:cstheme="minorHAnsi"/>
                <w:b/>
                <w:sz w:val="20"/>
                <w:szCs w:val="20"/>
              </w:rPr>
              <w:t xml:space="preserve">2. Uwaga uwzględniona </w:t>
            </w:r>
          </w:p>
          <w:p w14:paraId="323B6925" w14:textId="77777777" w:rsidR="00D05746" w:rsidRPr="007D1CF5" w:rsidRDefault="00D05746" w:rsidP="00D05746">
            <w:pPr>
              <w:spacing w:line="276" w:lineRule="auto"/>
              <w:jc w:val="both"/>
              <w:rPr>
                <w:rFonts w:cstheme="minorHAnsi"/>
                <w:bCs/>
                <w:sz w:val="20"/>
                <w:szCs w:val="20"/>
              </w:rPr>
            </w:pPr>
            <w:r w:rsidRPr="007D1CF5">
              <w:rPr>
                <w:rFonts w:cstheme="minorHAnsi"/>
                <w:bCs/>
                <w:sz w:val="20"/>
                <w:szCs w:val="20"/>
              </w:rPr>
              <w:t xml:space="preserve">Uzupełniono przepis art. </w:t>
            </w:r>
            <w:r w:rsidRPr="007D1CF5">
              <w:rPr>
                <w:rStyle w:val="Ppogrubienie"/>
                <w:rFonts w:cstheme="minorHAnsi"/>
                <w:b w:val="0"/>
                <w:sz w:val="20"/>
                <w:szCs w:val="20"/>
              </w:rPr>
              <w:t>679</w:t>
            </w:r>
            <w:r w:rsidRPr="007D1CF5">
              <w:rPr>
                <w:rStyle w:val="IGindeksgrny"/>
                <w:rFonts w:cstheme="minorHAnsi"/>
                <w:b/>
                <w:sz w:val="20"/>
                <w:szCs w:val="20"/>
                <w:specVanish w:val="0"/>
              </w:rPr>
              <w:t>1</w:t>
            </w:r>
            <w:r w:rsidRPr="007D1CF5">
              <w:rPr>
                <w:rStyle w:val="IGindeksgrny"/>
                <w:rFonts w:cstheme="minorHAnsi"/>
                <w:bCs/>
                <w:sz w:val="20"/>
                <w:szCs w:val="20"/>
                <w:specVanish w:val="0"/>
              </w:rPr>
              <w:t xml:space="preserve"> </w:t>
            </w:r>
            <w:r w:rsidRPr="007D1CF5">
              <w:rPr>
                <w:rStyle w:val="IGindeksgrny"/>
                <w:rFonts w:cstheme="minorHAnsi"/>
                <w:bCs/>
                <w:sz w:val="20"/>
                <w:szCs w:val="20"/>
                <w:vertAlign w:val="baseline"/>
                <w:specVanish w:val="0"/>
              </w:rPr>
              <w:t xml:space="preserve">§ 4 k.p.c. o </w:t>
            </w:r>
            <w:r w:rsidRPr="007D1CF5">
              <w:rPr>
                <w:rFonts w:cstheme="minorHAnsi"/>
                <w:bCs/>
                <w:sz w:val="20"/>
                <w:szCs w:val="20"/>
              </w:rPr>
              <w:t xml:space="preserve">umieszczeniu stosownej adnotacji także na odpisach wydawanych prawomocnych postanowień spadkowych. </w:t>
            </w:r>
          </w:p>
          <w:p w14:paraId="5E338747" w14:textId="177E9F68" w:rsidR="00D05746" w:rsidRPr="00D103B4" w:rsidRDefault="00D05746" w:rsidP="00D05746">
            <w:pPr>
              <w:spacing w:line="276" w:lineRule="auto"/>
              <w:jc w:val="both"/>
              <w:rPr>
                <w:rFonts w:cstheme="minorHAnsi"/>
                <w:sz w:val="20"/>
                <w:szCs w:val="20"/>
              </w:rPr>
            </w:pPr>
            <w:r w:rsidRPr="007D1CF5">
              <w:rPr>
                <w:rFonts w:cstheme="minorHAnsi"/>
                <w:sz w:val="20"/>
                <w:szCs w:val="20"/>
              </w:rPr>
              <w:t>Zrezygnowano jednak ze wskazania, że chodzi o odpisy wydawane „stronom postępowania”, gdyż po pierwsze w postępowaniu nieprocesowym występują uczestnicy, a nie strony, a nadto odpis prawomocnego postanowienia spadkowego może być wydany również osobie nie będącej uczestnikiem, ale która wykaże interes prawny w uzyskaniu takiego dokumentu. Pożądane jest przy tym, by i taki odpis zaopatrzony był w stosowną adnotację.</w:t>
            </w:r>
            <w:r>
              <w:rPr>
                <w:rFonts w:cstheme="minorHAnsi"/>
                <w:sz w:val="20"/>
                <w:szCs w:val="20"/>
              </w:rPr>
              <w:t xml:space="preserve"> </w:t>
            </w:r>
          </w:p>
        </w:tc>
      </w:tr>
      <w:tr w:rsidR="00D05746" w:rsidRPr="00D103B4" w14:paraId="1AE8DB58" w14:textId="77777777" w:rsidTr="00B241C8">
        <w:trPr>
          <w:jc w:val="center"/>
        </w:trPr>
        <w:tc>
          <w:tcPr>
            <w:tcW w:w="562" w:type="dxa"/>
          </w:tcPr>
          <w:p w14:paraId="797BF464" w14:textId="55C8942A" w:rsidR="00D05746" w:rsidRPr="00D103B4" w:rsidRDefault="00D05746" w:rsidP="00D05746">
            <w:pPr>
              <w:spacing w:before="120"/>
              <w:ind w:right="-534"/>
              <w:rPr>
                <w:rFonts w:cstheme="minorHAnsi"/>
                <w:b/>
                <w:sz w:val="20"/>
                <w:szCs w:val="20"/>
              </w:rPr>
            </w:pPr>
            <w:r>
              <w:rPr>
                <w:rFonts w:cstheme="minorHAnsi"/>
                <w:b/>
                <w:sz w:val="20"/>
                <w:szCs w:val="20"/>
              </w:rPr>
              <w:lastRenderedPageBreak/>
              <w:t>3</w:t>
            </w:r>
            <w:r w:rsidR="00C90560">
              <w:rPr>
                <w:rFonts w:cstheme="minorHAnsi"/>
                <w:b/>
                <w:sz w:val="20"/>
                <w:szCs w:val="20"/>
              </w:rPr>
              <w:t>3</w:t>
            </w:r>
            <w:r>
              <w:rPr>
                <w:rFonts w:cstheme="minorHAnsi"/>
                <w:b/>
                <w:sz w:val="20"/>
                <w:szCs w:val="20"/>
              </w:rPr>
              <w:t>.</w:t>
            </w:r>
          </w:p>
        </w:tc>
        <w:tc>
          <w:tcPr>
            <w:tcW w:w="1843" w:type="dxa"/>
            <w:vAlign w:val="center"/>
          </w:tcPr>
          <w:p w14:paraId="235B984A" w14:textId="4D56C32D"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KRN</w:t>
            </w:r>
          </w:p>
        </w:tc>
        <w:tc>
          <w:tcPr>
            <w:tcW w:w="1843" w:type="dxa"/>
            <w:vAlign w:val="center"/>
          </w:tcPr>
          <w:p w14:paraId="0BEE2162" w14:textId="1CEF8096" w:rsidR="00D05746" w:rsidRPr="00D103B4" w:rsidRDefault="00D05746" w:rsidP="00D05746">
            <w:pPr>
              <w:spacing w:before="120" w:after="120"/>
              <w:jc w:val="center"/>
              <w:rPr>
                <w:rFonts w:cstheme="minorHAnsi"/>
                <w:bCs/>
                <w:sz w:val="20"/>
                <w:szCs w:val="20"/>
              </w:rPr>
            </w:pPr>
            <w:r w:rsidRPr="00D103B4">
              <w:rPr>
                <w:rFonts w:cstheme="minorHAnsi"/>
                <w:sz w:val="20"/>
                <w:szCs w:val="20"/>
              </w:rPr>
              <w:t>Art. 2 pkt 6 projektu (art. 669</w:t>
            </w:r>
            <w:r w:rsidRPr="00D103B4">
              <w:rPr>
                <w:rStyle w:val="IGindeksgrny"/>
                <w:rFonts w:cstheme="minorHAnsi"/>
                <w:sz w:val="20"/>
                <w:szCs w:val="20"/>
                <w:specVanish w:val="0"/>
              </w:rPr>
              <w:t>2</w:t>
            </w:r>
            <w:r w:rsidRPr="00D103B4">
              <w:rPr>
                <w:rFonts w:cstheme="minorHAnsi"/>
                <w:sz w:val="20"/>
                <w:szCs w:val="20"/>
              </w:rPr>
              <w:t xml:space="preserve"> § 1 k.p.c.)</w:t>
            </w:r>
          </w:p>
        </w:tc>
        <w:tc>
          <w:tcPr>
            <w:tcW w:w="5670" w:type="dxa"/>
            <w:vAlign w:val="center"/>
          </w:tcPr>
          <w:p w14:paraId="137E28FE" w14:textId="1449DE2B" w:rsidR="00D05746" w:rsidRPr="00D103B4" w:rsidRDefault="00D05746" w:rsidP="00D05746">
            <w:pPr>
              <w:pStyle w:val="Style7"/>
              <w:widowControl/>
              <w:spacing w:line="276" w:lineRule="auto"/>
              <w:ind w:firstLine="0"/>
              <w:rPr>
                <w:rStyle w:val="FontStyle15"/>
                <w:rFonts w:asciiTheme="minorHAnsi" w:hAnsiTheme="minorHAnsi" w:cstheme="minorHAnsi"/>
              </w:rPr>
            </w:pPr>
            <w:r w:rsidRPr="00D103B4">
              <w:rPr>
                <w:rStyle w:val="FontStyle15"/>
                <w:rFonts w:asciiTheme="minorHAnsi" w:hAnsiTheme="minorHAnsi" w:cstheme="minorHAnsi"/>
              </w:rPr>
              <w:t>W zakresie proponowanej treści art. 669</w:t>
            </w:r>
            <w:r>
              <w:rPr>
                <w:rStyle w:val="FontStyle15"/>
                <w:rFonts w:asciiTheme="minorHAnsi" w:hAnsiTheme="minorHAnsi" w:cstheme="minorHAnsi"/>
                <w:vertAlign w:val="superscript"/>
              </w:rPr>
              <w:t>2</w:t>
            </w:r>
            <w:r>
              <w:rPr>
                <w:rStyle w:val="FontStyle15"/>
                <w:rFonts w:asciiTheme="minorHAnsi" w:hAnsiTheme="minorHAnsi" w:cstheme="minorHAnsi"/>
              </w:rPr>
              <w:t xml:space="preserve"> </w:t>
            </w:r>
            <w:r w:rsidRPr="00D103B4">
              <w:rPr>
                <w:rStyle w:val="FontStyle15"/>
                <w:rFonts w:asciiTheme="minorHAnsi" w:hAnsiTheme="minorHAnsi" w:cstheme="minorHAnsi"/>
              </w:rPr>
              <w:t>kodeksu postępowania cywilnego, Krajowa Rada Notarialna postuluje, aby uchylenie w proponowanym trybie prawomocnego postanowienia o stwierdzeniu nabycia spadku następowało</w:t>
            </w:r>
            <w:r>
              <w:rPr>
                <w:rStyle w:val="FontStyle15"/>
                <w:rFonts w:asciiTheme="minorHAnsi" w:hAnsiTheme="minorHAnsi" w:cstheme="minorHAnsi"/>
              </w:rPr>
              <w:t xml:space="preserve"> </w:t>
            </w:r>
            <w:r w:rsidRPr="00D103B4">
              <w:rPr>
                <w:rStyle w:val="FontStyle15"/>
                <w:rFonts w:asciiTheme="minorHAnsi" w:hAnsiTheme="minorHAnsi" w:cstheme="minorHAnsi"/>
              </w:rPr>
              <w:t>nie tylko w przypadku wcześniejszego innego prawomocnego postanowienia o stwierdzeniu nabycia spadku, ale również w wypadku wcześniejszego sporządzenia zarejestrowanego aktu poświadczenia dziedziczenia. Z uwagi na fakt, że obecnie znacząco więcej postępowań spadkowych realizowanych jest w ścieżce notarialnej, niż w sądowej, konsekwencje zaniechania zweryfikowania przez sąd w Rejestrze Spadkowym przy procedowaniu stwierdzenia nabycia spadku, czy nie istnieje już rozstrzygnięcie dotyczące spadku po danym spadkodawcy, dotykają częściej sytuacji, w której doszło do potwierdzenia praw spadkowych w ścieżce notarialnej. Nie istnieją zaś żadne przekonujące argumenty uzasadniające utrzymanie „powtórnego" (nadmiarowego) rozstrzygnięcia w mocy tylko dlatego, że poprzednie rozstrzygnięcie nastąpiło w drodze aktu poświadczenia dziedziczenia.</w:t>
            </w:r>
            <w:r>
              <w:rPr>
                <w:rStyle w:val="FontStyle15"/>
                <w:rFonts w:asciiTheme="minorHAnsi" w:hAnsiTheme="minorHAnsi" w:cstheme="minorHAnsi"/>
              </w:rPr>
              <w:t xml:space="preserve"> </w:t>
            </w:r>
            <w:r w:rsidRPr="00D103B4">
              <w:rPr>
                <w:rStyle w:val="FontStyle15"/>
                <w:rFonts w:asciiTheme="minorHAnsi" w:hAnsiTheme="minorHAnsi" w:cstheme="minorHAnsi"/>
              </w:rPr>
              <w:t>Wręcz</w:t>
            </w:r>
            <w:r>
              <w:rPr>
                <w:rStyle w:val="FontStyle15"/>
                <w:rFonts w:asciiTheme="minorHAnsi" w:hAnsiTheme="minorHAnsi" w:cstheme="minorHAnsi"/>
              </w:rPr>
              <w:t xml:space="preserve"> </w:t>
            </w:r>
            <w:r w:rsidRPr="00D103B4">
              <w:rPr>
                <w:rStyle w:val="FontStyle15"/>
                <w:rFonts w:asciiTheme="minorHAnsi" w:hAnsiTheme="minorHAnsi" w:cstheme="minorHAnsi"/>
              </w:rPr>
              <w:t>przeciwnie:</w:t>
            </w:r>
            <w:r>
              <w:rPr>
                <w:rStyle w:val="FontStyle15"/>
                <w:rFonts w:asciiTheme="minorHAnsi" w:hAnsiTheme="minorHAnsi" w:cstheme="minorHAnsi"/>
              </w:rPr>
              <w:t xml:space="preserve"> </w:t>
            </w:r>
            <w:r w:rsidRPr="00D103B4">
              <w:rPr>
                <w:rStyle w:val="FontStyle15"/>
                <w:rFonts w:asciiTheme="minorHAnsi" w:hAnsiTheme="minorHAnsi" w:cstheme="minorHAnsi"/>
              </w:rPr>
              <w:t>skoro</w:t>
            </w:r>
            <w:r>
              <w:rPr>
                <w:rStyle w:val="FontStyle15"/>
                <w:rFonts w:asciiTheme="minorHAnsi" w:hAnsiTheme="minorHAnsi" w:cstheme="minorHAnsi"/>
              </w:rPr>
              <w:t xml:space="preserve"> </w:t>
            </w:r>
            <w:r w:rsidRPr="00D103B4">
              <w:rPr>
                <w:rStyle w:val="FontStyle15"/>
                <w:rFonts w:asciiTheme="minorHAnsi" w:hAnsiTheme="minorHAnsi" w:cstheme="minorHAnsi"/>
              </w:rPr>
              <w:t>wszystkie</w:t>
            </w:r>
            <w:r>
              <w:rPr>
                <w:rStyle w:val="FontStyle15"/>
                <w:rFonts w:asciiTheme="minorHAnsi" w:hAnsiTheme="minorHAnsi" w:cstheme="minorHAnsi"/>
              </w:rPr>
              <w:t xml:space="preserve"> </w:t>
            </w:r>
            <w:r w:rsidRPr="00D103B4">
              <w:rPr>
                <w:rStyle w:val="FontStyle15"/>
                <w:rFonts w:asciiTheme="minorHAnsi" w:hAnsiTheme="minorHAnsi" w:cstheme="minorHAnsi"/>
              </w:rPr>
              <w:t>będące</w:t>
            </w:r>
            <w:r>
              <w:rPr>
                <w:rStyle w:val="FontStyle15"/>
                <w:rFonts w:asciiTheme="minorHAnsi" w:hAnsiTheme="minorHAnsi" w:cstheme="minorHAnsi"/>
              </w:rPr>
              <w:t xml:space="preserve"> </w:t>
            </w:r>
            <w:r w:rsidRPr="00D103B4">
              <w:rPr>
                <w:rStyle w:val="FontStyle15"/>
                <w:rFonts w:asciiTheme="minorHAnsi" w:hAnsiTheme="minorHAnsi" w:cstheme="minorHAnsi"/>
              </w:rPr>
              <w:t>wiążącymi rozstrzygnięciami spadkowymi akty poświadczenia dziedziczenia są zarejestrowane w Rejestrze Spadkowym (bo rejestracja jest warunkiem koniecznym uzyskania przez nie mocy legitymizującej odpowiadającej prawomocności), to tym bardziej powtórne rozstrzygnięcie po akcie poświadczenia dziedziczenia wynikać musi każdorazowo z zaniechania sądu spadku w zakresie obowiązku weryfikacji Rejestru Spadkowego. Nieuzasadniona jest zatem swoista „premia" w postaci utrzymania w mocy „nadmiarowego"</w:t>
            </w:r>
            <w:r>
              <w:rPr>
                <w:rStyle w:val="FontStyle15"/>
                <w:rFonts w:asciiTheme="minorHAnsi" w:hAnsiTheme="minorHAnsi" w:cstheme="minorHAnsi"/>
              </w:rPr>
              <w:t xml:space="preserve"> </w:t>
            </w:r>
            <w:r w:rsidRPr="00D103B4">
              <w:rPr>
                <w:rStyle w:val="FontStyle15"/>
                <w:rFonts w:asciiTheme="minorHAnsi" w:hAnsiTheme="minorHAnsi" w:cstheme="minorHAnsi"/>
              </w:rPr>
              <w:t>postanowienia</w:t>
            </w:r>
            <w:r>
              <w:rPr>
                <w:rStyle w:val="FontStyle15"/>
                <w:rFonts w:asciiTheme="minorHAnsi" w:hAnsiTheme="minorHAnsi" w:cstheme="minorHAnsi"/>
              </w:rPr>
              <w:t xml:space="preserve"> </w:t>
            </w:r>
            <w:r w:rsidRPr="00D103B4">
              <w:rPr>
                <w:rStyle w:val="FontStyle15"/>
                <w:rFonts w:asciiTheme="minorHAnsi" w:hAnsiTheme="minorHAnsi" w:cstheme="minorHAnsi"/>
              </w:rPr>
              <w:t>sądowego</w:t>
            </w:r>
            <w:r>
              <w:rPr>
                <w:rStyle w:val="FontStyle15"/>
                <w:rFonts w:asciiTheme="minorHAnsi" w:hAnsiTheme="minorHAnsi" w:cstheme="minorHAnsi"/>
              </w:rPr>
              <w:t xml:space="preserve"> </w:t>
            </w:r>
            <w:r w:rsidRPr="00D103B4">
              <w:rPr>
                <w:rStyle w:val="FontStyle15"/>
                <w:rFonts w:asciiTheme="minorHAnsi" w:hAnsiTheme="minorHAnsi" w:cstheme="minorHAnsi"/>
              </w:rPr>
              <w:t>kosztem</w:t>
            </w:r>
            <w:r>
              <w:rPr>
                <w:rStyle w:val="FontStyle15"/>
                <w:rFonts w:asciiTheme="minorHAnsi" w:hAnsiTheme="minorHAnsi" w:cstheme="minorHAnsi"/>
              </w:rPr>
              <w:t xml:space="preserve"> </w:t>
            </w:r>
            <w:r w:rsidRPr="00D103B4">
              <w:rPr>
                <w:rStyle w:val="FontStyle15"/>
                <w:rFonts w:asciiTheme="minorHAnsi" w:hAnsiTheme="minorHAnsi" w:cstheme="minorHAnsi"/>
              </w:rPr>
              <w:t>prawidłowego</w:t>
            </w:r>
            <w:r>
              <w:rPr>
                <w:rStyle w:val="FontStyle15"/>
                <w:rFonts w:asciiTheme="minorHAnsi" w:hAnsiTheme="minorHAnsi" w:cstheme="minorHAnsi"/>
              </w:rPr>
              <w:t xml:space="preserve"> </w:t>
            </w:r>
            <w:r w:rsidRPr="00D103B4">
              <w:rPr>
                <w:rStyle w:val="FontStyle15"/>
                <w:rFonts w:asciiTheme="minorHAnsi" w:hAnsiTheme="minorHAnsi" w:cstheme="minorHAnsi"/>
              </w:rPr>
              <w:t xml:space="preserve">formalnie uprzedniego rozstrzygnięcia dokonanego </w:t>
            </w:r>
            <w:r w:rsidRPr="00D103B4">
              <w:rPr>
                <w:rStyle w:val="FontStyle15"/>
                <w:rFonts w:asciiTheme="minorHAnsi" w:hAnsiTheme="minorHAnsi" w:cstheme="minorHAnsi"/>
              </w:rPr>
              <w:lastRenderedPageBreak/>
              <w:t>w ścieżce notarialnej. W szczególności argumentem nie może być tu bynajmniej dowodzenie, jakoby notarialne poświadczenie dziedziczenia miało być instrumentem o mniejszej (z uwagi na jego „pozasądowe" pochodzenie) doniosłości czy wiarygodności, skoro w obrocie pełni ono tożsamą rolę w zakresie legitymizacji spadkobierców. Przy tym kilkanaście lat doświadczenia z instytucją notarialnego poświadczenia dziedziczenia wykazuje, że jest to instytucja o znakomitej skuteczności: uchylenie zarejestrowanego aktu poświadczenia dziedziczenia następuje zupełnie sporadycznie, przy tym zdecydowana większość tych uchyleń - jak wynika ze spostrzeżeń związanych z obsługą Rejestru Spadkowego przez Krajową Radę Notarialną i wykreślaniem z niego uchylonych aktów poświadczenia dziedziczenia - wynika właśnie z faktu, że poświadczenie dziedziczenia zostało „zdublowane" przez sądowe stwierdzenie nabycia spadku wydane następczo, względnie że istniało wcześniejsze stwierdzenie nabycia spadku, które nie było przez sąd wpisane do Rejestru Spadkowego. W razie zaś, gdyby akt poświadczenia dziedziczenia poprzedzający „powtórne" rozstrzygnięcie sądowe miał wadliwie stwierdzać spadkobierców, pozostanie przecież (podobnie zresztą jak w przypadku, w którym wadliwe merytorycznie byłoby pierwotne postanowienie o stwierdzeniu nabycia spadku) wynikająca z alt 679 kodeksu postępowania cywilnego (stosownie do § 4) możliwość jego uchylenia.</w:t>
            </w:r>
          </w:p>
          <w:p w14:paraId="69F7520A" w14:textId="5AA36F63" w:rsidR="00D05746" w:rsidRPr="00D103B4" w:rsidRDefault="00D05746" w:rsidP="00D05746">
            <w:pPr>
              <w:pStyle w:val="Style7"/>
              <w:widowControl/>
              <w:spacing w:before="7" w:line="276" w:lineRule="auto"/>
              <w:ind w:firstLine="641"/>
              <w:rPr>
                <w:rStyle w:val="FontStyle15"/>
                <w:rFonts w:asciiTheme="minorHAnsi" w:hAnsiTheme="minorHAnsi" w:cstheme="minorHAnsi"/>
              </w:rPr>
            </w:pPr>
            <w:r w:rsidRPr="00D103B4">
              <w:rPr>
                <w:rStyle w:val="FontStyle15"/>
                <w:rFonts w:asciiTheme="minorHAnsi" w:hAnsiTheme="minorHAnsi" w:cstheme="minorHAnsi"/>
              </w:rPr>
              <w:t>Nie istnieją zatem podstawy, aby różnicować w zakresie proponowanego art. 669</w:t>
            </w:r>
            <w:r>
              <w:rPr>
                <w:rStyle w:val="FontStyle15"/>
                <w:rFonts w:asciiTheme="minorHAnsi" w:hAnsiTheme="minorHAnsi" w:cstheme="minorHAnsi"/>
                <w:vertAlign w:val="superscript"/>
              </w:rPr>
              <w:t>2</w:t>
            </w:r>
            <w:r w:rsidRPr="00D103B4">
              <w:rPr>
                <w:rStyle w:val="FontStyle15"/>
                <w:rFonts w:asciiTheme="minorHAnsi" w:hAnsiTheme="minorHAnsi" w:cstheme="minorHAnsi"/>
              </w:rPr>
              <w:t xml:space="preserve"> kodeksu postępowania cywilnego poszczególne przypadki w oparciu o to, jaki (sądowy czy notarialny) dokument legitymizujący spadkobierców został uprzednio wydany. </w:t>
            </w:r>
            <w:r w:rsidRPr="00D103B4">
              <w:rPr>
                <w:rStyle w:val="FontStyle15"/>
                <w:rFonts w:asciiTheme="minorHAnsi" w:hAnsiTheme="minorHAnsi" w:cstheme="minorHAnsi"/>
              </w:rPr>
              <w:lastRenderedPageBreak/>
              <w:t>Potwierdza to zresztą inna z propozycji projektu (art. 679[1] § 5 kodeksu postępowania cywilnego), według której zarejestrowanie wniosku o stwierdzenie nabycia spadku w Rejestrze Spadkowym nie następuje, jeżeli akt poświadczenia dziedziczenia albo prawomocne postanowienie w przedmiocie stwierdzenia nabycia spadku dotyczące tego samego spadku zostały już wpisane do Rejestru Spadkowego, co stanowi wyraźne potwierdzenie zasadniczego formalnego zrównania notarialnych i sądowych dokumentów legitymizujących spadkobierców w kontekście wyłączenia możliwości procedowania sądowego stwierdzenia nabycia spadku.</w:t>
            </w:r>
          </w:p>
          <w:p w14:paraId="49835F8D" w14:textId="49A84571" w:rsidR="00D05746" w:rsidRPr="00D103B4" w:rsidRDefault="00D05746" w:rsidP="00D05746">
            <w:pPr>
              <w:spacing w:line="276" w:lineRule="auto"/>
              <w:jc w:val="both"/>
              <w:rPr>
                <w:rFonts w:cstheme="minorHAnsi"/>
                <w:b/>
                <w:sz w:val="20"/>
                <w:szCs w:val="20"/>
              </w:rPr>
            </w:pPr>
          </w:p>
        </w:tc>
        <w:tc>
          <w:tcPr>
            <w:tcW w:w="4076" w:type="dxa"/>
          </w:tcPr>
          <w:p w14:paraId="43C46BF5" w14:textId="543B0FA1" w:rsidR="00D05746" w:rsidRPr="000660EA" w:rsidRDefault="00D05746" w:rsidP="00D05746">
            <w:pPr>
              <w:jc w:val="both"/>
              <w:rPr>
                <w:rFonts w:cstheme="minorHAnsi"/>
                <w:b/>
                <w:bCs/>
                <w:sz w:val="20"/>
                <w:szCs w:val="20"/>
              </w:rPr>
            </w:pPr>
            <w:r w:rsidRPr="00BC05D9">
              <w:rPr>
                <w:rFonts w:cstheme="minorHAnsi"/>
                <w:b/>
                <w:bCs/>
                <w:sz w:val="20"/>
                <w:szCs w:val="20"/>
              </w:rPr>
              <w:lastRenderedPageBreak/>
              <w:t xml:space="preserve">Uwaga nieuwzględniona </w:t>
            </w:r>
          </w:p>
          <w:p w14:paraId="4FF591D8" w14:textId="70DCC45A" w:rsidR="00D05746" w:rsidRPr="00D103B4" w:rsidRDefault="00D05746" w:rsidP="00D05746">
            <w:pPr>
              <w:jc w:val="both"/>
              <w:rPr>
                <w:rFonts w:cstheme="minorHAnsi"/>
                <w:sz w:val="20"/>
                <w:szCs w:val="20"/>
              </w:rPr>
            </w:pPr>
            <w:r>
              <w:rPr>
                <w:rFonts w:cstheme="minorHAnsi"/>
                <w:sz w:val="20"/>
                <w:szCs w:val="20"/>
              </w:rPr>
              <w:t>Uzasadnienie jak w punkcie 3</w:t>
            </w:r>
            <w:r w:rsidR="00BC0915">
              <w:rPr>
                <w:rFonts w:cstheme="minorHAnsi"/>
                <w:sz w:val="20"/>
                <w:szCs w:val="20"/>
              </w:rPr>
              <w:t>2</w:t>
            </w:r>
            <w:r>
              <w:rPr>
                <w:rFonts w:cstheme="minorHAnsi"/>
                <w:sz w:val="20"/>
                <w:szCs w:val="20"/>
              </w:rPr>
              <w:t xml:space="preserve"> tabeli (uwaga 1 Stowarzyszenia Notariuszy RP). </w:t>
            </w:r>
          </w:p>
        </w:tc>
      </w:tr>
      <w:tr w:rsidR="00D05746" w:rsidRPr="00D103B4" w14:paraId="01522E8F" w14:textId="77777777" w:rsidTr="00B241C8">
        <w:trPr>
          <w:jc w:val="center"/>
        </w:trPr>
        <w:tc>
          <w:tcPr>
            <w:tcW w:w="562" w:type="dxa"/>
          </w:tcPr>
          <w:p w14:paraId="5C57CB2F" w14:textId="0AE8F9F6" w:rsidR="00D05746" w:rsidRPr="00D103B4" w:rsidRDefault="00D05746" w:rsidP="00D05746">
            <w:pPr>
              <w:spacing w:before="120" w:line="276" w:lineRule="auto"/>
              <w:ind w:right="-534"/>
              <w:rPr>
                <w:rFonts w:cstheme="minorHAnsi"/>
                <w:b/>
                <w:sz w:val="20"/>
                <w:szCs w:val="20"/>
              </w:rPr>
            </w:pPr>
            <w:r>
              <w:rPr>
                <w:rFonts w:cstheme="minorHAnsi"/>
                <w:b/>
                <w:sz w:val="20"/>
                <w:szCs w:val="20"/>
              </w:rPr>
              <w:lastRenderedPageBreak/>
              <w:t>3</w:t>
            </w:r>
            <w:r w:rsidR="00C90560">
              <w:rPr>
                <w:rFonts w:cstheme="minorHAnsi"/>
                <w:b/>
                <w:sz w:val="20"/>
                <w:szCs w:val="20"/>
              </w:rPr>
              <w:t>4</w:t>
            </w:r>
            <w:r w:rsidRPr="00D103B4">
              <w:rPr>
                <w:rFonts w:cstheme="minorHAnsi"/>
                <w:b/>
                <w:sz w:val="20"/>
                <w:szCs w:val="20"/>
              </w:rPr>
              <w:t>.</w:t>
            </w:r>
          </w:p>
        </w:tc>
        <w:tc>
          <w:tcPr>
            <w:tcW w:w="1843" w:type="dxa"/>
            <w:vAlign w:val="center"/>
          </w:tcPr>
          <w:p w14:paraId="2F1AA7BC" w14:textId="0CAE4602"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Obywatel</w:t>
            </w:r>
          </w:p>
        </w:tc>
        <w:tc>
          <w:tcPr>
            <w:tcW w:w="1843" w:type="dxa"/>
            <w:vAlign w:val="center"/>
          </w:tcPr>
          <w:p w14:paraId="2CA1B316" w14:textId="7692A233" w:rsidR="00D05746" w:rsidRPr="00D103B4" w:rsidRDefault="00D05746" w:rsidP="00D05746">
            <w:pPr>
              <w:spacing w:before="120" w:after="120" w:line="276" w:lineRule="auto"/>
              <w:jc w:val="center"/>
              <w:rPr>
                <w:rFonts w:cstheme="minorHAnsi"/>
                <w:sz w:val="20"/>
                <w:szCs w:val="20"/>
              </w:rPr>
            </w:pPr>
            <w:r w:rsidRPr="00D103B4">
              <w:rPr>
                <w:rFonts w:cstheme="minorHAnsi"/>
                <w:sz w:val="20"/>
                <w:szCs w:val="20"/>
              </w:rPr>
              <w:t>Art. 2 pkt 6 projektu (art. 669</w:t>
            </w:r>
            <w:r w:rsidRPr="00D103B4">
              <w:rPr>
                <w:rStyle w:val="IGindeksgrny"/>
                <w:rFonts w:cstheme="minorHAnsi"/>
                <w:sz w:val="20"/>
                <w:szCs w:val="20"/>
                <w:specVanish w:val="0"/>
              </w:rPr>
              <w:t>2</w:t>
            </w:r>
            <w:r w:rsidRPr="00D103B4">
              <w:rPr>
                <w:rFonts w:cstheme="minorHAnsi"/>
                <w:sz w:val="20"/>
                <w:szCs w:val="20"/>
              </w:rPr>
              <w:t xml:space="preserve"> § 1 k.p.c.)</w:t>
            </w:r>
          </w:p>
        </w:tc>
        <w:tc>
          <w:tcPr>
            <w:tcW w:w="5670" w:type="dxa"/>
            <w:vAlign w:val="center"/>
          </w:tcPr>
          <w:p w14:paraId="555EA4AD" w14:textId="77777777" w:rsidR="00D05746" w:rsidRPr="00D103B4" w:rsidRDefault="00D05746" w:rsidP="00D05746">
            <w:pPr>
              <w:spacing w:line="276" w:lineRule="auto"/>
              <w:jc w:val="both"/>
              <w:rPr>
                <w:rFonts w:cstheme="minorHAnsi"/>
                <w:i/>
                <w:iCs/>
                <w:sz w:val="20"/>
                <w:szCs w:val="20"/>
              </w:rPr>
            </w:pPr>
            <w:r w:rsidRPr="00D103B4">
              <w:rPr>
                <w:rFonts w:cstheme="minorHAnsi"/>
                <w:sz w:val="20"/>
                <w:szCs w:val="20"/>
              </w:rPr>
              <w:t>Proponowane brzmienie art. 669</w:t>
            </w:r>
            <w:r w:rsidRPr="00D103B4">
              <w:rPr>
                <w:rStyle w:val="IGindeksgrny"/>
                <w:rFonts w:cstheme="minorHAnsi"/>
                <w:sz w:val="20"/>
                <w:szCs w:val="20"/>
                <w:specVanish w:val="0"/>
              </w:rPr>
              <w:t>2</w:t>
            </w:r>
            <w:r w:rsidRPr="00D103B4">
              <w:rPr>
                <w:rFonts w:cstheme="minorHAnsi"/>
                <w:sz w:val="20"/>
                <w:szCs w:val="20"/>
              </w:rPr>
              <w:t xml:space="preserve"> § 1 KPC: </w:t>
            </w:r>
            <w:r w:rsidRPr="00D103B4">
              <w:rPr>
                <w:rFonts w:cstheme="minorHAnsi"/>
                <w:i/>
                <w:iCs/>
                <w:sz w:val="20"/>
                <w:szCs w:val="20"/>
              </w:rPr>
              <w:t xml:space="preserve">Sąd uchyla prawomocne postanowienie o stwierdzeniu nabycia spadku, jeżeli w odniesieniu do tego samego spadku zostało wcześniej wydane prawomocne postanowienie o stwierdzeniu nabycia spadku </w:t>
            </w:r>
            <w:r w:rsidRPr="00D103B4">
              <w:rPr>
                <w:rFonts w:cstheme="minorHAnsi"/>
                <w:b/>
                <w:bCs/>
                <w:i/>
                <w:iCs/>
                <w:sz w:val="20"/>
                <w:szCs w:val="20"/>
                <w:u w:val="single"/>
              </w:rPr>
              <w:t>albo został wcześniej zarejestrowany akt poświadczenia dziedziczenia</w:t>
            </w:r>
            <w:r w:rsidRPr="00D103B4">
              <w:rPr>
                <w:rFonts w:cstheme="minorHAnsi"/>
                <w:i/>
                <w:iCs/>
                <w:sz w:val="20"/>
                <w:szCs w:val="20"/>
              </w:rPr>
              <w:t>. Sąd może także uchylić je z urzędu.</w:t>
            </w:r>
          </w:p>
          <w:p w14:paraId="2AE07750" w14:textId="77777777" w:rsidR="00D05746" w:rsidRPr="00D103B4" w:rsidRDefault="00D05746" w:rsidP="00D05746">
            <w:pPr>
              <w:spacing w:line="276" w:lineRule="auto"/>
              <w:jc w:val="both"/>
              <w:rPr>
                <w:rFonts w:cstheme="minorHAnsi"/>
                <w:sz w:val="20"/>
                <w:szCs w:val="20"/>
              </w:rPr>
            </w:pPr>
          </w:p>
          <w:p w14:paraId="04B2BBB8" w14:textId="77777777" w:rsidR="00D05746" w:rsidRPr="00D103B4" w:rsidRDefault="00D05746" w:rsidP="00D05746">
            <w:pPr>
              <w:spacing w:line="276" w:lineRule="auto"/>
              <w:jc w:val="both"/>
              <w:rPr>
                <w:rFonts w:cstheme="minorHAnsi"/>
                <w:sz w:val="20"/>
                <w:szCs w:val="20"/>
              </w:rPr>
            </w:pPr>
            <w:r w:rsidRPr="00D103B4">
              <w:rPr>
                <w:rFonts w:cstheme="minorHAnsi"/>
                <w:sz w:val="20"/>
                <w:szCs w:val="20"/>
              </w:rPr>
              <w:t xml:space="preserve">Propozycja zmierza do rozciągnięcia wprowadzanego postępowania o uchylenie późniejszego prawomocnego postanowienia o stwierdzenie nabycia spadku także na sytuacje, w których do wydania takiego postanowienia dochodzi po wcześniejszym zarejestrowaniu aktu poświadczenia dziedziczenia. Taki akt ma bowiem zgodnie z art. 95j prawa o notariacie skutki prawomocnego postanowienia o stwierdzeniu nabycia spadku. Praktyka notarialna wskazuje, że prawidłowo wydane akty poświadczenia dziedziczenia są obecnie uchylane w trybie art. 669(1) § 1 KPC wyłącznie na skutek wydania późniejszego postanowienia o stwierdzeniu nabycia </w:t>
            </w:r>
            <w:r w:rsidRPr="00D103B4">
              <w:rPr>
                <w:rFonts w:cstheme="minorHAnsi"/>
                <w:sz w:val="20"/>
                <w:szCs w:val="20"/>
              </w:rPr>
              <w:lastRenderedPageBreak/>
              <w:t>spadku - w związku z naruszeniem przez sąd spadku obowiązku sprawdzenia Rejestru Spadkowego pod kątem wcześniejszych postępowań legitymujących sukcesorów spadkowych. Generuje to zbędne postępowania sądowe o uchylenie prawidłowo sporządzonych aktów poświadczenia dziedziczenia, a przede wszystkim odbija się negatywnie na skutkach legitymacyjnych wywołanych już w obrocie prawnym przez wcześniejszy APD (uchylony APD jako podstawa wpisu do księgi wieczystej przy późniejszych czynnościach notarialnych spadkobiercy dotyczących nieruchomości spadkowej, chwila powstania obowiązku podatkowego w zakresie podatku od spadków i darowizn). Konsekwentną regułą powinno być uchylanie efektu późniejszego postępowania, które przeprowadzone zostało z naruszeniem reguł systemowych. Reguła kolizyjna odnosząca się do prymatu domniemań wynikających z postanowienia o stwierdzeniu nabycia spadku, zawarta w art. 1025 § 3 KC, regulowałaby relację obu instrumentów do czasu przeprowadzenia postępowania o uchylenie wydanego później. Przyjęcie proponowanej zmiany wymagałoby jednocześnie dokonania zmiany art. 669</w:t>
            </w:r>
            <w:r w:rsidRPr="00D103B4">
              <w:rPr>
                <w:rFonts w:cstheme="minorHAnsi"/>
                <w:sz w:val="20"/>
                <w:szCs w:val="20"/>
                <w:vertAlign w:val="superscript"/>
              </w:rPr>
              <w:t>1</w:t>
            </w:r>
            <w:r w:rsidRPr="00D103B4">
              <w:rPr>
                <w:rFonts w:cstheme="minorHAnsi"/>
                <w:sz w:val="20"/>
                <w:szCs w:val="20"/>
              </w:rPr>
              <w:t xml:space="preserve"> § 1 KPC:</w:t>
            </w:r>
          </w:p>
          <w:p w14:paraId="57D82E33" w14:textId="77777777" w:rsidR="00D05746" w:rsidRPr="00D103B4" w:rsidRDefault="00D05746" w:rsidP="00D05746">
            <w:pPr>
              <w:spacing w:line="276" w:lineRule="auto"/>
              <w:jc w:val="both"/>
              <w:rPr>
                <w:rFonts w:cstheme="minorHAnsi"/>
                <w:sz w:val="20"/>
                <w:szCs w:val="20"/>
              </w:rPr>
            </w:pPr>
          </w:p>
          <w:p w14:paraId="52601A06" w14:textId="5E5B0393" w:rsidR="00D05746" w:rsidRPr="00D103B4" w:rsidRDefault="00D05746" w:rsidP="00D05746">
            <w:pPr>
              <w:spacing w:line="276" w:lineRule="auto"/>
              <w:jc w:val="both"/>
              <w:rPr>
                <w:rFonts w:cstheme="minorHAnsi"/>
                <w:i/>
                <w:iCs/>
                <w:sz w:val="20"/>
                <w:szCs w:val="20"/>
              </w:rPr>
            </w:pPr>
            <w:r w:rsidRPr="00D103B4">
              <w:rPr>
                <w:rFonts w:cstheme="minorHAnsi"/>
                <w:i/>
                <w:iCs/>
                <w:sz w:val="20"/>
                <w:szCs w:val="20"/>
              </w:rPr>
              <w:t xml:space="preserve">Sąd spadku uchyla zarejestrowany akt poświadczenia dziedziczenia, jeżeli w odniesieniu do tego samego spadku zostało </w:t>
            </w:r>
            <w:r w:rsidRPr="00D103B4">
              <w:rPr>
                <w:rFonts w:cstheme="minorHAnsi"/>
                <w:b/>
                <w:bCs/>
                <w:i/>
                <w:iCs/>
                <w:sz w:val="20"/>
                <w:szCs w:val="20"/>
                <w:u w:val="single"/>
              </w:rPr>
              <w:t>wcześniej</w:t>
            </w:r>
            <w:r w:rsidRPr="00D103B4">
              <w:rPr>
                <w:rFonts w:cstheme="minorHAnsi"/>
                <w:i/>
                <w:iCs/>
                <w:sz w:val="20"/>
                <w:szCs w:val="20"/>
              </w:rPr>
              <w:t xml:space="preserve"> wydane postanowienie o stwierdzeniu nabycia spadku.</w:t>
            </w:r>
          </w:p>
        </w:tc>
        <w:tc>
          <w:tcPr>
            <w:tcW w:w="4076" w:type="dxa"/>
          </w:tcPr>
          <w:p w14:paraId="1C33E152" w14:textId="78D36ED3" w:rsidR="00D05746" w:rsidRPr="000660EA" w:rsidRDefault="00D05746" w:rsidP="00D05746">
            <w:pPr>
              <w:jc w:val="both"/>
              <w:rPr>
                <w:rFonts w:cstheme="minorHAnsi"/>
                <w:b/>
                <w:bCs/>
                <w:sz w:val="20"/>
                <w:szCs w:val="20"/>
              </w:rPr>
            </w:pPr>
            <w:r w:rsidRPr="00BC05D9">
              <w:rPr>
                <w:rFonts w:cstheme="minorHAnsi"/>
                <w:b/>
                <w:bCs/>
                <w:sz w:val="20"/>
                <w:szCs w:val="20"/>
              </w:rPr>
              <w:lastRenderedPageBreak/>
              <w:t xml:space="preserve">Uwaga nieuwzględniona </w:t>
            </w:r>
          </w:p>
          <w:p w14:paraId="4BD33983" w14:textId="60659B64" w:rsidR="00D05746" w:rsidRPr="00D103B4" w:rsidRDefault="00D05746" w:rsidP="00D05746">
            <w:pPr>
              <w:spacing w:line="276" w:lineRule="auto"/>
              <w:jc w:val="both"/>
              <w:rPr>
                <w:rFonts w:cstheme="minorHAnsi"/>
                <w:sz w:val="20"/>
                <w:szCs w:val="20"/>
              </w:rPr>
            </w:pPr>
            <w:r>
              <w:rPr>
                <w:rFonts w:cstheme="minorHAnsi"/>
                <w:sz w:val="20"/>
                <w:szCs w:val="20"/>
              </w:rPr>
              <w:t>Uzasadnienie jak w punkcie 3</w:t>
            </w:r>
            <w:r w:rsidR="00BC0915">
              <w:rPr>
                <w:rFonts w:cstheme="minorHAnsi"/>
                <w:sz w:val="20"/>
                <w:szCs w:val="20"/>
              </w:rPr>
              <w:t>2</w:t>
            </w:r>
            <w:r>
              <w:rPr>
                <w:rFonts w:cstheme="minorHAnsi"/>
                <w:sz w:val="20"/>
                <w:szCs w:val="20"/>
              </w:rPr>
              <w:t xml:space="preserve"> tabeli (uwaga 1 Stowarzyszenia Notariuszy RP).</w:t>
            </w:r>
          </w:p>
        </w:tc>
      </w:tr>
      <w:tr w:rsidR="00D05746" w:rsidRPr="00D103B4" w14:paraId="6BFCABE6" w14:textId="77777777" w:rsidTr="00B241C8">
        <w:trPr>
          <w:jc w:val="center"/>
        </w:trPr>
        <w:tc>
          <w:tcPr>
            <w:tcW w:w="562" w:type="dxa"/>
          </w:tcPr>
          <w:p w14:paraId="2F6D6667" w14:textId="26C9F8A8" w:rsidR="00D05746" w:rsidRPr="00D103B4" w:rsidRDefault="00D05746" w:rsidP="00D05746">
            <w:pPr>
              <w:spacing w:before="120"/>
              <w:ind w:right="-534"/>
              <w:rPr>
                <w:rFonts w:cstheme="minorHAnsi"/>
                <w:b/>
                <w:sz w:val="20"/>
                <w:szCs w:val="20"/>
              </w:rPr>
            </w:pPr>
            <w:r>
              <w:rPr>
                <w:rFonts w:cstheme="minorHAnsi"/>
                <w:b/>
                <w:sz w:val="20"/>
                <w:szCs w:val="20"/>
              </w:rPr>
              <w:t>3</w:t>
            </w:r>
            <w:r w:rsidR="00C90560">
              <w:rPr>
                <w:rFonts w:cstheme="minorHAnsi"/>
                <w:b/>
                <w:sz w:val="20"/>
                <w:szCs w:val="20"/>
              </w:rPr>
              <w:t>5</w:t>
            </w:r>
            <w:r>
              <w:rPr>
                <w:rFonts w:cstheme="minorHAnsi"/>
                <w:b/>
                <w:sz w:val="20"/>
                <w:szCs w:val="20"/>
              </w:rPr>
              <w:t>.</w:t>
            </w:r>
          </w:p>
        </w:tc>
        <w:tc>
          <w:tcPr>
            <w:tcW w:w="1843" w:type="dxa"/>
            <w:vAlign w:val="center"/>
          </w:tcPr>
          <w:p w14:paraId="685D5256" w14:textId="77777777"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 xml:space="preserve">Sąd Apelacyjny w Łodzi </w:t>
            </w:r>
          </w:p>
          <w:p w14:paraId="12FE57EF" w14:textId="5F2C9FA8" w:rsidR="00D05746" w:rsidRPr="00D103B4" w:rsidRDefault="00D05746" w:rsidP="00D05746">
            <w:pPr>
              <w:spacing w:before="120" w:after="120"/>
              <w:jc w:val="center"/>
              <w:rPr>
                <w:rFonts w:cstheme="minorHAnsi"/>
                <w:sz w:val="20"/>
                <w:szCs w:val="20"/>
              </w:rPr>
            </w:pPr>
            <w:r w:rsidRPr="00D103B4">
              <w:rPr>
                <w:rFonts w:cstheme="minorHAnsi"/>
                <w:sz w:val="20"/>
                <w:szCs w:val="20"/>
              </w:rPr>
              <w:t xml:space="preserve">- uwaga Sądu Rejonowego dla </w:t>
            </w:r>
            <w:r w:rsidRPr="00D103B4">
              <w:rPr>
                <w:rFonts w:cstheme="minorHAnsi"/>
                <w:sz w:val="20"/>
                <w:szCs w:val="20"/>
              </w:rPr>
              <w:lastRenderedPageBreak/>
              <w:t>Łodzi-Śródmieścia w Łodzi</w:t>
            </w:r>
          </w:p>
        </w:tc>
        <w:tc>
          <w:tcPr>
            <w:tcW w:w="1843" w:type="dxa"/>
            <w:vAlign w:val="center"/>
          </w:tcPr>
          <w:p w14:paraId="42802F7C" w14:textId="151428C3" w:rsidR="00D05746" w:rsidRPr="00D103B4" w:rsidRDefault="00D05746" w:rsidP="00D05746">
            <w:pPr>
              <w:spacing w:before="120" w:after="120"/>
              <w:jc w:val="center"/>
              <w:rPr>
                <w:rFonts w:cstheme="minorHAnsi"/>
                <w:sz w:val="20"/>
                <w:szCs w:val="20"/>
              </w:rPr>
            </w:pPr>
            <w:r w:rsidRPr="00D103B4">
              <w:rPr>
                <w:rFonts w:cstheme="minorHAnsi"/>
                <w:sz w:val="20"/>
                <w:szCs w:val="20"/>
              </w:rPr>
              <w:lastRenderedPageBreak/>
              <w:t>Art. 2 pkt 6 projektu (art. 669</w:t>
            </w:r>
            <w:r w:rsidRPr="00D103B4">
              <w:rPr>
                <w:rStyle w:val="IGindeksgrny"/>
                <w:rFonts w:cstheme="minorHAnsi"/>
                <w:sz w:val="20"/>
                <w:szCs w:val="20"/>
                <w:specVanish w:val="0"/>
              </w:rPr>
              <w:t>2</w:t>
            </w:r>
            <w:r w:rsidRPr="00D103B4">
              <w:rPr>
                <w:rFonts w:cstheme="minorHAnsi"/>
                <w:sz w:val="20"/>
                <w:szCs w:val="20"/>
              </w:rPr>
              <w:t xml:space="preserve"> § 2 k.p.c.)</w:t>
            </w:r>
          </w:p>
        </w:tc>
        <w:tc>
          <w:tcPr>
            <w:tcW w:w="5670" w:type="dxa"/>
            <w:vAlign w:val="center"/>
          </w:tcPr>
          <w:p w14:paraId="4AAA82B6" w14:textId="1358DE52" w:rsidR="00D05746" w:rsidRPr="00D103B4" w:rsidRDefault="00D05746" w:rsidP="00D05746">
            <w:pPr>
              <w:spacing w:line="276" w:lineRule="auto"/>
              <w:jc w:val="both"/>
              <w:rPr>
                <w:rFonts w:cstheme="minorHAnsi"/>
                <w:sz w:val="20"/>
                <w:szCs w:val="20"/>
              </w:rPr>
            </w:pPr>
            <w:r w:rsidRPr="00D103B4">
              <w:rPr>
                <w:rFonts w:cstheme="minorHAnsi"/>
                <w:sz w:val="20"/>
                <w:szCs w:val="20"/>
              </w:rPr>
              <w:t>W § 2 projektowanego art. 669</w:t>
            </w:r>
            <w:r w:rsidRPr="00D103B4">
              <w:rPr>
                <w:rFonts w:cstheme="minorHAnsi"/>
                <w:sz w:val="20"/>
                <w:szCs w:val="20"/>
                <w:vertAlign w:val="superscript"/>
              </w:rPr>
              <w:t>2</w:t>
            </w:r>
            <w:r w:rsidRPr="00D103B4">
              <w:rPr>
                <w:rFonts w:cstheme="minorHAnsi"/>
                <w:sz w:val="20"/>
                <w:szCs w:val="20"/>
              </w:rPr>
              <w:t xml:space="preserve"> należałoby uzupełnić, że wezwanie dotyczy uczestników nadal żyjących oraz ewentualnie rozstrzygnąć czy wezwaniu podlegają również następcy prawni uczestników, którzy zmarli.</w:t>
            </w:r>
          </w:p>
        </w:tc>
        <w:tc>
          <w:tcPr>
            <w:tcW w:w="4076" w:type="dxa"/>
          </w:tcPr>
          <w:p w14:paraId="189ACB42" w14:textId="77777777" w:rsidR="00D05746" w:rsidRPr="000660EA" w:rsidRDefault="00D05746" w:rsidP="00D05746">
            <w:pPr>
              <w:jc w:val="both"/>
              <w:rPr>
                <w:rFonts w:cstheme="minorHAnsi"/>
                <w:b/>
                <w:bCs/>
                <w:sz w:val="20"/>
                <w:szCs w:val="20"/>
              </w:rPr>
            </w:pPr>
            <w:r w:rsidRPr="0021747F">
              <w:rPr>
                <w:rFonts w:cstheme="minorHAnsi"/>
                <w:b/>
                <w:bCs/>
                <w:sz w:val="20"/>
                <w:szCs w:val="20"/>
              </w:rPr>
              <w:t>U</w:t>
            </w:r>
            <w:r w:rsidRPr="000660EA">
              <w:rPr>
                <w:rFonts w:cstheme="minorHAnsi"/>
                <w:b/>
                <w:bCs/>
                <w:sz w:val="20"/>
                <w:szCs w:val="20"/>
              </w:rPr>
              <w:t xml:space="preserve">waga nieuwzględniona </w:t>
            </w:r>
          </w:p>
          <w:p w14:paraId="5ABC8D5F" w14:textId="35073E58" w:rsidR="00D05746" w:rsidRDefault="00D05746" w:rsidP="00D05746">
            <w:pPr>
              <w:jc w:val="both"/>
              <w:rPr>
                <w:rFonts w:cstheme="minorHAnsi"/>
                <w:sz w:val="20"/>
                <w:szCs w:val="20"/>
              </w:rPr>
            </w:pPr>
            <w:r>
              <w:rPr>
                <w:rFonts w:cstheme="minorHAnsi"/>
                <w:sz w:val="20"/>
                <w:szCs w:val="20"/>
              </w:rPr>
              <w:t xml:space="preserve">Oczywiste jest, że sąd kieruje świadomie wezwanie do uczestników żyjących. </w:t>
            </w:r>
          </w:p>
          <w:p w14:paraId="0A6551B8" w14:textId="4B24E0AB" w:rsidR="00D05746" w:rsidRPr="00D103B4" w:rsidRDefault="00D05746" w:rsidP="00D05746">
            <w:pPr>
              <w:jc w:val="both"/>
              <w:rPr>
                <w:rFonts w:cstheme="minorHAnsi"/>
                <w:sz w:val="20"/>
                <w:szCs w:val="20"/>
              </w:rPr>
            </w:pPr>
          </w:p>
        </w:tc>
      </w:tr>
      <w:tr w:rsidR="00D05746" w:rsidRPr="00D103B4" w14:paraId="26473E42" w14:textId="77777777" w:rsidTr="00B241C8">
        <w:trPr>
          <w:jc w:val="center"/>
        </w:trPr>
        <w:tc>
          <w:tcPr>
            <w:tcW w:w="562" w:type="dxa"/>
          </w:tcPr>
          <w:p w14:paraId="2E2993C7" w14:textId="2D5517E7" w:rsidR="00D05746" w:rsidRPr="00D103B4" w:rsidRDefault="00D05746" w:rsidP="00D05746">
            <w:pPr>
              <w:spacing w:before="120" w:line="276" w:lineRule="auto"/>
              <w:ind w:right="-534"/>
              <w:rPr>
                <w:rFonts w:cstheme="minorHAnsi"/>
                <w:b/>
                <w:sz w:val="20"/>
                <w:szCs w:val="20"/>
              </w:rPr>
            </w:pPr>
            <w:r>
              <w:rPr>
                <w:rFonts w:cstheme="minorHAnsi"/>
                <w:b/>
                <w:sz w:val="20"/>
                <w:szCs w:val="20"/>
              </w:rPr>
              <w:t>3</w:t>
            </w:r>
            <w:r w:rsidR="00C90560">
              <w:rPr>
                <w:rFonts w:cstheme="minorHAnsi"/>
                <w:b/>
                <w:sz w:val="20"/>
                <w:szCs w:val="20"/>
              </w:rPr>
              <w:t>6</w:t>
            </w:r>
            <w:r w:rsidRPr="00D103B4">
              <w:rPr>
                <w:rFonts w:cstheme="minorHAnsi"/>
                <w:b/>
                <w:sz w:val="20"/>
                <w:szCs w:val="20"/>
              </w:rPr>
              <w:t>.</w:t>
            </w:r>
          </w:p>
        </w:tc>
        <w:tc>
          <w:tcPr>
            <w:tcW w:w="1843" w:type="dxa"/>
            <w:vAlign w:val="center"/>
          </w:tcPr>
          <w:p w14:paraId="0C1710E3" w14:textId="4E07A62B"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Obywatel</w:t>
            </w:r>
          </w:p>
        </w:tc>
        <w:tc>
          <w:tcPr>
            <w:tcW w:w="1843" w:type="dxa"/>
            <w:vAlign w:val="center"/>
          </w:tcPr>
          <w:p w14:paraId="6BEF94E7" w14:textId="4FC982E3" w:rsidR="00D05746" w:rsidRPr="00D103B4" w:rsidRDefault="00D05746" w:rsidP="00D05746">
            <w:pPr>
              <w:spacing w:before="120" w:after="120" w:line="276" w:lineRule="auto"/>
              <w:jc w:val="center"/>
              <w:rPr>
                <w:rFonts w:cstheme="minorHAnsi"/>
                <w:sz w:val="20"/>
                <w:szCs w:val="20"/>
              </w:rPr>
            </w:pPr>
            <w:r w:rsidRPr="00D103B4">
              <w:rPr>
                <w:rFonts w:cstheme="minorHAnsi"/>
                <w:sz w:val="20"/>
                <w:szCs w:val="20"/>
              </w:rPr>
              <w:t>Art. 2 pkt 6 projektu (art. 669</w:t>
            </w:r>
            <w:r w:rsidRPr="00D103B4">
              <w:rPr>
                <w:rStyle w:val="IGindeksgrny"/>
                <w:rFonts w:cstheme="minorHAnsi"/>
                <w:sz w:val="20"/>
                <w:szCs w:val="20"/>
                <w:specVanish w:val="0"/>
              </w:rPr>
              <w:t>2</w:t>
            </w:r>
            <w:r w:rsidRPr="00D103B4">
              <w:rPr>
                <w:rFonts w:cstheme="minorHAnsi"/>
                <w:sz w:val="20"/>
                <w:szCs w:val="20"/>
              </w:rPr>
              <w:t xml:space="preserve"> § 4 k.p.c.)</w:t>
            </w:r>
          </w:p>
        </w:tc>
        <w:tc>
          <w:tcPr>
            <w:tcW w:w="5670" w:type="dxa"/>
            <w:vAlign w:val="center"/>
          </w:tcPr>
          <w:p w14:paraId="5A7335E2" w14:textId="77777777" w:rsidR="00D05746" w:rsidRPr="00D103B4" w:rsidRDefault="00D05746" w:rsidP="00D05746">
            <w:pPr>
              <w:spacing w:line="276" w:lineRule="auto"/>
              <w:rPr>
                <w:rFonts w:cstheme="minorHAnsi"/>
                <w:kern w:val="2"/>
                <w:sz w:val="20"/>
                <w:szCs w:val="20"/>
                <w14:ligatures w14:val="standardContextual"/>
              </w:rPr>
            </w:pPr>
            <w:r w:rsidRPr="00D103B4">
              <w:rPr>
                <w:rFonts w:cstheme="minorHAnsi"/>
                <w:sz w:val="20"/>
                <w:szCs w:val="20"/>
              </w:rPr>
              <w:t>Proponowane brzmienie art. 669</w:t>
            </w:r>
            <w:r w:rsidRPr="00D103B4">
              <w:rPr>
                <w:rStyle w:val="IGindeksgrny"/>
                <w:rFonts w:cstheme="minorHAnsi"/>
                <w:sz w:val="20"/>
                <w:szCs w:val="20"/>
                <w:specVanish w:val="0"/>
              </w:rPr>
              <w:t>2</w:t>
            </w:r>
            <w:r w:rsidRPr="00D103B4">
              <w:rPr>
                <w:rFonts w:cstheme="minorHAnsi"/>
                <w:sz w:val="20"/>
                <w:szCs w:val="20"/>
              </w:rPr>
              <w:t xml:space="preserve"> § 4 KPC: </w:t>
            </w:r>
            <w:r w:rsidRPr="00D103B4">
              <w:rPr>
                <w:rFonts w:cstheme="minorHAnsi"/>
                <w:i/>
                <w:iCs/>
                <w:kern w:val="2"/>
                <w:sz w:val="20"/>
                <w:szCs w:val="20"/>
                <w14:ligatures w14:val="standardContextual"/>
              </w:rPr>
              <w:t xml:space="preserve">Sąd bada jedynie </w:t>
            </w:r>
            <w:bookmarkStart w:id="2" w:name="_Hlk148697016"/>
            <w:r w:rsidRPr="00D103B4">
              <w:rPr>
                <w:rFonts w:cstheme="minorHAnsi"/>
                <w:i/>
                <w:iCs/>
                <w:kern w:val="2"/>
                <w:sz w:val="20"/>
                <w:szCs w:val="20"/>
                <w14:ligatures w14:val="standardContextual"/>
              </w:rPr>
              <w:t xml:space="preserve">fakt wydania </w:t>
            </w:r>
            <w:r w:rsidRPr="00D103B4">
              <w:rPr>
                <w:rFonts w:cstheme="minorHAnsi"/>
                <w:b/>
                <w:bCs/>
                <w:i/>
                <w:iCs/>
                <w:sz w:val="20"/>
                <w:szCs w:val="20"/>
                <w:u w:val="single"/>
              </w:rPr>
              <w:t>późniejszego</w:t>
            </w:r>
            <w:r w:rsidRPr="00D103B4">
              <w:rPr>
                <w:rFonts w:cstheme="minorHAnsi"/>
                <w:i/>
                <w:iCs/>
                <w:kern w:val="2"/>
                <w:sz w:val="20"/>
                <w:szCs w:val="20"/>
                <w14:ligatures w14:val="standardContextual"/>
              </w:rPr>
              <w:t xml:space="preserve"> prawomocnego postanowienia o stwierdzeniu nabycia spadku co do tego samego spadku.</w:t>
            </w:r>
            <w:bookmarkEnd w:id="2"/>
          </w:p>
          <w:p w14:paraId="10E712A5" w14:textId="77777777" w:rsidR="00D05746" w:rsidRPr="00D103B4" w:rsidRDefault="00D05746" w:rsidP="00D05746">
            <w:pPr>
              <w:spacing w:line="276" w:lineRule="auto"/>
              <w:rPr>
                <w:rFonts w:cstheme="minorHAnsi"/>
                <w:kern w:val="2"/>
                <w:sz w:val="20"/>
                <w:szCs w:val="20"/>
                <w14:ligatures w14:val="standardContextual"/>
              </w:rPr>
            </w:pPr>
          </w:p>
          <w:p w14:paraId="613043D9" w14:textId="46C657AC" w:rsidR="00D05746" w:rsidRPr="00D103B4" w:rsidRDefault="00D05746" w:rsidP="00D05746">
            <w:pPr>
              <w:spacing w:line="276" w:lineRule="auto"/>
              <w:rPr>
                <w:rFonts w:cstheme="minorHAnsi"/>
                <w:sz w:val="20"/>
                <w:szCs w:val="20"/>
              </w:rPr>
            </w:pPr>
            <w:r w:rsidRPr="00D103B4">
              <w:rPr>
                <w:rFonts w:cstheme="minorHAnsi"/>
                <w:kern w:val="2"/>
                <w:sz w:val="20"/>
                <w:szCs w:val="20"/>
                <w14:ligatures w14:val="standardContextual"/>
              </w:rPr>
              <w:t xml:space="preserve">Proponowana zmiana redakcyjna jest konsekwencją uwzględnienia w </w:t>
            </w:r>
            <w:r w:rsidRPr="00D103B4">
              <w:rPr>
                <w:rFonts w:cstheme="minorHAnsi"/>
                <w:sz w:val="20"/>
                <w:szCs w:val="20"/>
              </w:rPr>
              <w:t>art. 669</w:t>
            </w:r>
            <w:r w:rsidRPr="00D103B4">
              <w:rPr>
                <w:rStyle w:val="IGindeksgrny"/>
                <w:rFonts w:cstheme="minorHAnsi"/>
                <w:sz w:val="20"/>
                <w:szCs w:val="20"/>
                <w:specVanish w:val="0"/>
              </w:rPr>
              <w:t>2</w:t>
            </w:r>
            <w:r w:rsidRPr="00D103B4">
              <w:rPr>
                <w:rFonts w:cstheme="minorHAnsi"/>
                <w:sz w:val="20"/>
                <w:szCs w:val="20"/>
              </w:rPr>
              <w:t xml:space="preserve"> § 1 KPC również wcześniejszej rejestracji APD.</w:t>
            </w:r>
          </w:p>
        </w:tc>
        <w:tc>
          <w:tcPr>
            <w:tcW w:w="4076" w:type="dxa"/>
          </w:tcPr>
          <w:p w14:paraId="13A7C542" w14:textId="302E5DBF" w:rsidR="00D05746" w:rsidRPr="000660EA" w:rsidRDefault="00D05746" w:rsidP="00D05746">
            <w:pPr>
              <w:spacing w:line="276" w:lineRule="auto"/>
              <w:jc w:val="both"/>
              <w:rPr>
                <w:rFonts w:cstheme="minorHAnsi"/>
                <w:b/>
                <w:bCs/>
                <w:sz w:val="20"/>
                <w:szCs w:val="20"/>
              </w:rPr>
            </w:pPr>
            <w:r w:rsidRPr="000660EA">
              <w:rPr>
                <w:rFonts w:cstheme="minorHAnsi"/>
                <w:b/>
                <w:bCs/>
                <w:sz w:val="20"/>
                <w:szCs w:val="20"/>
              </w:rPr>
              <w:t xml:space="preserve">Uwaga </w:t>
            </w:r>
            <w:r w:rsidR="00BC0915" w:rsidRPr="000660EA">
              <w:rPr>
                <w:rFonts w:cstheme="minorHAnsi"/>
                <w:b/>
                <w:bCs/>
                <w:sz w:val="20"/>
                <w:szCs w:val="20"/>
              </w:rPr>
              <w:t>uwzglę</w:t>
            </w:r>
            <w:r w:rsidR="00BC0915" w:rsidRPr="000660EA">
              <w:rPr>
                <w:b/>
                <w:bCs/>
              </w:rPr>
              <w:t>dnion</w:t>
            </w:r>
            <w:r w:rsidR="000660EA" w:rsidRPr="000660EA">
              <w:rPr>
                <w:b/>
                <w:bCs/>
              </w:rPr>
              <w:t>a</w:t>
            </w:r>
          </w:p>
        </w:tc>
      </w:tr>
      <w:tr w:rsidR="00D05746" w:rsidRPr="00D103B4" w14:paraId="7BE294EC" w14:textId="77777777" w:rsidTr="00B241C8">
        <w:trPr>
          <w:jc w:val="center"/>
        </w:trPr>
        <w:tc>
          <w:tcPr>
            <w:tcW w:w="562" w:type="dxa"/>
          </w:tcPr>
          <w:p w14:paraId="75011347" w14:textId="3482CEB6" w:rsidR="00D05746" w:rsidRPr="00D103B4" w:rsidRDefault="00D05746" w:rsidP="00D05746">
            <w:pPr>
              <w:spacing w:before="120"/>
              <w:ind w:right="-534"/>
              <w:rPr>
                <w:rFonts w:cstheme="minorHAnsi"/>
                <w:b/>
                <w:sz w:val="20"/>
                <w:szCs w:val="20"/>
              </w:rPr>
            </w:pPr>
            <w:r>
              <w:rPr>
                <w:rFonts w:cstheme="minorHAnsi"/>
                <w:b/>
                <w:sz w:val="20"/>
                <w:szCs w:val="20"/>
              </w:rPr>
              <w:t>3</w:t>
            </w:r>
            <w:r w:rsidR="00C90560">
              <w:rPr>
                <w:rFonts w:cstheme="minorHAnsi"/>
                <w:b/>
                <w:sz w:val="20"/>
                <w:szCs w:val="20"/>
              </w:rPr>
              <w:t>7</w:t>
            </w:r>
            <w:r>
              <w:rPr>
                <w:rFonts w:cstheme="minorHAnsi"/>
                <w:b/>
                <w:sz w:val="20"/>
                <w:szCs w:val="20"/>
              </w:rPr>
              <w:t>.</w:t>
            </w:r>
          </w:p>
        </w:tc>
        <w:tc>
          <w:tcPr>
            <w:tcW w:w="1843" w:type="dxa"/>
            <w:vAlign w:val="center"/>
          </w:tcPr>
          <w:p w14:paraId="454D7D5C" w14:textId="4996FDE9" w:rsidR="00D05746" w:rsidRPr="002F2012" w:rsidRDefault="00D05746" w:rsidP="00D05746">
            <w:pPr>
              <w:spacing w:before="120" w:after="120"/>
              <w:jc w:val="center"/>
              <w:rPr>
                <w:rFonts w:cstheme="minorHAnsi"/>
                <w:b/>
                <w:bCs/>
                <w:sz w:val="20"/>
                <w:szCs w:val="20"/>
              </w:rPr>
            </w:pPr>
            <w:r w:rsidRPr="002F2012">
              <w:rPr>
                <w:rFonts w:cstheme="minorHAnsi"/>
                <w:b/>
                <w:bCs/>
                <w:sz w:val="20"/>
                <w:szCs w:val="20"/>
              </w:rPr>
              <w:t>Krajowa Rada Notarialna</w:t>
            </w:r>
          </w:p>
        </w:tc>
        <w:tc>
          <w:tcPr>
            <w:tcW w:w="1843" w:type="dxa"/>
            <w:vAlign w:val="center"/>
          </w:tcPr>
          <w:p w14:paraId="7CA93996" w14:textId="77777777" w:rsidR="00D05746" w:rsidRPr="00D103B4" w:rsidRDefault="00D05746" w:rsidP="00D05746">
            <w:pPr>
              <w:spacing w:before="120" w:after="120"/>
              <w:jc w:val="center"/>
              <w:rPr>
                <w:rFonts w:cstheme="minorHAnsi"/>
                <w:sz w:val="20"/>
                <w:szCs w:val="20"/>
              </w:rPr>
            </w:pPr>
            <w:r w:rsidRPr="00D103B4">
              <w:rPr>
                <w:rFonts w:cstheme="minorHAnsi"/>
                <w:sz w:val="20"/>
                <w:szCs w:val="20"/>
              </w:rPr>
              <w:t>Art. 2 pkt 8 projektu</w:t>
            </w:r>
          </w:p>
          <w:p w14:paraId="48CF01EC" w14:textId="225213B4" w:rsidR="00D05746" w:rsidRPr="00D103B4" w:rsidRDefault="00D05746" w:rsidP="00D05746">
            <w:pPr>
              <w:spacing w:before="120" w:after="120"/>
              <w:jc w:val="center"/>
              <w:rPr>
                <w:rFonts w:cstheme="minorHAnsi"/>
                <w:sz w:val="20"/>
                <w:szCs w:val="20"/>
              </w:rPr>
            </w:pPr>
            <w:r w:rsidRPr="00D103B4">
              <w:rPr>
                <w:rFonts w:cstheme="minorHAnsi"/>
                <w:sz w:val="20"/>
                <w:szCs w:val="20"/>
              </w:rPr>
              <w:t>(art. 679</w:t>
            </w:r>
            <w:r w:rsidRPr="00D103B4">
              <w:rPr>
                <w:rFonts w:cstheme="minorHAnsi"/>
                <w:sz w:val="20"/>
                <w:szCs w:val="20"/>
                <w:vertAlign w:val="superscript"/>
              </w:rPr>
              <w:t>1</w:t>
            </w:r>
            <w:r w:rsidRPr="00D103B4">
              <w:rPr>
                <w:rFonts w:cstheme="minorHAnsi"/>
                <w:sz w:val="20"/>
                <w:szCs w:val="20"/>
              </w:rPr>
              <w:t xml:space="preserve"> k.p.c.)</w:t>
            </w:r>
          </w:p>
        </w:tc>
        <w:tc>
          <w:tcPr>
            <w:tcW w:w="5670" w:type="dxa"/>
            <w:vAlign w:val="center"/>
          </w:tcPr>
          <w:p w14:paraId="488989DC" w14:textId="1CAEB869" w:rsidR="00D05746" w:rsidRPr="00D103B4" w:rsidRDefault="00D05746" w:rsidP="00D05746">
            <w:pPr>
              <w:pStyle w:val="Style7"/>
              <w:widowControl/>
              <w:spacing w:before="7" w:line="276" w:lineRule="auto"/>
              <w:ind w:right="43" w:firstLine="0"/>
              <w:rPr>
                <w:rFonts w:asciiTheme="minorHAnsi" w:hAnsiTheme="minorHAnsi" w:cstheme="minorHAnsi"/>
                <w:sz w:val="20"/>
                <w:szCs w:val="20"/>
              </w:rPr>
            </w:pPr>
            <w:r w:rsidRPr="00D103B4">
              <w:rPr>
                <w:rStyle w:val="FontStyle15"/>
                <w:rFonts w:asciiTheme="minorHAnsi" w:hAnsiTheme="minorHAnsi" w:cstheme="minorHAnsi"/>
              </w:rPr>
              <w:t xml:space="preserve">VI. Popierając rozwiązania poszerzające zakres informacji uwidacznianych w Rejestrze Spadkowym, w tym celem zapobiegania „podwójnym" rozstrzygnięciom spadkowym, Krajowa Rada Notarialna </w:t>
            </w:r>
            <w:r w:rsidRPr="002F2012">
              <w:rPr>
                <w:rStyle w:val="FontStyle15"/>
                <w:rFonts w:asciiTheme="minorHAnsi" w:hAnsiTheme="minorHAnsi" w:cstheme="minorHAnsi"/>
                <w:b/>
                <w:bCs/>
              </w:rPr>
              <w:t>sugeruje zarazem rozważenie, by przy okazji proponowanej nowelizacji przesądzić jednoznacznie, czy fakt toczenia się w danym momencie postępowania o stwierdzenie nabycia spadku stanowi przeszkodę do sporządzenia aktu poświadczenia dziedziczenia</w:t>
            </w:r>
            <w:r w:rsidRPr="00D103B4">
              <w:rPr>
                <w:rStyle w:val="FontStyle15"/>
                <w:rFonts w:asciiTheme="minorHAnsi" w:hAnsiTheme="minorHAnsi" w:cstheme="minorHAnsi"/>
              </w:rPr>
              <w:t xml:space="preserve">. O ile wedle art. 95c § 2 pkt 4 ustawy - Prawo o notariacie w treści protokołu dziedziczenia konieczne jest m.in. oświadczenie zainteresowanych, że w odniesieniu do spadku nie tylko nie wydano postanowienia o stwierdzeniu nabycia spadku lub aktu poświadczenia dziedziczenia, ale również że nie toczy się postępowanie o stwierdzenie nabycia spadku, to w art. 95e § 2 pkt 1 tej ustawy przesądza się już tylko, że notariusz odmawia sporządzenia aktu poświadczenia dziedziczenia, gdy w stosunku do spadku został już uprzednio sporządzony akt poświadczenia dziedziczenia lub wydane postanowienie o stwierdzeniu nabycia spadku; </w:t>
            </w:r>
            <w:r w:rsidRPr="002F2012">
              <w:rPr>
                <w:rStyle w:val="FontStyle15"/>
                <w:rFonts w:asciiTheme="minorHAnsi" w:hAnsiTheme="minorHAnsi" w:cstheme="minorHAnsi"/>
                <w:b/>
                <w:bCs/>
              </w:rPr>
              <w:t>brak tu zatem podstawy odmowy w postaci toczącego się postępowania o stwierdzenie nabycia spadku</w:t>
            </w:r>
            <w:r w:rsidRPr="00D103B4">
              <w:rPr>
                <w:rStyle w:val="FontStyle15"/>
                <w:rFonts w:asciiTheme="minorHAnsi" w:hAnsiTheme="minorHAnsi" w:cstheme="minorHAnsi"/>
              </w:rPr>
              <w:t xml:space="preserve">. Jak się więc wydaje, zasadne jest przesądzenie zagadnienia wprost przez ustawodawcę. </w:t>
            </w:r>
            <w:r w:rsidRPr="00D103B4">
              <w:rPr>
                <w:rStyle w:val="FontStyle15"/>
                <w:rFonts w:asciiTheme="minorHAnsi" w:hAnsiTheme="minorHAnsi" w:cstheme="minorHAnsi"/>
              </w:rPr>
              <w:lastRenderedPageBreak/>
              <w:t>Jeśli w opinii prawodawcy możliwe ma być sporządzenie aktu poświadczenia dziedziczenia mimo toczącego się postępowania o stwierdzenie nabycia spadku (co można byłoby uzasadniać np. okolicznościami, w których strony, uprzednio nieskore do wspólnego stawienia się u notariusza, doszły jednak do porozumienia i zdecydowały się na uzyskanie dokumentu legitymizującego w ścieżce notarialnej zamiast sądowej), to mogłoby być zasadnym usunięcie w art. 95c § 2 pkt 4 wymogu oświadczania przez uczestników protokołu, czy takie postępowanie się toczy. Jeśli jednak toczące się postępowanie ma być przeszkodą do sporządzenia notarialnego aktu poświadczenia dziedziczenia (przy czym w takim kierunku rozstrzyga się niespójność między przywołanymi przepisami w praktyce i doktrynie; zob. W. Borysiak w: W. Bo</w:t>
            </w:r>
            <w:r>
              <w:rPr>
                <w:rStyle w:val="FontStyle15"/>
                <w:rFonts w:asciiTheme="minorHAnsi" w:hAnsiTheme="minorHAnsi" w:cstheme="minorHAnsi"/>
              </w:rPr>
              <w:t>r</w:t>
            </w:r>
            <w:r w:rsidRPr="00D103B4">
              <w:rPr>
                <w:rStyle w:val="FontStyle15"/>
                <w:rFonts w:asciiTheme="minorHAnsi" w:hAnsiTheme="minorHAnsi" w:cstheme="minorHAnsi"/>
              </w:rPr>
              <w:t xml:space="preserve">ysiak (red.), Prawo o notariacie. Komentarz, wyd. 4, 2021, komentarz do art. 95c, nb 40.2; J. Sadowska w: A. J. Szereda (red.), Prawo o notariacie. Komentarz, wyd. 1, 2022, komentarz do art. 95c ustawy, nb 5) warto to jednoznacznie przesądzić w art. 95e § 2 pkt 1 ustawy - Prawo o notariacie; tym samym nie byłoby wątpliwości, że strony, chcąc mimo trwającego postępowania sądowego „przejść" na notarialną ścieżkę stwierdzania praw do spadku, powinny uprzednio doprowadzić do skutecznego cofnięcia wniosku o stwierdzenie nabycia spadku. W razie przesądzenia podniesionego zagadnienia w kierunku, wedle którego notariusz kategorycznie odmawiałby sporządzenia aktu poświadczenia dziedziczenia także, gdy toczy się postępowanie o stwierdzenie nabycia spadku, w obliczu przyjmowanych w projekcie noweli założeń, aby w Rejestrze Spadkowym uwidaczniać nie tylko informację o prawomocnym postanowieniu o stwierdzeniu nabycia </w:t>
            </w:r>
            <w:r w:rsidRPr="00D103B4">
              <w:rPr>
                <w:rStyle w:val="FontStyle15"/>
                <w:rFonts w:asciiTheme="minorHAnsi" w:hAnsiTheme="minorHAnsi" w:cstheme="minorHAnsi"/>
              </w:rPr>
              <w:lastRenderedPageBreak/>
              <w:t>spadku, ale także m.in. o tym, że toczy się postępowanie w tym zakresie, zasadne byłoby także odpowiednie zmodyfikowanie art. 95h § 4 ustawy - Prawo o notariacie, aby również ujawniona w Rejestrze Spadkowym informacja o aktualnie toczącym się postępowaniu o stwierdzenie nabycia spadku powodowała brak rejestracji aktu poświadczenia dziedziczenia.</w:t>
            </w:r>
          </w:p>
        </w:tc>
        <w:tc>
          <w:tcPr>
            <w:tcW w:w="4076" w:type="dxa"/>
          </w:tcPr>
          <w:p w14:paraId="4F5BF649" w14:textId="0D6175E7" w:rsidR="00D05746" w:rsidRPr="000F7A57" w:rsidRDefault="00D05746" w:rsidP="00D05746">
            <w:pPr>
              <w:spacing w:line="276" w:lineRule="auto"/>
              <w:jc w:val="both"/>
              <w:rPr>
                <w:rFonts w:cstheme="minorHAnsi"/>
                <w:b/>
                <w:bCs/>
                <w:sz w:val="20"/>
                <w:szCs w:val="20"/>
              </w:rPr>
            </w:pPr>
            <w:r w:rsidRPr="000F7A57">
              <w:rPr>
                <w:rFonts w:cstheme="minorHAnsi"/>
                <w:b/>
                <w:bCs/>
                <w:sz w:val="20"/>
                <w:szCs w:val="20"/>
              </w:rPr>
              <w:lastRenderedPageBreak/>
              <w:t>Uwaga nie</w:t>
            </w:r>
            <w:r>
              <w:rPr>
                <w:rFonts w:cstheme="minorHAnsi"/>
                <w:b/>
                <w:bCs/>
                <w:sz w:val="20"/>
                <w:szCs w:val="20"/>
              </w:rPr>
              <w:t xml:space="preserve">uwzględniona </w:t>
            </w:r>
          </w:p>
          <w:p w14:paraId="503E782E" w14:textId="6F2FF443" w:rsidR="00D05746" w:rsidRPr="009A060D" w:rsidRDefault="00D05746" w:rsidP="00D05746">
            <w:pPr>
              <w:spacing w:line="276" w:lineRule="auto"/>
              <w:jc w:val="both"/>
              <w:rPr>
                <w:rFonts w:cstheme="minorHAnsi"/>
                <w:sz w:val="20"/>
                <w:szCs w:val="20"/>
              </w:rPr>
            </w:pPr>
            <w:r w:rsidRPr="000F7A57">
              <w:rPr>
                <w:rFonts w:cstheme="minorHAnsi"/>
                <w:sz w:val="20"/>
                <w:szCs w:val="20"/>
              </w:rPr>
              <w:t xml:space="preserve">W ocenie projektodawcy niezasadny jest wniosek o wyraźne przesądzenie w ustawie – Prawo o notariacie, że fakt toczenia się postępowania o stwierdzenie nabycia spadku stanowi przeszkodę do sporządzenia aktu poświadczenia dziedziczenia. Nie sposób bowiem przesądzić, że w trakcie toczącego się postępowania (w szczególności w razie długiego okresu czasu między złożeniem wniosku o stwierdzenie nabycia spadku a wydaniem postanowienia stwierdzającego nabycie), nie zmienią się okoliczności faktyczne (jak </w:t>
            </w:r>
            <w:r>
              <w:rPr>
                <w:rFonts w:cstheme="minorHAnsi"/>
                <w:sz w:val="20"/>
                <w:szCs w:val="20"/>
              </w:rPr>
              <w:t>w podanym p</w:t>
            </w:r>
            <w:r w:rsidRPr="000F7A57">
              <w:rPr>
                <w:rFonts w:cstheme="minorHAnsi"/>
                <w:sz w:val="20"/>
                <w:szCs w:val="20"/>
              </w:rPr>
              <w:t>rzez wnosząc</w:t>
            </w:r>
            <w:r>
              <w:rPr>
                <w:rFonts w:cstheme="minorHAnsi"/>
                <w:sz w:val="20"/>
                <w:szCs w:val="20"/>
              </w:rPr>
              <w:t>ą</w:t>
            </w:r>
            <w:r w:rsidRPr="000F7A57">
              <w:rPr>
                <w:rFonts w:cstheme="minorHAnsi"/>
                <w:sz w:val="20"/>
                <w:szCs w:val="20"/>
              </w:rPr>
              <w:t xml:space="preserve"> uwagę kazusie</w:t>
            </w:r>
            <w:r>
              <w:rPr>
                <w:rFonts w:cstheme="minorHAnsi"/>
                <w:sz w:val="20"/>
                <w:szCs w:val="20"/>
              </w:rPr>
              <w:t xml:space="preserve"> czy przykładowo, gdy potencjalni spadkobiercy znaleźli kupca na majątek wchodzący w skład spadku</w:t>
            </w:r>
            <w:r w:rsidRPr="000F7A57">
              <w:rPr>
                <w:rFonts w:cstheme="minorHAnsi"/>
                <w:sz w:val="20"/>
                <w:szCs w:val="20"/>
              </w:rPr>
              <w:t>) i potencjalny spadkobierca/</w:t>
            </w:r>
            <w:r>
              <w:rPr>
                <w:rFonts w:cstheme="minorHAnsi"/>
                <w:sz w:val="20"/>
                <w:szCs w:val="20"/>
              </w:rPr>
              <w:t xml:space="preserve"> </w:t>
            </w:r>
            <w:r w:rsidRPr="000F7A57">
              <w:rPr>
                <w:rFonts w:cstheme="minorHAnsi"/>
                <w:sz w:val="20"/>
                <w:szCs w:val="20"/>
              </w:rPr>
              <w:t>spadkobiercy nie będzie/będą zainteresowany/</w:t>
            </w:r>
            <w:r>
              <w:rPr>
                <w:rFonts w:cstheme="minorHAnsi"/>
                <w:sz w:val="20"/>
                <w:szCs w:val="20"/>
              </w:rPr>
              <w:t xml:space="preserve"> </w:t>
            </w:r>
            <w:r w:rsidRPr="000F7A57">
              <w:rPr>
                <w:rFonts w:cstheme="minorHAnsi"/>
                <w:sz w:val="20"/>
                <w:szCs w:val="20"/>
              </w:rPr>
              <w:t xml:space="preserve">zainteresowani sprawniejszym zakończeniem sprawy i sporządzeniem aktu poświadczenia </w:t>
            </w:r>
            <w:r w:rsidRPr="000F7A57">
              <w:rPr>
                <w:rFonts w:cstheme="minorHAnsi"/>
                <w:sz w:val="20"/>
                <w:szCs w:val="20"/>
              </w:rPr>
              <w:lastRenderedPageBreak/>
              <w:t xml:space="preserve">dziedziczenia. </w:t>
            </w:r>
            <w:r>
              <w:rPr>
                <w:rFonts w:cstheme="minorHAnsi"/>
                <w:sz w:val="20"/>
                <w:szCs w:val="20"/>
              </w:rPr>
              <w:t>Nie wydaje się zasadne zamykanie zainteresowanym drogi do sprawnego załatwienia ich sprawy. Jednocześnie obowiązujące przepisy zawierają stosowne rozwiązania dedykowane zarówno sytuacji, gdy sprawa o stwierdzenia nabycia spadku się toczy, a wydany został APD (</w:t>
            </w:r>
            <w:r w:rsidRPr="009A060D">
              <w:rPr>
                <w:rFonts w:ascii="Times New Roman" w:hAnsi="Times New Roman" w:cs="Times New Roman"/>
                <w:sz w:val="20"/>
                <w:szCs w:val="20"/>
              </w:rPr>
              <w:t>§</w:t>
            </w:r>
            <w:r>
              <w:rPr>
                <w:rFonts w:cstheme="minorHAnsi"/>
                <w:sz w:val="20"/>
                <w:szCs w:val="20"/>
              </w:rPr>
              <w:t xml:space="preserve"> 148 Instrukcji sądowej), jak i sytuacji, gdy wydane zostały zarówno postanowienie spadkowe, jak i APD (art. 669</w:t>
            </w:r>
            <w:r>
              <w:rPr>
                <w:rFonts w:cstheme="minorHAnsi"/>
                <w:sz w:val="20"/>
                <w:szCs w:val="20"/>
                <w:vertAlign w:val="superscript"/>
              </w:rPr>
              <w:t>1</w:t>
            </w:r>
            <w:r>
              <w:rPr>
                <w:rFonts w:cstheme="minorHAnsi"/>
                <w:sz w:val="20"/>
                <w:szCs w:val="20"/>
              </w:rPr>
              <w:t xml:space="preserve"> </w:t>
            </w:r>
            <w:r w:rsidRPr="009A060D">
              <w:rPr>
                <w:rFonts w:ascii="Times New Roman" w:hAnsi="Times New Roman" w:cs="Times New Roman"/>
                <w:sz w:val="20"/>
                <w:szCs w:val="20"/>
              </w:rPr>
              <w:t>§</w:t>
            </w:r>
            <w:r>
              <w:rPr>
                <w:rFonts w:cstheme="minorHAnsi"/>
                <w:sz w:val="20"/>
                <w:szCs w:val="20"/>
              </w:rPr>
              <w:t xml:space="preserve"> 1 k.p.c.). </w:t>
            </w:r>
          </w:p>
          <w:p w14:paraId="5F7A8F91" w14:textId="16C84286" w:rsidR="00D05746" w:rsidRPr="00D103B4" w:rsidRDefault="00D05746" w:rsidP="00D05746">
            <w:pPr>
              <w:jc w:val="both"/>
              <w:rPr>
                <w:rFonts w:cstheme="minorHAnsi"/>
                <w:sz w:val="20"/>
                <w:szCs w:val="20"/>
              </w:rPr>
            </w:pPr>
          </w:p>
        </w:tc>
      </w:tr>
      <w:tr w:rsidR="00D05746" w:rsidRPr="00D103B4" w14:paraId="7A969676" w14:textId="77777777" w:rsidTr="00B241C8">
        <w:trPr>
          <w:jc w:val="center"/>
        </w:trPr>
        <w:tc>
          <w:tcPr>
            <w:tcW w:w="562" w:type="dxa"/>
          </w:tcPr>
          <w:p w14:paraId="061D91C9" w14:textId="1940F522" w:rsidR="00D05746" w:rsidRPr="00D103B4" w:rsidRDefault="00D05746" w:rsidP="00D05746">
            <w:pPr>
              <w:spacing w:before="120"/>
              <w:ind w:right="-534"/>
              <w:rPr>
                <w:rFonts w:cstheme="minorHAnsi"/>
                <w:b/>
                <w:sz w:val="20"/>
                <w:szCs w:val="20"/>
              </w:rPr>
            </w:pPr>
            <w:r>
              <w:rPr>
                <w:rFonts w:cstheme="minorHAnsi"/>
                <w:b/>
                <w:sz w:val="20"/>
                <w:szCs w:val="20"/>
              </w:rPr>
              <w:lastRenderedPageBreak/>
              <w:t>3</w:t>
            </w:r>
            <w:r w:rsidR="00C90560">
              <w:rPr>
                <w:rFonts w:cstheme="minorHAnsi"/>
                <w:b/>
                <w:sz w:val="20"/>
                <w:szCs w:val="20"/>
              </w:rPr>
              <w:t>8</w:t>
            </w:r>
            <w:r>
              <w:rPr>
                <w:rFonts w:cstheme="minorHAnsi"/>
                <w:b/>
                <w:sz w:val="20"/>
                <w:szCs w:val="20"/>
              </w:rPr>
              <w:t>.</w:t>
            </w:r>
          </w:p>
        </w:tc>
        <w:tc>
          <w:tcPr>
            <w:tcW w:w="1843" w:type="dxa"/>
            <w:vAlign w:val="center"/>
          </w:tcPr>
          <w:p w14:paraId="279F3163" w14:textId="77777777" w:rsidR="00D05746" w:rsidRPr="00D103B4" w:rsidRDefault="00D05746" w:rsidP="00D05746">
            <w:pPr>
              <w:spacing w:before="120" w:after="120"/>
              <w:jc w:val="center"/>
              <w:rPr>
                <w:rFonts w:cstheme="minorHAnsi"/>
                <w:b/>
                <w:bCs/>
                <w:sz w:val="20"/>
                <w:szCs w:val="20"/>
              </w:rPr>
            </w:pPr>
            <w:r w:rsidRPr="00D103B4">
              <w:rPr>
                <w:rFonts w:cstheme="minorHAnsi"/>
                <w:b/>
                <w:bCs/>
                <w:sz w:val="20"/>
                <w:szCs w:val="20"/>
              </w:rPr>
              <w:t xml:space="preserve">Sąd Apelacyjny w Katowicach </w:t>
            </w:r>
          </w:p>
          <w:p w14:paraId="376E76F4" w14:textId="092D3D4C" w:rsidR="00D05746" w:rsidRPr="00D103B4" w:rsidRDefault="00D05746" w:rsidP="00D05746">
            <w:pPr>
              <w:spacing w:before="120" w:after="120"/>
              <w:jc w:val="center"/>
              <w:rPr>
                <w:rFonts w:cstheme="minorHAnsi"/>
                <w:sz w:val="20"/>
                <w:szCs w:val="20"/>
              </w:rPr>
            </w:pPr>
            <w:r w:rsidRPr="00D103B4">
              <w:rPr>
                <w:rFonts w:cstheme="minorHAnsi"/>
                <w:sz w:val="20"/>
                <w:szCs w:val="20"/>
              </w:rPr>
              <w:t xml:space="preserve">- uwaga Sądu Rejonowego w Bielsku-Białej </w:t>
            </w:r>
          </w:p>
        </w:tc>
        <w:tc>
          <w:tcPr>
            <w:tcW w:w="1843" w:type="dxa"/>
            <w:vAlign w:val="center"/>
          </w:tcPr>
          <w:p w14:paraId="54F1FCC5" w14:textId="77777777" w:rsidR="00D05746" w:rsidRPr="00D103B4" w:rsidRDefault="00D05746" w:rsidP="00D05746">
            <w:pPr>
              <w:spacing w:before="120" w:after="120"/>
              <w:jc w:val="center"/>
              <w:rPr>
                <w:rFonts w:cstheme="minorHAnsi"/>
                <w:sz w:val="20"/>
                <w:szCs w:val="20"/>
              </w:rPr>
            </w:pPr>
            <w:r w:rsidRPr="00D103B4">
              <w:rPr>
                <w:rFonts w:cstheme="minorHAnsi"/>
                <w:sz w:val="20"/>
                <w:szCs w:val="20"/>
              </w:rPr>
              <w:t>Art. 3 pkt 2 lit. c</w:t>
            </w:r>
          </w:p>
          <w:p w14:paraId="23D64B8E" w14:textId="6615563F" w:rsidR="00D05746" w:rsidRPr="00D103B4" w:rsidRDefault="00D05746" w:rsidP="00D05746">
            <w:pPr>
              <w:spacing w:before="120" w:after="120"/>
              <w:jc w:val="center"/>
              <w:rPr>
                <w:rFonts w:cstheme="minorHAnsi"/>
                <w:sz w:val="20"/>
                <w:szCs w:val="20"/>
              </w:rPr>
            </w:pPr>
            <w:r w:rsidRPr="00D103B4">
              <w:rPr>
                <w:rFonts w:cstheme="minorHAnsi"/>
                <w:sz w:val="20"/>
                <w:szCs w:val="20"/>
              </w:rPr>
              <w:t>(art. 95i § 3 ustawy Prawo o notariacie)</w:t>
            </w:r>
          </w:p>
        </w:tc>
        <w:tc>
          <w:tcPr>
            <w:tcW w:w="5670" w:type="dxa"/>
            <w:vAlign w:val="center"/>
          </w:tcPr>
          <w:p w14:paraId="63054C41" w14:textId="77777777" w:rsidR="00D05746" w:rsidRPr="00D103B4" w:rsidRDefault="00D05746" w:rsidP="00D05746">
            <w:pPr>
              <w:pStyle w:val="Style7"/>
              <w:spacing w:before="7" w:line="276" w:lineRule="auto"/>
              <w:ind w:right="43" w:firstLine="634"/>
              <w:rPr>
                <w:rStyle w:val="FontStyle15"/>
                <w:rFonts w:asciiTheme="minorHAnsi" w:hAnsiTheme="minorHAnsi" w:cstheme="minorHAnsi"/>
              </w:rPr>
            </w:pPr>
            <w:r w:rsidRPr="00D103B4">
              <w:rPr>
                <w:rStyle w:val="FontStyle15"/>
                <w:rFonts w:asciiTheme="minorHAnsi" w:hAnsiTheme="minorHAnsi" w:cstheme="minorHAnsi"/>
              </w:rPr>
              <w:t>W art. 3 pkt 2 lit c dokonuje się zmiany ustawy Prawo o notariacie poprzez dodatnie do art. 95i § 3 tej ustawy zdania drugiego stanowiącego, że „za wpisy dokonywane w jednej sprawie spadkowej pobiera się jedną opłatę.”. W uzasadnieniu tego projektu do tej zmiany nawiązuje jedno zdanie o treści: „Przesądzone również zostało, że za wszelkie wpisy dokonywane w Rejestrze Spadkowym pobierana jest jedna opłata, która obecnie wynosi 5,00 zł.”. Ocena Skutków Regulacji nie zawiera wyjaśnienia tej zmiany. W rubryce wpływu na sektor finansów publicznych również wskazano, że projektowana regulacja nie wpływa na sektor finansów publicznych.</w:t>
            </w:r>
          </w:p>
          <w:p w14:paraId="5D4B3B8B" w14:textId="77777777" w:rsidR="00D05746" w:rsidRPr="00D103B4" w:rsidRDefault="00D05746" w:rsidP="00D05746">
            <w:pPr>
              <w:pStyle w:val="Style7"/>
              <w:spacing w:before="7" w:line="276" w:lineRule="auto"/>
              <w:ind w:right="43" w:firstLine="634"/>
              <w:rPr>
                <w:rStyle w:val="FontStyle15"/>
                <w:rFonts w:asciiTheme="minorHAnsi" w:hAnsiTheme="minorHAnsi" w:cstheme="minorHAnsi"/>
              </w:rPr>
            </w:pPr>
            <w:r w:rsidRPr="00D103B4">
              <w:rPr>
                <w:rStyle w:val="FontStyle15"/>
                <w:rFonts w:asciiTheme="minorHAnsi" w:hAnsiTheme="minorHAnsi" w:cstheme="minorHAnsi"/>
              </w:rPr>
              <w:t xml:space="preserve">W mojej ocenie powyższa zmiana jest zbędna. Na podstawie art. 95i § 6 ustawy prawo o notariacie „Minister Sprawiedliwości, po zasięgnięciu opinii Krajowej Rady Notarialnej, określi, w drodze rozporządzenia, sposób uiszczania i wysokość opłat za wpisy dokonywane w Rejestrze Spadkowym przez notariusza albo sąd, mając na względzie wysokość kosztów administracyjnych prowadzenia Rejestru Spadkowego oraz jego niedochodowy charakter i niezbędny rozwój”. Proponowana zmiana może, a nawet powinna być wprowadzona poprzez zmianę rozporządzenia Ministra Sprawiedliwości z dnia 7 września 2016 r. w sprawie sposobu uiszczania i wysokości opłat za wpisy </w:t>
            </w:r>
            <w:r w:rsidRPr="00D103B4">
              <w:rPr>
                <w:rStyle w:val="FontStyle15"/>
                <w:rFonts w:asciiTheme="minorHAnsi" w:hAnsiTheme="minorHAnsi" w:cstheme="minorHAnsi"/>
              </w:rPr>
              <w:lastRenderedPageBreak/>
              <w:t>dokonywane w Rejestrze Spadkowym przez notariusza albo sąd (Dz.U. poz. 1420) po zasięgnięciu opinii Krajowej Rady Notarialnej.</w:t>
            </w:r>
          </w:p>
          <w:p w14:paraId="25A5B2C4" w14:textId="77777777" w:rsidR="00D05746" w:rsidRPr="00D103B4" w:rsidRDefault="00D05746" w:rsidP="00D05746">
            <w:pPr>
              <w:pStyle w:val="Style7"/>
              <w:widowControl/>
              <w:spacing w:before="7" w:line="276" w:lineRule="auto"/>
              <w:ind w:right="43" w:firstLine="634"/>
              <w:rPr>
                <w:rStyle w:val="FontStyle15"/>
                <w:rFonts w:asciiTheme="minorHAnsi" w:hAnsiTheme="minorHAnsi" w:cstheme="minorHAnsi"/>
              </w:rPr>
            </w:pPr>
            <w:r w:rsidRPr="00D103B4">
              <w:rPr>
                <w:rStyle w:val="FontStyle15"/>
                <w:rFonts w:asciiTheme="minorHAnsi" w:hAnsiTheme="minorHAnsi" w:cstheme="minorHAnsi"/>
              </w:rPr>
              <w:t>Dodatkowo wbrew intencjom projektodawcy omawiana zmiana nie usuwa wątpliwości, co do wysokości opłaty „za wszystkie wpisy dokonywane w Rejestrze Spadkowym”. Wynika to z faktu, że przepis posługuje się terminem „jedna sprawa spadkowa” który może być różnie rozumiany. W jednym wypadku na podstawie takiego zapisu uprawniony byłby pogląd, że jeśli dokonano wpisu stwierdzenia nabycia spadku, to w przypadku zmiany (albo sprostowania) postanowienia nie należy pobierać opłaty, gdyż zmiany wpisu w rejestrze dokonuje się ciągle w jednej sprawie spadkowej. W drugim wypadku na podstawie takiego zapisu można uznać, że w przypadku połączenia w jednym piśmie wniosków o stwierdzenie nabycia spadku po kilku spadkodawcach należy od wnioskodawcy pobrać jedną opłatę za „jedną sprawę spadkową” nawet jeśli następnie będzie dokonanych kilka wpisów w rejestrze. Intencje projektodawcy powinny więc być jasno określone w uzasadnieniu projektu a sama zmiana bardziej precyzyjna.</w:t>
            </w:r>
          </w:p>
          <w:p w14:paraId="3F8E871D" w14:textId="77777777" w:rsidR="00D05746" w:rsidRPr="00D103B4" w:rsidRDefault="00D05746" w:rsidP="00D05746">
            <w:pPr>
              <w:pStyle w:val="Style7"/>
              <w:spacing w:before="7" w:line="276" w:lineRule="auto"/>
              <w:ind w:right="43" w:firstLine="634"/>
              <w:rPr>
                <w:rStyle w:val="FontStyle15"/>
                <w:rFonts w:asciiTheme="minorHAnsi" w:hAnsiTheme="minorHAnsi" w:cstheme="minorHAnsi"/>
              </w:rPr>
            </w:pPr>
            <w:r w:rsidRPr="00D103B4">
              <w:rPr>
                <w:rStyle w:val="FontStyle15"/>
                <w:rFonts w:asciiTheme="minorHAnsi" w:hAnsiTheme="minorHAnsi" w:cstheme="minorHAnsi"/>
              </w:rPr>
              <w:t xml:space="preserve">Korzystając z faktu, że projektodawca w swoim projekcie dostrzegł konieczność zmian w treści art. 95i ustawy Prawo o notariacie </w:t>
            </w:r>
            <w:r w:rsidRPr="00A04803">
              <w:rPr>
                <w:rStyle w:val="FontStyle15"/>
                <w:rFonts w:asciiTheme="minorHAnsi" w:hAnsiTheme="minorHAnsi" w:cstheme="minorHAnsi"/>
                <w:b/>
                <w:bCs/>
              </w:rPr>
              <w:t>chciałbym zgłosić postulat zmiany § 3 w tej sposób, że ustawodawca zniesie obowiązek pobierania przez sądy od stron opłaty za wpis do rejestru</w:t>
            </w:r>
            <w:r w:rsidRPr="00D103B4">
              <w:rPr>
                <w:rStyle w:val="FontStyle15"/>
                <w:rFonts w:asciiTheme="minorHAnsi" w:hAnsiTheme="minorHAnsi" w:cstheme="minorHAnsi"/>
              </w:rPr>
              <w:t xml:space="preserve">. Rozwiązanie zawarte w art. 95i § 3 i 5 ustawy są wybitnie niepraktyczne i generują szereg czynności po stronie sądu zupełnie zbędnych z punktu widzenia zabezpieczenia interesu Skarbu Państwa. Po pierwsze wysokość opłaty jest żałośnie niska i Skarb Państwa może ją ponosić bez istotnego uszczerbku dla </w:t>
            </w:r>
            <w:r w:rsidRPr="00D103B4">
              <w:rPr>
                <w:rStyle w:val="FontStyle15"/>
                <w:rFonts w:asciiTheme="minorHAnsi" w:hAnsiTheme="minorHAnsi" w:cstheme="minorHAnsi"/>
              </w:rPr>
              <w:lastRenderedPageBreak/>
              <w:t xml:space="preserve">budżetu. Po drugie jeśli ustawodawca uzna, że taka opłata obciąży nadmiernie budżet państwa może skorzystać z możliwości zrekompensowania tego uszczerbku poprzez podniesienia wysokości opłaty od wniosku o stwierdzenie nabycia spadku (co wydaje się już mógł uczynić podnosząc tę opłatę w 2019 r. z poziomu 50 zł do kwoty 100 zł). Po trzecie likwidacja obowiązku pobierania opłaty od stron w istotny sposób zaoszczędzi pracy i kosztów po stronie sądów. Wystarczy wskazać, że realizacja obowiązku wskazanego w art. 95i § 5 ustawy Prawo o notariacie w istocie stanowi większy koszt dla budżetu niż wysokość samej opłaty. Do tego konieczność wzywania strony do uiszczenia opłaty może opóźnić rozpoznanie sprawy, generować dodatkowy obrót akt i czynności sekretariatu. Sam pobór i przekazywanie opłat przez sądy również jawi się jako rozwiązanie niepraktyczne i nieoptymalne. </w:t>
            </w:r>
            <w:r w:rsidRPr="00C3316F">
              <w:rPr>
                <w:rStyle w:val="FontStyle15"/>
                <w:rFonts w:asciiTheme="minorHAnsi" w:hAnsiTheme="minorHAnsi" w:cstheme="minorHAnsi"/>
                <w:b/>
                <w:bCs/>
              </w:rPr>
              <w:t>Dużo łatwiejszym i tańszym rozwiązaniem byłoby wypłacanie np. w odstępach kwartalnych przez Skarb Państwa określonej sumy na rachunek Krajowej Rady Notarialnej na podstawie przedstawianej przez Radę zbiorczej informacji o liczbie wniosków składanych przez sądy</w:t>
            </w:r>
            <w:r w:rsidRPr="00D103B4">
              <w:rPr>
                <w:rStyle w:val="FontStyle15"/>
                <w:rFonts w:asciiTheme="minorHAnsi" w:hAnsiTheme="minorHAnsi" w:cstheme="minorHAnsi"/>
              </w:rPr>
              <w:t>. W obecnym stanie prawnym armia urzędników sądowych co miesiąc przygotowuje zestawienia i polecenia wypłat aby następnie niewiele mniej liczna grupa pracowników oddziałów finansowych sądów dokonuje mniej lub bardziej zbiorczych wypłat środków z rachunków sądowych na rzecz Krajowej Rady Notarialnej. Jednocześnie spora część opłat za wpis do rejestru notarialnego jest wnoszona przez strony jednym przelewem lub jednym znakiem opłaty na rachunek Sądu wiec opłaty i tak faktycznie przekazywane są ze środków Skarbu Państwa.</w:t>
            </w:r>
          </w:p>
          <w:p w14:paraId="59E22E3D" w14:textId="77777777" w:rsidR="00D05746" w:rsidRPr="00D103B4" w:rsidRDefault="00D05746" w:rsidP="00D05746">
            <w:pPr>
              <w:pStyle w:val="Style7"/>
              <w:spacing w:before="7" w:line="276" w:lineRule="auto"/>
              <w:ind w:right="43" w:firstLine="0"/>
              <w:rPr>
                <w:rStyle w:val="FontStyle15"/>
                <w:rFonts w:asciiTheme="minorHAnsi" w:hAnsiTheme="minorHAnsi" w:cstheme="minorHAnsi"/>
              </w:rPr>
            </w:pPr>
            <w:r w:rsidRPr="00D103B4">
              <w:rPr>
                <w:rStyle w:val="FontStyle15"/>
                <w:rFonts w:asciiTheme="minorHAnsi" w:hAnsiTheme="minorHAnsi" w:cstheme="minorHAnsi"/>
              </w:rPr>
              <w:lastRenderedPageBreak/>
              <w:t xml:space="preserve">Projektowane długie </w:t>
            </w:r>
            <w:r w:rsidRPr="009C3D62">
              <w:rPr>
                <w:rStyle w:val="FontStyle15"/>
                <w:rFonts w:asciiTheme="minorHAnsi" w:hAnsiTheme="minorHAnsi" w:cstheme="minorHAnsi"/>
                <w:i/>
                <w:iCs/>
              </w:rPr>
              <w:t>vacatio legis</w:t>
            </w:r>
            <w:r w:rsidRPr="00D103B4">
              <w:rPr>
                <w:rStyle w:val="FontStyle15"/>
                <w:rFonts w:asciiTheme="minorHAnsi" w:hAnsiTheme="minorHAnsi" w:cstheme="minorHAnsi"/>
              </w:rPr>
              <w:t xml:space="preserve"> umożliwiłoby sprawne wdrożenie zmian.</w:t>
            </w:r>
          </w:p>
          <w:p w14:paraId="6F1D430D" w14:textId="5514B7AB" w:rsidR="00D05746" w:rsidRPr="00D103B4" w:rsidRDefault="00D05746" w:rsidP="00D05746">
            <w:pPr>
              <w:pStyle w:val="Style7"/>
              <w:widowControl/>
              <w:spacing w:before="7" w:line="276" w:lineRule="auto"/>
              <w:ind w:right="43" w:firstLine="634"/>
              <w:rPr>
                <w:rStyle w:val="FontStyle15"/>
                <w:rFonts w:asciiTheme="minorHAnsi" w:hAnsiTheme="minorHAnsi" w:cstheme="minorHAnsi"/>
              </w:rPr>
            </w:pPr>
            <w:r w:rsidRPr="00D103B4">
              <w:rPr>
                <w:rStyle w:val="FontStyle15"/>
                <w:rFonts w:asciiTheme="minorHAnsi" w:hAnsiTheme="minorHAnsi" w:cstheme="minorHAnsi"/>
              </w:rPr>
              <w:t>Podsumowując – ułatwieniem zarówno dla stron jak i sądów byłoby wprowadzenie zasady rozliczania się z kosztów dokonywania wpisów do rejestru notarialnego na wniosek sądów bezpośrednio pomiędzy Skarbem Państwa a Krajową Radą Notarialną. Ewentualnie należałoby dokonać połączenia opłaty od wniosku o stwierdzenie nabycia spadku z opłatą za wpis do rejestru notarialnego oszczędzając sądom dodatkowych obowiązków i wydatków.</w:t>
            </w:r>
          </w:p>
        </w:tc>
        <w:tc>
          <w:tcPr>
            <w:tcW w:w="4076" w:type="dxa"/>
          </w:tcPr>
          <w:p w14:paraId="7FA48039" w14:textId="17330041" w:rsidR="00D05746" w:rsidRPr="000660EA" w:rsidRDefault="00D05746" w:rsidP="00D05746">
            <w:pPr>
              <w:jc w:val="both"/>
              <w:rPr>
                <w:rFonts w:cstheme="minorHAnsi"/>
                <w:b/>
                <w:bCs/>
                <w:sz w:val="20"/>
                <w:szCs w:val="20"/>
              </w:rPr>
            </w:pPr>
            <w:r w:rsidRPr="00096603">
              <w:rPr>
                <w:rFonts w:cstheme="minorHAnsi"/>
                <w:b/>
                <w:bCs/>
                <w:sz w:val="20"/>
                <w:szCs w:val="20"/>
              </w:rPr>
              <w:lastRenderedPageBreak/>
              <w:t>Uwaga nieuwzględniona</w:t>
            </w:r>
          </w:p>
          <w:p w14:paraId="6BB83DC8" w14:textId="56FD2C44" w:rsidR="00D05746" w:rsidRPr="004F0B65" w:rsidRDefault="00D05746" w:rsidP="00D05746">
            <w:pPr>
              <w:jc w:val="both"/>
              <w:rPr>
                <w:rFonts w:cstheme="minorHAnsi"/>
                <w:color w:val="FF0000"/>
                <w:sz w:val="20"/>
                <w:szCs w:val="20"/>
              </w:rPr>
            </w:pPr>
            <w:r>
              <w:rPr>
                <w:rFonts w:cstheme="minorHAnsi"/>
                <w:sz w:val="20"/>
                <w:szCs w:val="20"/>
              </w:rPr>
              <w:t xml:space="preserve">Z uwagi na fakt, że zasada poboru opłaty za wpisy w Rejestrze Spadkowym uregulowana jest w art. </w:t>
            </w:r>
            <w:r w:rsidRPr="00401D64">
              <w:rPr>
                <w:rFonts w:cstheme="minorHAnsi"/>
                <w:sz w:val="20"/>
                <w:szCs w:val="20"/>
              </w:rPr>
              <w:t>95i § 3 u.p.n.</w:t>
            </w:r>
            <w:r>
              <w:rPr>
                <w:rFonts w:cstheme="minorHAnsi"/>
                <w:sz w:val="20"/>
                <w:szCs w:val="20"/>
              </w:rPr>
              <w:t xml:space="preserve">, dokonano zmiany właśnie tego przepisu. Przywołane przez wnoszącego uwagę rozporządzenie (tj. </w:t>
            </w:r>
            <w:r w:rsidRPr="000D7E1A">
              <w:rPr>
                <w:rFonts w:cstheme="minorHAnsi"/>
                <w:i/>
                <w:iCs/>
                <w:sz w:val="20"/>
                <w:szCs w:val="20"/>
              </w:rPr>
              <w:t>Rozporządzenie Ministra Sprawiedliwości w sprawie sposobu uiszczania i wysokości opłat za wpisy dokonywane w Rejestrze Spadkowym przez notariusza albo sąd</w:t>
            </w:r>
            <w:r>
              <w:rPr>
                <w:rFonts w:cstheme="minorHAnsi"/>
                <w:sz w:val="20"/>
                <w:szCs w:val="20"/>
              </w:rPr>
              <w:t xml:space="preserve"> – Dz. U. z 2016 r. poz. 1420) reguluje jedynie sposób wnoszenia opłaty i jej wysokość. </w:t>
            </w:r>
          </w:p>
          <w:p w14:paraId="54A9F015" w14:textId="3C1C8656" w:rsidR="00D05746" w:rsidRDefault="00D05746" w:rsidP="00D05746">
            <w:pPr>
              <w:jc w:val="both"/>
              <w:rPr>
                <w:rFonts w:cstheme="minorHAnsi"/>
                <w:sz w:val="20"/>
                <w:szCs w:val="20"/>
              </w:rPr>
            </w:pPr>
            <w:r>
              <w:rPr>
                <w:rFonts w:cstheme="minorHAnsi"/>
                <w:sz w:val="20"/>
                <w:szCs w:val="20"/>
              </w:rPr>
              <w:t>Uzupełniając głos uzasadnienia, projektodawca wskazuje, że m</w:t>
            </w:r>
            <w:r w:rsidRPr="00401D64">
              <w:rPr>
                <w:rFonts w:cstheme="minorHAnsi"/>
                <w:sz w:val="20"/>
                <w:szCs w:val="20"/>
              </w:rPr>
              <w:t>ając na uwadze, że po zmianach wprowadzonych niniejszą ustawą w jednej sprawie spadkowej może zostać podjętych kilka czynności podlegających ujawnieniu w Rejestrze Spadkowym</w:t>
            </w:r>
            <w:r>
              <w:rPr>
                <w:rFonts w:cstheme="minorHAnsi"/>
                <w:sz w:val="20"/>
                <w:szCs w:val="20"/>
              </w:rPr>
              <w:t xml:space="preserve"> (tj. np. wszczęcie postępowania i zarządzenie o zwrocie wniosku albo wszczęcie postępowania i wydanie merytorycznego postanowienia)</w:t>
            </w:r>
            <w:r w:rsidRPr="00401D64">
              <w:rPr>
                <w:rFonts w:cstheme="minorHAnsi"/>
                <w:sz w:val="20"/>
                <w:szCs w:val="20"/>
              </w:rPr>
              <w:t xml:space="preserve">, wskazano wprost, że za wpisy dokonane w jednej takiej sprawie pobiera się jedną opłatę. Regulacja ta ma na celu uniknięcie sytuacji problematycznych poborów opłat (należałoby </w:t>
            </w:r>
            <w:r w:rsidRPr="00401D64">
              <w:rPr>
                <w:rFonts w:cstheme="minorHAnsi"/>
                <w:sz w:val="20"/>
                <w:szCs w:val="20"/>
              </w:rPr>
              <w:lastRenderedPageBreak/>
              <w:t>bowiem pobierać - na etapie wszczęcia sprawy wiele opłat - na poczet różnych potencjalnych czynności sądu), jak i ich zwrotów (jeżeli ostatecznie w sprawie dokonana zostanie jedna czynność podlegająca opłacie).</w:t>
            </w:r>
            <w:r>
              <w:rPr>
                <w:rFonts w:cstheme="minorHAnsi"/>
                <w:sz w:val="20"/>
                <w:szCs w:val="20"/>
              </w:rPr>
              <w:t xml:space="preserve"> </w:t>
            </w:r>
          </w:p>
          <w:p w14:paraId="3BCC7D2E" w14:textId="61E97DDE" w:rsidR="00D05746" w:rsidRDefault="00D05746" w:rsidP="00D05746">
            <w:pPr>
              <w:jc w:val="both"/>
              <w:rPr>
                <w:rFonts w:cstheme="minorHAnsi"/>
                <w:sz w:val="20"/>
                <w:szCs w:val="20"/>
              </w:rPr>
            </w:pPr>
            <w:r>
              <w:rPr>
                <w:rFonts w:cstheme="minorHAnsi"/>
                <w:sz w:val="20"/>
                <w:szCs w:val="20"/>
              </w:rPr>
              <w:t xml:space="preserve">Jednocześnie podkreślenia wymaga, że brzmienie przepisu zostało uzgodnione z Krajową Radą Notarialną, która jest podmiotem odpowiedzialnym za prowadzenie Rejestru Spadkowego. </w:t>
            </w:r>
          </w:p>
          <w:p w14:paraId="50A239F7" w14:textId="36A32C7D" w:rsidR="00D05746" w:rsidRPr="00D103B4" w:rsidRDefault="00D05746" w:rsidP="00D05746">
            <w:pPr>
              <w:jc w:val="both"/>
              <w:rPr>
                <w:rFonts w:cstheme="minorHAnsi"/>
                <w:sz w:val="20"/>
                <w:szCs w:val="20"/>
              </w:rPr>
            </w:pPr>
            <w:r>
              <w:rPr>
                <w:rFonts w:cstheme="minorHAnsi"/>
                <w:sz w:val="20"/>
                <w:szCs w:val="20"/>
              </w:rPr>
              <w:t xml:space="preserve">Odnośnie do postulatu dotyczącego zniesienia obowiązku uiszczenia opłaty, wskazania wymaga, że nie jest on zasadny – zwłaszcza w sytuacji, gdy zwiększa się w niniejszym projekcie zakres informacji ujawnianych w RS, a tym samym zakres zadań KRN, związanych z utrzymaniem RS i jego funkcjonalności. </w:t>
            </w:r>
          </w:p>
        </w:tc>
      </w:tr>
      <w:tr w:rsidR="00D05746" w:rsidRPr="00D103B4" w14:paraId="66034A48" w14:textId="77777777" w:rsidTr="00B241C8">
        <w:trPr>
          <w:jc w:val="center"/>
        </w:trPr>
        <w:tc>
          <w:tcPr>
            <w:tcW w:w="562" w:type="dxa"/>
          </w:tcPr>
          <w:p w14:paraId="61794286" w14:textId="6C08EB19" w:rsidR="00D05746" w:rsidRPr="00D103B4" w:rsidRDefault="00C90560" w:rsidP="00D05746">
            <w:pPr>
              <w:spacing w:before="120" w:line="276" w:lineRule="auto"/>
              <w:ind w:right="-534"/>
              <w:rPr>
                <w:rFonts w:cstheme="minorHAnsi"/>
                <w:b/>
                <w:sz w:val="20"/>
                <w:szCs w:val="20"/>
              </w:rPr>
            </w:pPr>
            <w:r>
              <w:rPr>
                <w:rFonts w:cstheme="minorHAnsi"/>
                <w:b/>
                <w:sz w:val="20"/>
                <w:szCs w:val="20"/>
              </w:rPr>
              <w:lastRenderedPageBreak/>
              <w:t>39</w:t>
            </w:r>
            <w:r w:rsidR="00D05746" w:rsidRPr="00D103B4">
              <w:rPr>
                <w:rFonts w:cstheme="minorHAnsi"/>
                <w:b/>
                <w:sz w:val="20"/>
                <w:szCs w:val="20"/>
              </w:rPr>
              <w:t>.</w:t>
            </w:r>
          </w:p>
        </w:tc>
        <w:tc>
          <w:tcPr>
            <w:tcW w:w="1843" w:type="dxa"/>
            <w:vAlign w:val="center"/>
          </w:tcPr>
          <w:p w14:paraId="03FA048C" w14:textId="62C78F6B"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Ośrodek Badań, Studiów i Legislacji Krajowej Rady Radców Prawnych</w:t>
            </w:r>
          </w:p>
        </w:tc>
        <w:tc>
          <w:tcPr>
            <w:tcW w:w="1843" w:type="dxa"/>
            <w:vAlign w:val="center"/>
          </w:tcPr>
          <w:p w14:paraId="298D179F" w14:textId="04E8E65F" w:rsidR="00D05746" w:rsidRPr="00D103B4" w:rsidRDefault="00D05746" w:rsidP="00D05746">
            <w:pPr>
              <w:spacing w:before="120" w:after="120" w:line="276" w:lineRule="auto"/>
              <w:jc w:val="center"/>
              <w:rPr>
                <w:rFonts w:cstheme="minorHAnsi"/>
                <w:sz w:val="20"/>
                <w:szCs w:val="20"/>
              </w:rPr>
            </w:pPr>
            <w:r w:rsidRPr="00D103B4">
              <w:rPr>
                <w:rFonts w:cstheme="minorHAnsi"/>
                <w:sz w:val="20"/>
                <w:szCs w:val="20"/>
              </w:rPr>
              <w:t>Art. 5 projektu</w:t>
            </w:r>
          </w:p>
        </w:tc>
        <w:tc>
          <w:tcPr>
            <w:tcW w:w="5670" w:type="dxa"/>
            <w:vAlign w:val="center"/>
          </w:tcPr>
          <w:p w14:paraId="55F5863D" w14:textId="77777777"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Wątpliwości może budzić proponowane w art. 5 Projektu objęcie zwolnieniem jedynie wniosku o przesłuchanie świadków testamentu wojskowego, co oznacza, że wniosek o przesłuchanie świadków testamentu ustnego będzie już podlegać opłacie sądowej.</w:t>
            </w:r>
          </w:p>
          <w:p w14:paraId="7010BD94" w14:textId="77777777" w:rsidR="00D05746" w:rsidRPr="00D103B4" w:rsidRDefault="00D05746" w:rsidP="00D05746">
            <w:pPr>
              <w:autoSpaceDE w:val="0"/>
              <w:autoSpaceDN w:val="0"/>
              <w:adjustRightInd w:val="0"/>
              <w:spacing w:line="276" w:lineRule="auto"/>
              <w:jc w:val="both"/>
              <w:rPr>
                <w:rFonts w:cstheme="minorHAnsi"/>
                <w:color w:val="000000"/>
                <w:sz w:val="20"/>
                <w:szCs w:val="20"/>
              </w:rPr>
            </w:pPr>
          </w:p>
          <w:p w14:paraId="1DEE000E" w14:textId="3B321E53" w:rsidR="00D05746" w:rsidRPr="00D103B4" w:rsidRDefault="00D05746" w:rsidP="00D05746">
            <w:pPr>
              <w:spacing w:line="276" w:lineRule="auto"/>
              <w:jc w:val="both"/>
              <w:rPr>
                <w:rFonts w:eastAsia="Times New Roman" w:cstheme="minorHAnsi"/>
                <w:bCs/>
                <w:i/>
                <w:iCs/>
                <w:sz w:val="20"/>
                <w:szCs w:val="20"/>
                <w:lang w:eastAsia="pl-PL"/>
              </w:rPr>
            </w:pPr>
            <w:r w:rsidRPr="00D103B4">
              <w:rPr>
                <w:rFonts w:eastAsia="Times New Roman" w:cstheme="minorHAnsi"/>
                <w:bCs/>
                <w:i/>
                <w:iCs/>
                <w:sz w:val="20"/>
                <w:szCs w:val="20"/>
                <w:lang w:eastAsia="pl-PL"/>
              </w:rPr>
              <w:t xml:space="preserve">Uzasadnienie </w:t>
            </w:r>
          </w:p>
          <w:p w14:paraId="24D00169" w14:textId="49981D8B"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Pomiędzy wnioskiem o przesłuchanie świadków testamentu wojskowego i testamentu ustnego nie zachodzą takie różnice, które uzasadniają</w:t>
            </w:r>
            <w:r>
              <w:rPr>
                <w:rFonts w:cstheme="minorHAnsi"/>
                <w:color w:val="000000"/>
                <w:sz w:val="20"/>
                <w:szCs w:val="20"/>
              </w:rPr>
              <w:t xml:space="preserve"> </w:t>
            </w:r>
            <w:r w:rsidRPr="00D103B4">
              <w:rPr>
                <w:rFonts w:cstheme="minorHAnsi"/>
                <w:color w:val="000000"/>
                <w:sz w:val="20"/>
                <w:szCs w:val="20"/>
              </w:rPr>
              <w:t>zróżnicowane podejście do obciążenia wnioskodawców opłatami sądowymi albo przyznania im zwolnienia od opłat sądowych.</w:t>
            </w:r>
          </w:p>
        </w:tc>
        <w:tc>
          <w:tcPr>
            <w:tcW w:w="4076" w:type="dxa"/>
          </w:tcPr>
          <w:p w14:paraId="63588570" w14:textId="373A9E8C" w:rsidR="00D05746" w:rsidRDefault="00D05746" w:rsidP="00D05746">
            <w:pPr>
              <w:spacing w:line="276" w:lineRule="auto"/>
              <w:jc w:val="both"/>
              <w:rPr>
                <w:rFonts w:cstheme="minorHAnsi"/>
                <w:b/>
                <w:bCs/>
                <w:sz w:val="20"/>
                <w:szCs w:val="20"/>
              </w:rPr>
            </w:pPr>
            <w:r w:rsidRPr="00335857">
              <w:rPr>
                <w:rFonts w:cstheme="minorHAnsi"/>
                <w:b/>
                <w:bCs/>
                <w:sz w:val="20"/>
                <w:szCs w:val="20"/>
              </w:rPr>
              <w:t>Uwaga nieuwzględniona</w:t>
            </w:r>
          </w:p>
          <w:p w14:paraId="20A0A215" w14:textId="2FF18856" w:rsidR="00D05746" w:rsidRPr="00AA7173" w:rsidRDefault="00D05746" w:rsidP="00D05746">
            <w:pPr>
              <w:spacing w:line="276" w:lineRule="auto"/>
              <w:jc w:val="both"/>
              <w:rPr>
                <w:rFonts w:cstheme="minorHAnsi"/>
                <w:sz w:val="20"/>
                <w:szCs w:val="20"/>
              </w:rPr>
            </w:pPr>
            <w:r w:rsidRPr="00AA7173">
              <w:rPr>
                <w:rFonts w:cstheme="minorHAnsi"/>
                <w:sz w:val="20"/>
                <w:szCs w:val="20"/>
              </w:rPr>
              <w:t xml:space="preserve">Należy wskazać, że </w:t>
            </w:r>
            <w:r>
              <w:rPr>
                <w:rFonts w:cstheme="minorHAnsi"/>
                <w:sz w:val="20"/>
                <w:szCs w:val="20"/>
              </w:rPr>
              <w:t xml:space="preserve">projektowane rozwiązania nie przewidują możliwości stwierdzenia treści testamentu ustnego poprzez przesłuchanie świadków, stąd nie zachodzi rozdźwięk, o którym mowa w uwadze. </w:t>
            </w:r>
          </w:p>
          <w:p w14:paraId="5AD2DA08" w14:textId="2B3731D0" w:rsidR="00D05746" w:rsidRPr="00D103B4" w:rsidRDefault="00D05746" w:rsidP="00D05746">
            <w:pPr>
              <w:spacing w:line="276" w:lineRule="auto"/>
              <w:jc w:val="both"/>
              <w:rPr>
                <w:rFonts w:cstheme="minorHAnsi"/>
                <w:sz w:val="20"/>
                <w:szCs w:val="20"/>
              </w:rPr>
            </w:pPr>
          </w:p>
        </w:tc>
      </w:tr>
      <w:tr w:rsidR="00D05746" w:rsidRPr="00D103B4" w14:paraId="6A3C594F" w14:textId="77777777" w:rsidTr="00B241C8">
        <w:trPr>
          <w:jc w:val="center"/>
        </w:trPr>
        <w:tc>
          <w:tcPr>
            <w:tcW w:w="562" w:type="dxa"/>
          </w:tcPr>
          <w:p w14:paraId="2F1B18A0" w14:textId="2D2FFE71" w:rsidR="00D05746" w:rsidRPr="00D103B4" w:rsidRDefault="00D05746" w:rsidP="00D05746">
            <w:pPr>
              <w:spacing w:before="120" w:line="276" w:lineRule="auto"/>
              <w:ind w:right="-534"/>
              <w:rPr>
                <w:rFonts w:cstheme="minorHAnsi"/>
                <w:b/>
                <w:sz w:val="20"/>
                <w:szCs w:val="20"/>
              </w:rPr>
            </w:pPr>
            <w:r>
              <w:rPr>
                <w:rFonts w:cstheme="minorHAnsi"/>
                <w:b/>
                <w:sz w:val="20"/>
                <w:szCs w:val="20"/>
              </w:rPr>
              <w:t>4</w:t>
            </w:r>
            <w:r w:rsidR="00C90560">
              <w:rPr>
                <w:rFonts w:cstheme="minorHAnsi"/>
                <w:b/>
                <w:sz w:val="20"/>
                <w:szCs w:val="20"/>
              </w:rPr>
              <w:t>0</w:t>
            </w:r>
            <w:r w:rsidRPr="00D103B4">
              <w:rPr>
                <w:rFonts w:cstheme="minorHAnsi"/>
                <w:b/>
                <w:sz w:val="20"/>
                <w:szCs w:val="20"/>
              </w:rPr>
              <w:t>.</w:t>
            </w:r>
          </w:p>
        </w:tc>
        <w:tc>
          <w:tcPr>
            <w:tcW w:w="1843" w:type="dxa"/>
            <w:vAlign w:val="center"/>
          </w:tcPr>
          <w:p w14:paraId="3D8C7FFA" w14:textId="41568837"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Ośrodek Badań, Studiów i Legislacji Krajowej Rady Radców Prawnych</w:t>
            </w:r>
          </w:p>
        </w:tc>
        <w:tc>
          <w:tcPr>
            <w:tcW w:w="1843" w:type="dxa"/>
            <w:vAlign w:val="center"/>
          </w:tcPr>
          <w:p w14:paraId="52166918" w14:textId="2495E69F" w:rsidR="00D05746" w:rsidRPr="00D103B4" w:rsidRDefault="00D05746" w:rsidP="00D05746">
            <w:pPr>
              <w:spacing w:before="120" w:after="120" w:line="276" w:lineRule="auto"/>
              <w:jc w:val="center"/>
              <w:rPr>
                <w:rFonts w:cstheme="minorHAnsi"/>
                <w:sz w:val="20"/>
                <w:szCs w:val="20"/>
              </w:rPr>
            </w:pPr>
            <w:r w:rsidRPr="00D103B4">
              <w:rPr>
                <w:rFonts w:cstheme="minorHAnsi"/>
                <w:sz w:val="20"/>
                <w:szCs w:val="20"/>
              </w:rPr>
              <w:t>Art. 7 projektu</w:t>
            </w:r>
          </w:p>
        </w:tc>
        <w:tc>
          <w:tcPr>
            <w:tcW w:w="5670" w:type="dxa"/>
            <w:vAlign w:val="center"/>
          </w:tcPr>
          <w:p w14:paraId="59EC03E0" w14:textId="77777777"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Artykuł 7 Projektu jest zbędny. Jeśli art. 7 Projektu miałby być pozostawiony, to powinien co najwyżej stwierdzać utratę mocy rozporządzenia Ministra Obrony Narodowej z dnia 30 tycznia 1965 roku w sprawie testamentów wojskowych, Dz. U. z 1965 roku, Nr 7, poz. 38, a nie je uchylać.</w:t>
            </w:r>
          </w:p>
          <w:p w14:paraId="78EE14E2" w14:textId="77777777" w:rsidR="00D05746" w:rsidRPr="00D103B4" w:rsidRDefault="00D05746" w:rsidP="00D05746">
            <w:pPr>
              <w:autoSpaceDE w:val="0"/>
              <w:autoSpaceDN w:val="0"/>
              <w:adjustRightInd w:val="0"/>
              <w:spacing w:line="276" w:lineRule="auto"/>
              <w:jc w:val="both"/>
              <w:rPr>
                <w:rFonts w:cstheme="minorHAnsi"/>
                <w:color w:val="000000"/>
                <w:sz w:val="20"/>
                <w:szCs w:val="20"/>
              </w:rPr>
            </w:pPr>
          </w:p>
          <w:p w14:paraId="60A42872" w14:textId="74C04E27" w:rsidR="00D05746" w:rsidRPr="00D103B4" w:rsidRDefault="00D05746" w:rsidP="00D05746">
            <w:pPr>
              <w:spacing w:line="276" w:lineRule="auto"/>
              <w:jc w:val="both"/>
              <w:rPr>
                <w:rFonts w:eastAsia="Times New Roman" w:cstheme="minorHAnsi"/>
                <w:bCs/>
                <w:i/>
                <w:iCs/>
                <w:sz w:val="20"/>
                <w:szCs w:val="20"/>
                <w:lang w:eastAsia="pl-PL"/>
              </w:rPr>
            </w:pPr>
            <w:r w:rsidRPr="00D103B4">
              <w:rPr>
                <w:rFonts w:eastAsia="Times New Roman" w:cstheme="minorHAnsi"/>
                <w:bCs/>
                <w:i/>
                <w:iCs/>
                <w:sz w:val="20"/>
                <w:szCs w:val="20"/>
                <w:lang w:eastAsia="pl-PL"/>
              </w:rPr>
              <w:lastRenderedPageBreak/>
              <w:t>Uzasadnienie</w:t>
            </w:r>
          </w:p>
          <w:p w14:paraId="40CA9E4D" w14:textId="55638CD4" w:rsidR="00D05746" w:rsidRPr="00D103B4" w:rsidRDefault="00D05746" w:rsidP="00D05746">
            <w:pPr>
              <w:autoSpaceDE w:val="0"/>
              <w:autoSpaceDN w:val="0"/>
              <w:adjustRightInd w:val="0"/>
              <w:spacing w:line="276" w:lineRule="auto"/>
              <w:jc w:val="both"/>
              <w:rPr>
                <w:rFonts w:cstheme="minorHAnsi"/>
                <w:color w:val="000000"/>
                <w:sz w:val="20"/>
                <w:szCs w:val="20"/>
              </w:rPr>
            </w:pPr>
            <w:r w:rsidRPr="00D103B4">
              <w:rPr>
                <w:rFonts w:cstheme="minorHAnsi"/>
                <w:color w:val="000000"/>
                <w:sz w:val="20"/>
                <w:szCs w:val="20"/>
              </w:rPr>
              <w:t>Wątpliwości z punktu widzenia § 32 ust. 1 załącznika do Rozporządzenia Prezesa Rady Ministrów z dnia 20 czerwca 2002 roku w sprawie „Zasad Techniki Prawodawczej”, Dz. U.</w:t>
            </w:r>
            <w:r w:rsidRPr="00D103B4">
              <w:rPr>
                <w:rFonts w:cstheme="minorHAnsi"/>
                <w:sz w:val="20"/>
                <w:szCs w:val="20"/>
              </w:rPr>
              <w:t xml:space="preserve"> </w:t>
            </w:r>
            <w:r w:rsidRPr="00D103B4">
              <w:rPr>
                <w:rFonts w:cstheme="minorHAnsi"/>
                <w:color w:val="000000"/>
                <w:sz w:val="20"/>
                <w:szCs w:val="20"/>
              </w:rPr>
              <w:t>z 2016 roku, poz. 283 budzi proponowany art. 7 Projektu uchylający rozporządzenie Ministra Obrony Narodowej z dnia 30 tycznia 1965 roku w sprawie testamentów wojskowych, Dz. U. z 1965 roku, Nr 7, poz. 38 wydane na podstawie art. 954 k.c. uchylanego na podstawie art. 1 pkt 3 Projektu. Jeżeli uchyla się ustawę, na podstawie której wydano akt wykonawczy, albo uchyla się przepis ustawy upoważniający do wydania aktu wykonawczego, przyjmuje się, że taki akt wykonawczy traci moc obowiązującą odpowiednio z dniem wejścia w życie ustawy uchylającej albo z dniem wejścia w życie przepisu uchylającego upoważnienie do wydania tego aktu. Z tego powodu art. 7 Projektu jest zbędny. Jeśli art. 7 Projektu miałby być pozostawiony, to powinien co najwyżej stwierdzać utratę mocy rozporządzenia Ministra Obrony Narodowej z dnia 30 tycznia 1965 roku w sprawie testamentów wojskowych, Dz. U. z 1965 roku, Nr 7, poz. 38, a nie je uchylać.</w:t>
            </w:r>
          </w:p>
        </w:tc>
        <w:tc>
          <w:tcPr>
            <w:tcW w:w="4076" w:type="dxa"/>
          </w:tcPr>
          <w:p w14:paraId="4BFDBFD1" w14:textId="32BF5F69" w:rsidR="00D05746" w:rsidRDefault="00D05746" w:rsidP="00D05746">
            <w:pPr>
              <w:spacing w:line="276" w:lineRule="auto"/>
              <w:jc w:val="both"/>
              <w:rPr>
                <w:rFonts w:cstheme="minorHAnsi"/>
                <w:b/>
                <w:bCs/>
                <w:sz w:val="20"/>
                <w:szCs w:val="20"/>
              </w:rPr>
            </w:pPr>
            <w:r w:rsidRPr="00335857">
              <w:rPr>
                <w:rFonts w:cstheme="minorHAnsi"/>
                <w:b/>
                <w:bCs/>
                <w:sz w:val="20"/>
                <w:szCs w:val="20"/>
              </w:rPr>
              <w:lastRenderedPageBreak/>
              <w:t>Uwaga uwzględniona</w:t>
            </w:r>
          </w:p>
          <w:p w14:paraId="27F42AE7" w14:textId="35F65872" w:rsidR="00D05746" w:rsidRPr="004F0B65" w:rsidRDefault="00D05746" w:rsidP="00D05746">
            <w:pPr>
              <w:spacing w:line="276" w:lineRule="auto"/>
              <w:jc w:val="both"/>
              <w:rPr>
                <w:rFonts w:cstheme="minorHAnsi"/>
                <w:sz w:val="20"/>
                <w:szCs w:val="20"/>
              </w:rPr>
            </w:pPr>
            <w:r w:rsidRPr="004F0B65">
              <w:rPr>
                <w:rFonts w:cstheme="minorHAnsi"/>
                <w:sz w:val="20"/>
                <w:szCs w:val="20"/>
              </w:rPr>
              <w:t xml:space="preserve">Skutkiem przeniesienia do Kodeksu cywilnego przepisów odnoszących się do formy testamentu wojskowego oraz uchylenia art. 954 k.c. będzie także automatyczne uchylenie z tą samą datą Rozporządzenia Ministra Obrony </w:t>
            </w:r>
            <w:r w:rsidRPr="004F0B65">
              <w:rPr>
                <w:rFonts w:cstheme="minorHAnsi"/>
                <w:sz w:val="20"/>
                <w:szCs w:val="20"/>
              </w:rPr>
              <w:lastRenderedPageBreak/>
              <w:t>Narodowej w sprawie testamentów wojskowych z dnia 30 stycznia 1965 r.</w:t>
            </w:r>
          </w:p>
          <w:p w14:paraId="06D68EE6" w14:textId="77777777" w:rsidR="00D05746" w:rsidRDefault="00D05746" w:rsidP="00D05746">
            <w:pPr>
              <w:spacing w:line="276" w:lineRule="auto"/>
              <w:jc w:val="both"/>
              <w:rPr>
                <w:rFonts w:cstheme="minorHAnsi"/>
                <w:b/>
                <w:bCs/>
                <w:sz w:val="20"/>
                <w:szCs w:val="20"/>
              </w:rPr>
            </w:pPr>
          </w:p>
          <w:p w14:paraId="3827CEFC" w14:textId="215FFB34" w:rsidR="00D05746" w:rsidRPr="00335857" w:rsidRDefault="00D05746" w:rsidP="00D05746">
            <w:pPr>
              <w:spacing w:line="276" w:lineRule="auto"/>
              <w:jc w:val="both"/>
              <w:rPr>
                <w:rFonts w:cstheme="minorHAnsi"/>
                <w:b/>
                <w:bCs/>
                <w:sz w:val="20"/>
                <w:szCs w:val="20"/>
              </w:rPr>
            </w:pPr>
          </w:p>
        </w:tc>
      </w:tr>
      <w:tr w:rsidR="00D05746" w:rsidRPr="00D103B4" w14:paraId="2A47CC9F" w14:textId="77777777" w:rsidTr="00B241C8">
        <w:trPr>
          <w:jc w:val="center"/>
        </w:trPr>
        <w:tc>
          <w:tcPr>
            <w:tcW w:w="562" w:type="dxa"/>
          </w:tcPr>
          <w:p w14:paraId="138663E5" w14:textId="2540FF4F" w:rsidR="00D05746" w:rsidRPr="00D103B4" w:rsidRDefault="00D05746" w:rsidP="00D05746">
            <w:pPr>
              <w:spacing w:before="120" w:line="276" w:lineRule="auto"/>
              <w:ind w:right="-534"/>
              <w:rPr>
                <w:rFonts w:cstheme="minorHAnsi"/>
                <w:b/>
                <w:sz w:val="20"/>
                <w:szCs w:val="20"/>
              </w:rPr>
            </w:pPr>
            <w:r>
              <w:rPr>
                <w:rFonts w:cstheme="minorHAnsi"/>
                <w:b/>
                <w:sz w:val="20"/>
                <w:szCs w:val="20"/>
              </w:rPr>
              <w:lastRenderedPageBreak/>
              <w:t>4</w:t>
            </w:r>
            <w:r w:rsidR="00C90560">
              <w:rPr>
                <w:rFonts w:cstheme="minorHAnsi"/>
                <w:b/>
                <w:sz w:val="20"/>
                <w:szCs w:val="20"/>
              </w:rPr>
              <w:t>1</w:t>
            </w:r>
            <w:r w:rsidRPr="00D103B4">
              <w:rPr>
                <w:rFonts w:cstheme="minorHAnsi"/>
                <w:b/>
                <w:sz w:val="20"/>
                <w:szCs w:val="20"/>
              </w:rPr>
              <w:t>.</w:t>
            </w:r>
          </w:p>
        </w:tc>
        <w:tc>
          <w:tcPr>
            <w:tcW w:w="1843" w:type="dxa"/>
            <w:vAlign w:val="center"/>
          </w:tcPr>
          <w:p w14:paraId="25B316F1" w14:textId="4C20C42B" w:rsidR="00D05746" w:rsidRPr="00D103B4" w:rsidRDefault="00D05746" w:rsidP="00D05746">
            <w:pPr>
              <w:spacing w:before="120" w:after="120" w:line="276" w:lineRule="auto"/>
              <w:jc w:val="center"/>
              <w:rPr>
                <w:rFonts w:cstheme="minorHAnsi"/>
                <w:b/>
                <w:bCs/>
                <w:sz w:val="20"/>
                <w:szCs w:val="20"/>
              </w:rPr>
            </w:pPr>
            <w:r w:rsidRPr="00D103B4">
              <w:rPr>
                <w:rFonts w:cstheme="minorHAnsi"/>
                <w:b/>
                <w:bCs/>
                <w:sz w:val="20"/>
                <w:szCs w:val="20"/>
              </w:rPr>
              <w:t>Konferencja Episkopatu Polski</w:t>
            </w:r>
          </w:p>
        </w:tc>
        <w:tc>
          <w:tcPr>
            <w:tcW w:w="1843" w:type="dxa"/>
            <w:vAlign w:val="center"/>
          </w:tcPr>
          <w:p w14:paraId="6283F1B7" w14:textId="202753A7" w:rsidR="00D05746" w:rsidRPr="00D103B4" w:rsidRDefault="00D05746" w:rsidP="00D05746">
            <w:pPr>
              <w:spacing w:before="120" w:after="120" w:line="276" w:lineRule="auto"/>
              <w:jc w:val="center"/>
              <w:rPr>
                <w:rFonts w:cstheme="minorHAnsi"/>
                <w:bCs/>
                <w:sz w:val="20"/>
                <w:szCs w:val="20"/>
              </w:rPr>
            </w:pPr>
            <w:r w:rsidRPr="00D103B4">
              <w:rPr>
                <w:rFonts w:cstheme="minorHAnsi"/>
                <w:bCs/>
                <w:sz w:val="20"/>
                <w:szCs w:val="20"/>
              </w:rPr>
              <w:t>Art. 8 i 9 projektu</w:t>
            </w:r>
          </w:p>
        </w:tc>
        <w:tc>
          <w:tcPr>
            <w:tcW w:w="5670" w:type="dxa"/>
            <w:vAlign w:val="center"/>
          </w:tcPr>
          <w:p w14:paraId="6458D7F0" w14:textId="322C4B72" w:rsidR="00D05746" w:rsidRPr="00D103B4" w:rsidRDefault="00D05746" w:rsidP="00D05746">
            <w:pPr>
              <w:spacing w:line="276" w:lineRule="auto"/>
              <w:ind w:firstLine="708"/>
              <w:jc w:val="both"/>
              <w:rPr>
                <w:rFonts w:cstheme="minorHAnsi"/>
                <w:sz w:val="20"/>
                <w:szCs w:val="20"/>
              </w:rPr>
            </w:pPr>
            <w:r w:rsidRPr="00D103B4">
              <w:rPr>
                <w:rFonts w:cstheme="minorHAnsi"/>
                <w:sz w:val="20"/>
                <w:szCs w:val="20"/>
              </w:rPr>
              <w:t xml:space="preserve">W zakresie przepisów przejściowych projektowanej ustawy nowelizującej </w:t>
            </w:r>
            <w:r w:rsidRPr="00D103B4">
              <w:rPr>
                <w:rFonts w:cstheme="minorHAnsi"/>
                <w:b/>
                <w:sz w:val="20"/>
                <w:szCs w:val="20"/>
              </w:rPr>
              <w:t>pewne wątpliwości</w:t>
            </w:r>
            <w:r w:rsidRPr="00D103B4">
              <w:rPr>
                <w:rFonts w:cstheme="minorHAnsi"/>
                <w:sz w:val="20"/>
                <w:szCs w:val="20"/>
              </w:rPr>
              <w:t xml:space="preserve"> budzi konstrukcja jej art. 8. Skoro do testamentów sporządzonych przed dniem wejścia w życie niniejszej ustawy stosuje się przepisy dotychczasowe, to zbędnym jest dodawanie ustępu 2, w którym stwierdzono, że zasada dalszego stosowania ustawy dawnej ma zastosowanie do przesłuchania świadków testamentu ustnego sporządzonego przed dniem wejścia wżycie ustawy nowelizującej (rozstrzyga to zasada prawa międzyczasowego, wskazana w ustępie 1 tego przepisu).</w:t>
            </w:r>
            <w:r>
              <w:rPr>
                <w:rFonts w:cstheme="minorHAnsi"/>
                <w:sz w:val="20"/>
                <w:szCs w:val="20"/>
              </w:rPr>
              <w:t xml:space="preserve"> </w:t>
            </w:r>
            <w:r w:rsidRPr="00D103B4">
              <w:rPr>
                <w:rFonts w:cstheme="minorHAnsi"/>
                <w:sz w:val="20"/>
                <w:szCs w:val="20"/>
              </w:rPr>
              <w:t xml:space="preserve">Jeżeli </w:t>
            </w:r>
            <w:r w:rsidRPr="00D103B4">
              <w:rPr>
                <w:rFonts w:cstheme="minorHAnsi"/>
                <w:sz w:val="20"/>
                <w:szCs w:val="20"/>
              </w:rPr>
              <w:lastRenderedPageBreak/>
              <w:t>ustawa w przepisach przejściowych zakłada, że do zdarzeń mających miejsce przed dniem wejścia w życie nowej ustawy stosuje się przepisy dotychczasowe, to obejmuje to zarówno kwestie sporządzenia testamentu, jak i</w:t>
            </w:r>
            <w:r>
              <w:rPr>
                <w:rFonts w:cstheme="minorHAnsi"/>
                <w:sz w:val="20"/>
                <w:szCs w:val="20"/>
              </w:rPr>
              <w:t xml:space="preserve"> </w:t>
            </w:r>
            <w:r w:rsidRPr="00D103B4">
              <w:rPr>
                <w:rFonts w:cstheme="minorHAnsi"/>
                <w:sz w:val="20"/>
                <w:szCs w:val="20"/>
              </w:rPr>
              <w:t xml:space="preserve">stwierdzenia jego treści. </w:t>
            </w:r>
          </w:p>
          <w:p w14:paraId="7ADCF555" w14:textId="38A508F5" w:rsidR="00D05746" w:rsidRPr="00B76B71" w:rsidRDefault="00D05746" w:rsidP="00D05746">
            <w:pPr>
              <w:spacing w:line="276" w:lineRule="auto"/>
              <w:ind w:firstLine="708"/>
              <w:jc w:val="both"/>
              <w:rPr>
                <w:rFonts w:cstheme="minorHAnsi"/>
                <w:sz w:val="20"/>
                <w:szCs w:val="20"/>
              </w:rPr>
            </w:pPr>
            <w:r w:rsidRPr="00D103B4">
              <w:rPr>
                <w:rFonts w:cstheme="minorHAnsi"/>
                <w:sz w:val="20"/>
                <w:szCs w:val="20"/>
              </w:rPr>
              <w:t xml:space="preserve">Z uwagi na to, że w doczasowym stanie prawnym uchylenie prawomocnego postanowienia o stwierdzeniu nabycia spadku, wydanego pomimo istnienia już innego takiego postanowienia, mogło nastąpić jedynie w postępowaniu o wznowieniu postępowania oraz ze skargi nadzwyczajnej, </w:t>
            </w:r>
            <w:r w:rsidRPr="00D103B4">
              <w:rPr>
                <w:rFonts w:cstheme="minorHAnsi"/>
                <w:b/>
                <w:sz w:val="20"/>
                <w:szCs w:val="20"/>
              </w:rPr>
              <w:t>koniecznym było rozstrzygnięcie</w:t>
            </w:r>
            <w:r w:rsidRPr="00D103B4">
              <w:rPr>
                <w:rFonts w:cstheme="minorHAnsi"/>
                <w:sz w:val="20"/>
                <w:szCs w:val="20"/>
              </w:rPr>
              <w:t xml:space="preserve"> co do postępowań już wszczętych, ale jeszcze nie zakończonych przed dniem wejścia w życie nowelizacji. Projektowany art. 9 ustawy nowelizującej zakłada, że do spraw ze skargi o wznowienie postępowania oraz ze skargi nadzwyczajnej, dotyczących wydanego kolejnego prawomocnego postanowienia o stwierdzeniu nabycia spadku co do tego samego spadku, wszczętych i niezakończonych przed dniem wejścia w życie niniejszej ustawy stosowane będą przepisy dotychczasowe. Takie rozwiązanie normatywne zasługuje na </w:t>
            </w:r>
            <w:r w:rsidRPr="00D103B4">
              <w:rPr>
                <w:rFonts w:cstheme="minorHAnsi"/>
                <w:b/>
                <w:sz w:val="20"/>
                <w:szCs w:val="20"/>
              </w:rPr>
              <w:t>aprobatę</w:t>
            </w:r>
            <w:r w:rsidRPr="00D103B4">
              <w:rPr>
                <w:rFonts w:cstheme="minorHAnsi"/>
                <w:sz w:val="20"/>
                <w:szCs w:val="20"/>
              </w:rPr>
              <w:t>.</w:t>
            </w:r>
          </w:p>
        </w:tc>
        <w:tc>
          <w:tcPr>
            <w:tcW w:w="4076" w:type="dxa"/>
          </w:tcPr>
          <w:p w14:paraId="6760F605" w14:textId="341498DC" w:rsidR="00D05746" w:rsidRPr="000660EA" w:rsidRDefault="00D05746" w:rsidP="00D05746">
            <w:pPr>
              <w:spacing w:line="276" w:lineRule="auto"/>
              <w:jc w:val="both"/>
              <w:rPr>
                <w:rFonts w:cstheme="minorHAnsi"/>
                <w:b/>
                <w:bCs/>
                <w:sz w:val="20"/>
                <w:szCs w:val="20"/>
              </w:rPr>
            </w:pPr>
            <w:r w:rsidRPr="00B04A1D">
              <w:rPr>
                <w:rFonts w:cstheme="minorHAnsi"/>
                <w:b/>
                <w:bCs/>
                <w:sz w:val="20"/>
                <w:szCs w:val="20"/>
              </w:rPr>
              <w:lastRenderedPageBreak/>
              <w:t xml:space="preserve">Uwaga nieuwzględniona </w:t>
            </w:r>
          </w:p>
          <w:p w14:paraId="09BCC7C0" w14:textId="71D5D975" w:rsidR="00D05746" w:rsidRPr="00D103B4" w:rsidRDefault="00D05746" w:rsidP="00D05746">
            <w:pPr>
              <w:spacing w:line="276" w:lineRule="auto"/>
              <w:jc w:val="both"/>
              <w:rPr>
                <w:rFonts w:cstheme="minorHAnsi"/>
                <w:sz w:val="20"/>
                <w:szCs w:val="20"/>
              </w:rPr>
            </w:pPr>
            <w:r w:rsidRPr="000E405A">
              <w:rPr>
                <w:rFonts w:eastAsia="Times New Roman" w:cstheme="minorHAnsi"/>
                <w:sz w:val="20"/>
                <w:szCs w:val="20"/>
                <w:lang w:eastAsia="pl-PL"/>
              </w:rPr>
              <w:t xml:space="preserve">Proponowane </w:t>
            </w:r>
            <w:r>
              <w:rPr>
                <w:rFonts w:eastAsia="Times New Roman" w:cstheme="minorHAnsi"/>
                <w:sz w:val="20"/>
                <w:szCs w:val="20"/>
                <w:lang w:eastAsia="pl-PL"/>
              </w:rPr>
              <w:t xml:space="preserve">w projekcie </w:t>
            </w:r>
            <w:r w:rsidRPr="000E405A">
              <w:rPr>
                <w:rFonts w:eastAsia="Times New Roman" w:cstheme="minorHAnsi"/>
                <w:sz w:val="20"/>
                <w:szCs w:val="20"/>
                <w:lang w:eastAsia="pl-PL"/>
              </w:rPr>
              <w:t>rozwiązani</w:t>
            </w:r>
            <w:r>
              <w:rPr>
                <w:rFonts w:eastAsia="Times New Roman" w:cstheme="minorHAnsi"/>
                <w:sz w:val="20"/>
                <w:szCs w:val="20"/>
                <w:lang w:eastAsia="pl-PL"/>
              </w:rPr>
              <w:t>a</w:t>
            </w:r>
            <w:r w:rsidRPr="000E405A">
              <w:rPr>
                <w:rFonts w:eastAsia="Times New Roman" w:cstheme="minorHAnsi"/>
                <w:sz w:val="20"/>
                <w:szCs w:val="20"/>
                <w:lang w:eastAsia="pl-PL"/>
              </w:rPr>
              <w:t xml:space="preserve"> wynika</w:t>
            </w:r>
            <w:r>
              <w:rPr>
                <w:rFonts w:eastAsia="Times New Roman" w:cstheme="minorHAnsi"/>
                <w:sz w:val="20"/>
                <w:szCs w:val="20"/>
                <w:lang w:eastAsia="pl-PL"/>
              </w:rPr>
              <w:t>ją</w:t>
            </w:r>
            <w:r w:rsidRPr="000E405A">
              <w:rPr>
                <w:rFonts w:eastAsia="Times New Roman" w:cstheme="minorHAnsi"/>
                <w:sz w:val="20"/>
                <w:szCs w:val="20"/>
                <w:lang w:eastAsia="pl-PL"/>
              </w:rPr>
              <w:t xml:space="preserve"> z celowej decyzji Zespołu problemowego do spraw prawa spadkowego Komisji Kodyfikacyjnej Prawa Cywilnego.</w:t>
            </w:r>
            <w:r>
              <w:rPr>
                <w:rFonts w:eastAsia="Times New Roman" w:cstheme="minorHAnsi"/>
                <w:sz w:val="20"/>
                <w:szCs w:val="20"/>
                <w:lang w:eastAsia="pl-PL"/>
              </w:rPr>
              <w:t xml:space="preserve"> </w:t>
            </w:r>
            <w:r>
              <w:rPr>
                <w:rFonts w:cstheme="minorHAnsi"/>
                <w:sz w:val="20"/>
                <w:szCs w:val="20"/>
              </w:rPr>
              <w:t xml:space="preserve">Kwestionowany przepis rozgranicza kwestie materialnoprawne od kwestii procesowych, co w ocenie projektodawcy jest zasadne i konieczne. </w:t>
            </w:r>
            <w:r w:rsidRPr="001D3CC3">
              <w:rPr>
                <w:rFonts w:cstheme="minorHAnsi"/>
                <w:sz w:val="20"/>
                <w:szCs w:val="20"/>
              </w:rPr>
              <w:t xml:space="preserve">Do testamentów sporządzonych </w:t>
            </w:r>
            <w:r w:rsidRPr="001D3CC3">
              <w:rPr>
                <w:rFonts w:cstheme="minorHAnsi"/>
                <w:sz w:val="20"/>
                <w:szCs w:val="20"/>
              </w:rPr>
              <w:lastRenderedPageBreak/>
              <w:t>przed dniem wejścia w życie ustawy, zarówno w zakresie przesłanek ich sporządzenia, jak i ich ważności lub skuteczności (w tym stwierdzania treści), zastosowanie będą miały przepisy dotychczasowe</w:t>
            </w:r>
            <w:r>
              <w:rPr>
                <w:rFonts w:cstheme="minorHAnsi"/>
                <w:sz w:val="20"/>
                <w:szCs w:val="20"/>
              </w:rPr>
              <w:t>, w tym przepisy uchylane</w:t>
            </w:r>
            <w:r w:rsidRPr="001D3CC3">
              <w:rPr>
                <w:rFonts w:cstheme="minorHAnsi"/>
                <w:sz w:val="20"/>
                <w:szCs w:val="20"/>
              </w:rPr>
              <w:t xml:space="preserve">. Podobnie przepisy dotychczasowe </w:t>
            </w:r>
            <w:r>
              <w:rPr>
                <w:rFonts w:cstheme="minorHAnsi"/>
                <w:sz w:val="20"/>
                <w:szCs w:val="20"/>
              </w:rPr>
              <w:t xml:space="preserve">tzn. art. 661 i art. 662 k.p.c. </w:t>
            </w:r>
            <w:r w:rsidRPr="001D3CC3">
              <w:rPr>
                <w:rFonts w:cstheme="minorHAnsi"/>
                <w:sz w:val="20"/>
                <w:szCs w:val="20"/>
              </w:rPr>
              <w:t>znajdą zastosowanie do postępowań w przedmiocie przesłuchania świadków testamentu ustnego sporządzonego przed dniem wejścia w życie ustawy.</w:t>
            </w:r>
            <w:r>
              <w:rPr>
                <w:rFonts w:cstheme="minorHAnsi"/>
                <w:sz w:val="20"/>
                <w:szCs w:val="20"/>
              </w:rPr>
              <w:t xml:space="preserve"> Regulacja taka jest konieczna w świetle obowiązywania w prawie procesowym zasady bezpośredniego stosowania ustawy nowej.</w:t>
            </w:r>
          </w:p>
        </w:tc>
      </w:tr>
      <w:tr w:rsidR="00D05746" w:rsidRPr="00D103B4" w14:paraId="1CA5AB4D" w14:textId="77777777" w:rsidTr="00C16760">
        <w:trPr>
          <w:jc w:val="center"/>
        </w:trPr>
        <w:tc>
          <w:tcPr>
            <w:tcW w:w="13994" w:type="dxa"/>
            <w:gridSpan w:val="5"/>
            <w:shd w:val="clear" w:color="auto" w:fill="DBE5F1" w:themeFill="accent1" w:themeFillTint="33"/>
          </w:tcPr>
          <w:p w14:paraId="24A9AEDA" w14:textId="5134C805" w:rsidR="00D05746" w:rsidRPr="00D103B4" w:rsidRDefault="00D05746" w:rsidP="00D05746">
            <w:pPr>
              <w:spacing w:before="120" w:after="120" w:line="276" w:lineRule="auto"/>
              <w:jc w:val="center"/>
              <w:rPr>
                <w:rFonts w:cstheme="minorHAnsi"/>
                <w:b/>
                <w:bCs/>
                <w:color w:val="000000" w:themeColor="text1"/>
                <w:sz w:val="20"/>
                <w:szCs w:val="20"/>
              </w:rPr>
            </w:pPr>
            <w:r w:rsidRPr="00D103B4">
              <w:rPr>
                <w:rFonts w:cstheme="minorHAnsi"/>
                <w:b/>
                <w:bCs/>
                <w:color w:val="000000" w:themeColor="text1"/>
                <w:sz w:val="20"/>
                <w:szCs w:val="20"/>
              </w:rPr>
              <w:lastRenderedPageBreak/>
              <w:t>Uwagi do uzasadnienia projektu</w:t>
            </w:r>
          </w:p>
        </w:tc>
      </w:tr>
      <w:tr w:rsidR="00D05746" w:rsidRPr="00D103B4" w14:paraId="2156F658" w14:textId="77777777" w:rsidTr="00B241C8">
        <w:trPr>
          <w:jc w:val="center"/>
        </w:trPr>
        <w:tc>
          <w:tcPr>
            <w:tcW w:w="562" w:type="dxa"/>
          </w:tcPr>
          <w:p w14:paraId="79AAA3D9" w14:textId="3DE50848" w:rsidR="00D05746" w:rsidRPr="00D103B4" w:rsidRDefault="00D05746" w:rsidP="00D05746">
            <w:pPr>
              <w:spacing w:before="120" w:line="276" w:lineRule="auto"/>
              <w:ind w:right="-534"/>
              <w:rPr>
                <w:rFonts w:cstheme="minorHAnsi"/>
                <w:b/>
                <w:sz w:val="20"/>
                <w:szCs w:val="20"/>
              </w:rPr>
            </w:pPr>
            <w:r w:rsidRPr="00D103B4">
              <w:rPr>
                <w:rFonts w:cstheme="minorHAnsi"/>
                <w:b/>
                <w:sz w:val="20"/>
                <w:szCs w:val="20"/>
              </w:rPr>
              <w:t>1.</w:t>
            </w:r>
          </w:p>
        </w:tc>
        <w:tc>
          <w:tcPr>
            <w:tcW w:w="1843" w:type="dxa"/>
            <w:vAlign w:val="center"/>
          </w:tcPr>
          <w:p w14:paraId="225CC122" w14:textId="77777777" w:rsidR="00D05746" w:rsidRPr="00D103B4" w:rsidRDefault="00D05746" w:rsidP="00D05746">
            <w:pPr>
              <w:spacing w:before="120" w:after="120" w:line="276" w:lineRule="auto"/>
              <w:jc w:val="center"/>
              <w:rPr>
                <w:rFonts w:cstheme="minorHAnsi"/>
                <w:sz w:val="20"/>
                <w:szCs w:val="20"/>
              </w:rPr>
            </w:pPr>
          </w:p>
        </w:tc>
        <w:tc>
          <w:tcPr>
            <w:tcW w:w="1843" w:type="dxa"/>
            <w:vAlign w:val="center"/>
          </w:tcPr>
          <w:p w14:paraId="5B69EE39" w14:textId="77777777" w:rsidR="00D05746" w:rsidRPr="00D103B4" w:rsidRDefault="00D05746" w:rsidP="00D05746">
            <w:pPr>
              <w:spacing w:before="120" w:after="120" w:line="276" w:lineRule="auto"/>
              <w:jc w:val="center"/>
              <w:rPr>
                <w:rFonts w:cstheme="minorHAnsi"/>
                <w:sz w:val="20"/>
                <w:szCs w:val="20"/>
              </w:rPr>
            </w:pPr>
          </w:p>
        </w:tc>
        <w:tc>
          <w:tcPr>
            <w:tcW w:w="5670" w:type="dxa"/>
            <w:vAlign w:val="center"/>
          </w:tcPr>
          <w:p w14:paraId="09E4D561" w14:textId="77777777" w:rsidR="00D05746" w:rsidRPr="00D103B4" w:rsidRDefault="00D05746" w:rsidP="00D05746">
            <w:pPr>
              <w:spacing w:line="276" w:lineRule="auto"/>
              <w:ind w:firstLine="708"/>
              <w:jc w:val="center"/>
              <w:rPr>
                <w:rFonts w:eastAsia="Times New Roman" w:cstheme="minorHAnsi"/>
                <w:sz w:val="20"/>
                <w:szCs w:val="20"/>
                <w:lang w:eastAsia="pl-PL"/>
              </w:rPr>
            </w:pPr>
          </w:p>
        </w:tc>
        <w:tc>
          <w:tcPr>
            <w:tcW w:w="4076" w:type="dxa"/>
          </w:tcPr>
          <w:p w14:paraId="2ADAA775" w14:textId="77777777" w:rsidR="00D05746" w:rsidRPr="00D103B4" w:rsidRDefault="00D05746" w:rsidP="00D05746">
            <w:pPr>
              <w:spacing w:before="120" w:after="120" w:line="276" w:lineRule="auto"/>
              <w:jc w:val="center"/>
              <w:rPr>
                <w:rFonts w:eastAsia="Times New Roman" w:cstheme="minorHAnsi"/>
                <w:sz w:val="20"/>
                <w:szCs w:val="20"/>
                <w:lang w:eastAsia="pl-PL"/>
              </w:rPr>
            </w:pPr>
          </w:p>
        </w:tc>
      </w:tr>
      <w:tr w:rsidR="00D05746" w:rsidRPr="00D103B4" w14:paraId="62827CBE" w14:textId="77777777" w:rsidTr="00C16760">
        <w:trPr>
          <w:jc w:val="center"/>
        </w:trPr>
        <w:tc>
          <w:tcPr>
            <w:tcW w:w="13994" w:type="dxa"/>
            <w:gridSpan w:val="5"/>
            <w:shd w:val="clear" w:color="auto" w:fill="DBE5F1" w:themeFill="accent1" w:themeFillTint="33"/>
          </w:tcPr>
          <w:p w14:paraId="6DD01354" w14:textId="00E3688E" w:rsidR="00D05746" w:rsidRPr="00D103B4" w:rsidRDefault="00D05746" w:rsidP="00D05746">
            <w:pPr>
              <w:spacing w:before="120" w:after="120" w:line="276" w:lineRule="auto"/>
              <w:jc w:val="center"/>
              <w:rPr>
                <w:rFonts w:eastAsia="Times New Roman" w:cstheme="minorHAnsi"/>
                <w:sz w:val="20"/>
                <w:szCs w:val="20"/>
                <w:lang w:eastAsia="pl-PL"/>
              </w:rPr>
            </w:pPr>
            <w:r w:rsidRPr="00D103B4">
              <w:rPr>
                <w:rFonts w:cstheme="minorHAnsi"/>
                <w:b/>
                <w:bCs/>
                <w:color w:val="000000" w:themeColor="text1"/>
                <w:sz w:val="20"/>
                <w:szCs w:val="20"/>
              </w:rPr>
              <w:t>Uwagi do Oceny Skutków Regulacji</w:t>
            </w:r>
          </w:p>
        </w:tc>
      </w:tr>
      <w:tr w:rsidR="00D05746" w:rsidRPr="00D103B4" w14:paraId="70AF4D21" w14:textId="77777777" w:rsidTr="00B241C8">
        <w:tblPrEx>
          <w:jc w:val="left"/>
        </w:tblPrEx>
        <w:tc>
          <w:tcPr>
            <w:tcW w:w="562" w:type="dxa"/>
          </w:tcPr>
          <w:p w14:paraId="2A511012" w14:textId="182C5783" w:rsidR="00D05746" w:rsidRPr="00D103B4" w:rsidRDefault="00D05746" w:rsidP="00D05746">
            <w:pPr>
              <w:spacing w:before="120" w:line="276" w:lineRule="auto"/>
              <w:ind w:right="-534"/>
              <w:rPr>
                <w:rFonts w:cstheme="minorHAnsi"/>
                <w:b/>
                <w:sz w:val="20"/>
                <w:szCs w:val="20"/>
              </w:rPr>
            </w:pPr>
            <w:r w:rsidRPr="00D103B4">
              <w:rPr>
                <w:rFonts w:cstheme="minorHAnsi"/>
                <w:b/>
                <w:sz w:val="20"/>
                <w:szCs w:val="20"/>
              </w:rPr>
              <w:t>1.</w:t>
            </w:r>
          </w:p>
        </w:tc>
        <w:tc>
          <w:tcPr>
            <w:tcW w:w="1843" w:type="dxa"/>
          </w:tcPr>
          <w:p w14:paraId="02E25544" w14:textId="77777777" w:rsidR="00D05746" w:rsidRPr="00D103B4" w:rsidRDefault="00D05746" w:rsidP="00D05746">
            <w:pPr>
              <w:spacing w:before="120" w:after="120" w:line="276" w:lineRule="auto"/>
              <w:jc w:val="center"/>
              <w:rPr>
                <w:rFonts w:cstheme="minorHAnsi"/>
                <w:sz w:val="20"/>
                <w:szCs w:val="20"/>
              </w:rPr>
            </w:pPr>
          </w:p>
        </w:tc>
        <w:tc>
          <w:tcPr>
            <w:tcW w:w="1843" w:type="dxa"/>
          </w:tcPr>
          <w:p w14:paraId="3FEDB332" w14:textId="77777777" w:rsidR="00D05746" w:rsidRPr="00D103B4" w:rsidRDefault="00D05746" w:rsidP="00D05746">
            <w:pPr>
              <w:spacing w:before="120" w:after="120" w:line="276" w:lineRule="auto"/>
              <w:jc w:val="center"/>
              <w:rPr>
                <w:rFonts w:cstheme="minorHAnsi"/>
                <w:sz w:val="20"/>
                <w:szCs w:val="20"/>
              </w:rPr>
            </w:pPr>
          </w:p>
        </w:tc>
        <w:tc>
          <w:tcPr>
            <w:tcW w:w="5670" w:type="dxa"/>
          </w:tcPr>
          <w:p w14:paraId="1D00666D" w14:textId="77777777" w:rsidR="00D05746" w:rsidRPr="00D103B4" w:rsidRDefault="00D05746" w:rsidP="00D05746">
            <w:pPr>
              <w:spacing w:line="276" w:lineRule="auto"/>
              <w:ind w:firstLine="708"/>
              <w:jc w:val="center"/>
              <w:rPr>
                <w:rFonts w:eastAsia="Times New Roman" w:cstheme="minorHAnsi"/>
                <w:sz w:val="20"/>
                <w:szCs w:val="20"/>
                <w:lang w:eastAsia="pl-PL"/>
              </w:rPr>
            </w:pPr>
          </w:p>
        </w:tc>
        <w:tc>
          <w:tcPr>
            <w:tcW w:w="4076" w:type="dxa"/>
          </w:tcPr>
          <w:p w14:paraId="3366253C" w14:textId="77777777" w:rsidR="00D05746" w:rsidRPr="00D103B4" w:rsidRDefault="00D05746" w:rsidP="00D05746">
            <w:pPr>
              <w:spacing w:before="120" w:after="120" w:line="276" w:lineRule="auto"/>
              <w:jc w:val="center"/>
              <w:rPr>
                <w:rFonts w:eastAsia="Times New Roman" w:cstheme="minorHAnsi"/>
                <w:sz w:val="20"/>
                <w:szCs w:val="20"/>
                <w:lang w:eastAsia="pl-PL"/>
              </w:rPr>
            </w:pPr>
          </w:p>
        </w:tc>
      </w:tr>
    </w:tbl>
    <w:p w14:paraId="3263BA22" w14:textId="77777777" w:rsidR="009A3389" w:rsidRPr="00D103B4" w:rsidRDefault="009A3389" w:rsidP="009D0E2C">
      <w:pPr>
        <w:rPr>
          <w:rFonts w:cstheme="minorHAnsi"/>
          <w:sz w:val="20"/>
          <w:szCs w:val="20"/>
        </w:rPr>
      </w:pPr>
    </w:p>
    <w:sectPr w:rsidR="009A3389" w:rsidRPr="00D103B4" w:rsidSect="001F3A0F">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E5A40" w14:textId="77777777" w:rsidR="00AF1BD5" w:rsidRDefault="00AF1BD5" w:rsidP="00735AA5">
      <w:pPr>
        <w:spacing w:after="0" w:line="240" w:lineRule="auto"/>
      </w:pPr>
      <w:r>
        <w:separator/>
      </w:r>
    </w:p>
  </w:endnote>
  <w:endnote w:type="continuationSeparator" w:id="0">
    <w:p w14:paraId="696CAF71" w14:textId="77777777" w:rsidR="00AF1BD5" w:rsidRDefault="00AF1BD5" w:rsidP="00735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451909213"/>
      <w:docPartObj>
        <w:docPartGallery w:val="Page Numbers (Bottom of Page)"/>
        <w:docPartUnique/>
      </w:docPartObj>
    </w:sdtPr>
    <w:sdtEndPr/>
    <w:sdtContent>
      <w:p w14:paraId="3D1313F4" w14:textId="77777777" w:rsidR="000B346A" w:rsidRPr="000B346A" w:rsidRDefault="00E738A5">
        <w:pPr>
          <w:pStyle w:val="Stopka"/>
          <w:jc w:val="right"/>
          <w:rPr>
            <w:rFonts w:ascii="Arial" w:hAnsi="Arial" w:cs="Arial"/>
            <w:sz w:val="18"/>
          </w:rPr>
        </w:pPr>
        <w:r>
          <w:rPr>
            <w:rFonts w:ascii="Arial" w:hAnsi="Arial" w:cs="Arial"/>
            <w:sz w:val="18"/>
          </w:rPr>
          <w:t>S</w:t>
        </w:r>
        <w:r w:rsidR="000B346A" w:rsidRPr="000B346A">
          <w:rPr>
            <w:rFonts w:ascii="Arial" w:hAnsi="Arial" w:cs="Arial"/>
            <w:sz w:val="18"/>
          </w:rPr>
          <w:t xml:space="preserve">trona | </w:t>
        </w:r>
        <w:r w:rsidR="000B346A" w:rsidRPr="000B346A">
          <w:rPr>
            <w:rFonts w:ascii="Arial" w:hAnsi="Arial" w:cs="Arial"/>
            <w:sz w:val="18"/>
          </w:rPr>
          <w:fldChar w:fldCharType="begin"/>
        </w:r>
        <w:r w:rsidR="000B346A" w:rsidRPr="000B346A">
          <w:rPr>
            <w:rFonts w:ascii="Arial" w:hAnsi="Arial" w:cs="Arial"/>
            <w:sz w:val="18"/>
          </w:rPr>
          <w:instrText>PAGE   \* MERGEFORMAT</w:instrText>
        </w:r>
        <w:r w:rsidR="000B346A" w:rsidRPr="000B346A">
          <w:rPr>
            <w:rFonts w:ascii="Arial" w:hAnsi="Arial" w:cs="Arial"/>
            <w:sz w:val="18"/>
          </w:rPr>
          <w:fldChar w:fldCharType="separate"/>
        </w:r>
        <w:r w:rsidR="00E23A7D">
          <w:rPr>
            <w:rFonts w:ascii="Arial" w:hAnsi="Arial" w:cs="Arial"/>
            <w:noProof/>
            <w:sz w:val="18"/>
          </w:rPr>
          <w:t>1</w:t>
        </w:r>
        <w:r w:rsidR="000B346A" w:rsidRPr="000B346A">
          <w:rPr>
            <w:rFonts w:ascii="Arial" w:hAnsi="Arial" w:cs="Arial"/>
            <w:sz w:val="18"/>
          </w:rPr>
          <w:fldChar w:fldCharType="end"/>
        </w:r>
        <w:r w:rsidR="000B346A" w:rsidRPr="000B346A">
          <w:rPr>
            <w:rFonts w:ascii="Arial" w:hAnsi="Arial" w:cs="Arial"/>
            <w:sz w:val="18"/>
          </w:rPr>
          <w:t xml:space="preserve"> </w:t>
        </w:r>
      </w:p>
    </w:sdtContent>
  </w:sdt>
  <w:p w14:paraId="1FF13A2E" w14:textId="77777777" w:rsidR="00735AA5" w:rsidRDefault="00735A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334C3" w14:textId="77777777" w:rsidR="00AF1BD5" w:rsidRDefault="00AF1BD5" w:rsidP="00735AA5">
      <w:pPr>
        <w:spacing w:after="0" w:line="240" w:lineRule="auto"/>
      </w:pPr>
      <w:r>
        <w:separator/>
      </w:r>
    </w:p>
  </w:footnote>
  <w:footnote w:type="continuationSeparator" w:id="0">
    <w:p w14:paraId="4BAA719C" w14:textId="77777777" w:rsidR="00AF1BD5" w:rsidRDefault="00AF1BD5" w:rsidP="00735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Look w:val="04A0" w:firstRow="1" w:lastRow="0" w:firstColumn="1" w:lastColumn="0" w:noHBand="0" w:noVBand="1"/>
    </w:tblPr>
    <w:tblGrid>
      <w:gridCol w:w="553"/>
      <w:gridCol w:w="1913"/>
      <w:gridCol w:w="1866"/>
      <w:gridCol w:w="5551"/>
      <w:gridCol w:w="4111"/>
    </w:tblGrid>
    <w:tr w:rsidR="00136551" w:rsidRPr="00C519CA" w14:paraId="25235B4B" w14:textId="77777777" w:rsidTr="00CF31A7">
      <w:trPr>
        <w:trHeight w:val="592"/>
        <w:jc w:val="center"/>
      </w:trPr>
      <w:tc>
        <w:tcPr>
          <w:tcW w:w="554" w:type="dxa"/>
          <w:vAlign w:val="center"/>
        </w:tcPr>
        <w:p w14:paraId="3079F5C1" w14:textId="77777777" w:rsidR="00136551" w:rsidRPr="00C519CA" w:rsidRDefault="00136551" w:rsidP="00136551">
          <w:pPr>
            <w:jc w:val="center"/>
            <w:rPr>
              <w:rFonts w:ascii="Times New Roman" w:hAnsi="Times New Roman" w:cs="Times New Roman"/>
            </w:rPr>
          </w:pPr>
          <w:r w:rsidRPr="00C519CA">
            <w:rPr>
              <w:rFonts w:ascii="Times New Roman" w:hAnsi="Times New Roman" w:cs="Times New Roman"/>
              <w:b/>
            </w:rPr>
            <w:t>Lp</w:t>
          </w:r>
          <w:r w:rsidRPr="00C519CA">
            <w:rPr>
              <w:rFonts w:ascii="Times New Roman" w:hAnsi="Times New Roman" w:cs="Times New Roman"/>
            </w:rPr>
            <w:t>.</w:t>
          </w:r>
        </w:p>
      </w:tc>
      <w:tc>
        <w:tcPr>
          <w:tcW w:w="1931" w:type="dxa"/>
          <w:vAlign w:val="center"/>
        </w:tcPr>
        <w:p w14:paraId="51D5B69E" w14:textId="77777777" w:rsidR="00136551" w:rsidRPr="00C519CA" w:rsidRDefault="00136551" w:rsidP="00136551">
          <w:pPr>
            <w:spacing w:after="60"/>
            <w:jc w:val="center"/>
            <w:rPr>
              <w:rFonts w:ascii="Times New Roman" w:hAnsi="Times New Roman" w:cs="Times New Roman"/>
              <w:b/>
              <w:bCs/>
            </w:rPr>
          </w:pPr>
          <w:r w:rsidRPr="00C519CA">
            <w:rPr>
              <w:rFonts w:ascii="Times New Roman" w:hAnsi="Times New Roman" w:cs="Times New Roman"/>
              <w:b/>
              <w:bCs/>
            </w:rPr>
            <w:t>Podmiot zgłaszający uwagę</w:t>
          </w:r>
        </w:p>
      </w:tc>
      <w:tc>
        <w:tcPr>
          <w:tcW w:w="1876" w:type="dxa"/>
          <w:vAlign w:val="center"/>
        </w:tcPr>
        <w:p w14:paraId="0ECBAC82" w14:textId="67138AD3" w:rsidR="00136551" w:rsidRPr="00C519CA" w:rsidRDefault="00136551" w:rsidP="00136551">
          <w:pPr>
            <w:jc w:val="center"/>
            <w:rPr>
              <w:rFonts w:ascii="Times New Roman" w:hAnsi="Times New Roman" w:cs="Times New Roman"/>
            </w:rPr>
          </w:pPr>
          <w:r w:rsidRPr="00C519CA">
            <w:rPr>
              <w:rFonts w:ascii="Times New Roman" w:hAnsi="Times New Roman" w:cs="Times New Roman"/>
              <w:b/>
              <w:bCs/>
            </w:rPr>
            <w:t xml:space="preserve">Jednostka redakcyjna </w:t>
          </w:r>
          <w:r w:rsidR="005807F5" w:rsidRPr="00C519CA">
            <w:rPr>
              <w:rFonts w:ascii="Times New Roman" w:hAnsi="Times New Roman" w:cs="Times New Roman"/>
              <w:b/>
              <w:bCs/>
            </w:rPr>
            <w:t>projektu/</w:t>
          </w:r>
          <w:r w:rsidRPr="00C519CA">
            <w:rPr>
              <w:rFonts w:ascii="Times New Roman" w:hAnsi="Times New Roman" w:cs="Times New Roman"/>
              <w:b/>
              <w:bCs/>
            </w:rPr>
            <w:br/>
            <w:t>Str</w:t>
          </w:r>
          <w:r w:rsidR="00963B6A" w:rsidRPr="00C519CA">
            <w:rPr>
              <w:rFonts w:ascii="Times New Roman" w:hAnsi="Times New Roman" w:cs="Times New Roman"/>
              <w:b/>
              <w:bCs/>
            </w:rPr>
            <w:t>ona</w:t>
          </w:r>
          <w:r w:rsidRPr="00C519CA">
            <w:rPr>
              <w:rFonts w:ascii="Times New Roman" w:hAnsi="Times New Roman" w:cs="Times New Roman"/>
              <w:b/>
              <w:bCs/>
            </w:rPr>
            <w:t xml:space="preserve"> uzasadnienia</w:t>
          </w:r>
          <w:r w:rsidR="005807F5" w:rsidRPr="00C519CA">
            <w:rPr>
              <w:rFonts w:ascii="Times New Roman" w:hAnsi="Times New Roman" w:cs="Times New Roman"/>
              <w:b/>
              <w:bCs/>
            </w:rPr>
            <w:t>/</w:t>
          </w:r>
          <w:r w:rsidRPr="00C519CA">
            <w:rPr>
              <w:rFonts w:ascii="Times New Roman" w:hAnsi="Times New Roman" w:cs="Times New Roman"/>
              <w:b/>
              <w:bCs/>
            </w:rPr>
            <w:br/>
            <w:t>Pkt OSR</w:t>
          </w:r>
        </w:p>
      </w:tc>
      <w:tc>
        <w:tcPr>
          <w:tcW w:w="5670" w:type="dxa"/>
          <w:vAlign w:val="center"/>
        </w:tcPr>
        <w:p w14:paraId="36A5BA4A" w14:textId="25160B51" w:rsidR="00136551" w:rsidRPr="00C519CA" w:rsidRDefault="00136551" w:rsidP="00136551">
          <w:pPr>
            <w:jc w:val="center"/>
            <w:rPr>
              <w:rFonts w:ascii="Times New Roman" w:hAnsi="Times New Roman" w:cs="Times New Roman"/>
            </w:rPr>
          </w:pPr>
          <w:r w:rsidRPr="00C519CA">
            <w:rPr>
              <w:rFonts w:ascii="Times New Roman" w:hAnsi="Times New Roman" w:cs="Times New Roman"/>
              <w:b/>
              <w:bCs/>
            </w:rPr>
            <w:t>Treść uwagi</w:t>
          </w:r>
          <w:r w:rsidR="00B62BF7">
            <w:rPr>
              <w:rFonts w:ascii="Times New Roman" w:hAnsi="Times New Roman" w:cs="Times New Roman"/>
              <w:b/>
              <w:bCs/>
            </w:rPr>
            <w:t xml:space="preserve">  </w:t>
          </w:r>
          <w:r w:rsidR="005807F5" w:rsidRPr="00C519CA">
            <w:rPr>
              <w:rFonts w:ascii="Times New Roman" w:hAnsi="Times New Roman" w:cs="Times New Roman"/>
              <w:b/>
              <w:bCs/>
            </w:rPr>
            <w:t>oraz p</w:t>
          </w:r>
          <w:r w:rsidRPr="00C519CA">
            <w:rPr>
              <w:rFonts w:ascii="Times New Roman" w:hAnsi="Times New Roman" w:cs="Times New Roman"/>
              <w:b/>
              <w:bCs/>
            </w:rPr>
            <w:t>ropozycja z</w:t>
          </w:r>
          <w:r w:rsidR="005807F5" w:rsidRPr="00C519CA">
            <w:rPr>
              <w:rFonts w:ascii="Times New Roman" w:hAnsi="Times New Roman" w:cs="Times New Roman"/>
              <w:b/>
              <w:bCs/>
            </w:rPr>
            <w:t>miany</w:t>
          </w:r>
        </w:p>
      </w:tc>
      <w:tc>
        <w:tcPr>
          <w:tcW w:w="4189" w:type="dxa"/>
        </w:tcPr>
        <w:p w14:paraId="0EE8722A" w14:textId="77777777" w:rsidR="00136551" w:rsidRPr="00C519CA" w:rsidRDefault="00136551" w:rsidP="00136551">
          <w:pPr>
            <w:jc w:val="center"/>
            <w:rPr>
              <w:rFonts w:ascii="Times New Roman" w:hAnsi="Times New Roman" w:cs="Times New Roman"/>
              <w:b/>
              <w:bCs/>
              <w:i/>
            </w:rPr>
          </w:pPr>
        </w:p>
        <w:p w14:paraId="06708177" w14:textId="5FB44390" w:rsidR="00136551" w:rsidRPr="00C519CA" w:rsidRDefault="00136551" w:rsidP="00136551">
          <w:pPr>
            <w:jc w:val="center"/>
            <w:rPr>
              <w:rFonts w:ascii="Times New Roman" w:hAnsi="Times New Roman" w:cs="Times New Roman"/>
              <w:b/>
              <w:bCs/>
            </w:rPr>
          </w:pPr>
          <w:r w:rsidRPr="00C519CA">
            <w:rPr>
              <w:rFonts w:ascii="Times New Roman" w:hAnsi="Times New Roman" w:cs="Times New Roman"/>
              <w:b/>
              <w:bCs/>
            </w:rPr>
            <w:t xml:space="preserve">Stanowisko </w:t>
          </w:r>
          <w:r w:rsidR="003514BB" w:rsidRPr="00C519CA">
            <w:rPr>
              <w:rFonts w:ascii="Times New Roman" w:hAnsi="Times New Roman" w:cs="Times New Roman"/>
              <w:b/>
              <w:bCs/>
            </w:rPr>
            <w:t>MS</w:t>
          </w:r>
        </w:p>
      </w:tc>
    </w:tr>
  </w:tbl>
  <w:p w14:paraId="58721467" w14:textId="77777777" w:rsidR="00136551" w:rsidRDefault="001365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4422"/>
    <w:multiLevelType w:val="hybridMultilevel"/>
    <w:tmpl w:val="1EA4D2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3974E0"/>
    <w:multiLevelType w:val="hybridMultilevel"/>
    <w:tmpl w:val="23C6E56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910D77"/>
    <w:multiLevelType w:val="multilevel"/>
    <w:tmpl w:val="632AD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B3421"/>
    <w:multiLevelType w:val="hybridMultilevel"/>
    <w:tmpl w:val="3F3C3062"/>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F69C8"/>
    <w:multiLevelType w:val="hybridMultilevel"/>
    <w:tmpl w:val="401489DE"/>
    <w:lvl w:ilvl="0" w:tplc="2408B1AA">
      <w:start w:val="2"/>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5" w15:restartNumberingAfterBreak="0">
    <w:nsid w:val="102E7131"/>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6" w15:restartNumberingAfterBreak="0">
    <w:nsid w:val="10F420CA"/>
    <w:multiLevelType w:val="multilevel"/>
    <w:tmpl w:val="2744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72F5C"/>
    <w:multiLevelType w:val="hybridMultilevel"/>
    <w:tmpl w:val="62AA7BF8"/>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8" w15:restartNumberingAfterBreak="0">
    <w:nsid w:val="1784680D"/>
    <w:multiLevelType w:val="hybridMultilevel"/>
    <w:tmpl w:val="2BB4171C"/>
    <w:lvl w:ilvl="0" w:tplc="BAE6A3BE">
      <w:start w:val="1"/>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9" w15:restartNumberingAfterBreak="0">
    <w:nsid w:val="1F484FB4"/>
    <w:multiLevelType w:val="hybridMultilevel"/>
    <w:tmpl w:val="49FA505E"/>
    <w:lvl w:ilvl="0" w:tplc="8B141934">
      <w:start w:val="20"/>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0" w15:restartNumberingAfterBreak="0">
    <w:nsid w:val="2035363E"/>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1" w15:restartNumberingAfterBreak="0">
    <w:nsid w:val="2D8172AA"/>
    <w:multiLevelType w:val="multilevel"/>
    <w:tmpl w:val="834C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1572DA"/>
    <w:multiLevelType w:val="hybridMultilevel"/>
    <w:tmpl w:val="BDA056DE"/>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3" w15:restartNumberingAfterBreak="0">
    <w:nsid w:val="416D46F4"/>
    <w:multiLevelType w:val="hybridMultilevel"/>
    <w:tmpl w:val="91BEBE3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 w15:restartNumberingAfterBreak="0">
    <w:nsid w:val="420758F8"/>
    <w:multiLevelType w:val="singleLevel"/>
    <w:tmpl w:val="EADC8F9A"/>
    <w:lvl w:ilvl="0">
      <w:start w:val="2"/>
      <w:numFmt w:val="upperRoman"/>
      <w:lvlText w:val="%1."/>
      <w:legacy w:legacy="1" w:legacySpace="0" w:legacyIndent="317"/>
      <w:lvlJc w:val="left"/>
      <w:rPr>
        <w:rFonts w:ascii="Times New Roman" w:hAnsi="Times New Roman" w:cs="Times New Roman" w:hint="default"/>
      </w:rPr>
    </w:lvl>
  </w:abstractNum>
  <w:abstractNum w:abstractNumId="15" w15:restartNumberingAfterBreak="0">
    <w:nsid w:val="42F74FD3"/>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6" w15:restartNumberingAfterBreak="0">
    <w:nsid w:val="49A45834"/>
    <w:multiLevelType w:val="multilevel"/>
    <w:tmpl w:val="082E21AE"/>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4A362D73"/>
    <w:multiLevelType w:val="multilevel"/>
    <w:tmpl w:val="B924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3D7A92"/>
    <w:multiLevelType w:val="hybridMultilevel"/>
    <w:tmpl w:val="A7086286"/>
    <w:lvl w:ilvl="0" w:tplc="81422714">
      <w:start w:val="1"/>
      <w:numFmt w:val="decimal"/>
      <w:lvlText w:val="%1)"/>
      <w:lvlJc w:val="left"/>
      <w:pPr>
        <w:ind w:left="870" w:hanging="360"/>
      </w:pPr>
      <w:rPr>
        <w:rFonts w:cs="Times New Roman"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9" w15:restartNumberingAfterBreak="0">
    <w:nsid w:val="4D2C5E34"/>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0" w15:restartNumberingAfterBreak="0">
    <w:nsid w:val="4EC052B0"/>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1" w15:restartNumberingAfterBreak="0">
    <w:nsid w:val="53DD0B2E"/>
    <w:multiLevelType w:val="hybridMultilevel"/>
    <w:tmpl w:val="6C7EC00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681EF1"/>
    <w:multiLevelType w:val="multilevel"/>
    <w:tmpl w:val="771CE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800F7F"/>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4" w15:restartNumberingAfterBreak="0">
    <w:nsid w:val="6C7109D4"/>
    <w:multiLevelType w:val="hybridMultilevel"/>
    <w:tmpl w:val="F4C82F44"/>
    <w:lvl w:ilvl="0" w:tplc="BBC653A2">
      <w:start w:val="1"/>
      <w:numFmt w:val="decimal"/>
      <w:lvlText w:val="%1)"/>
      <w:lvlJc w:val="left"/>
      <w:pPr>
        <w:ind w:left="321" w:hanging="360"/>
      </w:pPr>
      <w:rPr>
        <w:rFonts w:hint="default"/>
        <w:color w:val="000000" w:themeColor="text1"/>
      </w:rPr>
    </w:lvl>
    <w:lvl w:ilvl="1" w:tplc="04150019" w:tentative="1">
      <w:start w:val="1"/>
      <w:numFmt w:val="lowerLetter"/>
      <w:lvlText w:val="%2."/>
      <w:lvlJc w:val="left"/>
      <w:pPr>
        <w:ind w:left="1041" w:hanging="360"/>
      </w:pPr>
    </w:lvl>
    <w:lvl w:ilvl="2" w:tplc="0415001B" w:tentative="1">
      <w:start w:val="1"/>
      <w:numFmt w:val="lowerRoman"/>
      <w:lvlText w:val="%3."/>
      <w:lvlJc w:val="right"/>
      <w:pPr>
        <w:ind w:left="1761" w:hanging="180"/>
      </w:pPr>
    </w:lvl>
    <w:lvl w:ilvl="3" w:tplc="0415000F" w:tentative="1">
      <w:start w:val="1"/>
      <w:numFmt w:val="decimal"/>
      <w:lvlText w:val="%4."/>
      <w:lvlJc w:val="left"/>
      <w:pPr>
        <w:ind w:left="2481" w:hanging="360"/>
      </w:pPr>
    </w:lvl>
    <w:lvl w:ilvl="4" w:tplc="04150019" w:tentative="1">
      <w:start w:val="1"/>
      <w:numFmt w:val="lowerLetter"/>
      <w:lvlText w:val="%5."/>
      <w:lvlJc w:val="left"/>
      <w:pPr>
        <w:ind w:left="3201" w:hanging="360"/>
      </w:pPr>
    </w:lvl>
    <w:lvl w:ilvl="5" w:tplc="0415001B" w:tentative="1">
      <w:start w:val="1"/>
      <w:numFmt w:val="lowerRoman"/>
      <w:lvlText w:val="%6."/>
      <w:lvlJc w:val="right"/>
      <w:pPr>
        <w:ind w:left="3921" w:hanging="180"/>
      </w:pPr>
    </w:lvl>
    <w:lvl w:ilvl="6" w:tplc="0415000F" w:tentative="1">
      <w:start w:val="1"/>
      <w:numFmt w:val="decimal"/>
      <w:lvlText w:val="%7."/>
      <w:lvlJc w:val="left"/>
      <w:pPr>
        <w:ind w:left="4641" w:hanging="360"/>
      </w:pPr>
    </w:lvl>
    <w:lvl w:ilvl="7" w:tplc="04150019" w:tentative="1">
      <w:start w:val="1"/>
      <w:numFmt w:val="lowerLetter"/>
      <w:lvlText w:val="%8."/>
      <w:lvlJc w:val="left"/>
      <w:pPr>
        <w:ind w:left="5361" w:hanging="360"/>
      </w:pPr>
    </w:lvl>
    <w:lvl w:ilvl="8" w:tplc="0415001B" w:tentative="1">
      <w:start w:val="1"/>
      <w:numFmt w:val="lowerRoman"/>
      <w:lvlText w:val="%9."/>
      <w:lvlJc w:val="right"/>
      <w:pPr>
        <w:ind w:left="6081" w:hanging="180"/>
      </w:pPr>
    </w:lvl>
  </w:abstractNum>
  <w:abstractNum w:abstractNumId="25" w15:restartNumberingAfterBreak="0">
    <w:nsid w:val="703E54E6"/>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6" w15:restartNumberingAfterBreak="0">
    <w:nsid w:val="72253848"/>
    <w:multiLevelType w:val="hybridMultilevel"/>
    <w:tmpl w:val="8F10F6AE"/>
    <w:lvl w:ilvl="0" w:tplc="C7B04F10">
      <w:start w:val="2"/>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27" w15:restartNumberingAfterBreak="0">
    <w:nsid w:val="764744B3"/>
    <w:multiLevelType w:val="hybridMultilevel"/>
    <w:tmpl w:val="363600DC"/>
    <w:lvl w:ilvl="0" w:tplc="FF98001A">
      <w:start w:val="1"/>
      <w:numFmt w:val="decimal"/>
      <w:lvlText w:val="%1)"/>
      <w:lvlJc w:val="left"/>
      <w:pPr>
        <w:ind w:left="405" w:hanging="360"/>
      </w:pPr>
      <w:rPr>
        <w:rFonts w:hint="default"/>
        <w:u w:val="none"/>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8" w15:restartNumberingAfterBreak="0">
    <w:nsid w:val="7B47264F"/>
    <w:multiLevelType w:val="hybridMultilevel"/>
    <w:tmpl w:val="222087AA"/>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EC81B9E"/>
    <w:multiLevelType w:val="hybridMultilevel"/>
    <w:tmpl w:val="DAFC9EEA"/>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num w:numId="1" w16cid:durableId="287207255">
    <w:abstractNumId w:val="8"/>
  </w:num>
  <w:num w:numId="2" w16cid:durableId="1340422648">
    <w:abstractNumId w:val="9"/>
  </w:num>
  <w:num w:numId="3" w16cid:durableId="1489403357">
    <w:abstractNumId w:val="26"/>
  </w:num>
  <w:num w:numId="4" w16cid:durableId="1062871744">
    <w:abstractNumId w:val="4"/>
  </w:num>
  <w:num w:numId="5" w16cid:durableId="947738351">
    <w:abstractNumId w:val="27"/>
  </w:num>
  <w:num w:numId="6" w16cid:durableId="1578973470">
    <w:abstractNumId w:val="24"/>
  </w:num>
  <w:num w:numId="7" w16cid:durableId="1939407580">
    <w:abstractNumId w:val="0"/>
  </w:num>
  <w:num w:numId="8" w16cid:durableId="1526165476">
    <w:abstractNumId w:val="3"/>
  </w:num>
  <w:num w:numId="9" w16cid:durableId="1088967255">
    <w:abstractNumId w:val="21"/>
  </w:num>
  <w:num w:numId="10" w16cid:durableId="764762538">
    <w:abstractNumId w:val="12"/>
  </w:num>
  <w:num w:numId="11" w16cid:durableId="926306318">
    <w:abstractNumId w:val="29"/>
  </w:num>
  <w:num w:numId="12" w16cid:durableId="627324417">
    <w:abstractNumId w:val="28"/>
  </w:num>
  <w:num w:numId="13" w16cid:durableId="521671258">
    <w:abstractNumId w:val="23"/>
  </w:num>
  <w:num w:numId="14" w16cid:durableId="42750966">
    <w:abstractNumId w:val="19"/>
  </w:num>
  <w:num w:numId="15" w16cid:durableId="1574507069">
    <w:abstractNumId w:val="13"/>
  </w:num>
  <w:num w:numId="16" w16cid:durableId="1898517217">
    <w:abstractNumId w:val="7"/>
  </w:num>
  <w:num w:numId="17" w16cid:durableId="1110052646">
    <w:abstractNumId w:val="16"/>
  </w:num>
  <w:num w:numId="18" w16cid:durableId="564028639">
    <w:abstractNumId w:val="18"/>
  </w:num>
  <w:num w:numId="19" w16cid:durableId="1670522119">
    <w:abstractNumId w:val="15"/>
  </w:num>
  <w:num w:numId="20" w16cid:durableId="1732996602">
    <w:abstractNumId w:val="10"/>
  </w:num>
  <w:num w:numId="21" w16cid:durableId="265769594">
    <w:abstractNumId w:val="5"/>
  </w:num>
  <w:num w:numId="22" w16cid:durableId="396318302">
    <w:abstractNumId w:val="25"/>
  </w:num>
  <w:num w:numId="23" w16cid:durableId="1326857301">
    <w:abstractNumId w:val="20"/>
  </w:num>
  <w:num w:numId="24" w16cid:durableId="1583371786">
    <w:abstractNumId w:val="1"/>
  </w:num>
  <w:num w:numId="25" w16cid:durableId="895749484">
    <w:abstractNumId w:val="14"/>
  </w:num>
  <w:num w:numId="26" w16cid:durableId="511847358">
    <w:abstractNumId w:val="6"/>
  </w:num>
  <w:num w:numId="27" w16cid:durableId="1427724311">
    <w:abstractNumId w:val="22"/>
  </w:num>
  <w:num w:numId="28" w16cid:durableId="1913466776">
    <w:abstractNumId w:val="17"/>
  </w:num>
  <w:num w:numId="29" w16cid:durableId="1114791588">
    <w:abstractNumId w:val="11"/>
  </w:num>
  <w:num w:numId="30" w16cid:durableId="10658362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157"/>
    <w:rsid w:val="000002F3"/>
    <w:rsid w:val="00004164"/>
    <w:rsid w:val="00011106"/>
    <w:rsid w:val="00011567"/>
    <w:rsid w:val="0001501B"/>
    <w:rsid w:val="000153D6"/>
    <w:rsid w:val="000161F5"/>
    <w:rsid w:val="00017F99"/>
    <w:rsid w:val="00020FD0"/>
    <w:rsid w:val="0002291B"/>
    <w:rsid w:val="00022A37"/>
    <w:rsid w:val="000259D8"/>
    <w:rsid w:val="00032852"/>
    <w:rsid w:val="00032976"/>
    <w:rsid w:val="000361E2"/>
    <w:rsid w:val="00036308"/>
    <w:rsid w:val="00037770"/>
    <w:rsid w:val="00045A67"/>
    <w:rsid w:val="00055B56"/>
    <w:rsid w:val="000566FC"/>
    <w:rsid w:val="000660EA"/>
    <w:rsid w:val="000662BB"/>
    <w:rsid w:val="000703D1"/>
    <w:rsid w:val="0007565D"/>
    <w:rsid w:val="0008152F"/>
    <w:rsid w:val="000839A3"/>
    <w:rsid w:val="00084004"/>
    <w:rsid w:val="00084817"/>
    <w:rsid w:val="00084A2A"/>
    <w:rsid w:val="00085E2E"/>
    <w:rsid w:val="00090FA7"/>
    <w:rsid w:val="000911E2"/>
    <w:rsid w:val="00091F2A"/>
    <w:rsid w:val="00092606"/>
    <w:rsid w:val="00095C31"/>
    <w:rsid w:val="00096603"/>
    <w:rsid w:val="000A32E5"/>
    <w:rsid w:val="000A5D67"/>
    <w:rsid w:val="000B1157"/>
    <w:rsid w:val="000B346A"/>
    <w:rsid w:val="000C00BA"/>
    <w:rsid w:val="000C2E71"/>
    <w:rsid w:val="000D2059"/>
    <w:rsid w:val="000D3780"/>
    <w:rsid w:val="000D5B0B"/>
    <w:rsid w:val="000D7E1A"/>
    <w:rsid w:val="000E074E"/>
    <w:rsid w:val="000E0EC7"/>
    <w:rsid w:val="000E3C0C"/>
    <w:rsid w:val="000F60F2"/>
    <w:rsid w:val="000F63C3"/>
    <w:rsid w:val="000F6514"/>
    <w:rsid w:val="000F7A57"/>
    <w:rsid w:val="001001FD"/>
    <w:rsid w:val="001019C9"/>
    <w:rsid w:val="00102793"/>
    <w:rsid w:val="00106614"/>
    <w:rsid w:val="001111BD"/>
    <w:rsid w:val="001132E7"/>
    <w:rsid w:val="00113486"/>
    <w:rsid w:val="001146C0"/>
    <w:rsid w:val="001220E1"/>
    <w:rsid w:val="001309E0"/>
    <w:rsid w:val="00133753"/>
    <w:rsid w:val="00134831"/>
    <w:rsid w:val="001361B5"/>
    <w:rsid w:val="00136551"/>
    <w:rsid w:val="00136868"/>
    <w:rsid w:val="0013745A"/>
    <w:rsid w:val="00140448"/>
    <w:rsid w:val="00141978"/>
    <w:rsid w:val="00143C74"/>
    <w:rsid w:val="00151C2E"/>
    <w:rsid w:val="0015330B"/>
    <w:rsid w:val="0016621F"/>
    <w:rsid w:val="00167C37"/>
    <w:rsid w:val="00177EC3"/>
    <w:rsid w:val="00186157"/>
    <w:rsid w:val="00186B6F"/>
    <w:rsid w:val="00187E3D"/>
    <w:rsid w:val="00190C60"/>
    <w:rsid w:val="00190CF7"/>
    <w:rsid w:val="0019322F"/>
    <w:rsid w:val="00193AB3"/>
    <w:rsid w:val="00196F7A"/>
    <w:rsid w:val="001A4F23"/>
    <w:rsid w:val="001A55AF"/>
    <w:rsid w:val="001A5FEF"/>
    <w:rsid w:val="001A69C9"/>
    <w:rsid w:val="001B5831"/>
    <w:rsid w:val="001C2161"/>
    <w:rsid w:val="001C253E"/>
    <w:rsid w:val="001D3CC3"/>
    <w:rsid w:val="001D7D7D"/>
    <w:rsid w:val="001E01AE"/>
    <w:rsid w:val="001E080D"/>
    <w:rsid w:val="001E2835"/>
    <w:rsid w:val="001E5D7A"/>
    <w:rsid w:val="001F0431"/>
    <w:rsid w:val="001F3A0F"/>
    <w:rsid w:val="001F4958"/>
    <w:rsid w:val="001F51B9"/>
    <w:rsid w:val="001F5502"/>
    <w:rsid w:val="001F5772"/>
    <w:rsid w:val="00201B9A"/>
    <w:rsid w:val="00201EE9"/>
    <w:rsid w:val="0020383B"/>
    <w:rsid w:val="00211E49"/>
    <w:rsid w:val="0021747F"/>
    <w:rsid w:val="00223F9D"/>
    <w:rsid w:val="002301EC"/>
    <w:rsid w:val="00234B99"/>
    <w:rsid w:val="0024216B"/>
    <w:rsid w:val="00242233"/>
    <w:rsid w:val="002428A7"/>
    <w:rsid w:val="0024476B"/>
    <w:rsid w:val="00245C0A"/>
    <w:rsid w:val="00252F32"/>
    <w:rsid w:val="00254D93"/>
    <w:rsid w:val="002662EA"/>
    <w:rsid w:val="00266490"/>
    <w:rsid w:val="002714F4"/>
    <w:rsid w:val="00271B94"/>
    <w:rsid w:val="002724CC"/>
    <w:rsid w:val="00280578"/>
    <w:rsid w:val="0028475B"/>
    <w:rsid w:val="00284D89"/>
    <w:rsid w:val="00285CD8"/>
    <w:rsid w:val="00286631"/>
    <w:rsid w:val="002936DB"/>
    <w:rsid w:val="00294486"/>
    <w:rsid w:val="0029593D"/>
    <w:rsid w:val="002968CB"/>
    <w:rsid w:val="002A11F8"/>
    <w:rsid w:val="002A3F06"/>
    <w:rsid w:val="002A6ED8"/>
    <w:rsid w:val="002B028D"/>
    <w:rsid w:val="002B55AD"/>
    <w:rsid w:val="002B5ADA"/>
    <w:rsid w:val="002B63E5"/>
    <w:rsid w:val="002B7569"/>
    <w:rsid w:val="002C07A1"/>
    <w:rsid w:val="002C46ED"/>
    <w:rsid w:val="002C53B8"/>
    <w:rsid w:val="002D2C09"/>
    <w:rsid w:val="002D47E6"/>
    <w:rsid w:val="002D6188"/>
    <w:rsid w:val="002E0918"/>
    <w:rsid w:val="002E3C34"/>
    <w:rsid w:val="002F04A7"/>
    <w:rsid w:val="002F1D55"/>
    <w:rsid w:val="002F2012"/>
    <w:rsid w:val="002F252D"/>
    <w:rsid w:val="002F302C"/>
    <w:rsid w:val="002F6EA3"/>
    <w:rsid w:val="003076AD"/>
    <w:rsid w:val="003170B1"/>
    <w:rsid w:val="0032209A"/>
    <w:rsid w:val="00322BC5"/>
    <w:rsid w:val="003243F9"/>
    <w:rsid w:val="00325365"/>
    <w:rsid w:val="00335857"/>
    <w:rsid w:val="00335A7D"/>
    <w:rsid w:val="0033684B"/>
    <w:rsid w:val="0033797A"/>
    <w:rsid w:val="00342F9B"/>
    <w:rsid w:val="00344F77"/>
    <w:rsid w:val="003462B1"/>
    <w:rsid w:val="0035091B"/>
    <w:rsid w:val="003514BB"/>
    <w:rsid w:val="003565A1"/>
    <w:rsid w:val="00362096"/>
    <w:rsid w:val="003706A6"/>
    <w:rsid w:val="00372209"/>
    <w:rsid w:val="00377B2F"/>
    <w:rsid w:val="003804F2"/>
    <w:rsid w:val="0039027A"/>
    <w:rsid w:val="003A430E"/>
    <w:rsid w:val="003C1000"/>
    <w:rsid w:val="003C5142"/>
    <w:rsid w:val="003D034B"/>
    <w:rsid w:val="003D130D"/>
    <w:rsid w:val="003D1CAB"/>
    <w:rsid w:val="003D2B9E"/>
    <w:rsid w:val="003D7D21"/>
    <w:rsid w:val="003E5D74"/>
    <w:rsid w:val="003F0432"/>
    <w:rsid w:val="003F148E"/>
    <w:rsid w:val="003F2063"/>
    <w:rsid w:val="003F2ED2"/>
    <w:rsid w:val="003F7E53"/>
    <w:rsid w:val="00400E97"/>
    <w:rsid w:val="00401D64"/>
    <w:rsid w:val="00402479"/>
    <w:rsid w:val="004024B8"/>
    <w:rsid w:val="00411C67"/>
    <w:rsid w:val="004128B4"/>
    <w:rsid w:val="00414EA2"/>
    <w:rsid w:val="00420339"/>
    <w:rsid w:val="00420374"/>
    <w:rsid w:val="0042375B"/>
    <w:rsid w:val="00425F05"/>
    <w:rsid w:val="00434D1B"/>
    <w:rsid w:val="00443077"/>
    <w:rsid w:val="00452E52"/>
    <w:rsid w:val="0045430C"/>
    <w:rsid w:val="00455139"/>
    <w:rsid w:val="004577CA"/>
    <w:rsid w:val="00462F0E"/>
    <w:rsid w:val="00466401"/>
    <w:rsid w:val="00466B17"/>
    <w:rsid w:val="004740E6"/>
    <w:rsid w:val="00474731"/>
    <w:rsid w:val="004851FD"/>
    <w:rsid w:val="0049120D"/>
    <w:rsid w:val="0049558B"/>
    <w:rsid w:val="004977F7"/>
    <w:rsid w:val="004A1DA3"/>
    <w:rsid w:val="004A26B5"/>
    <w:rsid w:val="004A28E0"/>
    <w:rsid w:val="004B0AFA"/>
    <w:rsid w:val="004B1553"/>
    <w:rsid w:val="004B1644"/>
    <w:rsid w:val="004C127E"/>
    <w:rsid w:val="004C3C49"/>
    <w:rsid w:val="004C7021"/>
    <w:rsid w:val="004C79D4"/>
    <w:rsid w:val="004E0816"/>
    <w:rsid w:val="004E6AEC"/>
    <w:rsid w:val="004E7994"/>
    <w:rsid w:val="004E7C55"/>
    <w:rsid w:val="004F0B65"/>
    <w:rsid w:val="004F10F7"/>
    <w:rsid w:val="004F5F18"/>
    <w:rsid w:val="0050045E"/>
    <w:rsid w:val="005040BC"/>
    <w:rsid w:val="005054C0"/>
    <w:rsid w:val="0051434B"/>
    <w:rsid w:val="00516470"/>
    <w:rsid w:val="005169DD"/>
    <w:rsid w:val="00522CC3"/>
    <w:rsid w:val="0052487E"/>
    <w:rsid w:val="0053130C"/>
    <w:rsid w:val="00537F4C"/>
    <w:rsid w:val="00540457"/>
    <w:rsid w:val="005418E2"/>
    <w:rsid w:val="005431CC"/>
    <w:rsid w:val="00545CD3"/>
    <w:rsid w:val="005471C2"/>
    <w:rsid w:val="005479E5"/>
    <w:rsid w:val="00550EAD"/>
    <w:rsid w:val="00555265"/>
    <w:rsid w:val="0057151E"/>
    <w:rsid w:val="005756BE"/>
    <w:rsid w:val="00576D40"/>
    <w:rsid w:val="005807F5"/>
    <w:rsid w:val="00582E10"/>
    <w:rsid w:val="0058522D"/>
    <w:rsid w:val="0058530C"/>
    <w:rsid w:val="00592953"/>
    <w:rsid w:val="00593690"/>
    <w:rsid w:val="00595381"/>
    <w:rsid w:val="005A2737"/>
    <w:rsid w:val="005A7AD5"/>
    <w:rsid w:val="005B1808"/>
    <w:rsid w:val="005C0119"/>
    <w:rsid w:val="005C23F7"/>
    <w:rsid w:val="005C2405"/>
    <w:rsid w:val="005C44D8"/>
    <w:rsid w:val="005C5BAF"/>
    <w:rsid w:val="005C644D"/>
    <w:rsid w:val="005C66E6"/>
    <w:rsid w:val="005D0644"/>
    <w:rsid w:val="005D142E"/>
    <w:rsid w:val="005D432A"/>
    <w:rsid w:val="005D442D"/>
    <w:rsid w:val="005D577E"/>
    <w:rsid w:val="005F3A79"/>
    <w:rsid w:val="005F7478"/>
    <w:rsid w:val="005F787D"/>
    <w:rsid w:val="00602CEE"/>
    <w:rsid w:val="00604D0B"/>
    <w:rsid w:val="00611583"/>
    <w:rsid w:val="006134C5"/>
    <w:rsid w:val="006156DE"/>
    <w:rsid w:val="00620E8F"/>
    <w:rsid w:val="006211ED"/>
    <w:rsid w:val="00621334"/>
    <w:rsid w:val="00621CF7"/>
    <w:rsid w:val="00624828"/>
    <w:rsid w:val="00630FFE"/>
    <w:rsid w:val="006354CF"/>
    <w:rsid w:val="006375BD"/>
    <w:rsid w:val="00644344"/>
    <w:rsid w:val="00650E16"/>
    <w:rsid w:val="006542E4"/>
    <w:rsid w:val="00655C23"/>
    <w:rsid w:val="00656977"/>
    <w:rsid w:val="00656D86"/>
    <w:rsid w:val="006669AD"/>
    <w:rsid w:val="00667FB6"/>
    <w:rsid w:val="0067271E"/>
    <w:rsid w:val="006739DC"/>
    <w:rsid w:val="00674BCF"/>
    <w:rsid w:val="006771BA"/>
    <w:rsid w:val="00677F98"/>
    <w:rsid w:val="0068126C"/>
    <w:rsid w:val="00682C1C"/>
    <w:rsid w:val="0069368F"/>
    <w:rsid w:val="006A0148"/>
    <w:rsid w:val="006A23AC"/>
    <w:rsid w:val="006A51A0"/>
    <w:rsid w:val="006A5418"/>
    <w:rsid w:val="006B1362"/>
    <w:rsid w:val="006C2BC9"/>
    <w:rsid w:val="006C3C41"/>
    <w:rsid w:val="006C42B2"/>
    <w:rsid w:val="006C7994"/>
    <w:rsid w:val="006D0AE4"/>
    <w:rsid w:val="006D0FB8"/>
    <w:rsid w:val="006D3856"/>
    <w:rsid w:val="006D3CE0"/>
    <w:rsid w:val="006E0843"/>
    <w:rsid w:val="006E3E8F"/>
    <w:rsid w:val="006E3F31"/>
    <w:rsid w:val="006E462C"/>
    <w:rsid w:val="006E6769"/>
    <w:rsid w:val="006F0D7B"/>
    <w:rsid w:val="006F1155"/>
    <w:rsid w:val="006F4EEA"/>
    <w:rsid w:val="006F6137"/>
    <w:rsid w:val="007018E8"/>
    <w:rsid w:val="0070618D"/>
    <w:rsid w:val="00717863"/>
    <w:rsid w:val="00730C35"/>
    <w:rsid w:val="00733997"/>
    <w:rsid w:val="00735AA5"/>
    <w:rsid w:val="00741A58"/>
    <w:rsid w:val="00742660"/>
    <w:rsid w:val="00751B0F"/>
    <w:rsid w:val="00756A51"/>
    <w:rsid w:val="00760051"/>
    <w:rsid w:val="0076077D"/>
    <w:rsid w:val="00761FB8"/>
    <w:rsid w:val="007653FF"/>
    <w:rsid w:val="00766C63"/>
    <w:rsid w:val="00766F26"/>
    <w:rsid w:val="0078704B"/>
    <w:rsid w:val="00791FE5"/>
    <w:rsid w:val="00794169"/>
    <w:rsid w:val="00794DC2"/>
    <w:rsid w:val="007A1F9F"/>
    <w:rsid w:val="007A627A"/>
    <w:rsid w:val="007A76D4"/>
    <w:rsid w:val="007A7EE2"/>
    <w:rsid w:val="007B1BB1"/>
    <w:rsid w:val="007B3E6F"/>
    <w:rsid w:val="007C0895"/>
    <w:rsid w:val="007C2560"/>
    <w:rsid w:val="007D0B00"/>
    <w:rsid w:val="007D1CF5"/>
    <w:rsid w:val="007E347E"/>
    <w:rsid w:val="007E4CBE"/>
    <w:rsid w:val="007E5057"/>
    <w:rsid w:val="007E61D2"/>
    <w:rsid w:val="007E78AE"/>
    <w:rsid w:val="007F2040"/>
    <w:rsid w:val="007F39C0"/>
    <w:rsid w:val="0080792B"/>
    <w:rsid w:val="00814CE9"/>
    <w:rsid w:val="008203CF"/>
    <w:rsid w:val="008225A0"/>
    <w:rsid w:val="00825F44"/>
    <w:rsid w:val="00830132"/>
    <w:rsid w:val="00831113"/>
    <w:rsid w:val="0083136E"/>
    <w:rsid w:val="0083519A"/>
    <w:rsid w:val="008507AE"/>
    <w:rsid w:val="00852D75"/>
    <w:rsid w:val="008531D9"/>
    <w:rsid w:val="00857315"/>
    <w:rsid w:val="00862F7B"/>
    <w:rsid w:val="00863BA4"/>
    <w:rsid w:val="00863DFA"/>
    <w:rsid w:val="00865AF4"/>
    <w:rsid w:val="00872961"/>
    <w:rsid w:val="008842F2"/>
    <w:rsid w:val="008911D0"/>
    <w:rsid w:val="008A34A4"/>
    <w:rsid w:val="008D1372"/>
    <w:rsid w:val="008D2200"/>
    <w:rsid w:val="008D67D6"/>
    <w:rsid w:val="008E0984"/>
    <w:rsid w:val="008E3179"/>
    <w:rsid w:val="008F0363"/>
    <w:rsid w:val="008F5769"/>
    <w:rsid w:val="00906951"/>
    <w:rsid w:val="00910E7B"/>
    <w:rsid w:val="00921BC2"/>
    <w:rsid w:val="00925F56"/>
    <w:rsid w:val="0092766C"/>
    <w:rsid w:val="0093232B"/>
    <w:rsid w:val="00932DE0"/>
    <w:rsid w:val="00933852"/>
    <w:rsid w:val="00934866"/>
    <w:rsid w:val="00934E34"/>
    <w:rsid w:val="00937110"/>
    <w:rsid w:val="00941156"/>
    <w:rsid w:val="009478A6"/>
    <w:rsid w:val="009532CB"/>
    <w:rsid w:val="00954430"/>
    <w:rsid w:val="00954DA6"/>
    <w:rsid w:val="00955414"/>
    <w:rsid w:val="00956084"/>
    <w:rsid w:val="00957335"/>
    <w:rsid w:val="0096049A"/>
    <w:rsid w:val="00960FDB"/>
    <w:rsid w:val="00961F40"/>
    <w:rsid w:val="00962B1F"/>
    <w:rsid w:val="00962BA5"/>
    <w:rsid w:val="00963B6A"/>
    <w:rsid w:val="00964CA4"/>
    <w:rsid w:val="009672B1"/>
    <w:rsid w:val="00970A12"/>
    <w:rsid w:val="009743F9"/>
    <w:rsid w:val="009768E8"/>
    <w:rsid w:val="00983A14"/>
    <w:rsid w:val="0098485F"/>
    <w:rsid w:val="00984DD8"/>
    <w:rsid w:val="009923E7"/>
    <w:rsid w:val="009933B2"/>
    <w:rsid w:val="009A060D"/>
    <w:rsid w:val="009A2FC3"/>
    <w:rsid w:val="009A3389"/>
    <w:rsid w:val="009C187E"/>
    <w:rsid w:val="009C39F6"/>
    <w:rsid w:val="009C3D62"/>
    <w:rsid w:val="009C432C"/>
    <w:rsid w:val="009C45A9"/>
    <w:rsid w:val="009C5BE3"/>
    <w:rsid w:val="009D00E7"/>
    <w:rsid w:val="009D02A7"/>
    <w:rsid w:val="009D0E2C"/>
    <w:rsid w:val="009D1732"/>
    <w:rsid w:val="009D18BA"/>
    <w:rsid w:val="009D270D"/>
    <w:rsid w:val="009D2922"/>
    <w:rsid w:val="009D30E0"/>
    <w:rsid w:val="009D37DC"/>
    <w:rsid w:val="009D3F2D"/>
    <w:rsid w:val="009D4953"/>
    <w:rsid w:val="009D5BB6"/>
    <w:rsid w:val="009D75AA"/>
    <w:rsid w:val="009E23E8"/>
    <w:rsid w:val="009E4A80"/>
    <w:rsid w:val="009F0A47"/>
    <w:rsid w:val="009F0ABF"/>
    <w:rsid w:val="009F11B2"/>
    <w:rsid w:val="00A04803"/>
    <w:rsid w:val="00A065B7"/>
    <w:rsid w:val="00A06697"/>
    <w:rsid w:val="00A11E28"/>
    <w:rsid w:val="00A1326C"/>
    <w:rsid w:val="00A16065"/>
    <w:rsid w:val="00A329A1"/>
    <w:rsid w:val="00A3318A"/>
    <w:rsid w:val="00A34D83"/>
    <w:rsid w:val="00A3659B"/>
    <w:rsid w:val="00A37B36"/>
    <w:rsid w:val="00A407A4"/>
    <w:rsid w:val="00A44245"/>
    <w:rsid w:val="00A52018"/>
    <w:rsid w:val="00A53CBC"/>
    <w:rsid w:val="00A5555A"/>
    <w:rsid w:val="00A61639"/>
    <w:rsid w:val="00A64143"/>
    <w:rsid w:val="00A64F0A"/>
    <w:rsid w:val="00A65542"/>
    <w:rsid w:val="00A66039"/>
    <w:rsid w:val="00A670BF"/>
    <w:rsid w:val="00A70204"/>
    <w:rsid w:val="00A77C3F"/>
    <w:rsid w:val="00A86CEB"/>
    <w:rsid w:val="00A86D24"/>
    <w:rsid w:val="00A92454"/>
    <w:rsid w:val="00A96C61"/>
    <w:rsid w:val="00A973DE"/>
    <w:rsid w:val="00AA3456"/>
    <w:rsid w:val="00AA7173"/>
    <w:rsid w:val="00AB3232"/>
    <w:rsid w:val="00AC0365"/>
    <w:rsid w:val="00AC3246"/>
    <w:rsid w:val="00AC3FF6"/>
    <w:rsid w:val="00AD2E3B"/>
    <w:rsid w:val="00AE689C"/>
    <w:rsid w:val="00AE78F8"/>
    <w:rsid w:val="00AF1BD5"/>
    <w:rsid w:val="00AF2DCB"/>
    <w:rsid w:val="00AF5CDF"/>
    <w:rsid w:val="00B0068C"/>
    <w:rsid w:val="00B00AFC"/>
    <w:rsid w:val="00B03A96"/>
    <w:rsid w:val="00B0487A"/>
    <w:rsid w:val="00B04A1D"/>
    <w:rsid w:val="00B131C0"/>
    <w:rsid w:val="00B1516F"/>
    <w:rsid w:val="00B15F59"/>
    <w:rsid w:val="00B165E5"/>
    <w:rsid w:val="00B241C8"/>
    <w:rsid w:val="00B254FF"/>
    <w:rsid w:val="00B3322F"/>
    <w:rsid w:val="00B34DCA"/>
    <w:rsid w:val="00B36EB0"/>
    <w:rsid w:val="00B42B95"/>
    <w:rsid w:val="00B465D0"/>
    <w:rsid w:val="00B4688A"/>
    <w:rsid w:val="00B502CC"/>
    <w:rsid w:val="00B54306"/>
    <w:rsid w:val="00B6038D"/>
    <w:rsid w:val="00B6180E"/>
    <w:rsid w:val="00B6276C"/>
    <w:rsid w:val="00B62BF7"/>
    <w:rsid w:val="00B6721F"/>
    <w:rsid w:val="00B72216"/>
    <w:rsid w:val="00B75767"/>
    <w:rsid w:val="00B7596B"/>
    <w:rsid w:val="00B76506"/>
    <w:rsid w:val="00B76B71"/>
    <w:rsid w:val="00B77230"/>
    <w:rsid w:val="00B809BB"/>
    <w:rsid w:val="00B85866"/>
    <w:rsid w:val="00B9019B"/>
    <w:rsid w:val="00B919AF"/>
    <w:rsid w:val="00B936C2"/>
    <w:rsid w:val="00BA173B"/>
    <w:rsid w:val="00BA785D"/>
    <w:rsid w:val="00BA7947"/>
    <w:rsid w:val="00BB205A"/>
    <w:rsid w:val="00BB2FF9"/>
    <w:rsid w:val="00BC05D9"/>
    <w:rsid w:val="00BC0915"/>
    <w:rsid w:val="00BC14E3"/>
    <w:rsid w:val="00BC3FBB"/>
    <w:rsid w:val="00BD1AB7"/>
    <w:rsid w:val="00BD6AA6"/>
    <w:rsid w:val="00BE4C84"/>
    <w:rsid w:val="00BE78C6"/>
    <w:rsid w:val="00BF03A6"/>
    <w:rsid w:val="00BF5692"/>
    <w:rsid w:val="00BF78B9"/>
    <w:rsid w:val="00C07722"/>
    <w:rsid w:val="00C11FDA"/>
    <w:rsid w:val="00C14830"/>
    <w:rsid w:val="00C14B5D"/>
    <w:rsid w:val="00C16760"/>
    <w:rsid w:val="00C1797B"/>
    <w:rsid w:val="00C2074A"/>
    <w:rsid w:val="00C22A1F"/>
    <w:rsid w:val="00C26594"/>
    <w:rsid w:val="00C30452"/>
    <w:rsid w:val="00C3316F"/>
    <w:rsid w:val="00C3403B"/>
    <w:rsid w:val="00C4017B"/>
    <w:rsid w:val="00C421FB"/>
    <w:rsid w:val="00C519CA"/>
    <w:rsid w:val="00C5274E"/>
    <w:rsid w:val="00C541C9"/>
    <w:rsid w:val="00C6094D"/>
    <w:rsid w:val="00C60BA3"/>
    <w:rsid w:val="00C63F1E"/>
    <w:rsid w:val="00C66935"/>
    <w:rsid w:val="00C70BF5"/>
    <w:rsid w:val="00C71CAF"/>
    <w:rsid w:val="00C84EF1"/>
    <w:rsid w:val="00C8705A"/>
    <w:rsid w:val="00C90560"/>
    <w:rsid w:val="00C933AD"/>
    <w:rsid w:val="00C972A5"/>
    <w:rsid w:val="00CA0BC8"/>
    <w:rsid w:val="00CA2A44"/>
    <w:rsid w:val="00CB5636"/>
    <w:rsid w:val="00CB5A0A"/>
    <w:rsid w:val="00CB651E"/>
    <w:rsid w:val="00CC12A4"/>
    <w:rsid w:val="00CC1ABA"/>
    <w:rsid w:val="00CC76CF"/>
    <w:rsid w:val="00CD230B"/>
    <w:rsid w:val="00CE1C18"/>
    <w:rsid w:val="00CE3975"/>
    <w:rsid w:val="00CE5444"/>
    <w:rsid w:val="00CE590D"/>
    <w:rsid w:val="00CE74C5"/>
    <w:rsid w:val="00CF09E7"/>
    <w:rsid w:val="00CF1497"/>
    <w:rsid w:val="00CF32EA"/>
    <w:rsid w:val="00D012EC"/>
    <w:rsid w:val="00D014F7"/>
    <w:rsid w:val="00D02157"/>
    <w:rsid w:val="00D02C41"/>
    <w:rsid w:val="00D05746"/>
    <w:rsid w:val="00D067CA"/>
    <w:rsid w:val="00D06E37"/>
    <w:rsid w:val="00D103B4"/>
    <w:rsid w:val="00D11479"/>
    <w:rsid w:val="00D115B4"/>
    <w:rsid w:val="00D1223B"/>
    <w:rsid w:val="00D14F34"/>
    <w:rsid w:val="00D23483"/>
    <w:rsid w:val="00D3265D"/>
    <w:rsid w:val="00D33769"/>
    <w:rsid w:val="00D34082"/>
    <w:rsid w:val="00D345DF"/>
    <w:rsid w:val="00D425DB"/>
    <w:rsid w:val="00D53619"/>
    <w:rsid w:val="00D54DB1"/>
    <w:rsid w:val="00D64733"/>
    <w:rsid w:val="00D72D85"/>
    <w:rsid w:val="00D75ACA"/>
    <w:rsid w:val="00D75F2B"/>
    <w:rsid w:val="00D86757"/>
    <w:rsid w:val="00D95599"/>
    <w:rsid w:val="00D97F25"/>
    <w:rsid w:val="00DA4865"/>
    <w:rsid w:val="00DA74A6"/>
    <w:rsid w:val="00DB1180"/>
    <w:rsid w:val="00DB1C03"/>
    <w:rsid w:val="00DB350F"/>
    <w:rsid w:val="00DB37E5"/>
    <w:rsid w:val="00DB42DD"/>
    <w:rsid w:val="00DB5005"/>
    <w:rsid w:val="00DC3932"/>
    <w:rsid w:val="00DC41C7"/>
    <w:rsid w:val="00DC53ED"/>
    <w:rsid w:val="00DE186F"/>
    <w:rsid w:val="00DF185C"/>
    <w:rsid w:val="00DF18F4"/>
    <w:rsid w:val="00DF191C"/>
    <w:rsid w:val="00E02A96"/>
    <w:rsid w:val="00E1573E"/>
    <w:rsid w:val="00E15E08"/>
    <w:rsid w:val="00E16825"/>
    <w:rsid w:val="00E23A7D"/>
    <w:rsid w:val="00E23F26"/>
    <w:rsid w:val="00E2744F"/>
    <w:rsid w:val="00E3126A"/>
    <w:rsid w:val="00E3485C"/>
    <w:rsid w:val="00E35677"/>
    <w:rsid w:val="00E3630E"/>
    <w:rsid w:val="00E36976"/>
    <w:rsid w:val="00E37D59"/>
    <w:rsid w:val="00E418E8"/>
    <w:rsid w:val="00E42FE7"/>
    <w:rsid w:val="00E45467"/>
    <w:rsid w:val="00E511EC"/>
    <w:rsid w:val="00E53586"/>
    <w:rsid w:val="00E61446"/>
    <w:rsid w:val="00E64FC4"/>
    <w:rsid w:val="00E66D22"/>
    <w:rsid w:val="00E67BF3"/>
    <w:rsid w:val="00E7267B"/>
    <w:rsid w:val="00E738A5"/>
    <w:rsid w:val="00E75014"/>
    <w:rsid w:val="00E7699F"/>
    <w:rsid w:val="00E81469"/>
    <w:rsid w:val="00E90393"/>
    <w:rsid w:val="00E92DC4"/>
    <w:rsid w:val="00EA486A"/>
    <w:rsid w:val="00EA6B63"/>
    <w:rsid w:val="00EB2E3E"/>
    <w:rsid w:val="00EB3D0E"/>
    <w:rsid w:val="00EB5B1E"/>
    <w:rsid w:val="00EC2DC3"/>
    <w:rsid w:val="00EC33A8"/>
    <w:rsid w:val="00EC4704"/>
    <w:rsid w:val="00EC7543"/>
    <w:rsid w:val="00EC7C35"/>
    <w:rsid w:val="00ED0778"/>
    <w:rsid w:val="00ED1933"/>
    <w:rsid w:val="00ED1CCF"/>
    <w:rsid w:val="00ED3E3C"/>
    <w:rsid w:val="00ED4A5E"/>
    <w:rsid w:val="00ED4BC6"/>
    <w:rsid w:val="00EE3F9A"/>
    <w:rsid w:val="00EE6C7E"/>
    <w:rsid w:val="00EF0179"/>
    <w:rsid w:val="00EF3099"/>
    <w:rsid w:val="00EF4885"/>
    <w:rsid w:val="00F004CC"/>
    <w:rsid w:val="00F02D0E"/>
    <w:rsid w:val="00F10E5E"/>
    <w:rsid w:val="00F11CBF"/>
    <w:rsid w:val="00F13719"/>
    <w:rsid w:val="00F16336"/>
    <w:rsid w:val="00F213E9"/>
    <w:rsid w:val="00F256E7"/>
    <w:rsid w:val="00F35DDF"/>
    <w:rsid w:val="00F420A0"/>
    <w:rsid w:val="00F422C8"/>
    <w:rsid w:val="00F42CE7"/>
    <w:rsid w:val="00F43BBA"/>
    <w:rsid w:val="00F466C4"/>
    <w:rsid w:val="00F46BB7"/>
    <w:rsid w:val="00F46DB3"/>
    <w:rsid w:val="00F54685"/>
    <w:rsid w:val="00F55938"/>
    <w:rsid w:val="00F61C16"/>
    <w:rsid w:val="00F62AC6"/>
    <w:rsid w:val="00F701E2"/>
    <w:rsid w:val="00F70E8B"/>
    <w:rsid w:val="00F73229"/>
    <w:rsid w:val="00F745F6"/>
    <w:rsid w:val="00F80086"/>
    <w:rsid w:val="00F80AAF"/>
    <w:rsid w:val="00F811D8"/>
    <w:rsid w:val="00F81237"/>
    <w:rsid w:val="00F81CBC"/>
    <w:rsid w:val="00F852B4"/>
    <w:rsid w:val="00F8572A"/>
    <w:rsid w:val="00F94422"/>
    <w:rsid w:val="00FA0632"/>
    <w:rsid w:val="00FA251F"/>
    <w:rsid w:val="00FA47E1"/>
    <w:rsid w:val="00FA7506"/>
    <w:rsid w:val="00FB18A8"/>
    <w:rsid w:val="00FC2700"/>
    <w:rsid w:val="00FC34A5"/>
    <w:rsid w:val="00FC3A0C"/>
    <w:rsid w:val="00FD05C7"/>
    <w:rsid w:val="00FD21E7"/>
    <w:rsid w:val="00FD42A3"/>
    <w:rsid w:val="00FD481C"/>
    <w:rsid w:val="00FD4AAB"/>
    <w:rsid w:val="00FD5236"/>
    <w:rsid w:val="00FD6974"/>
    <w:rsid w:val="00FD7445"/>
    <w:rsid w:val="00FD7CD5"/>
    <w:rsid w:val="00FE13F3"/>
    <w:rsid w:val="00FE1E29"/>
    <w:rsid w:val="00FE3F52"/>
    <w:rsid w:val="00FE45B5"/>
    <w:rsid w:val="00FE5B7F"/>
    <w:rsid w:val="00FF0704"/>
    <w:rsid w:val="00FF0AB4"/>
    <w:rsid w:val="00FF0E71"/>
    <w:rsid w:val="00FF2888"/>
    <w:rsid w:val="00FF36F7"/>
    <w:rsid w:val="00FF381F"/>
    <w:rsid w:val="00FF4480"/>
    <w:rsid w:val="00FF475D"/>
    <w:rsid w:val="00FF5B67"/>
    <w:rsid w:val="00FF6144"/>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AAD5C"/>
  <w15:docId w15:val="{D585241F-67E6-4E3E-BD64-3CB70F73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5746"/>
  </w:style>
  <w:style w:type="paragraph" w:styleId="Nagwek2">
    <w:name w:val="heading 2"/>
    <w:basedOn w:val="Normalny"/>
    <w:next w:val="Normalny"/>
    <w:link w:val="Nagwek2Znak"/>
    <w:uiPriority w:val="9"/>
    <w:unhideWhenUsed/>
    <w:qFormat/>
    <w:rsid w:val="004A28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77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706A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706A6"/>
    <w:rPr>
      <w:rFonts w:ascii="Tahoma" w:hAnsi="Tahoma" w:cs="Tahoma"/>
      <w:sz w:val="16"/>
      <w:szCs w:val="16"/>
    </w:rPr>
  </w:style>
  <w:style w:type="paragraph" w:customStyle="1" w:styleId="TYTUAKTUprzedmiotregulacjiustawylubrozporzdzenia">
    <w:name w:val="TYTUŁ_AKTU – przedmiot regulacji ustawy lub rozporządzenia"/>
    <w:next w:val="Normalny"/>
    <w:uiPriority w:val="6"/>
    <w:qFormat/>
    <w:rsid w:val="003706A6"/>
    <w:pPr>
      <w:keepNext/>
      <w:suppressAutoHyphens/>
      <w:spacing w:before="120" w:after="360" w:line="360" w:lineRule="auto"/>
      <w:jc w:val="center"/>
    </w:pPr>
    <w:rPr>
      <w:rFonts w:ascii="Times" w:eastAsia="Times New Roman" w:hAnsi="Times" w:cs="Arial"/>
      <w:b/>
      <w:bCs/>
      <w:sz w:val="24"/>
      <w:szCs w:val="24"/>
      <w:lang w:eastAsia="pl-PL"/>
    </w:rPr>
  </w:style>
  <w:style w:type="paragraph" w:customStyle="1" w:styleId="ARTartustawynprozporzdzenia">
    <w:name w:val="ART(§) – art. ustawy (§ np. rozporządzenia)"/>
    <w:uiPriority w:val="11"/>
    <w:qFormat/>
    <w:rsid w:val="00983A14"/>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PKTpunkt">
    <w:name w:val="PKT – punkt"/>
    <w:uiPriority w:val="13"/>
    <w:qFormat/>
    <w:rsid w:val="00983A14"/>
    <w:pPr>
      <w:spacing w:after="0" w:line="360" w:lineRule="auto"/>
      <w:ind w:left="510" w:hanging="510"/>
      <w:jc w:val="both"/>
    </w:pPr>
    <w:rPr>
      <w:rFonts w:ascii="Times" w:eastAsia="Times New Roman" w:hAnsi="Times" w:cs="Arial"/>
      <w:bCs/>
      <w:sz w:val="24"/>
      <w:szCs w:val="20"/>
      <w:lang w:eastAsia="pl-PL"/>
    </w:rPr>
  </w:style>
  <w:style w:type="character" w:styleId="Odwoaniedokomentarza">
    <w:name w:val="annotation reference"/>
    <w:uiPriority w:val="99"/>
    <w:semiHidden/>
    <w:rsid w:val="00983A14"/>
    <w:rPr>
      <w:sz w:val="16"/>
      <w:szCs w:val="16"/>
    </w:rPr>
  </w:style>
  <w:style w:type="paragraph" w:styleId="Tekstkomentarza">
    <w:name w:val="annotation text"/>
    <w:basedOn w:val="Normalny"/>
    <w:link w:val="TekstkomentarzaZnak"/>
    <w:uiPriority w:val="99"/>
    <w:semiHidden/>
    <w:rsid w:val="00983A14"/>
    <w:pPr>
      <w:widowControl w:val="0"/>
      <w:autoSpaceDE w:val="0"/>
      <w:autoSpaceDN w:val="0"/>
      <w:adjustRightInd w:val="0"/>
      <w:spacing w:after="0" w:line="360" w:lineRule="auto"/>
    </w:pPr>
    <w:rPr>
      <w:rFonts w:ascii="Times" w:eastAsia="Times New Roman" w:hAnsi="Times" w:cs="Times New Roman"/>
      <w:sz w:val="24"/>
      <w:szCs w:val="24"/>
      <w:lang w:eastAsia="pl-PL"/>
    </w:rPr>
  </w:style>
  <w:style w:type="character" w:customStyle="1" w:styleId="TekstkomentarzaZnak">
    <w:name w:val="Tekst komentarza Znak"/>
    <w:basedOn w:val="Domylnaczcionkaakapitu"/>
    <w:link w:val="Tekstkomentarza"/>
    <w:uiPriority w:val="99"/>
    <w:semiHidden/>
    <w:rsid w:val="00983A14"/>
    <w:rPr>
      <w:rFonts w:ascii="Times" w:eastAsia="Times New Roman" w:hAnsi="Times" w:cs="Times New Roman"/>
      <w:sz w:val="24"/>
      <w:szCs w:val="24"/>
      <w:lang w:eastAsia="pl-PL"/>
    </w:rPr>
  </w:style>
  <w:style w:type="character" w:customStyle="1" w:styleId="Ppogrubienie">
    <w:name w:val="_P_ – pogrubienie"/>
    <w:uiPriority w:val="1"/>
    <w:qFormat/>
    <w:rsid w:val="00983A14"/>
    <w:rPr>
      <w:b/>
    </w:rPr>
  </w:style>
  <w:style w:type="paragraph" w:styleId="Akapitzlist">
    <w:name w:val="List Paragraph"/>
    <w:basedOn w:val="Normalny"/>
    <w:uiPriority w:val="72"/>
    <w:qFormat/>
    <w:rsid w:val="00983A14"/>
    <w:pPr>
      <w:ind w:left="720"/>
      <w:contextualSpacing/>
    </w:pPr>
  </w:style>
  <w:style w:type="paragraph" w:customStyle="1" w:styleId="USTustnpkodeksu">
    <w:name w:val="UST(§) – ust. (§ np. kodeksu)"/>
    <w:basedOn w:val="ARTartustawynprozporzdzenia"/>
    <w:uiPriority w:val="12"/>
    <w:qFormat/>
    <w:rsid w:val="009A3389"/>
    <w:pPr>
      <w:spacing w:before="0"/>
    </w:pPr>
    <w:rPr>
      <w:bCs/>
    </w:rPr>
  </w:style>
  <w:style w:type="paragraph" w:styleId="Nagwek">
    <w:name w:val="header"/>
    <w:basedOn w:val="Normalny"/>
    <w:link w:val="NagwekZnak"/>
    <w:uiPriority w:val="99"/>
    <w:unhideWhenUsed/>
    <w:rsid w:val="00735A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5AA5"/>
  </w:style>
  <w:style w:type="paragraph" w:styleId="Stopka">
    <w:name w:val="footer"/>
    <w:basedOn w:val="Normalny"/>
    <w:link w:val="StopkaZnak"/>
    <w:uiPriority w:val="99"/>
    <w:unhideWhenUsed/>
    <w:rsid w:val="00735A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5AA5"/>
  </w:style>
  <w:style w:type="character" w:customStyle="1" w:styleId="Nagwek2Znak">
    <w:name w:val="Nagłówek 2 Znak"/>
    <w:basedOn w:val="Domylnaczcionkaakapitu"/>
    <w:link w:val="Nagwek2"/>
    <w:uiPriority w:val="9"/>
    <w:rsid w:val="004A28E0"/>
    <w:rPr>
      <w:rFonts w:asciiTheme="majorHAnsi" w:eastAsiaTheme="majorEastAsia" w:hAnsiTheme="majorHAnsi" w:cstheme="majorBidi"/>
      <w:b/>
      <w:bCs/>
      <w:color w:val="4F81BD" w:themeColor="accent1"/>
      <w:sz w:val="26"/>
      <w:szCs w:val="26"/>
    </w:rPr>
  </w:style>
  <w:style w:type="paragraph" w:styleId="Tekstprzypisudolnego">
    <w:name w:val="footnote text"/>
    <w:basedOn w:val="Normalny"/>
    <w:link w:val="TekstprzypisudolnegoZnak"/>
    <w:uiPriority w:val="99"/>
    <w:qFormat/>
    <w:rsid w:val="00B5430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B54306"/>
    <w:rPr>
      <w:rFonts w:ascii="Times New Roman" w:eastAsia="Times New Roman" w:hAnsi="Times New Roman" w:cs="Times New Roman"/>
      <w:sz w:val="20"/>
      <w:szCs w:val="20"/>
      <w:lang w:eastAsia="pl-PL"/>
    </w:rPr>
  </w:style>
  <w:style w:type="character" w:styleId="Odwoanieprzypisudolnego">
    <w:name w:val="footnote reference"/>
    <w:aliases w:val="FZ"/>
    <w:uiPriority w:val="99"/>
    <w:qFormat/>
    <w:rsid w:val="00B54306"/>
    <w:rPr>
      <w:vertAlign w:val="superscript"/>
    </w:rPr>
  </w:style>
  <w:style w:type="character" w:customStyle="1" w:styleId="articletitle">
    <w:name w:val="articletitle"/>
    <w:basedOn w:val="Domylnaczcionkaakapitu"/>
    <w:rsid w:val="00011106"/>
  </w:style>
  <w:style w:type="paragraph" w:styleId="Tematkomentarza">
    <w:name w:val="annotation subject"/>
    <w:basedOn w:val="Tekstkomentarza"/>
    <w:next w:val="Tekstkomentarza"/>
    <w:link w:val="TematkomentarzaZnak"/>
    <w:uiPriority w:val="99"/>
    <w:semiHidden/>
    <w:unhideWhenUsed/>
    <w:rsid w:val="00BF78B9"/>
    <w:pPr>
      <w:widowControl/>
      <w:autoSpaceDE/>
      <w:autoSpaceDN/>
      <w:adjustRightInd/>
      <w:spacing w:after="200" w:line="240" w:lineRule="auto"/>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BF78B9"/>
    <w:rPr>
      <w:rFonts w:ascii="Times" w:eastAsia="Times New Roman" w:hAnsi="Times" w:cs="Times New Roman"/>
      <w:b/>
      <w:bCs/>
      <w:sz w:val="20"/>
      <w:szCs w:val="20"/>
      <w:lang w:eastAsia="pl-PL"/>
    </w:rPr>
  </w:style>
  <w:style w:type="character" w:customStyle="1" w:styleId="IGindeksgrny">
    <w:name w:val="_IG_ – indeks górny"/>
    <w:basedOn w:val="Domylnaczcionkaakapitu"/>
    <w:uiPriority w:val="2"/>
    <w:qFormat/>
    <w:rsid w:val="00ED4A5E"/>
    <w:rPr>
      <w:b w:val="0"/>
      <w:bCs w:val="0"/>
      <w:i w:val="0"/>
      <w:iCs w:val="0"/>
      <w:vanish w:val="0"/>
      <w:webHidden w:val="0"/>
      <w:spacing w:val="0"/>
      <w:vertAlign w:val="superscript"/>
      <w:specVanish w:val="0"/>
    </w:rPr>
  </w:style>
  <w:style w:type="paragraph" w:customStyle="1" w:styleId="paragraphscxw78527537bcx2">
    <w:name w:val="paragraph scxw78527537 bcx2"/>
    <w:basedOn w:val="Normalny"/>
    <w:rsid w:val="006D0FB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6A5418"/>
    <w:pPr>
      <w:widowControl w:val="0"/>
      <w:autoSpaceDE w:val="0"/>
      <w:autoSpaceDN w:val="0"/>
      <w:adjustRightInd w:val="0"/>
      <w:spacing w:after="0" w:line="331" w:lineRule="exact"/>
      <w:ind w:firstLine="662"/>
      <w:jc w:val="both"/>
    </w:pPr>
    <w:rPr>
      <w:rFonts w:ascii="Calibri" w:eastAsiaTheme="minorEastAsia" w:hAnsi="Calibri" w:cs="Calibri"/>
      <w:sz w:val="24"/>
      <w:szCs w:val="24"/>
      <w:lang w:eastAsia="pl-PL"/>
      <w14:ligatures w14:val="standardContextual"/>
    </w:rPr>
  </w:style>
  <w:style w:type="character" w:customStyle="1" w:styleId="FontStyle13">
    <w:name w:val="Font Style13"/>
    <w:basedOn w:val="Domylnaczcionkaakapitu"/>
    <w:uiPriority w:val="99"/>
    <w:rsid w:val="006A5418"/>
    <w:rPr>
      <w:rFonts w:ascii="Times New Roman" w:hAnsi="Times New Roman" w:cs="Times New Roman"/>
      <w:b/>
      <w:bCs/>
      <w:sz w:val="20"/>
      <w:szCs w:val="20"/>
    </w:rPr>
  </w:style>
  <w:style w:type="character" w:customStyle="1" w:styleId="FontStyle14">
    <w:name w:val="Font Style14"/>
    <w:basedOn w:val="Domylnaczcionkaakapitu"/>
    <w:uiPriority w:val="99"/>
    <w:rsid w:val="006A5418"/>
    <w:rPr>
      <w:rFonts w:ascii="Times New Roman" w:hAnsi="Times New Roman" w:cs="Times New Roman"/>
      <w:b/>
      <w:bCs/>
      <w:i/>
      <w:iCs/>
      <w:sz w:val="20"/>
      <w:szCs w:val="20"/>
    </w:rPr>
  </w:style>
  <w:style w:type="character" w:customStyle="1" w:styleId="FontStyle15">
    <w:name w:val="Font Style15"/>
    <w:basedOn w:val="Domylnaczcionkaakapitu"/>
    <w:uiPriority w:val="99"/>
    <w:rsid w:val="006A5418"/>
    <w:rPr>
      <w:rFonts w:ascii="Times New Roman" w:hAnsi="Times New Roman" w:cs="Times New Roman"/>
      <w:sz w:val="20"/>
      <w:szCs w:val="20"/>
    </w:rPr>
  </w:style>
  <w:style w:type="paragraph" w:customStyle="1" w:styleId="Style7">
    <w:name w:val="Style7"/>
    <w:basedOn w:val="Normalny"/>
    <w:uiPriority w:val="99"/>
    <w:rsid w:val="004C7021"/>
    <w:pPr>
      <w:widowControl w:val="0"/>
      <w:autoSpaceDE w:val="0"/>
      <w:autoSpaceDN w:val="0"/>
      <w:adjustRightInd w:val="0"/>
      <w:spacing w:after="0" w:line="331" w:lineRule="exact"/>
      <w:ind w:firstLine="619"/>
      <w:jc w:val="both"/>
    </w:pPr>
    <w:rPr>
      <w:rFonts w:ascii="Calibri" w:eastAsiaTheme="minorEastAsia" w:hAnsi="Calibri" w:cs="Calibri"/>
      <w:sz w:val="24"/>
      <w:szCs w:val="24"/>
      <w:lang w:eastAsia="pl-PL"/>
      <w14:ligatures w14:val="standardContextual"/>
    </w:rPr>
  </w:style>
  <w:style w:type="paragraph" w:customStyle="1" w:styleId="Standard">
    <w:name w:val="Standard"/>
    <w:rsid w:val="00937110"/>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ZARTzmartartykuempunktem">
    <w:name w:val="Z/ART(§) – zm. art. (§) artykułem (punktem)"/>
    <w:basedOn w:val="ARTartustawynprozporzdzenia"/>
    <w:uiPriority w:val="30"/>
    <w:qFormat/>
    <w:rsid w:val="00FF6144"/>
    <w:pPr>
      <w:spacing w:before="0"/>
      <w:ind w:left="510"/>
    </w:pPr>
    <w:rPr>
      <w:rFonts w:eastAsiaTheme="minorEastAsia"/>
    </w:rPr>
  </w:style>
  <w:style w:type="paragraph" w:customStyle="1" w:styleId="ZUSTzmustartykuempunktem">
    <w:name w:val="Z/UST(§) – zm. ust. (§) artykułem (punktem)"/>
    <w:basedOn w:val="ZARTzmartartykuempunktem"/>
    <w:uiPriority w:val="30"/>
    <w:qFormat/>
    <w:rsid w:val="00D02C41"/>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0E3C0C"/>
    <w:rPr>
      <w:rFonts w:eastAsiaTheme="minorEastAsia"/>
      <w:bCs/>
    </w:rPr>
  </w:style>
  <w:style w:type="paragraph" w:styleId="Poprawka">
    <w:name w:val="Revision"/>
    <w:hidden/>
    <w:uiPriority w:val="99"/>
    <w:semiHidden/>
    <w:rsid w:val="00DB1180"/>
    <w:pPr>
      <w:spacing w:after="0" w:line="240" w:lineRule="auto"/>
    </w:pPr>
  </w:style>
  <w:style w:type="paragraph" w:styleId="Tekstprzypisukocowego">
    <w:name w:val="endnote text"/>
    <w:basedOn w:val="Normalny"/>
    <w:link w:val="TekstprzypisukocowegoZnak"/>
    <w:uiPriority w:val="99"/>
    <w:semiHidden/>
    <w:unhideWhenUsed/>
    <w:rsid w:val="00BC091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C0915"/>
    <w:rPr>
      <w:sz w:val="20"/>
      <w:szCs w:val="20"/>
    </w:rPr>
  </w:style>
  <w:style w:type="character" w:styleId="Odwoanieprzypisukocowego">
    <w:name w:val="endnote reference"/>
    <w:basedOn w:val="Domylnaczcionkaakapitu"/>
    <w:uiPriority w:val="99"/>
    <w:semiHidden/>
    <w:unhideWhenUsed/>
    <w:rsid w:val="00BC09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0463">
      <w:bodyDiv w:val="1"/>
      <w:marLeft w:val="0"/>
      <w:marRight w:val="0"/>
      <w:marTop w:val="0"/>
      <w:marBottom w:val="0"/>
      <w:divBdr>
        <w:top w:val="none" w:sz="0" w:space="0" w:color="auto"/>
        <w:left w:val="none" w:sz="0" w:space="0" w:color="auto"/>
        <w:bottom w:val="none" w:sz="0" w:space="0" w:color="auto"/>
        <w:right w:val="none" w:sz="0" w:space="0" w:color="auto"/>
      </w:divBdr>
    </w:div>
    <w:div w:id="621884763">
      <w:bodyDiv w:val="1"/>
      <w:marLeft w:val="0"/>
      <w:marRight w:val="0"/>
      <w:marTop w:val="0"/>
      <w:marBottom w:val="0"/>
      <w:divBdr>
        <w:top w:val="none" w:sz="0" w:space="0" w:color="auto"/>
        <w:left w:val="none" w:sz="0" w:space="0" w:color="auto"/>
        <w:bottom w:val="none" w:sz="0" w:space="0" w:color="auto"/>
        <w:right w:val="none" w:sz="0" w:space="0" w:color="auto"/>
      </w:divBdr>
    </w:div>
    <w:div w:id="679042920">
      <w:bodyDiv w:val="1"/>
      <w:marLeft w:val="0"/>
      <w:marRight w:val="0"/>
      <w:marTop w:val="0"/>
      <w:marBottom w:val="0"/>
      <w:divBdr>
        <w:top w:val="none" w:sz="0" w:space="0" w:color="auto"/>
        <w:left w:val="none" w:sz="0" w:space="0" w:color="auto"/>
        <w:bottom w:val="none" w:sz="0" w:space="0" w:color="auto"/>
        <w:right w:val="none" w:sz="0" w:space="0" w:color="auto"/>
      </w:divBdr>
      <w:divsChild>
        <w:div w:id="663898829">
          <w:marLeft w:val="0"/>
          <w:marRight w:val="0"/>
          <w:marTop w:val="0"/>
          <w:marBottom w:val="0"/>
          <w:divBdr>
            <w:top w:val="none" w:sz="0" w:space="0" w:color="auto"/>
            <w:left w:val="none" w:sz="0" w:space="0" w:color="auto"/>
            <w:bottom w:val="none" w:sz="0" w:space="0" w:color="auto"/>
            <w:right w:val="none" w:sz="0" w:space="0" w:color="auto"/>
          </w:divBdr>
          <w:divsChild>
            <w:div w:id="1882786991">
              <w:marLeft w:val="0"/>
              <w:marRight w:val="0"/>
              <w:marTop w:val="150"/>
              <w:marBottom w:val="168"/>
              <w:divBdr>
                <w:top w:val="none" w:sz="0" w:space="0" w:color="auto"/>
                <w:left w:val="none" w:sz="0" w:space="0" w:color="auto"/>
                <w:bottom w:val="none" w:sz="0" w:space="0" w:color="auto"/>
                <w:right w:val="none" w:sz="0" w:space="0" w:color="auto"/>
              </w:divBdr>
            </w:div>
            <w:div w:id="975067058">
              <w:marLeft w:val="0"/>
              <w:marRight w:val="0"/>
              <w:marTop w:val="0"/>
              <w:marBottom w:val="0"/>
              <w:divBdr>
                <w:top w:val="none" w:sz="0" w:space="0" w:color="auto"/>
                <w:left w:val="none" w:sz="0" w:space="0" w:color="auto"/>
                <w:bottom w:val="none" w:sz="0" w:space="0" w:color="auto"/>
                <w:right w:val="none" w:sz="0" w:space="0" w:color="auto"/>
              </w:divBdr>
              <w:divsChild>
                <w:div w:id="300578502">
                  <w:marLeft w:val="0"/>
                  <w:marRight w:val="0"/>
                  <w:marTop w:val="105"/>
                  <w:marBottom w:val="0"/>
                  <w:divBdr>
                    <w:top w:val="none" w:sz="0" w:space="0" w:color="auto"/>
                    <w:left w:val="none" w:sz="0" w:space="0" w:color="auto"/>
                    <w:bottom w:val="none" w:sz="0" w:space="0" w:color="auto"/>
                    <w:right w:val="none" w:sz="0" w:space="0" w:color="auto"/>
                  </w:divBdr>
                </w:div>
              </w:divsChild>
            </w:div>
            <w:div w:id="430931067">
              <w:marLeft w:val="0"/>
              <w:marRight w:val="0"/>
              <w:marTop w:val="0"/>
              <w:marBottom w:val="0"/>
              <w:divBdr>
                <w:top w:val="none" w:sz="0" w:space="0" w:color="auto"/>
                <w:left w:val="none" w:sz="0" w:space="0" w:color="auto"/>
                <w:bottom w:val="none" w:sz="0" w:space="0" w:color="auto"/>
                <w:right w:val="none" w:sz="0" w:space="0" w:color="auto"/>
              </w:divBdr>
              <w:divsChild>
                <w:div w:id="199999037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07866251">
          <w:marLeft w:val="0"/>
          <w:marRight w:val="0"/>
          <w:marTop w:val="0"/>
          <w:marBottom w:val="0"/>
          <w:divBdr>
            <w:top w:val="none" w:sz="0" w:space="0" w:color="auto"/>
            <w:left w:val="none" w:sz="0" w:space="0" w:color="auto"/>
            <w:bottom w:val="none" w:sz="0" w:space="0" w:color="auto"/>
            <w:right w:val="none" w:sz="0" w:space="0" w:color="auto"/>
          </w:divBdr>
          <w:divsChild>
            <w:div w:id="1050573500">
              <w:marLeft w:val="0"/>
              <w:marRight w:val="0"/>
              <w:marTop w:val="150"/>
              <w:marBottom w:val="168"/>
              <w:divBdr>
                <w:top w:val="none" w:sz="0" w:space="0" w:color="auto"/>
                <w:left w:val="none" w:sz="0" w:space="0" w:color="auto"/>
                <w:bottom w:val="none" w:sz="0" w:space="0" w:color="auto"/>
                <w:right w:val="none" w:sz="0" w:space="0" w:color="auto"/>
              </w:divBdr>
            </w:div>
          </w:divsChild>
        </w:div>
        <w:div w:id="220406077">
          <w:marLeft w:val="0"/>
          <w:marRight w:val="0"/>
          <w:marTop w:val="0"/>
          <w:marBottom w:val="0"/>
          <w:divBdr>
            <w:top w:val="none" w:sz="0" w:space="0" w:color="auto"/>
            <w:left w:val="none" w:sz="0" w:space="0" w:color="auto"/>
            <w:bottom w:val="none" w:sz="0" w:space="0" w:color="auto"/>
            <w:right w:val="none" w:sz="0" w:space="0" w:color="auto"/>
          </w:divBdr>
          <w:divsChild>
            <w:div w:id="933131996">
              <w:marLeft w:val="0"/>
              <w:marRight w:val="0"/>
              <w:marTop w:val="150"/>
              <w:marBottom w:val="168"/>
              <w:divBdr>
                <w:top w:val="none" w:sz="0" w:space="0" w:color="auto"/>
                <w:left w:val="none" w:sz="0" w:space="0" w:color="auto"/>
                <w:bottom w:val="none" w:sz="0" w:space="0" w:color="auto"/>
                <w:right w:val="none" w:sz="0" w:space="0" w:color="auto"/>
              </w:divBdr>
            </w:div>
            <w:div w:id="1230769022">
              <w:marLeft w:val="0"/>
              <w:marRight w:val="0"/>
              <w:marTop w:val="0"/>
              <w:marBottom w:val="0"/>
              <w:divBdr>
                <w:top w:val="none" w:sz="0" w:space="0" w:color="auto"/>
                <w:left w:val="none" w:sz="0" w:space="0" w:color="auto"/>
                <w:bottom w:val="none" w:sz="0" w:space="0" w:color="auto"/>
                <w:right w:val="none" w:sz="0" w:space="0" w:color="auto"/>
              </w:divBdr>
              <w:divsChild>
                <w:div w:id="1959605637">
                  <w:marLeft w:val="0"/>
                  <w:marRight w:val="0"/>
                  <w:marTop w:val="105"/>
                  <w:marBottom w:val="0"/>
                  <w:divBdr>
                    <w:top w:val="none" w:sz="0" w:space="0" w:color="auto"/>
                    <w:left w:val="none" w:sz="0" w:space="0" w:color="auto"/>
                    <w:bottom w:val="none" w:sz="0" w:space="0" w:color="auto"/>
                    <w:right w:val="none" w:sz="0" w:space="0" w:color="auto"/>
                  </w:divBdr>
                </w:div>
              </w:divsChild>
            </w:div>
            <w:div w:id="1741560637">
              <w:marLeft w:val="0"/>
              <w:marRight w:val="0"/>
              <w:marTop w:val="0"/>
              <w:marBottom w:val="0"/>
              <w:divBdr>
                <w:top w:val="none" w:sz="0" w:space="0" w:color="auto"/>
                <w:left w:val="none" w:sz="0" w:space="0" w:color="auto"/>
                <w:bottom w:val="none" w:sz="0" w:space="0" w:color="auto"/>
                <w:right w:val="none" w:sz="0" w:space="0" w:color="auto"/>
              </w:divBdr>
              <w:divsChild>
                <w:div w:id="168421026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155299224">
      <w:bodyDiv w:val="1"/>
      <w:marLeft w:val="0"/>
      <w:marRight w:val="0"/>
      <w:marTop w:val="0"/>
      <w:marBottom w:val="0"/>
      <w:divBdr>
        <w:top w:val="none" w:sz="0" w:space="0" w:color="auto"/>
        <w:left w:val="none" w:sz="0" w:space="0" w:color="auto"/>
        <w:bottom w:val="none" w:sz="0" w:space="0" w:color="auto"/>
        <w:right w:val="none" w:sz="0" w:space="0" w:color="auto"/>
      </w:divBdr>
    </w:div>
    <w:div w:id="1251231102">
      <w:bodyDiv w:val="1"/>
      <w:marLeft w:val="0"/>
      <w:marRight w:val="0"/>
      <w:marTop w:val="0"/>
      <w:marBottom w:val="0"/>
      <w:divBdr>
        <w:top w:val="none" w:sz="0" w:space="0" w:color="auto"/>
        <w:left w:val="none" w:sz="0" w:space="0" w:color="auto"/>
        <w:bottom w:val="none" w:sz="0" w:space="0" w:color="auto"/>
        <w:right w:val="none" w:sz="0" w:space="0" w:color="auto"/>
      </w:divBdr>
    </w:div>
    <w:div w:id="1390494770">
      <w:bodyDiv w:val="1"/>
      <w:marLeft w:val="0"/>
      <w:marRight w:val="0"/>
      <w:marTop w:val="0"/>
      <w:marBottom w:val="0"/>
      <w:divBdr>
        <w:top w:val="none" w:sz="0" w:space="0" w:color="auto"/>
        <w:left w:val="none" w:sz="0" w:space="0" w:color="auto"/>
        <w:bottom w:val="none" w:sz="0" w:space="0" w:color="auto"/>
        <w:right w:val="none" w:sz="0" w:space="0" w:color="auto"/>
      </w:divBdr>
    </w:div>
    <w:div w:id="1454714331">
      <w:bodyDiv w:val="1"/>
      <w:marLeft w:val="0"/>
      <w:marRight w:val="0"/>
      <w:marTop w:val="0"/>
      <w:marBottom w:val="0"/>
      <w:divBdr>
        <w:top w:val="none" w:sz="0" w:space="0" w:color="auto"/>
        <w:left w:val="none" w:sz="0" w:space="0" w:color="auto"/>
        <w:bottom w:val="none" w:sz="0" w:space="0" w:color="auto"/>
        <w:right w:val="none" w:sz="0" w:space="0" w:color="auto"/>
      </w:divBdr>
    </w:div>
    <w:div w:id="154732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9E344-A28A-4946-AA5C-CEB1547E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24145</Words>
  <Characters>144871</Characters>
  <Application>Microsoft Office Word</Application>
  <DocSecurity>0</DocSecurity>
  <Lines>1207</Lines>
  <Paragraphs>337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168679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Kaniuka</dc:creator>
  <cp:lastModifiedBy>Autor</cp:lastModifiedBy>
  <cp:revision>2</cp:revision>
  <cp:lastPrinted>2021-10-11T13:00:00Z</cp:lastPrinted>
  <dcterms:created xsi:type="dcterms:W3CDTF">2026-07-14T05:34:00Z</dcterms:created>
  <dcterms:modified xsi:type="dcterms:W3CDTF">2026-07-14T05:34:00Z</dcterms:modified>
</cp:coreProperties>
</file>