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E40E6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E40E6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E40E6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28 marca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C76BC3" w:rsidRDefault="00E40E6F" w:rsidP="00C76BC3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t>Skarbu Państwa</w:t>
      </w:r>
    </w:p>
    <w:bookmarkEnd w:id="0"/>
    <w:p w:rsidR="00C76BC3" w:rsidRDefault="00E40E6F" w:rsidP="00C76BC3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C76BC3" w:rsidRDefault="00E40E6F" w:rsidP="00C76BC3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Sztumskiemu, wykonującemu zadania </w:t>
      </w:r>
      <w:r>
        <w:rPr>
          <w:rFonts w:cs="Arial"/>
          <w:szCs w:val="24"/>
        </w:rPr>
        <w:t xml:space="preserve">z zakresu administracji rządowej, na udzielenie </w:t>
      </w:r>
      <w:r>
        <w:rPr>
          <w:rFonts w:cs="Arial"/>
          <w:szCs w:val="24"/>
        </w:rPr>
        <w:t xml:space="preserve">Komendzie </w:t>
      </w:r>
      <w:r>
        <w:rPr>
          <w:rFonts w:cs="Arial"/>
          <w:szCs w:val="24"/>
        </w:rPr>
        <w:t>Powiatowej Państwowej Straży Pożarnej w Sztumie w 2024 r. bonifikaty w wysokości 9</w:t>
      </w:r>
      <w:r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% od opłaty rocznej </w:t>
      </w:r>
      <w:r>
        <w:rPr>
          <w:rFonts w:cs="Arial"/>
          <w:szCs w:val="24"/>
        </w:rPr>
        <w:t xml:space="preserve">z tytułu trwałego zarządu ustanowionego na </w:t>
      </w:r>
      <w:r>
        <w:rPr>
          <w:rFonts w:cs="Arial"/>
          <w:szCs w:val="24"/>
        </w:rPr>
        <w:t xml:space="preserve">zabudowanej </w:t>
      </w:r>
      <w:r>
        <w:rPr>
          <w:rFonts w:cs="Arial"/>
          <w:szCs w:val="24"/>
        </w:rPr>
        <w:t>nieruchomości Sk</w:t>
      </w:r>
      <w:r>
        <w:rPr>
          <w:rFonts w:cs="Arial"/>
          <w:szCs w:val="24"/>
        </w:rPr>
        <w:t xml:space="preserve">arbu Państwa, położonej w Sztumie, </w:t>
      </w:r>
      <w:r>
        <w:rPr>
          <w:rFonts w:cs="Arial"/>
          <w:szCs w:val="24"/>
        </w:rPr>
        <w:t xml:space="preserve">obręb 0004, </w:t>
      </w:r>
      <w:r>
        <w:rPr>
          <w:rFonts w:cs="Arial"/>
          <w:szCs w:val="24"/>
        </w:rPr>
        <w:t xml:space="preserve">oznaczonej w ewidencji gruntów </w:t>
      </w:r>
      <w:r>
        <w:rPr>
          <w:rFonts w:cs="Arial"/>
          <w:szCs w:val="24"/>
        </w:rPr>
        <w:t>i budynków</w:t>
      </w:r>
      <w:r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i:</w:t>
      </w:r>
      <w:r>
        <w:rPr>
          <w:rFonts w:cs="Arial"/>
          <w:szCs w:val="24"/>
        </w:rPr>
        <w:t xml:space="preserve"> nr 75 o powierzchni 0,2568 ha i nr 40 o powierzchni </w:t>
      </w:r>
      <w:r>
        <w:rPr>
          <w:rFonts w:cs="Arial"/>
          <w:szCs w:val="24"/>
        </w:rPr>
        <w:t>0,5431 ha, dla której prowadzona jest księga wieczysta nr GD2I/00002172/2.</w:t>
      </w:r>
    </w:p>
    <w:p w:rsidR="00C76BC3" w:rsidRDefault="00E40E6F" w:rsidP="00C76BC3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</w:t>
      </w:r>
      <w:r>
        <w:rPr>
          <w:rFonts w:cs="Arial"/>
          <w:szCs w:val="24"/>
        </w:rPr>
        <w:t xml:space="preserve"> w życie z dniem podpisania.</w:t>
      </w:r>
    </w:p>
    <w:p w:rsidR="00E40E6F" w:rsidRDefault="00E40E6F" w:rsidP="00E40E6F">
      <w:pPr>
        <w:ind w:left="2836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E40E6F" w:rsidRDefault="00E40E6F" w:rsidP="00E40E6F">
      <w:pPr>
        <w:ind w:left="2836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E4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6F"/>
    <w:rsid w:val="00E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4A84"/>
  <w15:docId w15:val="{D355FDB5-38D7-4306-8AD8-E7F61B33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2024-03-29T06:31:00Z</dcterms:created>
  <dcterms:modified xsi:type="dcterms:W3CDTF">2024-03-29T06:31:00Z</dcterms:modified>
</cp:coreProperties>
</file>