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5328" w14:textId="77777777" w:rsidR="00E4752A" w:rsidRDefault="00F62CEF">
      <w:pPr>
        <w:pStyle w:val="Tekstpodstawowy"/>
        <w:spacing w:before="240"/>
      </w:pPr>
      <w:r>
        <w:rPr>
          <w:rStyle w:val="TekstpodstawowyZnak"/>
        </w:rPr>
        <w:t>Wronczynek, dnia 27 marca 2026 r.</w:t>
      </w:r>
    </w:p>
    <w:p w14:paraId="7CA11E30" w14:textId="77777777" w:rsidR="00AD55C0" w:rsidRDefault="00F62CEF">
      <w:pPr>
        <w:pStyle w:val="Tekstpodstawowy"/>
        <w:spacing w:after="0"/>
        <w:rPr>
          <w:rStyle w:val="TekstpodstawowyZnak"/>
        </w:rPr>
      </w:pPr>
      <w:r>
        <w:rPr>
          <w:rStyle w:val="TekstpodstawowyZnak"/>
        </w:rPr>
        <w:t xml:space="preserve">Fundacja Obywatel To Nie Odpad </w:t>
      </w:r>
    </w:p>
    <w:p w14:paraId="5C941BB1" w14:textId="2F9184D1" w:rsidR="00E4752A" w:rsidRDefault="00F62CEF">
      <w:pPr>
        <w:pStyle w:val="Tekstpodstawowy"/>
        <w:spacing w:after="0"/>
      </w:pPr>
      <w:r>
        <w:rPr>
          <w:rStyle w:val="TekstpodstawowyZnak"/>
        </w:rPr>
        <w:t>e-mail:</w:t>
      </w:r>
    </w:p>
    <w:p w14:paraId="203F8223" w14:textId="77777777" w:rsidR="00AD55C0" w:rsidRDefault="00AD55C0">
      <w:pPr>
        <w:pStyle w:val="Tekstpodstawowy"/>
        <w:rPr>
          <w:rStyle w:val="TekstpodstawowyZnak"/>
        </w:rPr>
      </w:pPr>
    </w:p>
    <w:p w14:paraId="006D6C02" w14:textId="4C101697" w:rsidR="00E4752A" w:rsidRDefault="00F62CEF">
      <w:pPr>
        <w:pStyle w:val="Tekstpodstawowy"/>
      </w:pPr>
      <w:r>
        <w:rPr>
          <w:rStyle w:val="TekstpodstawowyZnak"/>
        </w:rPr>
        <w:t>do</w:t>
      </w:r>
    </w:p>
    <w:p w14:paraId="00D546FF" w14:textId="77777777" w:rsidR="00E4752A" w:rsidRDefault="00F62CEF">
      <w:pPr>
        <w:pStyle w:val="Tekstpodstawowy"/>
        <w:spacing w:after="0"/>
      </w:pPr>
      <w:r>
        <w:rPr>
          <w:rStyle w:val="TekstpodstawowyZnak"/>
        </w:rPr>
        <w:t>Ministra Klimatu i Środowiska</w:t>
      </w:r>
    </w:p>
    <w:p w14:paraId="111155F2" w14:textId="77777777" w:rsidR="00E4752A" w:rsidRDefault="00F62CEF">
      <w:pPr>
        <w:pStyle w:val="Tekstpodstawowy"/>
      </w:pPr>
      <w:r>
        <w:rPr>
          <w:rStyle w:val="TekstpodstawowyZnak"/>
        </w:rPr>
        <w:t>ul. Wawelska 52/54 00-922 Warszawa</w:t>
      </w:r>
    </w:p>
    <w:p w14:paraId="611AD174" w14:textId="77777777" w:rsidR="00E4752A" w:rsidRDefault="00F62CEF">
      <w:pPr>
        <w:pStyle w:val="Heading10"/>
        <w:keepNext/>
        <w:keepLines/>
      </w:pPr>
      <w:bookmarkStart w:id="0" w:name="bookmark0"/>
      <w:r>
        <w:rPr>
          <w:rStyle w:val="Heading1"/>
          <w:b/>
          <w:bCs/>
        </w:rPr>
        <w:t>PETYCJA</w:t>
      </w:r>
      <w:bookmarkEnd w:id="0"/>
    </w:p>
    <w:p w14:paraId="5CE24AF5" w14:textId="77777777" w:rsidR="00E4752A" w:rsidRDefault="00F62CEF">
      <w:pPr>
        <w:pStyle w:val="Tekstpodstawowy"/>
      </w:pPr>
      <w:r>
        <w:rPr>
          <w:rStyle w:val="TekstpodstawowyZnak"/>
        </w:rPr>
        <w:t>na podstawie art. 2 ust. 1–3, art. 4 ust. 1–3, art. 8 ust. 1–2, art. 10 ust. 1 oraz art. 13 ust. 1 ustawy z dnia 11 lipca 2014 r. o petycjach, w sprawie podjęcia działań systemowych dotyczących stosowania art. 16a ustawy o Inspekcji Ochrony Środowiska w przypadkach braku decyzji środowiskowej wymaganej prawem</w:t>
      </w:r>
    </w:p>
    <w:p w14:paraId="70628C3E" w14:textId="77777777" w:rsidR="00E4752A" w:rsidRDefault="00F62CEF">
      <w:pPr>
        <w:pStyle w:val="Tekstpodstawowy"/>
      </w:pPr>
      <w:r>
        <w:rPr>
          <w:rStyle w:val="TekstpodstawowyZnak"/>
        </w:rPr>
        <w:t>Działając w imieniu Fundacji Obywatel To Nie Odpad, na podstawie art. 2 ust. 1 ustawy o petycjach, jako osoba prawna wnosząca petycję do organu władzy publicznej w interesie publicznym oraz we własnym interesie, wnoszę o podjęcie przez Ministra Klimatu i Środowiska działań systemowych, koordynacyjnych i porządkujących, zmierzających do zapewnienia jednolitego stosowania art. 16a ustawy o Inspekcji Ochrony Środowiska w sprawach, w których zachodzi podejrzenie, że decyzja o środowiskowych uwarunkowaniach wyma</w:t>
      </w:r>
      <w:r>
        <w:rPr>
          <w:rStyle w:val="TekstpodstawowyZnak"/>
        </w:rPr>
        <w:t>gana przepisami prawa nie została wydana.</w:t>
      </w:r>
    </w:p>
    <w:p w14:paraId="0FAB0E4D" w14:textId="77777777" w:rsidR="00E4752A" w:rsidRDefault="00F62CEF">
      <w:pPr>
        <w:pStyle w:val="Tekstpodstawowy"/>
      </w:pPr>
      <w:r>
        <w:rPr>
          <w:rStyle w:val="TekstpodstawowyZnak"/>
        </w:rPr>
        <w:t>Fundacja wnosi zarazem o rozpatrzenie niniejszej petycji w trybie ustawy o petycjach, zamieszczenie informacji o jej wniesieniu na stronie internetowej zgodnie z art. 8 ust. 1– 2 tej ustawy oraz zawiadomienie Fundacji o sposobie jej załatwienia wraz z uzasadnieniem, stosownie do art. 13 ust. 1 ustawy o petycjach. Przedmiot niniejszej petycji został sformułowany odmiennie niż w petycji z dnia 13 marca 2026 r. skierowanej do Głównego Inspektora Ochrony Środowiska, która dotyczyła zajęcia stanowiska interpreta</w:t>
      </w:r>
      <w:r>
        <w:rPr>
          <w:rStyle w:val="TekstpodstawowyZnak"/>
        </w:rPr>
        <w:t>cyjnego przez GIOŚ co do wykładni art. 16a ustawy o Inspekcji Ochrony Środowiska.</w:t>
      </w:r>
    </w:p>
    <w:p w14:paraId="3050697B" w14:textId="77777777" w:rsidR="00E4752A" w:rsidRDefault="00F62CEF">
      <w:pPr>
        <w:pStyle w:val="Tekstpodstawowy"/>
        <w:numPr>
          <w:ilvl w:val="0"/>
          <w:numId w:val="1"/>
        </w:numPr>
        <w:tabs>
          <w:tab w:val="left" w:pos="256"/>
        </w:tabs>
        <w:spacing w:line="240" w:lineRule="auto"/>
      </w:pPr>
      <w:r>
        <w:rPr>
          <w:rStyle w:val="TekstpodstawowyZnak"/>
          <w:b/>
          <w:bCs/>
        </w:rPr>
        <w:t>Dopuszczalność petycji</w:t>
      </w:r>
    </w:p>
    <w:p w14:paraId="17EB4E6E" w14:textId="77777777" w:rsidR="00E4752A" w:rsidRDefault="00F62CEF">
      <w:pPr>
        <w:pStyle w:val="Tekstpodstawowy"/>
      </w:pPr>
      <w:r>
        <w:rPr>
          <w:rStyle w:val="TekstpodstawowyZnak"/>
        </w:rPr>
        <w:t>Niniejsze pismo stanowi petycję w rozumieniu ustawy z dnia 11 lipca 2014 r. o petycjach. Zgodnie z art. 2 ust. 1 tej ustawy petycja może być złożona przez osobę prawną do organu władzy publicznej, zaś zgodnie z art. 2 ust. 3 przedmiotem petycji może być żądanie podjęcia rozstrzygnięcia lub innego działania w sprawie dotyczącej życia zbiorowego lub wartości wymagających szczególnej ochrony w imię dobra wspólnego, mieszczących się w zakresie zadań i kompetencji adresata. O tym, czy pismo jest petycją, decyduj</w:t>
      </w:r>
      <w:r>
        <w:rPr>
          <w:rStyle w:val="TekstpodstawowyZnak"/>
        </w:rPr>
        <w:t>e treść żądania, a nie jego forma zewnętrzna.</w:t>
      </w:r>
    </w:p>
    <w:p w14:paraId="392C9506" w14:textId="77777777" w:rsidR="00E4752A" w:rsidRDefault="00F62CEF">
      <w:pPr>
        <w:pStyle w:val="Tekstpodstawowy"/>
        <w:spacing w:line="322" w:lineRule="auto"/>
      </w:pPr>
      <w:r>
        <w:rPr>
          <w:rStyle w:val="TekstpodstawowyZnak"/>
        </w:rPr>
        <w:lastRenderedPageBreak/>
        <w:t>Przedmiot niniejszej petycji nie polega na żądaniu zajęcia przez Ministra indywidualnego stanowiska interpretacyjnego w miejsce Głównego Inspektora Ochrony Środowiska, lecz na żądaniu podjęcia działań systemowych, koordynacyjnych i ewentualnie inicjatywnych na poziomie resortowym w sprawie mającej istotne znaczenie dla ochrony środowiska, praktyki działania organów Inspekcji Ochrony Środowiska oraz pewności stosowania prawa w przypadkach braku decyzji środowiskowej wymaganej przepisami prawa.</w:t>
      </w:r>
    </w:p>
    <w:p w14:paraId="7E5DD075" w14:textId="77777777" w:rsidR="00E4752A" w:rsidRDefault="00F62CEF">
      <w:pPr>
        <w:pStyle w:val="Heading10"/>
        <w:keepNext/>
        <w:keepLines/>
        <w:numPr>
          <w:ilvl w:val="0"/>
          <w:numId w:val="1"/>
        </w:numPr>
        <w:tabs>
          <w:tab w:val="left" w:pos="318"/>
        </w:tabs>
      </w:pPr>
      <w:bookmarkStart w:id="1" w:name="bookmark2"/>
      <w:r>
        <w:rPr>
          <w:rStyle w:val="Heading1"/>
          <w:b/>
          <w:bCs/>
        </w:rPr>
        <w:t>Tło sprawy</w:t>
      </w:r>
      <w:bookmarkEnd w:id="1"/>
    </w:p>
    <w:p w14:paraId="70130B11" w14:textId="77777777" w:rsidR="00E4752A" w:rsidRDefault="00F62CEF">
      <w:pPr>
        <w:pStyle w:val="Tekstpodstawowy"/>
      </w:pPr>
      <w:r>
        <w:rPr>
          <w:rStyle w:val="TekstpodstawowyZnak"/>
        </w:rPr>
        <w:t>W dniu 13 marca 2026 r. Fundacja skierowała do Głównego Inspektora Ochrony Środowiska petycję o zajęcie jednoznacznego stanowiska co do wykładni art. 16a ustawy o Inspekcji Ochrony Środowiska, a w szczególności o rozstrzygnięcie, czy przepis ten dotyczy wyłącznie decyzji już wydanych, czy też obejmuje także nieprawidłowości polegające na niewydaniu decyzji wymaganej prawem. W petycji tej Fundacja wskazała, że zagadnienie ma podstawowe znaczenie dla praktyki działania Inspekcji Ochrony Środowiska oraz dla sp</w:t>
      </w:r>
      <w:r>
        <w:rPr>
          <w:rStyle w:val="TekstpodstawowyZnak"/>
        </w:rPr>
        <w:t>osobu reagowania organów państwa na przypadki braku decyzji środowiskowej wymaganej prawem.</w:t>
      </w:r>
    </w:p>
    <w:p w14:paraId="259C810A" w14:textId="77777777" w:rsidR="00E4752A" w:rsidRDefault="00F62CEF">
      <w:pPr>
        <w:pStyle w:val="Tekstpodstawowy"/>
      </w:pPr>
      <w:r>
        <w:rPr>
          <w:rStyle w:val="TekstpodstawowyZnak"/>
        </w:rPr>
        <w:t>Pismem z dnia 23 marca 2026 r. GIOŚ przekazał tę petycję Ministrowi Klimatu i Środowiska na podstawie art. 6 ust. 1 ustawy o petycjach, przyjmując własną niewłaściwość do jej rozpatrzenia. Następnie pismem z dnia 24 marca 2026 r. Minister Klimatu i Środowiska, także na podstawie art. 6 ust. 1 ustawy o petycjach, przekazał tę samą petycję z powrotem do GIOŚ „zgodnie z właściwością”. Sekwencja ta pokazuje, że problem nie dotyczy wyłącznie pojedynczej odpowiedzi na pojedyncze pismo, lecz ma wymiar szerszy: uja</w:t>
      </w:r>
      <w:r>
        <w:rPr>
          <w:rStyle w:val="TekstpodstawowyZnak"/>
        </w:rPr>
        <w:t>wnia brak jasnego i jednolitego rozumienia granic interwencji organów ochrony środowiska w sprawach, w których podstawowe rozstrzygnięcie środowiskowe mogło w ogóle nie zostać wydane.</w:t>
      </w:r>
    </w:p>
    <w:p w14:paraId="000F2BD6" w14:textId="77777777" w:rsidR="00E4752A" w:rsidRDefault="00F62CEF">
      <w:pPr>
        <w:pStyle w:val="Tekstpodstawowy"/>
        <w:spacing w:line="322" w:lineRule="auto"/>
      </w:pPr>
      <w:r>
        <w:rPr>
          <w:rStyle w:val="TekstpodstawowyZnak"/>
        </w:rPr>
        <w:t>Co więcej, sam obieg petycji między GIOŚ a Ministrem ujawnił potrzebę podjęcia działań systemowych na poziomie resortowym. Skoro bowiem centralny organ Inspekcji Ochrony Środowiska uznał się za niewłaściwy, a Minister następnie uznał za właściwy właśnie GIOŚ, to oznacza to występowanie rzeczywistej niepewności instytucjonalnej co do zakresu działania organów państwa w sprawach braku decyzji</w:t>
      </w:r>
    </w:p>
    <w:p w14:paraId="611163FE" w14:textId="77777777" w:rsidR="00E4752A" w:rsidRDefault="00F62CEF">
      <w:pPr>
        <w:pStyle w:val="Tekstpodstawowy"/>
      </w:pPr>
      <w:r>
        <w:rPr>
          <w:rStyle w:val="TekstpodstawowyZnak"/>
        </w:rPr>
        <w:t>środowiskowej wymaganej prawem. Taki stan niepewności nie powinien mieć miejsca na poziomie centralnych organów administracji publicznej odpowiedzialnych za ochronę środowiska. Już tylko z tej przyczyny zasadne staje się podjęcie przez Ministra działań koordynacyjnych, wyjaśniających albo inicjatywnych, tak aby podobne sytuacje nie były w przyszłości rozstrzygane w sposób rozproszony, niespójny lub wzajemnie sprzeczny.</w:t>
      </w:r>
    </w:p>
    <w:p w14:paraId="7335EA67" w14:textId="77777777" w:rsidR="00E4752A" w:rsidRDefault="00F62CEF">
      <w:pPr>
        <w:pStyle w:val="Heading10"/>
        <w:keepNext/>
        <w:keepLines/>
        <w:numPr>
          <w:ilvl w:val="0"/>
          <w:numId w:val="1"/>
        </w:numPr>
        <w:tabs>
          <w:tab w:val="left" w:pos="390"/>
        </w:tabs>
      </w:pPr>
      <w:bookmarkStart w:id="2" w:name="bookmark4"/>
      <w:r>
        <w:rPr>
          <w:rStyle w:val="Heading1"/>
          <w:b/>
          <w:bCs/>
        </w:rPr>
        <w:t>Istota problemu wymagającego działań systemowych</w:t>
      </w:r>
      <w:bookmarkEnd w:id="2"/>
    </w:p>
    <w:p w14:paraId="766E64CE" w14:textId="77777777" w:rsidR="00E4752A" w:rsidRDefault="00F62CEF">
      <w:pPr>
        <w:pStyle w:val="Tekstpodstawowy"/>
      </w:pPr>
      <w:r>
        <w:rPr>
          <w:rStyle w:val="TekstpodstawowyZnak"/>
        </w:rPr>
        <w:t xml:space="preserve">W praktyce działania organów ochrony środowiska oraz Inspekcji Ochrony Środowiska </w:t>
      </w:r>
      <w:r>
        <w:rPr>
          <w:rStyle w:val="TekstpodstawowyZnak"/>
        </w:rPr>
        <w:lastRenderedPageBreak/>
        <w:t>powstaje doniosłe pytanie, czy brak wydania decyzji środowiskowej wymaganej przepisami prawa może pozostawać poza zakresem reakcji instytucjonalnej tylko z tego powodu, że rozstrzygnięcie to nie zostało formalnie wydane. W pierwotnej petycji do GIOŚ Fundacja wskazała, że interpretacja, zgodnie z którą art. 16a ustawy o Inspekcji Ochrony Środowiska miałby obejmować wyłącznie decyzje już wydane, prowadziłaby do rezultatu nieracjonalnego: wadliwe wydanie decyzji podlegałoby reakcji, natomiast całkowity brak de</w:t>
      </w:r>
      <w:r>
        <w:rPr>
          <w:rStyle w:val="TekstpodstawowyZnak"/>
        </w:rPr>
        <w:t>cyzji wymaganej prawem już nie.</w:t>
      </w:r>
    </w:p>
    <w:p w14:paraId="041E288D" w14:textId="77777777" w:rsidR="00E4752A" w:rsidRDefault="00F62CEF">
      <w:pPr>
        <w:pStyle w:val="Tekstpodstawowy"/>
      </w:pPr>
      <w:r>
        <w:rPr>
          <w:rStyle w:val="TekstpodstawowyZnak"/>
        </w:rPr>
        <w:t>Jest to problem o znaczeniu wykraczającym poza relację między Fundacją a GIOŚ. Dotyczy on bowiem standardów działania organów państwa wobec przedsięwzięć potencjalnie oddziałujących na środowisko, przejrzystości systemu ochrony środowiska oraz praktycznej skuteczności instrumentów nadzorczych. Problem ten dotyczy więc nie pojedynczego przypadku, lecz standardu funkcjonowania administracji publicznej w obszarze ochrony środowiska. Wcześniejsza petycja do GIOŚ akcentowała znaczenie precedensowe stanowiska org</w:t>
      </w:r>
      <w:r>
        <w:rPr>
          <w:rStyle w:val="TekstpodstawowyZnak"/>
        </w:rPr>
        <w:t>anu centralnego Inspekcji dla praktyki organizacji społecznych i dalszych interwencji środowiskowych. Analogicznie, na poziomie Ministra problem ten uzasadnia potrzebę działań koordynacyjnych i systemowych.</w:t>
      </w:r>
    </w:p>
    <w:p w14:paraId="14066A7D" w14:textId="77777777" w:rsidR="00E4752A" w:rsidRDefault="00F62CEF">
      <w:pPr>
        <w:pStyle w:val="Heading10"/>
        <w:keepNext/>
        <w:keepLines/>
        <w:numPr>
          <w:ilvl w:val="0"/>
          <w:numId w:val="1"/>
        </w:numPr>
        <w:tabs>
          <w:tab w:val="left" w:pos="399"/>
        </w:tabs>
      </w:pPr>
      <w:bookmarkStart w:id="3" w:name="bookmark6"/>
      <w:r>
        <w:rPr>
          <w:rStyle w:val="Heading1"/>
          <w:b/>
          <w:bCs/>
        </w:rPr>
        <w:t>Zakres żądania kierowanego do Ministra</w:t>
      </w:r>
      <w:bookmarkEnd w:id="3"/>
    </w:p>
    <w:p w14:paraId="552FF8E7" w14:textId="77777777" w:rsidR="00E4752A" w:rsidRDefault="00F62CEF">
      <w:pPr>
        <w:pStyle w:val="Tekstpodstawowy"/>
      </w:pPr>
      <w:r>
        <w:rPr>
          <w:rStyle w:val="TekstpodstawowyZnak"/>
        </w:rPr>
        <w:t>Mając na uwadze zakres kompetencji Ministra Klimatu i Środowiska, Fundacja nie wnosi niniejszą petycją o zastąpienie odpowiedzi GIOŚ ani o formalne rozstrzygnięcie sprawy przypisanej innemu organowi. Fundacja wnosi natomiast o podjęcie przez Ministra działań mieszczących się w zakresie jego roli ustrojowej i funkcjonalnej, tj. działań służących zapewnieniu spójności stosowania prawa w obszarze ochrony środowiska.</w:t>
      </w:r>
    </w:p>
    <w:p w14:paraId="2C6C984D" w14:textId="77777777" w:rsidR="00E4752A" w:rsidRDefault="00F62CEF">
      <w:pPr>
        <w:pStyle w:val="Tekstpodstawowy"/>
        <w:spacing w:line="322" w:lineRule="auto"/>
      </w:pPr>
      <w:r>
        <w:rPr>
          <w:rStyle w:val="TekstpodstawowyZnak"/>
        </w:rPr>
        <w:t>W szczególności Fundacja wskazuje, że sam przebieg sprawy ujawnił potrzebę takiej interwencji. Skoro petycja odnosząca się do art. 16a ustawy o Inspekcji Ochrony Środowiska została najpierw przekazana przez GIOŚ do Ministra jako rzekomo należąca do właściwości resortu, a następnie przez Ministra zwrócona do GIOŚ jako należąca do</w:t>
      </w:r>
    </w:p>
    <w:p w14:paraId="5D1B8867" w14:textId="77777777" w:rsidR="00E4752A" w:rsidRDefault="00F62CEF">
      <w:pPr>
        <w:pStyle w:val="Tekstpodstawowy"/>
        <w:spacing w:line="322" w:lineRule="auto"/>
      </w:pPr>
      <w:r>
        <w:rPr>
          <w:rStyle w:val="TekstpodstawowyZnak"/>
        </w:rPr>
        <w:t>właściwości Inspekcji, to znaczy, że już na poziomie centralnych organów administracji nie występuje dostatecznie jednolite i pewne rozumienie granic działania w sprawach dotyczących braku decyzji środowiskowej wymaganej prawem. Tego rodzaju stan niepewności instytucjonalnej sam w sobie uzasadnia podjęcie przez Ministra działań porządkujących, koordynacyjnych i ewentualnie legislacyjnych.</w:t>
      </w:r>
    </w:p>
    <w:p w14:paraId="044CCDBC" w14:textId="77777777" w:rsidR="00E4752A" w:rsidRDefault="00F62CEF">
      <w:pPr>
        <w:pStyle w:val="Tekstpodstawowy"/>
        <w:spacing w:line="322" w:lineRule="auto"/>
      </w:pPr>
      <w:r>
        <w:rPr>
          <w:rStyle w:val="TekstpodstawowyZnak"/>
        </w:rPr>
        <w:t>Taka sytuacja nie może zostać potraktowana jako zwykły incydent kancelaryjny. Jeżeli bowiem dwa centralne organy administracji publicznej, posługując się tą samą podstawą prawną z art. 6 ust. 1 ustawy o petycjach, dokonują wzajemnie sprzecznych ocen własnej właściwości, to ujawnia to stan wymagający nie dalszego biernego obiegu korespondencji, lecz aktywnej interwencji porządkującej po stronie Ministra. Brak takiej interwencji prowadziłby do utrwalania praktyki, w której sprawy dotyczące możliwego braku dec</w:t>
      </w:r>
      <w:r>
        <w:rPr>
          <w:rStyle w:val="TekstpodstawowyZnak"/>
        </w:rPr>
        <w:t xml:space="preserve">yzji </w:t>
      </w:r>
      <w:r>
        <w:rPr>
          <w:rStyle w:val="TekstpodstawowyZnak"/>
        </w:rPr>
        <w:lastRenderedPageBreak/>
        <w:t>środowiskowej wymaganej prawem pozostają bez spójnej reakcji instytucjonalnej na szczeblu centralnym.</w:t>
      </w:r>
    </w:p>
    <w:p w14:paraId="117D5182" w14:textId="77777777" w:rsidR="00E4752A" w:rsidRDefault="00F62CEF">
      <w:pPr>
        <w:pStyle w:val="Heading10"/>
        <w:keepNext/>
        <w:keepLines/>
        <w:numPr>
          <w:ilvl w:val="0"/>
          <w:numId w:val="1"/>
        </w:numPr>
        <w:tabs>
          <w:tab w:val="left" w:pos="346"/>
        </w:tabs>
        <w:spacing w:line="322" w:lineRule="auto"/>
      </w:pPr>
      <w:bookmarkStart w:id="4" w:name="bookmark8"/>
      <w:r>
        <w:rPr>
          <w:rStyle w:val="Heading1"/>
          <w:b/>
          <w:bCs/>
        </w:rPr>
        <w:t>Relacja niniejszej petycji do wcześniejszej petycji skierowanej do GIOŚ</w:t>
      </w:r>
      <w:bookmarkEnd w:id="4"/>
    </w:p>
    <w:p w14:paraId="0FACA226" w14:textId="77777777" w:rsidR="00E4752A" w:rsidRDefault="00F62CEF">
      <w:pPr>
        <w:pStyle w:val="Tekstpodstawowy"/>
        <w:spacing w:line="322" w:lineRule="auto"/>
      </w:pPr>
      <w:r>
        <w:rPr>
          <w:rStyle w:val="TekstpodstawowyZnak"/>
        </w:rPr>
        <w:t xml:space="preserve">Fundacja podkreśla, że niniejsza petycja nie jest powtórzeniem petycji z dnia 13 marca 2026 r. skierowanej do GIOŚ. Tamta petycja dotyczyła zajęcia stanowiska interpretacyjnego przez centralny organ Inspekcji Ochrony Środowiska. Niniejsza petycja dotyczy natomiast działań systemowych, koordynacyjnych i ewentualnie legislacyjnych po stronie Ministra Klimatu i Środowiska. Z tego względu jej przedmiot został sformułowany odrębnie i w sposób dostosowany do zakresu zadań i kompetencji adresata, zgodnie z art. 2 </w:t>
      </w:r>
      <w:r>
        <w:rPr>
          <w:rStyle w:val="TekstpodstawowyZnak"/>
        </w:rPr>
        <w:t>ust. 3 ustawy o petycjach.</w:t>
      </w:r>
    </w:p>
    <w:p w14:paraId="6CD54EF0" w14:textId="77777777" w:rsidR="00E4752A" w:rsidRDefault="00F62CEF">
      <w:pPr>
        <w:pStyle w:val="Heading10"/>
        <w:keepNext/>
        <w:keepLines/>
        <w:numPr>
          <w:ilvl w:val="0"/>
          <w:numId w:val="1"/>
        </w:numPr>
        <w:tabs>
          <w:tab w:val="left" w:pos="418"/>
        </w:tabs>
        <w:spacing w:line="322" w:lineRule="auto"/>
      </w:pPr>
      <w:bookmarkStart w:id="5" w:name="bookmark10"/>
      <w:r>
        <w:rPr>
          <w:rStyle w:val="Heading1"/>
          <w:b/>
          <w:bCs/>
        </w:rPr>
        <w:t>Wnioski wynikające z ustawy o petycjach</w:t>
      </w:r>
      <w:bookmarkEnd w:id="5"/>
    </w:p>
    <w:p w14:paraId="4E4243CC" w14:textId="77777777" w:rsidR="00E4752A" w:rsidRDefault="00F62CEF">
      <w:pPr>
        <w:pStyle w:val="Tekstpodstawowy"/>
        <w:spacing w:line="322" w:lineRule="auto"/>
      </w:pPr>
      <w:r>
        <w:rPr>
          <w:rStyle w:val="TekstpodstawowyZnak"/>
        </w:rPr>
        <w:t>W związku z powyższym Fundacja wnosi o:</w:t>
      </w:r>
    </w:p>
    <w:p w14:paraId="5F2FD7A1" w14:textId="77777777" w:rsidR="00E4752A" w:rsidRDefault="00F62CEF">
      <w:pPr>
        <w:pStyle w:val="Tekstpodstawowy"/>
        <w:numPr>
          <w:ilvl w:val="0"/>
          <w:numId w:val="2"/>
        </w:numPr>
        <w:tabs>
          <w:tab w:val="left" w:pos="726"/>
        </w:tabs>
        <w:spacing w:after="0"/>
        <w:ind w:left="740" w:hanging="360"/>
      </w:pPr>
      <w:r>
        <w:rPr>
          <w:rStyle w:val="TekstpodstawowyZnak"/>
        </w:rPr>
        <w:t>zajęcie stanowiska resortowego, czy w ocenie Ministra Klimatu i Środowiska praktyka polegająca na wyłączaniu reakcji instytucjonalnej w razie braku decyzji środowiskowej wymaganej prawem jest zgodna z ochronną funkcją prawa ochrony środowiska oraz racjonalnym stosowaniem art. 16a ustawy o Inspekcji Ochrony Środowiska;</w:t>
      </w:r>
    </w:p>
    <w:p w14:paraId="49701241" w14:textId="77777777" w:rsidR="00E4752A" w:rsidRDefault="00F62CEF">
      <w:pPr>
        <w:pStyle w:val="Tekstpodstawowy"/>
        <w:numPr>
          <w:ilvl w:val="0"/>
          <w:numId w:val="2"/>
        </w:numPr>
        <w:tabs>
          <w:tab w:val="left" w:pos="726"/>
        </w:tabs>
        <w:spacing w:after="0"/>
        <w:ind w:left="740" w:hanging="360"/>
      </w:pPr>
      <w:r>
        <w:rPr>
          <w:rStyle w:val="TekstpodstawowyZnak"/>
        </w:rPr>
        <w:t>rozważenie podjęcia działań koordynacyjnych lub wyjaśniających wobec podległych albo nadzorowanych struktur administracji ochrony środowiska w celu zapewnienia jednolitego podejścia do przypadków, w których zachodzi podejrzenie niewydania decyzji środowiskowej wymaganej prawem;</w:t>
      </w:r>
    </w:p>
    <w:p w14:paraId="6B792E7D" w14:textId="77777777" w:rsidR="00E4752A" w:rsidRDefault="00F62CEF">
      <w:pPr>
        <w:pStyle w:val="Tekstpodstawowy"/>
        <w:numPr>
          <w:ilvl w:val="0"/>
          <w:numId w:val="2"/>
        </w:numPr>
        <w:tabs>
          <w:tab w:val="left" w:pos="726"/>
        </w:tabs>
        <w:ind w:left="740" w:hanging="360"/>
      </w:pPr>
      <w:r>
        <w:rPr>
          <w:rStyle w:val="TekstpodstawowyZnak"/>
        </w:rPr>
        <w:t>rozważenie potrzeby opracowania wytycznych, zaleceń, objaśnień lub innego dokumentu o charakterze ogólnym, który porządkowałby praktykę organów w przypadkach ujawnienia, że przedsięwzięcie mogło być realizowane bez wymaganego rozstrzygnięcia środowiskowego;</w:t>
      </w:r>
    </w:p>
    <w:p w14:paraId="22F95A50" w14:textId="77777777" w:rsidR="00E4752A" w:rsidRDefault="00F62CEF">
      <w:pPr>
        <w:pStyle w:val="Tekstpodstawowy"/>
        <w:numPr>
          <w:ilvl w:val="0"/>
          <w:numId w:val="2"/>
        </w:numPr>
        <w:tabs>
          <w:tab w:val="left" w:pos="757"/>
        </w:tabs>
        <w:spacing w:after="0"/>
        <w:ind w:left="760" w:hanging="360"/>
      </w:pPr>
      <w:r>
        <w:rPr>
          <w:rStyle w:val="TekstpodstawowyZnak"/>
        </w:rPr>
        <w:t>w razie uznania, że obecne brzmienie przepisów nie daje podstaw do jednolitej praktyki, rozważenie podjęcia inicjatywy legislacyjnej zmierzającej do doprecyzowania relacji między niewydaniem decyzji środowiskowej wymaganej prawem a zakresem działań podejmowanych przez właściwe organy ochrony środowiska i Inspekcji Ochrony Środowiska;</w:t>
      </w:r>
    </w:p>
    <w:p w14:paraId="530A6DED" w14:textId="77777777" w:rsidR="00E4752A" w:rsidRDefault="00F62CEF">
      <w:pPr>
        <w:pStyle w:val="Tekstpodstawowy"/>
        <w:numPr>
          <w:ilvl w:val="0"/>
          <w:numId w:val="2"/>
        </w:numPr>
        <w:tabs>
          <w:tab w:val="left" w:pos="752"/>
        </w:tabs>
        <w:spacing w:after="0"/>
        <w:ind w:left="760" w:hanging="360"/>
      </w:pPr>
      <w:r>
        <w:rPr>
          <w:rStyle w:val="TekstpodstawowyZnak"/>
        </w:rPr>
        <w:t>zawiadomienie Fundacji o sposobie załatwienia niniejszej petycji wraz z uzasadnieniem, zgodnie z art. 13 ust. 1 ustawy o petycjach;</w:t>
      </w:r>
    </w:p>
    <w:p w14:paraId="52280625" w14:textId="77777777" w:rsidR="00E4752A" w:rsidRDefault="00F62CEF">
      <w:pPr>
        <w:pStyle w:val="Tekstpodstawowy"/>
        <w:numPr>
          <w:ilvl w:val="0"/>
          <w:numId w:val="2"/>
        </w:numPr>
        <w:tabs>
          <w:tab w:val="left" w:pos="752"/>
        </w:tabs>
        <w:spacing w:after="0"/>
        <w:ind w:left="760" w:hanging="360"/>
      </w:pPr>
      <w:r>
        <w:rPr>
          <w:rStyle w:val="TekstpodstawowyZnak"/>
        </w:rPr>
        <w:t>rozpatrzenie petycji bez zbędnej zwłoki, nie później niż w terminie określonym w art. 10 ust. 1 ustawy o petycjach;</w:t>
      </w:r>
    </w:p>
    <w:p w14:paraId="6480AC9B" w14:textId="77777777" w:rsidR="00E4752A" w:rsidRDefault="00F62CEF">
      <w:pPr>
        <w:pStyle w:val="Tekstpodstawowy"/>
        <w:numPr>
          <w:ilvl w:val="0"/>
          <w:numId w:val="2"/>
        </w:numPr>
        <w:tabs>
          <w:tab w:val="left" w:pos="752"/>
        </w:tabs>
        <w:spacing w:after="0"/>
        <w:ind w:left="760" w:hanging="360"/>
      </w:pPr>
      <w:r>
        <w:rPr>
          <w:rStyle w:val="TekstpodstawowyZnak"/>
        </w:rPr>
        <w:t>w razie uznania, że petycja dotyczy również spraw należących do właściwości innych podmiotów, zastosowanie art. 6 ust. 2 ustawy o petycjach, a nie przekazanie całości petycji jako skierowanej do organu całkowicie niewłaściwego;</w:t>
      </w:r>
    </w:p>
    <w:p w14:paraId="376A971E" w14:textId="77777777" w:rsidR="00E4752A" w:rsidRDefault="00F62CEF">
      <w:pPr>
        <w:pStyle w:val="Tekstpodstawowy"/>
        <w:numPr>
          <w:ilvl w:val="0"/>
          <w:numId w:val="2"/>
        </w:numPr>
        <w:tabs>
          <w:tab w:val="left" w:pos="752"/>
        </w:tabs>
        <w:ind w:left="760" w:hanging="360"/>
      </w:pPr>
      <w:r>
        <w:rPr>
          <w:rStyle w:val="TekstpodstawowyZnak"/>
        </w:rPr>
        <w:lastRenderedPageBreak/>
        <w:t>zamieszczenie informacji o wniesieniu petycji na stronie internetowej zgodnie z art. 8 ust. 1–2 ustawy o petycjach.</w:t>
      </w:r>
    </w:p>
    <w:p w14:paraId="0F342774" w14:textId="77777777" w:rsidR="00E4752A" w:rsidRDefault="00F62CEF">
      <w:pPr>
        <w:pStyle w:val="Tekstpodstawowy"/>
      </w:pPr>
      <w:r>
        <w:rPr>
          <w:rStyle w:val="TekstpodstawowyZnak"/>
        </w:rPr>
        <w:t>Fundacja, działając na podstawie art. 4 ust. 3 ustawy o petycjach, wyraża zgodę na ujawnienie na stronie internetowej podmiotu rozpatrującego petycję lub urzędu go obsługującego danych identyfikujących podmiot wnoszący petycję.</w:t>
      </w:r>
    </w:p>
    <w:p w14:paraId="5EDA408A" w14:textId="77777777" w:rsidR="00E4752A" w:rsidRDefault="00F62CEF">
      <w:pPr>
        <w:pStyle w:val="Tekstpodstawowy"/>
        <w:spacing w:after="800"/>
      </w:pPr>
      <w:r>
        <w:rPr>
          <w:rStyle w:val="TekstpodstawowyZnak"/>
        </w:rPr>
        <w:t>Trzy Załączniki: petycja z dnia 13 marca 2026, przekazanie z dnia 23 marca 2026 oraz przekazanie z dnia 24 marca 2026.</w:t>
      </w:r>
    </w:p>
    <w:p w14:paraId="75EADF32" w14:textId="77777777" w:rsidR="00E4752A" w:rsidRDefault="00F62CEF">
      <w:pPr>
        <w:pStyle w:val="Tekstpodstawowy"/>
        <w:spacing w:after="60" w:line="240" w:lineRule="auto"/>
      </w:pPr>
      <w:r>
        <w:rPr>
          <w:rStyle w:val="TekstpodstawowyZnak"/>
        </w:rPr>
        <w:t>Z poważaniem</w:t>
      </w:r>
    </w:p>
    <w:p w14:paraId="4E81850A" w14:textId="687968CC" w:rsidR="00E4752A" w:rsidRDefault="00E4752A">
      <w:pPr>
        <w:pStyle w:val="Tekstpodstawowy"/>
        <w:spacing w:line="240" w:lineRule="auto"/>
      </w:pPr>
    </w:p>
    <w:sectPr w:rsidR="00E4752A">
      <w:pgSz w:w="11900" w:h="16840"/>
      <w:pgMar w:top="1441" w:right="1439" w:bottom="1356" w:left="1399" w:header="1013" w:footer="92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7911" w14:textId="77777777" w:rsidR="00F62CEF" w:rsidRDefault="00F62CEF">
      <w:r>
        <w:separator/>
      </w:r>
    </w:p>
  </w:endnote>
  <w:endnote w:type="continuationSeparator" w:id="0">
    <w:p w14:paraId="02ED6DB7" w14:textId="77777777" w:rsidR="00F62CEF" w:rsidRDefault="00F6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AA65" w14:textId="77777777" w:rsidR="00F62CEF" w:rsidRDefault="00F62CEF"/>
  </w:footnote>
  <w:footnote w:type="continuationSeparator" w:id="0">
    <w:p w14:paraId="274DF4A0" w14:textId="77777777" w:rsidR="00F62CEF" w:rsidRDefault="00F62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73752"/>
    <w:multiLevelType w:val="multilevel"/>
    <w:tmpl w:val="E9422F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DC03ED"/>
    <w:multiLevelType w:val="multilevel"/>
    <w:tmpl w:val="C4A0B906"/>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5019469">
    <w:abstractNumId w:val="1"/>
  </w:num>
  <w:num w:numId="2" w16cid:durableId="194460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2A"/>
    <w:rsid w:val="00AD55C0"/>
    <w:rsid w:val="00C547E9"/>
    <w:rsid w:val="00E4752A"/>
    <w:rsid w:val="00F62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0F14"/>
  <w15:docId w15:val="{5CC2B334-F3A6-437F-AB9F-A7A74892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rPr>
      <w:rFonts w:ascii="Arial" w:eastAsia="Arial" w:hAnsi="Arial" w:cs="Arial"/>
      <w:b w:val="0"/>
      <w:bCs w:val="0"/>
      <w:i w:val="0"/>
      <w:iCs w:val="0"/>
      <w:smallCaps w:val="0"/>
      <w:strike w:val="0"/>
      <w:sz w:val="22"/>
      <w:szCs w:val="22"/>
      <w:u w:val="none"/>
    </w:rPr>
  </w:style>
  <w:style w:type="character" w:customStyle="1" w:styleId="Heading1">
    <w:name w:val="Heading #1_"/>
    <w:basedOn w:val="Domylnaczcionkaakapitu"/>
    <w:link w:val="Heading10"/>
    <w:rPr>
      <w:rFonts w:ascii="Arial" w:eastAsia="Arial" w:hAnsi="Arial" w:cs="Arial"/>
      <w:b/>
      <w:bCs/>
      <w:i w:val="0"/>
      <w:iCs w:val="0"/>
      <w:smallCaps w:val="0"/>
      <w:strike w:val="0"/>
      <w:sz w:val="22"/>
      <w:szCs w:val="22"/>
      <w:u w:val="none"/>
    </w:rPr>
  </w:style>
  <w:style w:type="paragraph" w:styleId="Tekstpodstawowy">
    <w:name w:val="Body Text"/>
    <w:basedOn w:val="Normalny"/>
    <w:link w:val="TekstpodstawowyZnak"/>
    <w:qFormat/>
    <w:pPr>
      <w:spacing w:after="220" w:line="324" w:lineRule="auto"/>
    </w:pPr>
    <w:rPr>
      <w:rFonts w:ascii="Arial" w:eastAsia="Arial" w:hAnsi="Arial" w:cs="Arial"/>
      <w:sz w:val="22"/>
      <w:szCs w:val="22"/>
    </w:rPr>
  </w:style>
  <w:style w:type="paragraph" w:customStyle="1" w:styleId="Heading10">
    <w:name w:val="Heading #1"/>
    <w:basedOn w:val="Normalny"/>
    <w:link w:val="Heading1"/>
    <w:pPr>
      <w:spacing w:after="220" w:line="324" w:lineRule="auto"/>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1549</Words>
  <Characters>9297</Characters>
  <Application>Microsoft Office Word</Application>
  <DocSecurity>0</DocSecurity>
  <Lines>77</Lines>
  <Paragraphs>21</Paragraphs>
  <ScaleCrop>false</ScaleCrop>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slawomir wisniewski</dc:creator>
  <cp:keywords/>
  <cp:lastModifiedBy>Zygadlewicz Małgorzata</cp:lastModifiedBy>
  <cp:revision>2</cp:revision>
  <dcterms:created xsi:type="dcterms:W3CDTF">2026-05-18T13:07:00Z</dcterms:created>
  <dcterms:modified xsi:type="dcterms:W3CDTF">2026-05-18T13:09:00Z</dcterms:modified>
</cp:coreProperties>
</file>