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99C8A" w14:textId="77777777" w:rsidR="00231DD0" w:rsidRPr="009445DD" w:rsidRDefault="00231DD0" w:rsidP="00D31231">
      <w:pPr>
        <w:pStyle w:val="Bezodstpw"/>
        <w:spacing w:line="276" w:lineRule="auto"/>
        <w:jc w:val="center"/>
        <w:rPr>
          <w:rFonts w:ascii="Times New Roman" w:hAnsi="Times New Roman" w:cs="Times New Roman"/>
          <w:b/>
          <w:bCs/>
        </w:rPr>
      </w:pPr>
    </w:p>
    <w:p w14:paraId="46843851" w14:textId="1AB7BB6E" w:rsidR="00021A18" w:rsidRPr="009445DD" w:rsidRDefault="00DF4527" w:rsidP="00D31231">
      <w:pPr>
        <w:pStyle w:val="Bezodstpw"/>
        <w:spacing w:line="276" w:lineRule="auto"/>
        <w:jc w:val="center"/>
        <w:rPr>
          <w:rFonts w:ascii="Times New Roman" w:hAnsi="Times New Roman" w:cs="Times New Roman"/>
          <w:b/>
          <w:bCs/>
        </w:rPr>
      </w:pPr>
      <w:r w:rsidRPr="009445DD">
        <w:rPr>
          <w:rFonts w:ascii="Times New Roman" w:hAnsi="Times New Roman" w:cs="Times New Roman"/>
          <w:b/>
          <w:bCs/>
        </w:rPr>
        <w:t>Tabela uwag z</w:t>
      </w:r>
      <w:r w:rsidR="00110686" w:rsidRPr="009445DD">
        <w:rPr>
          <w:rFonts w:ascii="Times New Roman" w:hAnsi="Times New Roman" w:cs="Times New Roman"/>
          <w:b/>
          <w:bCs/>
        </w:rPr>
        <w:t>głoszonych w ramach</w:t>
      </w:r>
      <w:r w:rsidRPr="009445DD">
        <w:rPr>
          <w:rFonts w:ascii="Times New Roman" w:hAnsi="Times New Roman" w:cs="Times New Roman"/>
          <w:b/>
          <w:bCs/>
        </w:rPr>
        <w:t xml:space="preserve"> </w:t>
      </w:r>
      <w:r w:rsidR="00A471FE" w:rsidRPr="009445DD">
        <w:rPr>
          <w:rFonts w:ascii="Times New Roman" w:hAnsi="Times New Roman" w:cs="Times New Roman"/>
          <w:b/>
          <w:bCs/>
        </w:rPr>
        <w:t>uzgodnień</w:t>
      </w:r>
      <w:r w:rsidR="00396DAE" w:rsidRPr="009445DD">
        <w:rPr>
          <w:rFonts w:ascii="Times New Roman" w:hAnsi="Times New Roman" w:cs="Times New Roman"/>
          <w:b/>
          <w:bCs/>
        </w:rPr>
        <w:t xml:space="preserve"> </w:t>
      </w:r>
      <w:r w:rsidRPr="009445DD">
        <w:rPr>
          <w:rFonts w:ascii="Times New Roman" w:hAnsi="Times New Roman" w:cs="Times New Roman"/>
          <w:b/>
          <w:bCs/>
        </w:rPr>
        <w:t xml:space="preserve">projektu rozporządzenia </w:t>
      </w:r>
      <w:bookmarkStart w:id="0" w:name="bookmark1"/>
      <w:r w:rsidR="005E12CA" w:rsidRPr="009445DD">
        <w:rPr>
          <w:rFonts w:ascii="Times New Roman" w:hAnsi="Times New Roman" w:cs="Times New Roman"/>
          <w:b/>
          <w:bCs/>
        </w:rPr>
        <w:t xml:space="preserve">Rady Ministrów w sprawie </w:t>
      </w:r>
      <w:bookmarkEnd w:id="0"/>
      <w:r w:rsidR="005E12CA" w:rsidRPr="009445DD">
        <w:rPr>
          <w:rFonts w:ascii="Times New Roman" w:hAnsi="Times New Roman" w:cs="Times New Roman"/>
          <w:b/>
          <w:bCs/>
        </w:rPr>
        <w:t>zapewnienia przez przedsiębiorcę telekomunikacyjnego warunków dostępu i utrwalania oraz przygotowania technicznych i organizacyjnych warunków udostępniania danych (RD217)</w:t>
      </w:r>
    </w:p>
    <w:p w14:paraId="4B2CD379" w14:textId="77777777" w:rsidR="00DF4527" w:rsidRPr="009445DD" w:rsidRDefault="00DF4527" w:rsidP="00DF4527">
      <w:pPr>
        <w:pStyle w:val="Bezodstpw"/>
        <w:spacing w:line="276" w:lineRule="auto"/>
        <w:jc w:val="center"/>
        <w:rPr>
          <w:rFonts w:ascii="Times New Roman" w:hAnsi="Times New Roman" w:cs="Times New Roman"/>
          <w:b/>
          <w:bCs/>
        </w:rPr>
      </w:pPr>
    </w:p>
    <w:tbl>
      <w:tblPr>
        <w:tblStyle w:val="Tabela-Siatka"/>
        <w:tblW w:w="15163" w:type="dxa"/>
        <w:tblLook w:val="04A0" w:firstRow="1" w:lastRow="0" w:firstColumn="1" w:lastColumn="0" w:noHBand="0" w:noVBand="1"/>
      </w:tblPr>
      <w:tblGrid>
        <w:gridCol w:w="596"/>
        <w:gridCol w:w="1409"/>
        <w:gridCol w:w="1622"/>
        <w:gridCol w:w="7513"/>
        <w:gridCol w:w="4023"/>
      </w:tblGrid>
      <w:tr w:rsidR="006F492C" w:rsidRPr="009445DD" w14:paraId="35087CD2" w14:textId="77777777" w:rsidTr="004A531F">
        <w:trPr>
          <w:trHeight w:val="840"/>
        </w:trPr>
        <w:tc>
          <w:tcPr>
            <w:tcW w:w="596" w:type="dxa"/>
            <w:tcBorders>
              <w:bottom w:val="single" w:sz="4" w:space="0" w:color="auto"/>
            </w:tcBorders>
            <w:shd w:val="clear" w:color="auto" w:fill="D9D9D9" w:themeFill="background1" w:themeFillShade="D9"/>
          </w:tcPr>
          <w:p w14:paraId="40DC3DC8" w14:textId="27CBB89A" w:rsidR="00DF4527" w:rsidRPr="009445DD" w:rsidRDefault="009753A3" w:rsidP="004A531F">
            <w:pPr>
              <w:pStyle w:val="Bezodstpw"/>
              <w:jc w:val="center"/>
              <w:rPr>
                <w:rFonts w:ascii="Times New Roman" w:hAnsi="Times New Roman" w:cs="Times New Roman"/>
              </w:rPr>
            </w:pPr>
            <w:r w:rsidRPr="009445DD">
              <w:rPr>
                <w:rFonts w:ascii="Times New Roman" w:hAnsi="Times New Roman" w:cs="Times New Roman"/>
                <w:b/>
              </w:rPr>
              <w:t>L.p.</w:t>
            </w:r>
          </w:p>
        </w:tc>
        <w:tc>
          <w:tcPr>
            <w:tcW w:w="1413" w:type="dxa"/>
            <w:tcBorders>
              <w:bottom w:val="single" w:sz="4" w:space="0" w:color="auto"/>
            </w:tcBorders>
            <w:shd w:val="clear" w:color="auto" w:fill="D9D9D9" w:themeFill="background1" w:themeFillShade="D9"/>
            <w:vAlign w:val="center"/>
          </w:tcPr>
          <w:p w14:paraId="5C3AEFCE" w14:textId="246D43B8" w:rsidR="00DF4527" w:rsidRPr="009445DD" w:rsidRDefault="009753A3" w:rsidP="00822E68">
            <w:pPr>
              <w:pStyle w:val="Bezodstpw"/>
              <w:jc w:val="center"/>
              <w:rPr>
                <w:rFonts w:ascii="Times New Roman" w:hAnsi="Times New Roman" w:cs="Times New Roman"/>
              </w:rPr>
            </w:pPr>
            <w:r w:rsidRPr="009445DD">
              <w:rPr>
                <w:rFonts w:ascii="Times New Roman" w:hAnsi="Times New Roman" w:cs="Times New Roman"/>
                <w:b/>
              </w:rPr>
              <w:t>Jednostka redakcyjna projektu</w:t>
            </w:r>
          </w:p>
        </w:tc>
        <w:tc>
          <w:tcPr>
            <w:tcW w:w="1400" w:type="dxa"/>
            <w:tcBorders>
              <w:bottom w:val="single" w:sz="4" w:space="0" w:color="auto"/>
            </w:tcBorders>
            <w:shd w:val="clear" w:color="auto" w:fill="D9D9D9" w:themeFill="background1" w:themeFillShade="D9"/>
            <w:vAlign w:val="center"/>
          </w:tcPr>
          <w:p w14:paraId="5C0E9CFB" w14:textId="45DC01C4" w:rsidR="00DF4527" w:rsidRPr="009445DD" w:rsidRDefault="00110686" w:rsidP="00822E68">
            <w:pPr>
              <w:pStyle w:val="Bezodstpw"/>
              <w:jc w:val="center"/>
              <w:rPr>
                <w:rFonts w:ascii="Times New Roman" w:hAnsi="Times New Roman" w:cs="Times New Roman"/>
              </w:rPr>
            </w:pPr>
            <w:r w:rsidRPr="009445DD">
              <w:rPr>
                <w:rFonts w:ascii="Times New Roman" w:hAnsi="Times New Roman" w:cs="Times New Roman"/>
                <w:b/>
              </w:rPr>
              <w:t>Podmiot z</w:t>
            </w:r>
            <w:r w:rsidR="009753A3" w:rsidRPr="009445DD">
              <w:rPr>
                <w:rFonts w:ascii="Times New Roman" w:hAnsi="Times New Roman" w:cs="Times New Roman"/>
                <w:b/>
              </w:rPr>
              <w:t>głaszający</w:t>
            </w:r>
          </w:p>
        </w:tc>
        <w:tc>
          <w:tcPr>
            <w:tcW w:w="7674" w:type="dxa"/>
            <w:tcBorders>
              <w:bottom w:val="single" w:sz="4" w:space="0" w:color="auto"/>
            </w:tcBorders>
            <w:shd w:val="clear" w:color="auto" w:fill="D9D9D9" w:themeFill="background1" w:themeFillShade="D9"/>
            <w:vAlign w:val="center"/>
          </w:tcPr>
          <w:p w14:paraId="37A93FA5" w14:textId="0EBA8F04" w:rsidR="00DF4527" w:rsidRPr="009445DD" w:rsidRDefault="009753A3" w:rsidP="00822E68">
            <w:pPr>
              <w:pStyle w:val="Bezodstpw"/>
              <w:jc w:val="center"/>
              <w:rPr>
                <w:rFonts w:ascii="Times New Roman" w:hAnsi="Times New Roman" w:cs="Times New Roman"/>
              </w:rPr>
            </w:pPr>
            <w:r w:rsidRPr="009445DD">
              <w:rPr>
                <w:rFonts w:ascii="Times New Roman" w:hAnsi="Times New Roman" w:cs="Times New Roman"/>
                <w:b/>
              </w:rPr>
              <w:t>Treść uwagi</w:t>
            </w:r>
          </w:p>
        </w:tc>
        <w:tc>
          <w:tcPr>
            <w:tcW w:w="4080" w:type="dxa"/>
            <w:tcBorders>
              <w:bottom w:val="single" w:sz="4" w:space="0" w:color="auto"/>
            </w:tcBorders>
            <w:shd w:val="clear" w:color="auto" w:fill="D9D9D9" w:themeFill="background1" w:themeFillShade="D9"/>
            <w:vAlign w:val="center"/>
          </w:tcPr>
          <w:p w14:paraId="72FB7D72" w14:textId="243C8A95" w:rsidR="00DF4527" w:rsidRPr="009445DD" w:rsidRDefault="009753A3" w:rsidP="004A531F">
            <w:pPr>
              <w:pStyle w:val="Bezodstpw"/>
              <w:jc w:val="center"/>
              <w:rPr>
                <w:rFonts w:ascii="Times New Roman" w:hAnsi="Times New Roman" w:cs="Times New Roman"/>
              </w:rPr>
            </w:pPr>
            <w:r w:rsidRPr="009445DD">
              <w:rPr>
                <w:rFonts w:ascii="Times New Roman" w:hAnsi="Times New Roman" w:cs="Times New Roman"/>
                <w:b/>
              </w:rPr>
              <w:t>Stanowisko M</w:t>
            </w:r>
            <w:r w:rsidR="00110686" w:rsidRPr="009445DD">
              <w:rPr>
                <w:rFonts w:ascii="Times New Roman" w:hAnsi="Times New Roman" w:cs="Times New Roman"/>
                <w:b/>
              </w:rPr>
              <w:t>inistra Cyfryzacji</w:t>
            </w:r>
          </w:p>
        </w:tc>
      </w:tr>
      <w:tr w:rsidR="00396DAE" w:rsidRPr="009445DD" w14:paraId="1D586EC5" w14:textId="77777777" w:rsidTr="004A531F">
        <w:tc>
          <w:tcPr>
            <w:tcW w:w="15163" w:type="dxa"/>
            <w:gridSpan w:val="5"/>
            <w:shd w:val="pct10" w:color="auto" w:fill="auto"/>
          </w:tcPr>
          <w:p w14:paraId="1DA6A6C4" w14:textId="4E65B30B" w:rsidR="00396DAE" w:rsidRPr="009445DD" w:rsidRDefault="00396DAE" w:rsidP="004A531F">
            <w:pPr>
              <w:spacing w:before="120" w:after="120"/>
              <w:jc w:val="center"/>
              <w:rPr>
                <w:b/>
                <w:bCs/>
                <w:sz w:val="22"/>
                <w:szCs w:val="22"/>
                <w:highlight w:val="green"/>
              </w:rPr>
            </w:pPr>
            <w:r w:rsidRPr="009445DD">
              <w:rPr>
                <w:b/>
                <w:bCs/>
                <w:sz w:val="22"/>
                <w:szCs w:val="22"/>
              </w:rPr>
              <w:t>UWAGI OGÓLNE DO PROJEKTU</w:t>
            </w:r>
          </w:p>
        </w:tc>
      </w:tr>
      <w:tr w:rsidR="006F492C" w:rsidRPr="009445DD" w14:paraId="5C4BA031" w14:textId="77777777" w:rsidTr="004A531F">
        <w:tc>
          <w:tcPr>
            <w:tcW w:w="596" w:type="dxa"/>
            <w:tcBorders>
              <w:bottom w:val="single" w:sz="4" w:space="0" w:color="auto"/>
            </w:tcBorders>
          </w:tcPr>
          <w:p w14:paraId="69C72FBD" w14:textId="43301CD9" w:rsidR="00777F8A" w:rsidRPr="009445DD" w:rsidRDefault="00777F8A" w:rsidP="004A531F">
            <w:pPr>
              <w:pStyle w:val="Bezodstpw"/>
              <w:numPr>
                <w:ilvl w:val="0"/>
                <w:numId w:val="2"/>
              </w:numPr>
              <w:ind w:left="171" w:hanging="171"/>
              <w:jc w:val="center"/>
              <w:rPr>
                <w:rFonts w:ascii="Times New Roman" w:hAnsi="Times New Roman" w:cs="Times New Roman"/>
              </w:rPr>
            </w:pPr>
          </w:p>
        </w:tc>
        <w:tc>
          <w:tcPr>
            <w:tcW w:w="1413" w:type="dxa"/>
            <w:tcBorders>
              <w:bottom w:val="single" w:sz="4" w:space="0" w:color="auto"/>
            </w:tcBorders>
            <w:shd w:val="pct5" w:color="auto" w:fill="auto"/>
          </w:tcPr>
          <w:p w14:paraId="197F681D" w14:textId="25FD681A" w:rsidR="00777F8A" w:rsidRPr="009445DD" w:rsidRDefault="00777F8A" w:rsidP="00BF189C">
            <w:pPr>
              <w:pStyle w:val="Bezodstpw"/>
              <w:jc w:val="center"/>
              <w:rPr>
                <w:rFonts w:ascii="Times New Roman" w:hAnsi="Times New Roman" w:cs="Times New Roman"/>
              </w:rPr>
            </w:pPr>
          </w:p>
        </w:tc>
        <w:tc>
          <w:tcPr>
            <w:tcW w:w="1400" w:type="dxa"/>
            <w:tcBorders>
              <w:bottom w:val="single" w:sz="4" w:space="0" w:color="auto"/>
            </w:tcBorders>
          </w:tcPr>
          <w:p w14:paraId="47C9DD14" w14:textId="50FC1CB8" w:rsidR="00777F8A" w:rsidRPr="009445DD" w:rsidRDefault="00BF189C" w:rsidP="00BF189C">
            <w:pPr>
              <w:pStyle w:val="Bezodstpw"/>
              <w:jc w:val="center"/>
              <w:rPr>
                <w:rFonts w:ascii="Times New Roman" w:hAnsi="Times New Roman" w:cs="Times New Roman"/>
                <w:b/>
                <w:bCs/>
              </w:rPr>
            </w:pPr>
            <w:r w:rsidRPr="009445DD">
              <w:rPr>
                <w:rFonts w:ascii="Times New Roman" w:hAnsi="Times New Roman" w:cs="Times New Roman"/>
                <w:b/>
                <w:bCs/>
              </w:rPr>
              <w:t>Rządowe Centrum Legislacji</w:t>
            </w:r>
          </w:p>
        </w:tc>
        <w:tc>
          <w:tcPr>
            <w:tcW w:w="7674" w:type="dxa"/>
            <w:tcBorders>
              <w:bottom w:val="single" w:sz="4" w:space="0" w:color="auto"/>
            </w:tcBorders>
          </w:tcPr>
          <w:p w14:paraId="2633191D" w14:textId="766444C2" w:rsidR="00777F8A" w:rsidRPr="009445DD" w:rsidRDefault="00BF189C" w:rsidP="00BF189C">
            <w:pPr>
              <w:pStyle w:val="Bezodstpw"/>
              <w:jc w:val="both"/>
              <w:rPr>
                <w:rFonts w:ascii="Times New Roman" w:eastAsia="Times New Roman" w:hAnsi="Times New Roman" w:cs="Times New Roman"/>
                <w:lang w:eastAsia="pl-PL"/>
              </w:rPr>
            </w:pPr>
            <w:r w:rsidRPr="009445DD">
              <w:rPr>
                <w:rFonts w:ascii="Times New Roman" w:eastAsia="Times New Roman" w:hAnsi="Times New Roman" w:cs="Times New Roman"/>
              </w:rPr>
              <w:t xml:space="preserve">Biorąc pod uwagę równolegle toczące się prace legislacyjne nad aktem wykonawczym, którego materia ściśle dotyczy przedmiotowego projektu (tj. nad </w:t>
            </w:r>
            <w:r w:rsidRPr="009445DD">
              <w:rPr>
                <w:rFonts w:ascii="Times New Roman" w:eastAsia="Times New Roman" w:hAnsi="Times New Roman" w:cs="Times New Roman"/>
                <w:i/>
                <w:iCs/>
              </w:rPr>
              <w:t>rozporządzeniem Rady Ministrów w sprawie wymagań technicznych i eksploatacyjnych dla interfejsów</w:t>
            </w:r>
            <w:r w:rsidRPr="009445DD">
              <w:rPr>
                <w:rFonts w:ascii="Times New Roman" w:eastAsia="Times New Roman" w:hAnsi="Times New Roman" w:cs="Times New Roman"/>
              </w:rPr>
              <w:t xml:space="preserve">; RD 215), proponuje się weryfikację wprowadzanej w obu dokumentach siatki terminologicznej, w celu zapewnienia </w:t>
            </w:r>
            <w:r w:rsidRPr="009445DD">
              <w:rPr>
                <w:rFonts w:ascii="Times New Roman" w:eastAsia="Times New Roman" w:hAnsi="Times New Roman" w:cs="Times New Roman"/>
                <w:lang w:eastAsia="pl-PL"/>
              </w:rPr>
              <w:t>ich pełnej spójności (np. w odniesieniu do zakresu definicji określenia „interfejs LI HI”)</w:t>
            </w:r>
          </w:p>
        </w:tc>
        <w:tc>
          <w:tcPr>
            <w:tcW w:w="4080" w:type="dxa"/>
            <w:tcBorders>
              <w:bottom w:val="single" w:sz="4" w:space="0" w:color="auto"/>
            </w:tcBorders>
          </w:tcPr>
          <w:p w14:paraId="01F2FDCC" w14:textId="56463F28" w:rsidR="00324E93" w:rsidRPr="009445DD" w:rsidRDefault="005254C2" w:rsidP="004A531F">
            <w:pPr>
              <w:pStyle w:val="Bezodstpw"/>
              <w:jc w:val="both"/>
              <w:rPr>
                <w:rFonts w:ascii="Times New Roman" w:eastAsia="Times New Roman" w:hAnsi="Times New Roman" w:cs="Times New Roman"/>
                <w:b/>
                <w:bCs/>
                <w:lang w:eastAsia="pl-PL"/>
              </w:rPr>
            </w:pPr>
            <w:r w:rsidRPr="009445DD">
              <w:rPr>
                <w:rFonts w:ascii="Times New Roman" w:eastAsia="Times New Roman" w:hAnsi="Times New Roman" w:cs="Times New Roman"/>
                <w:b/>
                <w:bCs/>
                <w:lang w:eastAsia="pl-PL"/>
              </w:rPr>
              <w:t>Uwaga uwzględniona</w:t>
            </w:r>
          </w:p>
          <w:p w14:paraId="570A248E" w14:textId="219DE263" w:rsidR="005254C2" w:rsidRPr="009445DD" w:rsidRDefault="005254C2" w:rsidP="004A531F">
            <w:pPr>
              <w:pStyle w:val="Bezodstpw"/>
              <w:jc w:val="both"/>
              <w:rPr>
                <w:rFonts w:ascii="Times New Roman" w:eastAsia="Times New Roman" w:hAnsi="Times New Roman" w:cs="Times New Roman"/>
                <w:lang w:eastAsia="pl-PL"/>
              </w:rPr>
            </w:pPr>
            <w:r w:rsidRPr="009445DD">
              <w:rPr>
                <w:rFonts w:ascii="Times New Roman" w:eastAsia="Times New Roman" w:hAnsi="Times New Roman" w:cs="Times New Roman"/>
                <w:lang w:eastAsia="pl-PL"/>
              </w:rPr>
              <w:t>Przeanalizowano terminologię w obu projektowanych rozporządzeniach.</w:t>
            </w:r>
          </w:p>
          <w:p w14:paraId="654D0C3E" w14:textId="13306824" w:rsidR="008D6C95" w:rsidRPr="009445DD" w:rsidRDefault="00324E93" w:rsidP="004A531F">
            <w:pPr>
              <w:pStyle w:val="Bezodstpw"/>
              <w:jc w:val="both"/>
              <w:rPr>
                <w:rFonts w:ascii="Times New Roman" w:eastAsia="Times New Roman" w:hAnsi="Times New Roman" w:cs="Times New Roman"/>
                <w:lang w:eastAsia="pl-PL"/>
              </w:rPr>
            </w:pPr>
            <w:r w:rsidRPr="009445DD">
              <w:rPr>
                <w:rFonts w:ascii="Times New Roman" w:eastAsia="Times New Roman" w:hAnsi="Times New Roman" w:cs="Times New Roman"/>
                <w:lang w:eastAsia="pl-PL"/>
              </w:rPr>
              <w:t>D</w:t>
            </w:r>
            <w:r w:rsidR="001F0860" w:rsidRPr="009445DD">
              <w:rPr>
                <w:rFonts w:ascii="Times New Roman" w:eastAsia="Times New Roman" w:hAnsi="Times New Roman" w:cs="Times New Roman"/>
                <w:lang w:eastAsia="pl-PL"/>
              </w:rPr>
              <w:t xml:space="preserve">efinicje interfejsu LI HI w obu </w:t>
            </w:r>
            <w:r w:rsidR="004A531F" w:rsidRPr="009445DD">
              <w:rPr>
                <w:rFonts w:ascii="Times New Roman" w:eastAsia="Times New Roman" w:hAnsi="Times New Roman" w:cs="Times New Roman"/>
                <w:lang w:eastAsia="pl-PL"/>
              </w:rPr>
              <w:t xml:space="preserve">projektowanych </w:t>
            </w:r>
            <w:r w:rsidR="001F0860" w:rsidRPr="009445DD">
              <w:rPr>
                <w:rFonts w:ascii="Times New Roman" w:eastAsia="Times New Roman" w:hAnsi="Times New Roman" w:cs="Times New Roman"/>
                <w:lang w:eastAsia="pl-PL"/>
              </w:rPr>
              <w:t>rozporządzeniach są tożsame pod względem merytorycznym. Definicj</w:t>
            </w:r>
            <w:r w:rsidRPr="009445DD">
              <w:rPr>
                <w:rFonts w:ascii="Times New Roman" w:eastAsia="Times New Roman" w:hAnsi="Times New Roman" w:cs="Times New Roman"/>
                <w:lang w:eastAsia="pl-PL"/>
              </w:rPr>
              <w:t>a</w:t>
            </w:r>
            <w:r w:rsidR="001F0860" w:rsidRPr="009445DD">
              <w:rPr>
                <w:rFonts w:ascii="Times New Roman" w:eastAsia="Times New Roman" w:hAnsi="Times New Roman" w:cs="Times New Roman"/>
                <w:lang w:eastAsia="pl-PL"/>
              </w:rPr>
              <w:t xml:space="preserve"> w </w:t>
            </w:r>
            <w:r w:rsidR="004A531F" w:rsidRPr="009445DD">
              <w:rPr>
                <w:rFonts w:ascii="Times New Roman" w:eastAsia="Times New Roman" w:hAnsi="Times New Roman" w:cs="Times New Roman"/>
                <w:lang w:eastAsia="pl-PL"/>
              </w:rPr>
              <w:t>projekcie rozporządzenia</w:t>
            </w:r>
            <w:r w:rsidR="004A531F" w:rsidRPr="009445DD">
              <w:rPr>
                <w:rFonts w:ascii="Times New Roman" w:eastAsia="Times New Roman" w:hAnsi="Times New Roman" w:cs="Times New Roman"/>
                <w:i/>
                <w:iCs/>
                <w:lang w:eastAsia="pl-PL"/>
              </w:rPr>
              <w:t xml:space="preserve"> </w:t>
            </w:r>
            <w:r w:rsidR="004A531F" w:rsidRPr="009445DD">
              <w:rPr>
                <w:rFonts w:ascii="Times New Roman" w:eastAsia="Times New Roman" w:hAnsi="Times New Roman" w:cs="Times New Roman"/>
                <w:lang w:eastAsia="pl-PL"/>
              </w:rPr>
              <w:t>Rady Ministrów w sprawie wymagań technicznych i eksploatacyjnych dla interfejsów</w:t>
            </w:r>
            <w:r w:rsidR="004A531F" w:rsidRPr="009445DD" w:rsidDel="004A531F">
              <w:rPr>
                <w:rFonts w:ascii="Times New Roman" w:eastAsia="Times New Roman" w:hAnsi="Times New Roman" w:cs="Times New Roman"/>
                <w:lang w:eastAsia="pl-PL"/>
              </w:rPr>
              <w:t xml:space="preserve"> </w:t>
            </w:r>
            <w:r w:rsidR="004A531F" w:rsidRPr="009445DD">
              <w:rPr>
                <w:rFonts w:ascii="Times New Roman" w:eastAsia="Times New Roman" w:hAnsi="Times New Roman" w:cs="Times New Roman"/>
                <w:lang w:eastAsia="pl-PL"/>
              </w:rPr>
              <w:t>(art. 46 ust. 2</w:t>
            </w:r>
            <w:r w:rsidR="00F27F8B" w:rsidRPr="009445DD">
              <w:rPr>
                <w:rFonts w:ascii="Times New Roman" w:eastAsiaTheme="minorEastAsia" w:hAnsi="Times New Roman" w:cs="Times New Roman"/>
                <w:kern w:val="0"/>
                <w:lang w:eastAsia="pl-PL"/>
                <w14:ligatures w14:val="none"/>
              </w:rPr>
              <w:t xml:space="preserve"> </w:t>
            </w:r>
            <w:r w:rsidR="00F27F8B" w:rsidRPr="009445DD">
              <w:rPr>
                <w:rFonts w:ascii="Times New Roman" w:eastAsia="Times New Roman" w:hAnsi="Times New Roman" w:cs="Times New Roman"/>
                <w:lang w:eastAsia="pl-PL"/>
              </w:rPr>
              <w:t>ustawy z dnia 12 lipca 2024 r. – Prawo komunikacji elektronicznej (Dz. U. poz. 1221, z późn. zm</w:t>
            </w:r>
            <w:r w:rsidR="00D163A4" w:rsidRPr="009445DD">
              <w:rPr>
                <w:rFonts w:ascii="Times New Roman" w:eastAsia="Times New Roman" w:hAnsi="Times New Roman" w:cs="Times New Roman"/>
                <w:lang w:eastAsia="pl-PL"/>
              </w:rPr>
              <w:t>.))</w:t>
            </w:r>
            <w:r w:rsidR="00F27F8B" w:rsidRPr="009445DD">
              <w:rPr>
                <w:rFonts w:ascii="Times New Roman" w:eastAsia="Times New Roman" w:hAnsi="Times New Roman" w:cs="Times New Roman"/>
                <w:lang w:eastAsia="pl-PL"/>
              </w:rPr>
              <w:t>, dalej zwaną „PKE”</w:t>
            </w:r>
            <w:r w:rsidR="004A531F" w:rsidRPr="009445DD">
              <w:rPr>
                <w:rFonts w:ascii="Times New Roman" w:eastAsia="Times New Roman" w:hAnsi="Times New Roman" w:cs="Times New Roman"/>
                <w:lang w:eastAsia="pl-PL"/>
              </w:rPr>
              <w:t xml:space="preserve"> </w:t>
            </w:r>
            <w:r w:rsidR="001F0860" w:rsidRPr="009445DD">
              <w:rPr>
                <w:rFonts w:ascii="Times New Roman" w:eastAsia="Times New Roman" w:hAnsi="Times New Roman" w:cs="Times New Roman"/>
                <w:lang w:eastAsia="pl-PL"/>
              </w:rPr>
              <w:t>posługuje się pojęciami AMDF</w:t>
            </w:r>
            <w:r w:rsidRPr="009445DD">
              <w:rPr>
                <w:rFonts w:ascii="Times New Roman" w:eastAsia="Times New Roman" w:hAnsi="Times New Roman" w:cs="Times New Roman"/>
                <w:lang w:eastAsia="pl-PL"/>
              </w:rPr>
              <w:t xml:space="preserve"> </w:t>
            </w:r>
            <w:r w:rsidR="001F0860" w:rsidRPr="009445DD">
              <w:rPr>
                <w:rFonts w:ascii="Times New Roman" w:eastAsia="Times New Roman" w:hAnsi="Times New Roman" w:cs="Times New Roman"/>
                <w:lang w:eastAsia="pl-PL"/>
              </w:rPr>
              <w:t>i LEM</w:t>
            </w:r>
            <w:r w:rsidR="007471C9" w:rsidRPr="009445DD">
              <w:rPr>
                <w:rFonts w:ascii="Times New Roman" w:eastAsia="Times New Roman" w:hAnsi="Times New Roman" w:cs="Times New Roman"/>
                <w:lang w:eastAsia="pl-PL"/>
              </w:rPr>
              <w:t>F</w:t>
            </w:r>
            <w:r w:rsidR="001F0860" w:rsidRPr="009445DD">
              <w:rPr>
                <w:rFonts w:ascii="Times New Roman" w:eastAsia="Times New Roman" w:hAnsi="Times New Roman" w:cs="Times New Roman"/>
                <w:lang w:eastAsia="pl-PL"/>
              </w:rPr>
              <w:t>, które nie są definiowane w</w:t>
            </w:r>
            <w:r w:rsidR="004A531F" w:rsidRPr="009445DD">
              <w:rPr>
                <w:rFonts w:ascii="Times New Roman" w:eastAsia="Times New Roman" w:hAnsi="Times New Roman" w:cs="Times New Roman"/>
                <w:kern w:val="0"/>
                <w:lang w:eastAsia="pl-PL"/>
                <w14:ligatures w14:val="none"/>
              </w:rPr>
              <w:t xml:space="preserve"> projekcie </w:t>
            </w:r>
            <w:r w:rsidR="004A531F" w:rsidRPr="009445DD">
              <w:rPr>
                <w:rFonts w:ascii="Times New Roman" w:eastAsia="Times New Roman" w:hAnsi="Times New Roman" w:cs="Times New Roman"/>
                <w:lang w:eastAsia="pl-PL"/>
              </w:rPr>
              <w:t>rozporządzenia Rady Ministrów w sprawie zapewnienia przez przedsiębiorcę telekomunikacyjnego warunków dostępu i utrwalania oraz przygotowania technicznych i</w:t>
            </w:r>
            <w:r w:rsidR="00EB2650">
              <w:rPr>
                <w:rFonts w:ascii="Times New Roman" w:eastAsia="Times New Roman" w:hAnsi="Times New Roman" w:cs="Times New Roman"/>
                <w:lang w:eastAsia="pl-PL"/>
              </w:rPr>
              <w:t> </w:t>
            </w:r>
            <w:r w:rsidR="004A531F" w:rsidRPr="009445DD">
              <w:rPr>
                <w:rFonts w:ascii="Times New Roman" w:eastAsia="Times New Roman" w:hAnsi="Times New Roman" w:cs="Times New Roman"/>
                <w:lang w:eastAsia="pl-PL"/>
              </w:rPr>
              <w:t>organizacyjnych warunków udostępniania danych</w:t>
            </w:r>
            <w:r w:rsidR="004A531F" w:rsidRPr="009445DD">
              <w:rPr>
                <w:rFonts w:ascii="Times New Roman" w:eastAsia="Times New Roman" w:hAnsi="Times New Roman" w:cs="Times New Roman"/>
                <w:kern w:val="0"/>
                <w:lang w:eastAsia="pl-PL"/>
                <w14:ligatures w14:val="none"/>
              </w:rPr>
              <w:t xml:space="preserve"> (</w:t>
            </w:r>
            <w:r w:rsidR="004A531F" w:rsidRPr="009445DD">
              <w:rPr>
                <w:rFonts w:ascii="Times New Roman" w:eastAsia="Times New Roman" w:hAnsi="Times New Roman" w:cs="Times New Roman"/>
                <w:lang w:eastAsia="pl-PL"/>
              </w:rPr>
              <w:t>art. 46 ust. 1</w:t>
            </w:r>
            <w:r w:rsidR="00F27F8B" w:rsidRPr="009445DD">
              <w:rPr>
                <w:rFonts w:ascii="Times New Roman" w:eastAsia="Times New Roman" w:hAnsi="Times New Roman" w:cs="Times New Roman"/>
                <w:lang w:eastAsia="pl-PL"/>
              </w:rPr>
              <w:t xml:space="preserve"> PKE</w:t>
            </w:r>
            <w:r w:rsidR="004A531F" w:rsidRPr="009445DD">
              <w:rPr>
                <w:rFonts w:ascii="Times New Roman" w:eastAsia="Times New Roman" w:hAnsi="Times New Roman" w:cs="Times New Roman"/>
                <w:lang w:eastAsia="pl-PL"/>
              </w:rPr>
              <w:t>)</w:t>
            </w:r>
            <w:r w:rsidR="001F0860" w:rsidRPr="009445DD">
              <w:rPr>
                <w:rFonts w:ascii="Times New Roman" w:eastAsia="Times New Roman" w:hAnsi="Times New Roman" w:cs="Times New Roman"/>
                <w:lang w:eastAsia="pl-PL"/>
              </w:rPr>
              <w:t xml:space="preserve">, </w:t>
            </w:r>
            <w:r w:rsidR="007471C9" w:rsidRPr="009445DD">
              <w:rPr>
                <w:rFonts w:ascii="Times New Roman" w:eastAsia="Times New Roman" w:hAnsi="Times New Roman" w:cs="Times New Roman"/>
                <w:lang w:eastAsia="pl-PL"/>
              </w:rPr>
              <w:t>lecz zastąpione odpowiednio „</w:t>
            </w:r>
            <w:r w:rsidRPr="009445DD">
              <w:rPr>
                <w:rFonts w:ascii="Times New Roman" w:eastAsia="Times New Roman" w:hAnsi="Times New Roman" w:cs="Times New Roman"/>
                <w:lang w:eastAsia="pl-PL"/>
              </w:rPr>
              <w:t>system</w:t>
            </w:r>
            <w:r w:rsidR="007471C9" w:rsidRPr="009445DD">
              <w:rPr>
                <w:rFonts w:ascii="Times New Roman" w:eastAsia="Times New Roman" w:hAnsi="Times New Roman" w:cs="Times New Roman"/>
                <w:lang w:eastAsia="pl-PL"/>
              </w:rPr>
              <w:t>em</w:t>
            </w:r>
            <w:r w:rsidRPr="009445DD">
              <w:rPr>
                <w:rFonts w:ascii="Times New Roman" w:eastAsia="Times New Roman" w:hAnsi="Times New Roman" w:cs="Times New Roman"/>
                <w:lang w:eastAsia="pl-PL"/>
              </w:rPr>
              <w:t xml:space="preserve"> przedsiębiorcy telekomunikacyjnego</w:t>
            </w:r>
            <w:r w:rsidR="007471C9" w:rsidRPr="009445DD">
              <w:rPr>
                <w:rFonts w:ascii="Times New Roman" w:eastAsia="Times New Roman" w:hAnsi="Times New Roman" w:cs="Times New Roman"/>
                <w:lang w:eastAsia="pl-PL"/>
              </w:rPr>
              <w:t>”</w:t>
            </w:r>
            <w:r w:rsidRPr="009445DD">
              <w:rPr>
                <w:rFonts w:ascii="Times New Roman" w:eastAsia="Times New Roman" w:hAnsi="Times New Roman" w:cs="Times New Roman"/>
                <w:lang w:eastAsia="pl-PL"/>
              </w:rPr>
              <w:t xml:space="preserve"> (AMDF) i</w:t>
            </w:r>
            <w:r w:rsidR="00EB2650">
              <w:rPr>
                <w:rFonts w:ascii="Times New Roman" w:eastAsia="Times New Roman" w:hAnsi="Times New Roman" w:cs="Times New Roman"/>
                <w:lang w:eastAsia="pl-PL"/>
              </w:rPr>
              <w:t> </w:t>
            </w:r>
            <w:r w:rsidR="007471C9" w:rsidRPr="009445DD">
              <w:rPr>
                <w:rFonts w:ascii="Times New Roman" w:eastAsia="Times New Roman" w:hAnsi="Times New Roman" w:cs="Times New Roman"/>
                <w:lang w:eastAsia="pl-PL"/>
              </w:rPr>
              <w:t>„</w:t>
            </w:r>
            <w:r w:rsidRPr="009445DD">
              <w:rPr>
                <w:rFonts w:ascii="Times New Roman" w:eastAsia="Times New Roman" w:hAnsi="Times New Roman" w:cs="Times New Roman"/>
                <w:lang w:eastAsia="pl-PL"/>
              </w:rPr>
              <w:t>system</w:t>
            </w:r>
            <w:r w:rsidR="007471C9" w:rsidRPr="009445DD">
              <w:rPr>
                <w:rFonts w:ascii="Times New Roman" w:eastAsia="Times New Roman" w:hAnsi="Times New Roman" w:cs="Times New Roman"/>
                <w:lang w:eastAsia="pl-PL"/>
              </w:rPr>
              <w:t>em</w:t>
            </w:r>
            <w:r w:rsidRPr="009445DD">
              <w:rPr>
                <w:rFonts w:ascii="Times New Roman" w:eastAsia="Times New Roman" w:hAnsi="Times New Roman" w:cs="Times New Roman"/>
                <w:lang w:eastAsia="pl-PL"/>
              </w:rPr>
              <w:t xml:space="preserve"> uprawnionego podmiotu</w:t>
            </w:r>
            <w:r w:rsidR="007471C9" w:rsidRPr="009445DD">
              <w:rPr>
                <w:rFonts w:ascii="Times New Roman" w:eastAsia="Times New Roman" w:hAnsi="Times New Roman" w:cs="Times New Roman"/>
                <w:lang w:eastAsia="pl-PL"/>
              </w:rPr>
              <w:t>”</w:t>
            </w:r>
            <w:r w:rsidRPr="009445DD">
              <w:rPr>
                <w:rFonts w:ascii="Times New Roman" w:eastAsia="Times New Roman" w:hAnsi="Times New Roman" w:cs="Times New Roman"/>
                <w:lang w:eastAsia="pl-PL"/>
              </w:rPr>
              <w:t xml:space="preserve"> (LEMF). Ponadto, </w:t>
            </w:r>
            <w:r w:rsidR="0022175E" w:rsidRPr="009445DD">
              <w:rPr>
                <w:rFonts w:ascii="Times New Roman" w:eastAsia="Times New Roman" w:hAnsi="Times New Roman" w:cs="Times New Roman"/>
                <w:lang w:eastAsia="pl-PL"/>
              </w:rPr>
              <w:t>w</w:t>
            </w:r>
            <w:r w:rsidR="007471C9" w:rsidRPr="009445DD">
              <w:rPr>
                <w:rFonts w:ascii="Times New Roman" w:eastAsia="Times New Roman" w:hAnsi="Times New Roman" w:cs="Times New Roman"/>
                <w:lang w:eastAsia="pl-PL"/>
              </w:rPr>
              <w:t xml:space="preserve"> </w:t>
            </w:r>
            <w:r w:rsidR="004A531F" w:rsidRPr="009445DD">
              <w:rPr>
                <w:rFonts w:ascii="Times New Roman" w:eastAsia="Times New Roman" w:hAnsi="Times New Roman" w:cs="Times New Roman"/>
                <w:lang w:eastAsia="pl-PL"/>
              </w:rPr>
              <w:t xml:space="preserve">opiniowanym </w:t>
            </w:r>
            <w:r w:rsidR="007471C9" w:rsidRPr="009445DD">
              <w:rPr>
                <w:rFonts w:ascii="Times New Roman" w:eastAsia="Times New Roman" w:hAnsi="Times New Roman" w:cs="Times New Roman"/>
                <w:lang w:eastAsia="pl-PL"/>
              </w:rPr>
              <w:t>projekcie</w:t>
            </w:r>
            <w:r w:rsidR="004A531F" w:rsidRPr="009445DD">
              <w:rPr>
                <w:rFonts w:ascii="Times New Roman" w:eastAsia="Times New Roman" w:hAnsi="Times New Roman" w:cs="Times New Roman"/>
                <w:lang w:eastAsia="pl-PL"/>
              </w:rPr>
              <w:t xml:space="preserve"> rozporządzenia</w:t>
            </w:r>
            <w:r w:rsidR="007471C9" w:rsidRPr="009445DD">
              <w:rPr>
                <w:rFonts w:ascii="Times New Roman" w:eastAsia="Times New Roman" w:hAnsi="Times New Roman" w:cs="Times New Roman"/>
                <w:lang w:eastAsia="pl-PL"/>
              </w:rPr>
              <w:t xml:space="preserve"> nie określa się elementów interfejsu LI HI wskazując, że umożliwia on również dostęp do danych, a</w:t>
            </w:r>
            <w:r w:rsidR="00EB2650">
              <w:rPr>
                <w:rFonts w:ascii="Times New Roman" w:eastAsia="Times New Roman" w:hAnsi="Times New Roman" w:cs="Times New Roman"/>
                <w:lang w:eastAsia="pl-PL"/>
              </w:rPr>
              <w:t> </w:t>
            </w:r>
            <w:r w:rsidR="007471C9" w:rsidRPr="009445DD">
              <w:rPr>
                <w:rFonts w:ascii="Times New Roman" w:eastAsia="Times New Roman" w:hAnsi="Times New Roman" w:cs="Times New Roman"/>
                <w:lang w:eastAsia="pl-PL"/>
              </w:rPr>
              <w:t xml:space="preserve">nie tylko treści komunikatów. </w:t>
            </w:r>
          </w:p>
          <w:p w14:paraId="11574701" w14:textId="1854CA69" w:rsidR="00B14FD7" w:rsidRPr="009445DD" w:rsidRDefault="007471C9" w:rsidP="004A531F">
            <w:pPr>
              <w:pStyle w:val="Bezodstpw"/>
              <w:jc w:val="both"/>
              <w:rPr>
                <w:rFonts w:ascii="Times New Roman" w:eastAsia="Times New Roman" w:hAnsi="Times New Roman" w:cs="Times New Roman"/>
                <w:lang w:eastAsia="pl-PL"/>
              </w:rPr>
            </w:pPr>
            <w:r w:rsidRPr="009445DD">
              <w:rPr>
                <w:rFonts w:ascii="Times New Roman" w:eastAsia="Times New Roman" w:hAnsi="Times New Roman" w:cs="Times New Roman"/>
                <w:lang w:eastAsia="pl-PL"/>
              </w:rPr>
              <w:t xml:space="preserve">W opinii </w:t>
            </w:r>
            <w:r w:rsidR="004A531F" w:rsidRPr="009445DD">
              <w:rPr>
                <w:rFonts w:ascii="Times New Roman" w:eastAsia="Times New Roman" w:hAnsi="Times New Roman" w:cs="Times New Roman"/>
                <w:lang w:eastAsia="pl-PL"/>
              </w:rPr>
              <w:t>projektodawcy</w:t>
            </w:r>
            <w:r w:rsidRPr="009445DD">
              <w:rPr>
                <w:rFonts w:ascii="Times New Roman" w:eastAsia="Times New Roman" w:hAnsi="Times New Roman" w:cs="Times New Roman"/>
                <w:lang w:eastAsia="pl-PL"/>
              </w:rPr>
              <w:t xml:space="preserve"> terminologia obu rozporządzeń jest spójna</w:t>
            </w:r>
            <w:r w:rsidR="009A67DE" w:rsidRPr="009445DD">
              <w:rPr>
                <w:rFonts w:ascii="Times New Roman" w:eastAsia="Times New Roman" w:hAnsi="Times New Roman" w:cs="Times New Roman"/>
                <w:lang w:eastAsia="pl-PL"/>
              </w:rPr>
              <w:t xml:space="preserve">, a zachowanie pełnej spójności terminologii o charakterze </w:t>
            </w:r>
            <w:r w:rsidR="009A67DE" w:rsidRPr="009445DD">
              <w:rPr>
                <w:rFonts w:ascii="Times New Roman" w:eastAsia="Times New Roman" w:hAnsi="Times New Roman" w:cs="Times New Roman"/>
                <w:lang w:eastAsia="pl-PL"/>
              </w:rPr>
              <w:lastRenderedPageBreak/>
              <w:t>technicznym skutkowałoby albo brakiem czytelności rozporządzenia z art. 46 ust. 1</w:t>
            </w:r>
            <w:r w:rsidR="00F27F8B" w:rsidRPr="009445DD">
              <w:rPr>
                <w:rFonts w:ascii="Times New Roman" w:eastAsia="Times New Roman" w:hAnsi="Times New Roman" w:cs="Times New Roman"/>
                <w:lang w:eastAsia="pl-PL"/>
              </w:rPr>
              <w:t xml:space="preserve"> PKE</w:t>
            </w:r>
            <w:r w:rsidR="009A67DE" w:rsidRPr="009445DD">
              <w:rPr>
                <w:rFonts w:ascii="Times New Roman" w:eastAsia="Times New Roman" w:hAnsi="Times New Roman" w:cs="Times New Roman"/>
                <w:lang w:eastAsia="pl-PL"/>
              </w:rPr>
              <w:t>, albo brakiem pełnej informacji technicznej w rozporządzeniu z art. 46 ust. 2</w:t>
            </w:r>
            <w:r w:rsidR="00F27F8B" w:rsidRPr="009445DD">
              <w:rPr>
                <w:rFonts w:ascii="Times New Roman" w:eastAsia="Times New Roman" w:hAnsi="Times New Roman" w:cs="Times New Roman"/>
                <w:lang w:eastAsia="pl-PL"/>
              </w:rPr>
              <w:t xml:space="preserve"> PKE</w:t>
            </w:r>
            <w:r w:rsidR="009A67DE" w:rsidRPr="009445DD">
              <w:rPr>
                <w:rFonts w:ascii="Times New Roman" w:eastAsia="Times New Roman" w:hAnsi="Times New Roman" w:cs="Times New Roman"/>
                <w:lang w:eastAsia="pl-PL"/>
              </w:rPr>
              <w:t>.</w:t>
            </w:r>
          </w:p>
        </w:tc>
      </w:tr>
      <w:tr w:rsidR="00396DAE" w:rsidRPr="009445DD" w14:paraId="7385FCD3" w14:textId="77777777" w:rsidTr="004A531F">
        <w:tc>
          <w:tcPr>
            <w:tcW w:w="15163" w:type="dxa"/>
            <w:gridSpan w:val="5"/>
            <w:shd w:val="pct10" w:color="auto" w:fill="auto"/>
          </w:tcPr>
          <w:p w14:paraId="2A289FC4" w14:textId="538DFA3A" w:rsidR="00396DAE" w:rsidRPr="009445DD" w:rsidRDefault="00396DAE" w:rsidP="004A531F">
            <w:pPr>
              <w:pStyle w:val="Bezodstpw"/>
              <w:spacing w:before="120" w:after="120"/>
              <w:jc w:val="center"/>
              <w:rPr>
                <w:rFonts w:ascii="Times New Roman" w:hAnsi="Times New Roman" w:cs="Times New Roman"/>
                <w:b/>
                <w:bCs/>
              </w:rPr>
            </w:pPr>
            <w:r w:rsidRPr="009445DD">
              <w:rPr>
                <w:rFonts w:ascii="Times New Roman" w:hAnsi="Times New Roman" w:cs="Times New Roman"/>
                <w:b/>
                <w:bCs/>
              </w:rPr>
              <w:lastRenderedPageBreak/>
              <w:t>UWAGI SZCZEGÓŁOWE DO PROJEKTU</w:t>
            </w:r>
          </w:p>
        </w:tc>
      </w:tr>
      <w:tr w:rsidR="00B075CA" w:rsidRPr="009445DD" w14:paraId="4D765C72" w14:textId="77777777" w:rsidTr="004A531F">
        <w:tc>
          <w:tcPr>
            <w:tcW w:w="596" w:type="dxa"/>
            <w:tcBorders>
              <w:bottom w:val="single" w:sz="4" w:space="0" w:color="auto"/>
            </w:tcBorders>
          </w:tcPr>
          <w:p w14:paraId="396D28A1" w14:textId="77777777" w:rsidR="00B075CA" w:rsidRPr="009445DD" w:rsidRDefault="00B075CA" w:rsidP="004A531F">
            <w:pPr>
              <w:pStyle w:val="Bezodstpw"/>
              <w:numPr>
                <w:ilvl w:val="0"/>
                <w:numId w:val="2"/>
              </w:numPr>
              <w:ind w:left="171" w:hanging="171"/>
              <w:jc w:val="center"/>
              <w:rPr>
                <w:rFonts w:ascii="Times New Roman" w:hAnsi="Times New Roman" w:cs="Times New Roman"/>
              </w:rPr>
            </w:pPr>
          </w:p>
        </w:tc>
        <w:tc>
          <w:tcPr>
            <w:tcW w:w="1413" w:type="dxa"/>
            <w:tcBorders>
              <w:bottom w:val="single" w:sz="4" w:space="0" w:color="auto"/>
            </w:tcBorders>
          </w:tcPr>
          <w:p w14:paraId="2BBC6EEC" w14:textId="74D3015D" w:rsidR="00B075CA" w:rsidRPr="009445DD" w:rsidRDefault="00B075CA" w:rsidP="00B075CA">
            <w:pPr>
              <w:pStyle w:val="Bezodstpw"/>
              <w:jc w:val="center"/>
              <w:rPr>
                <w:rFonts w:ascii="Times New Roman" w:hAnsi="Times New Roman" w:cs="Times New Roman"/>
              </w:rPr>
            </w:pPr>
            <w:r w:rsidRPr="009445DD">
              <w:rPr>
                <w:rFonts w:ascii="Times New Roman" w:hAnsi="Times New Roman" w:cs="Times New Roman"/>
              </w:rPr>
              <w:t>§ 3 ust. 1 pkt 2</w:t>
            </w:r>
          </w:p>
        </w:tc>
        <w:tc>
          <w:tcPr>
            <w:tcW w:w="1400" w:type="dxa"/>
            <w:tcBorders>
              <w:bottom w:val="single" w:sz="4" w:space="0" w:color="auto"/>
            </w:tcBorders>
          </w:tcPr>
          <w:p w14:paraId="76F823AE" w14:textId="5DE84A97" w:rsidR="00B075CA" w:rsidRPr="009445DD" w:rsidRDefault="00B075CA" w:rsidP="00B075CA">
            <w:pPr>
              <w:pStyle w:val="Bezodstpw"/>
              <w:jc w:val="center"/>
              <w:rPr>
                <w:rFonts w:ascii="Times New Roman" w:hAnsi="Times New Roman" w:cs="Times New Roman"/>
                <w:b/>
                <w:bCs/>
              </w:rPr>
            </w:pPr>
            <w:r w:rsidRPr="009445DD">
              <w:rPr>
                <w:rFonts w:ascii="Times New Roman" w:hAnsi="Times New Roman" w:cs="Times New Roman"/>
                <w:b/>
                <w:bCs/>
              </w:rPr>
              <w:t>Koordynator Służb Specjalnych</w:t>
            </w:r>
          </w:p>
        </w:tc>
        <w:tc>
          <w:tcPr>
            <w:tcW w:w="7674" w:type="dxa"/>
            <w:tcBorders>
              <w:bottom w:val="single" w:sz="4" w:space="0" w:color="auto"/>
            </w:tcBorders>
          </w:tcPr>
          <w:p w14:paraId="287DC326" w14:textId="01EE661A" w:rsidR="00B075CA" w:rsidRPr="009445DD" w:rsidRDefault="00B075CA" w:rsidP="00BF189C">
            <w:pPr>
              <w:pStyle w:val="Bezodstpw"/>
              <w:jc w:val="both"/>
              <w:rPr>
                <w:rFonts w:ascii="Times New Roman" w:hAnsi="Times New Roman" w:cs="Times New Roman"/>
              </w:rPr>
            </w:pPr>
            <w:r w:rsidRPr="009445DD">
              <w:rPr>
                <w:rFonts w:ascii="Times New Roman" w:hAnsi="Times New Roman" w:cs="Times New Roman"/>
              </w:rPr>
              <w:t>Przepis § 3 ust. 1 pkt 2 projektu zawiera ograniczenie czasowe, które może negatywnie</w:t>
            </w:r>
            <w:r w:rsidR="00635512" w:rsidRPr="009445DD">
              <w:rPr>
                <w:rFonts w:ascii="Times New Roman" w:hAnsi="Times New Roman" w:cs="Times New Roman"/>
              </w:rPr>
              <w:t xml:space="preserve"> </w:t>
            </w:r>
            <w:r w:rsidRPr="009445DD">
              <w:rPr>
                <w:rFonts w:ascii="Times New Roman" w:hAnsi="Times New Roman" w:cs="Times New Roman"/>
              </w:rPr>
              <w:t>wpłynąć na skuteczność retencji danych. W związku z tym proponuję jego zmianę</w:t>
            </w:r>
            <w:r w:rsidR="00635512" w:rsidRPr="009445DD">
              <w:rPr>
                <w:rFonts w:ascii="Times New Roman" w:hAnsi="Times New Roman" w:cs="Times New Roman"/>
              </w:rPr>
              <w:t xml:space="preserve"> </w:t>
            </w:r>
            <w:r w:rsidRPr="009445DD">
              <w:rPr>
                <w:rFonts w:ascii="Times New Roman" w:hAnsi="Times New Roman" w:cs="Times New Roman"/>
              </w:rPr>
              <w:t>poprzez wydłużenie okresu zgłoszenia zapotrzebowania w siedzibie przedsiębiorcy</w:t>
            </w:r>
            <w:r w:rsidR="00635512" w:rsidRPr="009445DD">
              <w:rPr>
                <w:rFonts w:ascii="Times New Roman" w:hAnsi="Times New Roman" w:cs="Times New Roman"/>
              </w:rPr>
              <w:t xml:space="preserve"> </w:t>
            </w:r>
            <w:r w:rsidRPr="009445DD">
              <w:rPr>
                <w:rFonts w:ascii="Times New Roman" w:hAnsi="Times New Roman" w:cs="Times New Roman"/>
              </w:rPr>
              <w:t>telekomunikacyjnego. Ma to szczególne znaczenie w ramach prowadzonych czynności</w:t>
            </w:r>
            <w:r w:rsidR="00635512" w:rsidRPr="009445DD">
              <w:rPr>
                <w:rFonts w:ascii="Times New Roman" w:hAnsi="Times New Roman" w:cs="Times New Roman"/>
              </w:rPr>
              <w:t xml:space="preserve"> </w:t>
            </w:r>
            <w:r w:rsidRPr="009445DD">
              <w:rPr>
                <w:rFonts w:ascii="Times New Roman" w:hAnsi="Times New Roman" w:cs="Times New Roman"/>
              </w:rPr>
              <w:t>operacyjno-rozpoznawczych, które często z uwagi na swoją dynamikę nie mogą być</w:t>
            </w:r>
            <w:r w:rsidR="00635512" w:rsidRPr="009445DD">
              <w:rPr>
                <w:rFonts w:ascii="Times New Roman" w:hAnsi="Times New Roman" w:cs="Times New Roman"/>
              </w:rPr>
              <w:t xml:space="preserve"> </w:t>
            </w:r>
            <w:r w:rsidRPr="009445DD">
              <w:rPr>
                <w:rFonts w:ascii="Times New Roman" w:hAnsi="Times New Roman" w:cs="Times New Roman"/>
              </w:rPr>
              <w:t>ograniczane w tym zakresie.</w:t>
            </w:r>
          </w:p>
        </w:tc>
        <w:tc>
          <w:tcPr>
            <w:tcW w:w="4080" w:type="dxa"/>
            <w:tcBorders>
              <w:bottom w:val="single" w:sz="4" w:space="0" w:color="auto"/>
            </w:tcBorders>
          </w:tcPr>
          <w:p w14:paraId="7406D9FD" w14:textId="35A985B7" w:rsidR="003973D8" w:rsidRPr="009445DD" w:rsidRDefault="004A531F" w:rsidP="004A531F">
            <w:pPr>
              <w:pStyle w:val="Bezodstpw"/>
              <w:jc w:val="both"/>
              <w:rPr>
                <w:rFonts w:ascii="Times New Roman" w:hAnsi="Times New Roman" w:cs="Times New Roman"/>
                <w:b/>
                <w:bCs/>
              </w:rPr>
            </w:pPr>
            <w:r w:rsidRPr="009445DD">
              <w:rPr>
                <w:rFonts w:ascii="Times New Roman" w:hAnsi="Times New Roman" w:cs="Times New Roman"/>
                <w:b/>
                <w:bCs/>
              </w:rPr>
              <w:t>Wyjaśnienie uwagi</w:t>
            </w:r>
          </w:p>
          <w:p w14:paraId="7BB442DF" w14:textId="09AEEF7D" w:rsidR="00635512" w:rsidRPr="009445DD" w:rsidRDefault="003973D8" w:rsidP="004A531F">
            <w:pPr>
              <w:pStyle w:val="Bezodstpw"/>
              <w:jc w:val="both"/>
              <w:rPr>
                <w:rFonts w:ascii="Times New Roman" w:hAnsi="Times New Roman" w:cs="Times New Roman"/>
              </w:rPr>
            </w:pPr>
            <w:r w:rsidRPr="009445DD">
              <w:rPr>
                <w:rFonts w:ascii="Times New Roman" w:hAnsi="Times New Roman" w:cs="Times New Roman"/>
              </w:rPr>
              <w:t xml:space="preserve">W trakcie warsztatów </w:t>
            </w:r>
            <w:r w:rsidR="00CD5AEA" w:rsidRPr="009445DD">
              <w:rPr>
                <w:rFonts w:ascii="Times New Roman" w:hAnsi="Times New Roman" w:cs="Times New Roman"/>
              </w:rPr>
              <w:t>z udziałem przedstawicieli uprawnionych podmiotów i</w:t>
            </w:r>
            <w:r w:rsidR="00EB2650">
              <w:rPr>
                <w:rFonts w:ascii="Times New Roman" w:hAnsi="Times New Roman" w:cs="Times New Roman"/>
              </w:rPr>
              <w:t> </w:t>
            </w:r>
            <w:r w:rsidR="00CD5AEA" w:rsidRPr="009445DD">
              <w:rPr>
                <w:rFonts w:ascii="Times New Roman" w:hAnsi="Times New Roman" w:cs="Times New Roman"/>
              </w:rPr>
              <w:t xml:space="preserve">przedsiębiorców telekomunikacyjnych </w:t>
            </w:r>
            <w:r w:rsidR="009F5715" w:rsidRPr="009445DD">
              <w:rPr>
                <w:rFonts w:ascii="Times New Roman" w:hAnsi="Times New Roman" w:cs="Times New Roman"/>
              </w:rPr>
              <w:t xml:space="preserve">zorganizowanych przez projektodawcę </w:t>
            </w:r>
            <w:r w:rsidR="00CD5AEA" w:rsidRPr="009445DD">
              <w:rPr>
                <w:rFonts w:ascii="Times New Roman" w:hAnsi="Times New Roman" w:cs="Times New Roman"/>
              </w:rPr>
              <w:t>ustalono</w:t>
            </w:r>
            <w:r w:rsidRPr="009445DD">
              <w:rPr>
                <w:rFonts w:ascii="Times New Roman" w:hAnsi="Times New Roman" w:cs="Times New Roman"/>
              </w:rPr>
              <w:t xml:space="preserve"> pozostawienie reżimu czasowego odpowiadającego standardowym godzinom pracy</w:t>
            </w:r>
            <w:r w:rsidR="004A531F" w:rsidRPr="009445DD">
              <w:rPr>
                <w:rFonts w:ascii="Times New Roman" w:hAnsi="Times New Roman" w:cs="Times New Roman"/>
              </w:rPr>
              <w:t>,</w:t>
            </w:r>
            <w:r w:rsidRPr="009445DD">
              <w:rPr>
                <w:rFonts w:ascii="Times New Roman" w:hAnsi="Times New Roman" w:cs="Times New Roman"/>
              </w:rPr>
              <w:t xml:space="preserve"> tj</w:t>
            </w:r>
            <w:r w:rsidR="004A531F" w:rsidRPr="009445DD">
              <w:rPr>
                <w:rFonts w:ascii="Times New Roman" w:hAnsi="Times New Roman" w:cs="Times New Roman"/>
              </w:rPr>
              <w:t>.</w:t>
            </w:r>
            <w:r w:rsidRPr="009445DD">
              <w:rPr>
                <w:rFonts w:ascii="Times New Roman" w:hAnsi="Times New Roman" w:cs="Times New Roman"/>
              </w:rPr>
              <w:t xml:space="preserve"> 8-16 w dni robocze. </w:t>
            </w:r>
            <w:r w:rsidR="00862379" w:rsidRPr="009445DD">
              <w:rPr>
                <w:rFonts w:ascii="Times New Roman" w:hAnsi="Times New Roman" w:cs="Times New Roman"/>
              </w:rPr>
              <w:t xml:space="preserve">Taki sposób zgłaszania zapotrzebowań będzie dotyczył tylko tych przedsiębiorców (głównie najmniejszych), którzy nie mogą przyjąć zapotrzebowań w systemie teleinformatycznym lub za pomocą interfejsu. </w:t>
            </w:r>
          </w:p>
        </w:tc>
      </w:tr>
      <w:tr w:rsidR="00B075CA" w:rsidRPr="009445DD" w14:paraId="76C14A15" w14:textId="77777777" w:rsidTr="004A531F">
        <w:tc>
          <w:tcPr>
            <w:tcW w:w="596" w:type="dxa"/>
            <w:tcBorders>
              <w:bottom w:val="single" w:sz="4" w:space="0" w:color="auto"/>
            </w:tcBorders>
          </w:tcPr>
          <w:p w14:paraId="7DBBE6E4" w14:textId="77777777" w:rsidR="00B075CA" w:rsidRPr="009445DD" w:rsidRDefault="00B075CA" w:rsidP="004A531F">
            <w:pPr>
              <w:pStyle w:val="Bezodstpw"/>
              <w:numPr>
                <w:ilvl w:val="0"/>
                <w:numId w:val="2"/>
              </w:numPr>
              <w:ind w:left="171" w:hanging="171"/>
              <w:jc w:val="center"/>
              <w:rPr>
                <w:rFonts w:ascii="Times New Roman" w:hAnsi="Times New Roman" w:cs="Times New Roman"/>
              </w:rPr>
            </w:pPr>
          </w:p>
        </w:tc>
        <w:tc>
          <w:tcPr>
            <w:tcW w:w="1413" w:type="dxa"/>
            <w:tcBorders>
              <w:bottom w:val="single" w:sz="4" w:space="0" w:color="auto"/>
            </w:tcBorders>
          </w:tcPr>
          <w:p w14:paraId="1F0EE945" w14:textId="77777777" w:rsidR="00B075CA" w:rsidRPr="009445DD" w:rsidRDefault="00B075CA" w:rsidP="00B075CA">
            <w:pPr>
              <w:pStyle w:val="Bezodstpw"/>
              <w:jc w:val="center"/>
              <w:rPr>
                <w:rFonts w:ascii="Times New Roman" w:hAnsi="Times New Roman" w:cs="Times New Roman"/>
              </w:rPr>
            </w:pPr>
            <w:r w:rsidRPr="009445DD">
              <w:rPr>
                <w:rFonts w:ascii="Times New Roman" w:hAnsi="Times New Roman" w:cs="Times New Roman"/>
              </w:rPr>
              <w:t>§ 3 ust. 2 pkt 3 lit. b</w:t>
            </w:r>
          </w:p>
          <w:p w14:paraId="2C95A879" w14:textId="77777777" w:rsidR="00B075CA" w:rsidRPr="009445DD" w:rsidRDefault="00B075CA" w:rsidP="00B075CA">
            <w:pPr>
              <w:pStyle w:val="Bezodstpw"/>
              <w:jc w:val="center"/>
              <w:rPr>
                <w:rFonts w:ascii="Times New Roman" w:hAnsi="Times New Roman" w:cs="Times New Roman"/>
              </w:rPr>
            </w:pPr>
          </w:p>
        </w:tc>
        <w:tc>
          <w:tcPr>
            <w:tcW w:w="1400" w:type="dxa"/>
            <w:tcBorders>
              <w:bottom w:val="single" w:sz="4" w:space="0" w:color="auto"/>
            </w:tcBorders>
          </w:tcPr>
          <w:p w14:paraId="52378982" w14:textId="75AB6A81" w:rsidR="00B075CA" w:rsidRPr="009445DD" w:rsidRDefault="004A531F" w:rsidP="00B075CA">
            <w:pPr>
              <w:pStyle w:val="Bezodstpw"/>
              <w:jc w:val="center"/>
              <w:rPr>
                <w:rFonts w:ascii="Times New Roman" w:hAnsi="Times New Roman" w:cs="Times New Roman"/>
                <w:b/>
                <w:bCs/>
              </w:rPr>
            </w:pPr>
            <w:r w:rsidRPr="009445DD">
              <w:rPr>
                <w:rFonts w:ascii="Times New Roman" w:hAnsi="Times New Roman" w:cs="Times New Roman"/>
                <w:b/>
                <w:bCs/>
              </w:rPr>
              <w:t xml:space="preserve">Minister </w:t>
            </w:r>
            <w:r w:rsidR="00B075CA" w:rsidRPr="009445DD">
              <w:rPr>
                <w:rFonts w:ascii="Times New Roman" w:hAnsi="Times New Roman" w:cs="Times New Roman"/>
                <w:b/>
                <w:bCs/>
              </w:rPr>
              <w:t>Finansów i Gospodarki</w:t>
            </w:r>
          </w:p>
          <w:p w14:paraId="046CF650" w14:textId="16F9E751" w:rsidR="004A531F" w:rsidRPr="009445DD" w:rsidRDefault="004A531F" w:rsidP="00B075CA">
            <w:pPr>
              <w:pStyle w:val="Bezodstpw"/>
              <w:jc w:val="center"/>
              <w:rPr>
                <w:rFonts w:ascii="Times New Roman" w:hAnsi="Times New Roman" w:cs="Times New Roman"/>
                <w:b/>
                <w:bCs/>
              </w:rPr>
            </w:pPr>
            <w:r w:rsidRPr="009445DD">
              <w:rPr>
                <w:rFonts w:ascii="Times New Roman" w:hAnsi="Times New Roman" w:cs="Times New Roman"/>
                <w:b/>
                <w:bCs/>
              </w:rPr>
              <w:t>(w zakresie</w:t>
            </w:r>
            <w:r w:rsidR="00FB6D6D" w:rsidRPr="009445DD">
              <w:rPr>
                <w:rFonts w:ascii="Times New Roman" w:hAnsi="Times New Roman" w:cs="Times New Roman"/>
                <w:b/>
                <w:bCs/>
              </w:rPr>
              <w:t xml:space="preserve"> M</w:t>
            </w:r>
            <w:r w:rsidR="00831046" w:rsidRPr="009445DD">
              <w:rPr>
                <w:rFonts w:ascii="Times New Roman" w:hAnsi="Times New Roman" w:cs="Times New Roman"/>
                <w:b/>
                <w:bCs/>
              </w:rPr>
              <w:t>inisterstwa Rozwoju i Technologii</w:t>
            </w:r>
            <w:r w:rsidR="00FB6D6D" w:rsidRPr="009445DD">
              <w:rPr>
                <w:rFonts w:ascii="Times New Roman" w:hAnsi="Times New Roman" w:cs="Times New Roman"/>
                <w:b/>
                <w:bCs/>
              </w:rPr>
              <w:t>)</w:t>
            </w:r>
          </w:p>
        </w:tc>
        <w:tc>
          <w:tcPr>
            <w:tcW w:w="7674" w:type="dxa"/>
            <w:tcBorders>
              <w:bottom w:val="single" w:sz="4" w:space="0" w:color="auto"/>
            </w:tcBorders>
          </w:tcPr>
          <w:p w14:paraId="6332120F" w14:textId="40CE0506" w:rsidR="00B075CA" w:rsidRPr="009445DD" w:rsidRDefault="00B075CA" w:rsidP="00BF189C">
            <w:pPr>
              <w:pStyle w:val="Bezodstpw"/>
              <w:jc w:val="both"/>
              <w:rPr>
                <w:rFonts w:ascii="Times New Roman" w:hAnsi="Times New Roman" w:cs="Times New Roman"/>
              </w:rPr>
            </w:pPr>
            <w:r w:rsidRPr="009445DD">
              <w:rPr>
                <w:rFonts w:ascii="Times New Roman" w:hAnsi="Times New Roman" w:cs="Times New Roman"/>
              </w:rPr>
              <w:t>Zgoda, o której mowa w art. 34 ust. 5 pkt 1 oraz w art. 54 ust. 8 ustawy z dnia 5 sierpnia</w:t>
            </w:r>
            <w:r w:rsidR="00635512" w:rsidRPr="009445DD">
              <w:rPr>
                <w:rFonts w:ascii="Times New Roman" w:hAnsi="Times New Roman" w:cs="Times New Roman"/>
              </w:rPr>
              <w:t xml:space="preserve"> </w:t>
            </w:r>
            <w:r w:rsidRPr="009445DD">
              <w:rPr>
                <w:rFonts w:ascii="Times New Roman" w:hAnsi="Times New Roman" w:cs="Times New Roman"/>
              </w:rPr>
              <w:t>2010 r. o ochronie informacji niejawnych (dalej ustawa OIN), jest zgodą na udostępnienie</w:t>
            </w:r>
            <w:r w:rsidR="00635512" w:rsidRPr="009445DD">
              <w:rPr>
                <w:rFonts w:ascii="Times New Roman" w:hAnsi="Times New Roman" w:cs="Times New Roman"/>
              </w:rPr>
              <w:t xml:space="preserve"> </w:t>
            </w:r>
            <w:r w:rsidRPr="009445DD">
              <w:rPr>
                <w:rFonts w:ascii="Times New Roman" w:hAnsi="Times New Roman" w:cs="Times New Roman"/>
              </w:rPr>
              <w:t>określonych informacji niejawnych osobie nieposiadającej odpowiedniego poświadczenia</w:t>
            </w:r>
            <w:r w:rsidR="00635512" w:rsidRPr="009445DD">
              <w:rPr>
                <w:rFonts w:ascii="Times New Roman" w:hAnsi="Times New Roman" w:cs="Times New Roman"/>
              </w:rPr>
              <w:t xml:space="preserve"> </w:t>
            </w:r>
            <w:r w:rsidRPr="009445DD">
              <w:rPr>
                <w:rFonts w:ascii="Times New Roman" w:hAnsi="Times New Roman" w:cs="Times New Roman"/>
              </w:rPr>
              <w:t>bezpieczeństwa, wydawana jest jednorazowo i tylko w szczególnie uzasadnionych</w:t>
            </w:r>
            <w:r w:rsidR="00635512" w:rsidRPr="009445DD">
              <w:rPr>
                <w:rFonts w:ascii="Times New Roman" w:hAnsi="Times New Roman" w:cs="Times New Roman"/>
              </w:rPr>
              <w:t xml:space="preserve"> </w:t>
            </w:r>
            <w:r w:rsidRPr="009445DD">
              <w:rPr>
                <w:rFonts w:ascii="Times New Roman" w:hAnsi="Times New Roman" w:cs="Times New Roman"/>
              </w:rPr>
              <w:t>przypadkach. Wątpliwości budzi zastosowanie ww. przepisów jako kryterium do spełnienia</w:t>
            </w:r>
            <w:r w:rsidR="00635512" w:rsidRPr="009445DD">
              <w:rPr>
                <w:rFonts w:ascii="Times New Roman" w:hAnsi="Times New Roman" w:cs="Times New Roman"/>
              </w:rPr>
              <w:t xml:space="preserve"> </w:t>
            </w:r>
            <w:r w:rsidRPr="009445DD">
              <w:rPr>
                <w:rFonts w:ascii="Times New Roman" w:hAnsi="Times New Roman" w:cs="Times New Roman"/>
              </w:rPr>
              <w:t>przez pracownika, o którym mowa w § 3 ust. 2 projektu. Pracownik ten ma odpowiadać</w:t>
            </w:r>
            <w:r w:rsidR="00635512" w:rsidRPr="009445DD">
              <w:rPr>
                <w:rFonts w:ascii="Times New Roman" w:hAnsi="Times New Roman" w:cs="Times New Roman"/>
              </w:rPr>
              <w:t xml:space="preserve"> </w:t>
            </w:r>
            <w:r w:rsidRPr="009445DD">
              <w:rPr>
                <w:rFonts w:ascii="Times New Roman" w:hAnsi="Times New Roman" w:cs="Times New Roman"/>
              </w:rPr>
              <w:t>za obsługę urządzeń będących w dyspozycji przedsiębiorcy telekomunikacyjnego,</w:t>
            </w:r>
            <w:r w:rsidR="00635512" w:rsidRPr="009445DD">
              <w:rPr>
                <w:rFonts w:ascii="Times New Roman" w:hAnsi="Times New Roman" w:cs="Times New Roman"/>
              </w:rPr>
              <w:t xml:space="preserve"> </w:t>
            </w:r>
            <w:r w:rsidRPr="009445DD">
              <w:rPr>
                <w:rFonts w:ascii="Times New Roman" w:hAnsi="Times New Roman" w:cs="Times New Roman"/>
              </w:rPr>
              <w:t>za których pomocą następuje zapewnienie warunków dostępu i utrwalania</w:t>
            </w:r>
            <w:r w:rsidR="00635512" w:rsidRPr="009445DD">
              <w:rPr>
                <w:rFonts w:ascii="Times New Roman" w:hAnsi="Times New Roman" w:cs="Times New Roman"/>
              </w:rPr>
              <w:t xml:space="preserve"> </w:t>
            </w:r>
            <w:r w:rsidRPr="009445DD">
              <w:rPr>
                <w:rFonts w:ascii="Times New Roman" w:hAnsi="Times New Roman" w:cs="Times New Roman"/>
              </w:rPr>
              <w:t>oraz przygotowanie technicznych i organizacyjnych warunków udostępniania danych.</w:t>
            </w:r>
          </w:p>
        </w:tc>
        <w:tc>
          <w:tcPr>
            <w:tcW w:w="4080" w:type="dxa"/>
            <w:tcBorders>
              <w:bottom w:val="single" w:sz="4" w:space="0" w:color="auto"/>
            </w:tcBorders>
          </w:tcPr>
          <w:p w14:paraId="41AFC3CC" w14:textId="02656697" w:rsidR="00B075CA" w:rsidRPr="009445DD" w:rsidRDefault="00CD66C5" w:rsidP="004A531F">
            <w:pPr>
              <w:pStyle w:val="Bezodstpw"/>
              <w:jc w:val="both"/>
              <w:rPr>
                <w:rFonts w:ascii="Times New Roman" w:hAnsi="Times New Roman" w:cs="Times New Roman"/>
                <w:b/>
                <w:bCs/>
              </w:rPr>
            </w:pPr>
            <w:r w:rsidRPr="009445DD">
              <w:rPr>
                <w:rFonts w:ascii="Times New Roman" w:hAnsi="Times New Roman" w:cs="Times New Roman"/>
                <w:b/>
                <w:bCs/>
              </w:rPr>
              <w:t>Wyjaśnienie</w:t>
            </w:r>
            <w:r w:rsidR="004A531F" w:rsidRPr="009445DD">
              <w:rPr>
                <w:rFonts w:ascii="Times New Roman" w:hAnsi="Times New Roman" w:cs="Times New Roman"/>
                <w:b/>
                <w:bCs/>
              </w:rPr>
              <w:t xml:space="preserve"> uwagi</w:t>
            </w:r>
          </w:p>
          <w:p w14:paraId="12EBAFBB" w14:textId="4C21C934" w:rsidR="007B5036" w:rsidRPr="009445DD" w:rsidRDefault="005A1698" w:rsidP="004A531F">
            <w:pPr>
              <w:pStyle w:val="Bezodstpw"/>
              <w:jc w:val="both"/>
              <w:rPr>
                <w:rFonts w:ascii="Times New Roman" w:hAnsi="Times New Roman" w:cs="Times New Roman"/>
              </w:rPr>
            </w:pPr>
            <w:r w:rsidRPr="009445DD">
              <w:rPr>
                <w:rFonts w:ascii="Times New Roman" w:hAnsi="Times New Roman" w:cs="Times New Roman"/>
              </w:rPr>
              <w:t>Spełnienie przez upoważnionego pracownika wymagań dotyczących ochrony informacji niejawnych nie jest związane z obsługą urządzeń przedsiębiorcy lecz z dostępem do informacj</w:t>
            </w:r>
            <w:r w:rsidR="004A531F" w:rsidRPr="009445DD">
              <w:rPr>
                <w:rFonts w:ascii="Times New Roman" w:hAnsi="Times New Roman" w:cs="Times New Roman"/>
              </w:rPr>
              <w:t>i</w:t>
            </w:r>
            <w:r w:rsidRPr="009445DD">
              <w:rPr>
                <w:rFonts w:ascii="Times New Roman" w:hAnsi="Times New Roman" w:cs="Times New Roman"/>
              </w:rPr>
              <w:t xml:space="preserve"> o prowadzonych przez uprawnione podmioty działaniach operacyjnych.</w:t>
            </w:r>
          </w:p>
        </w:tc>
      </w:tr>
      <w:tr w:rsidR="00692032" w:rsidRPr="009445DD" w14:paraId="550D0F83" w14:textId="77777777" w:rsidTr="004A531F">
        <w:tc>
          <w:tcPr>
            <w:tcW w:w="596" w:type="dxa"/>
            <w:tcBorders>
              <w:bottom w:val="single" w:sz="4" w:space="0" w:color="auto"/>
            </w:tcBorders>
          </w:tcPr>
          <w:p w14:paraId="1DC31336" w14:textId="77777777" w:rsidR="00692032" w:rsidRPr="009445DD" w:rsidRDefault="00692032" w:rsidP="004A531F">
            <w:pPr>
              <w:pStyle w:val="Bezodstpw"/>
              <w:numPr>
                <w:ilvl w:val="0"/>
                <w:numId w:val="2"/>
              </w:numPr>
              <w:ind w:left="171" w:hanging="171"/>
              <w:jc w:val="center"/>
              <w:rPr>
                <w:rFonts w:ascii="Times New Roman" w:hAnsi="Times New Roman" w:cs="Times New Roman"/>
              </w:rPr>
            </w:pPr>
          </w:p>
        </w:tc>
        <w:tc>
          <w:tcPr>
            <w:tcW w:w="1413" w:type="dxa"/>
            <w:tcBorders>
              <w:bottom w:val="single" w:sz="4" w:space="0" w:color="auto"/>
            </w:tcBorders>
          </w:tcPr>
          <w:p w14:paraId="5FC4BA42" w14:textId="356DF213" w:rsidR="00692032" w:rsidRPr="009445DD" w:rsidRDefault="00692032" w:rsidP="00B075CA">
            <w:pPr>
              <w:pStyle w:val="Bezodstpw"/>
              <w:jc w:val="center"/>
              <w:rPr>
                <w:rFonts w:ascii="Times New Roman" w:hAnsi="Times New Roman" w:cs="Times New Roman"/>
              </w:rPr>
            </w:pPr>
            <w:r w:rsidRPr="009445DD">
              <w:rPr>
                <w:rFonts w:ascii="Times New Roman" w:hAnsi="Times New Roman" w:cs="Times New Roman"/>
              </w:rPr>
              <w:t>§ 4 ust. 4 pkt 1 § 5 ust. 2 pkt 2</w:t>
            </w:r>
          </w:p>
        </w:tc>
        <w:tc>
          <w:tcPr>
            <w:tcW w:w="1400" w:type="dxa"/>
            <w:tcBorders>
              <w:bottom w:val="single" w:sz="4" w:space="0" w:color="auto"/>
            </w:tcBorders>
          </w:tcPr>
          <w:p w14:paraId="192A664C" w14:textId="49B55501" w:rsidR="00692032" w:rsidRPr="009445DD" w:rsidRDefault="00692032" w:rsidP="00B075CA">
            <w:pPr>
              <w:pStyle w:val="Bezodstpw"/>
              <w:jc w:val="center"/>
              <w:rPr>
                <w:rFonts w:ascii="Times New Roman" w:hAnsi="Times New Roman" w:cs="Times New Roman"/>
                <w:b/>
                <w:bCs/>
              </w:rPr>
            </w:pPr>
            <w:r w:rsidRPr="009445DD">
              <w:rPr>
                <w:rFonts w:ascii="Times New Roman" w:hAnsi="Times New Roman" w:cs="Times New Roman"/>
                <w:b/>
                <w:bCs/>
              </w:rPr>
              <w:t>Rządowe Centrum Legislacji</w:t>
            </w:r>
          </w:p>
        </w:tc>
        <w:tc>
          <w:tcPr>
            <w:tcW w:w="7674" w:type="dxa"/>
            <w:tcBorders>
              <w:bottom w:val="single" w:sz="4" w:space="0" w:color="auto"/>
            </w:tcBorders>
          </w:tcPr>
          <w:p w14:paraId="0AA32FCE" w14:textId="743E8054" w:rsidR="00692032" w:rsidRPr="009445DD" w:rsidRDefault="00BF189C" w:rsidP="00BF189C">
            <w:pPr>
              <w:pStyle w:val="Bezodstpw"/>
              <w:jc w:val="both"/>
              <w:rPr>
                <w:rFonts w:ascii="Times New Roman" w:hAnsi="Times New Roman" w:cs="Times New Roman"/>
              </w:rPr>
            </w:pPr>
            <w:r w:rsidRPr="009445DD">
              <w:rPr>
                <w:rFonts w:ascii="Times New Roman" w:hAnsi="Times New Roman" w:cs="Times New Roman"/>
              </w:rPr>
              <w:t>W</w:t>
            </w:r>
            <w:r w:rsidR="00692032" w:rsidRPr="009445DD">
              <w:rPr>
                <w:rFonts w:ascii="Times New Roman" w:hAnsi="Times New Roman" w:cs="Times New Roman"/>
              </w:rPr>
              <w:t xml:space="preserve"> § 4 ust. 4 pkt 1 i § 5 ust. 2 pkt 2 projektu zbędne wydaje się określenie wymogu wobec przedsiębiorcy telekomunikacyjnego w zakresie, w jakim nakazuje stosowanie przepisów ustawy z dnia 5 sierpnia 2010 r. ochronie informacji niejawnych (Dz. U. z 2024 r. poz. 632, z późn. zm.); mając na względzie, że powtarzanie w rozporządzeniu obowiązku stosowania przepisów powszechnie obowiązujących jest niewłaściwe proponuje się rozważenie rezygnacji z takiego określenia</w:t>
            </w:r>
            <w:r w:rsidR="00FB6D6D" w:rsidRPr="009445DD">
              <w:rPr>
                <w:rFonts w:ascii="Times New Roman" w:hAnsi="Times New Roman" w:cs="Times New Roman"/>
              </w:rPr>
              <w:t>.</w:t>
            </w:r>
          </w:p>
        </w:tc>
        <w:tc>
          <w:tcPr>
            <w:tcW w:w="4080" w:type="dxa"/>
            <w:tcBorders>
              <w:bottom w:val="single" w:sz="4" w:space="0" w:color="auto"/>
            </w:tcBorders>
          </w:tcPr>
          <w:p w14:paraId="19A23B6B" w14:textId="77777777" w:rsidR="00692032" w:rsidRPr="009445DD" w:rsidRDefault="00E5535A" w:rsidP="004A531F">
            <w:pPr>
              <w:pStyle w:val="Bezodstpw"/>
              <w:jc w:val="both"/>
              <w:rPr>
                <w:rFonts w:ascii="Times New Roman" w:hAnsi="Times New Roman" w:cs="Times New Roman"/>
                <w:b/>
                <w:bCs/>
              </w:rPr>
            </w:pPr>
            <w:r w:rsidRPr="009445DD">
              <w:rPr>
                <w:rFonts w:ascii="Times New Roman" w:hAnsi="Times New Roman" w:cs="Times New Roman"/>
                <w:b/>
                <w:bCs/>
              </w:rPr>
              <w:t>Uwaga uwzględniona</w:t>
            </w:r>
          </w:p>
          <w:p w14:paraId="316D9C2C" w14:textId="15F83649" w:rsidR="00C71888" w:rsidRPr="009445DD" w:rsidRDefault="00C71888" w:rsidP="004A531F">
            <w:pPr>
              <w:pStyle w:val="Bezodstpw"/>
              <w:jc w:val="both"/>
              <w:rPr>
                <w:rFonts w:ascii="Times New Roman" w:hAnsi="Times New Roman" w:cs="Times New Roman"/>
              </w:rPr>
            </w:pPr>
            <w:r w:rsidRPr="009445DD">
              <w:rPr>
                <w:rFonts w:ascii="Times New Roman" w:hAnsi="Times New Roman" w:cs="Times New Roman"/>
              </w:rPr>
              <w:t>Przepisy zostały odpowiednio przeredagowane w zakresie dotyczącym określonego poziomu ochrony informacji niejawnych.</w:t>
            </w:r>
          </w:p>
        </w:tc>
      </w:tr>
      <w:tr w:rsidR="00FB6D6D" w:rsidRPr="009445DD" w14:paraId="4BCE3E25" w14:textId="77777777" w:rsidTr="004A531F">
        <w:tc>
          <w:tcPr>
            <w:tcW w:w="596" w:type="dxa"/>
            <w:tcBorders>
              <w:bottom w:val="single" w:sz="4" w:space="0" w:color="auto"/>
            </w:tcBorders>
          </w:tcPr>
          <w:p w14:paraId="5084C5EF" w14:textId="77777777" w:rsidR="00FB6D6D" w:rsidRPr="009445DD" w:rsidRDefault="00FB6D6D" w:rsidP="004A531F">
            <w:pPr>
              <w:pStyle w:val="Bezodstpw"/>
              <w:numPr>
                <w:ilvl w:val="0"/>
                <w:numId w:val="2"/>
              </w:numPr>
              <w:ind w:left="171" w:hanging="171"/>
              <w:jc w:val="center"/>
              <w:rPr>
                <w:rFonts w:ascii="Times New Roman" w:hAnsi="Times New Roman" w:cs="Times New Roman"/>
              </w:rPr>
            </w:pPr>
          </w:p>
        </w:tc>
        <w:tc>
          <w:tcPr>
            <w:tcW w:w="1413" w:type="dxa"/>
            <w:tcBorders>
              <w:bottom w:val="single" w:sz="4" w:space="0" w:color="auto"/>
            </w:tcBorders>
          </w:tcPr>
          <w:p w14:paraId="10AA3B38" w14:textId="30E1D79C" w:rsidR="00FB6D6D" w:rsidRPr="009445DD" w:rsidRDefault="00FB6D6D" w:rsidP="00B075CA">
            <w:pPr>
              <w:pStyle w:val="Bezodstpw"/>
              <w:jc w:val="center"/>
              <w:rPr>
                <w:rFonts w:ascii="Times New Roman" w:hAnsi="Times New Roman" w:cs="Times New Roman"/>
              </w:rPr>
            </w:pPr>
            <w:r w:rsidRPr="009445DD">
              <w:rPr>
                <w:rFonts w:ascii="Times New Roman" w:hAnsi="Times New Roman" w:cs="Times New Roman"/>
              </w:rPr>
              <w:t>§ 5</w:t>
            </w:r>
          </w:p>
        </w:tc>
        <w:tc>
          <w:tcPr>
            <w:tcW w:w="1400" w:type="dxa"/>
            <w:tcBorders>
              <w:bottom w:val="single" w:sz="4" w:space="0" w:color="auto"/>
            </w:tcBorders>
          </w:tcPr>
          <w:p w14:paraId="6DAE7B34" w14:textId="78B2E178" w:rsidR="00FB6D6D" w:rsidRPr="009445DD" w:rsidRDefault="00FB6D6D" w:rsidP="00B075CA">
            <w:pPr>
              <w:pStyle w:val="Bezodstpw"/>
              <w:jc w:val="center"/>
              <w:rPr>
                <w:rFonts w:ascii="Times New Roman" w:hAnsi="Times New Roman" w:cs="Times New Roman"/>
                <w:b/>
                <w:bCs/>
              </w:rPr>
            </w:pPr>
            <w:r w:rsidRPr="009445DD">
              <w:rPr>
                <w:rFonts w:ascii="Times New Roman" w:hAnsi="Times New Roman" w:cs="Times New Roman"/>
                <w:b/>
                <w:bCs/>
              </w:rPr>
              <w:t xml:space="preserve">Minister Spraw Wewnętrznych </w:t>
            </w:r>
            <w:r w:rsidRPr="009445DD">
              <w:rPr>
                <w:rFonts w:ascii="Times New Roman" w:hAnsi="Times New Roman" w:cs="Times New Roman"/>
                <w:b/>
                <w:bCs/>
              </w:rPr>
              <w:lastRenderedPageBreak/>
              <w:t>i Administracji</w:t>
            </w:r>
          </w:p>
        </w:tc>
        <w:tc>
          <w:tcPr>
            <w:tcW w:w="7674" w:type="dxa"/>
            <w:tcBorders>
              <w:bottom w:val="single" w:sz="4" w:space="0" w:color="auto"/>
            </w:tcBorders>
          </w:tcPr>
          <w:p w14:paraId="59B96C01" w14:textId="3634933C" w:rsidR="00FB6D6D" w:rsidRPr="009445DD" w:rsidRDefault="00FB6D6D" w:rsidP="00BF189C">
            <w:pPr>
              <w:pStyle w:val="Bezodstpw"/>
              <w:jc w:val="both"/>
              <w:rPr>
                <w:rFonts w:ascii="Times New Roman" w:hAnsi="Times New Roman" w:cs="Times New Roman"/>
              </w:rPr>
            </w:pPr>
            <w:r w:rsidRPr="009445DD">
              <w:rPr>
                <w:rFonts w:ascii="Times New Roman" w:hAnsi="Times New Roman" w:cs="Times New Roman"/>
                <w:iCs/>
              </w:rPr>
              <w:lastRenderedPageBreak/>
              <w:t xml:space="preserve">Kolejną kwestią wymagającą podniesienia jest problem dotyczący sprzętu na jakim mogą być przedmiotowe dane zgrywane, w szczególności czy uprawnione służby taki sprzęt posiadają oraz jakie będą ewentualne skutki finansowe związane z jego </w:t>
            </w:r>
            <w:r w:rsidRPr="009445DD">
              <w:rPr>
                <w:rFonts w:ascii="Times New Roman" w:hAnsi="Times New Roman" w:cs="Times New Roman"/>
                <w:iCs/>
              </w:rPr>
              <w:lastRenderedPageBreak/>
              <w:t>zakupem. Wątpliwości budzi też możliwości wykorzystania takiego sprzętu w pomieszczeniach przedsiębiorcy telekomunikacyjnego, które zgodnie z projektem rozporządzenia nie muszą być dostosowane do przetwarzania informacji niejawnych, a zatem nie będą posiadać odpowiedniego certyfikatu. Przedsiębiorca bowiem będzie miał tylko obowiązek zapewnienia miejsca albo pomieszczenia, w którym realizowany będzie dostęp  i utrwalanie, w sposób uniemożliwiający podgląd oraz parametry techniczne punktów styku.</w:t>
            </w:r>
          </w:p>
        </w:tc>
        <w:tc>
          <w:tcPr>
            <w:tcW w:w="4080" w:type="dxa"/>
            <w:tcBorders>
              <w:bottom w:val="single" w:sz="4" w:space="0" w:color="auto"/>
            </w:tcBorders>
          </w:tcPr>
          <w:p w14:paraId="76711100" w14:textId="77777777" w:rsidR="00FB6D6D" w:rsidRPr="009445DD" w:rsidRDefault="00FB6D6D" w:rsidP="00FB6D6D">
            <w:pPr>
              <w:pStyle w:val="Bezodstpw"/>
              <w:rPr>
                <w:rFonts w:ascii="Times New Roman" w:hAnsi="Times New Roman" w:cs="Times New Roman"/>
                <w:b/>
                <w:bCs/>
              </w:rPr>
            </w:pPr>
            <w:r w:rsidRPr="009445DD">
              <w:rPr>
                <w:rFonts w:ascii="Times New Roman" w:hAnsi="Times New Roman" w:cs="Times New Roman"/>
                <w:b/>
                <w:bCs/>
              </w:rPr>
              <w:lastRenderedPageBreak/>
              <w:t>Wyjaśnienie uwagi</w:t>
            </w:r>
          </w:p>
          <w:p w14:paraId="397154C8" w14:textId="3366BFDE" w:rsidR="00FB6D6D" w:rsidRPr="009445DD" w:rsidRDefault="00FB6D6D" w:rsidP="00FB6D6D">
            <w:pPr>
              <w:pStyle w:val="Bezodstpw"/>
              <w:jc w:val="both"/>
              <w:rPr>
                <w:rFonts w:ascii="Times New Roman" w:hAnsi="Times New Roman" w:cs="Times New Roman"/>
              </w:rPr>
            </w:pPr>
            <w:r w:rsidRPr="009445DD">
              <w:rPr>
                <w:rFonts w:ascii="Times New Roman" w:hAnsi="Times New Roman" w:cs="Times New Roman"/>
              </w:rPr>
              <w:t xml:space="preserve">Urządzenia przedsiębiorcy nie muszą, zgodnie z wersją projektu rozporządzenia </w:t>
            </w:r>
            <w:r w:rsidRPr="009445DD">
              <w:rPr>
                <w:rFonts w:ascii="Times New Roman" w:hAnsi="Times New Roman" w:cs="Times New Roman"/>
              </w:rPr>
              <w:lastRenderedPageBreak/>
              <w:t>ustaloną w trakcie warsztatów zorganizowanych przez projektodawcę z</w:t>
            </w:r>
            <w:r w:rsidR="00EB2650">
              <w:rPr>
                <w:rFonts w:ascii="Times New Roman" w:hAnsi="Times New Roman" w:cs="Times New Roman"/>
              </w:rPr>
              <w:t> </w:t>
            </w:r>
            <w:r w:rsidRPr="009445DD">
              <w:rPr>
                <w:rFonts w:ascii="Times New Roman" w:hAnsi="Times New Roman" w:cs="Times New Roman"/>
              </w:rPr>
              <w:t>udziałem przedstawicieli uprawnionych podmiotów i przedsiębiorców telekomunikacyjnych, posiadać klauzuli niejawności. Informacją podlegającą ochronie jako informacje niejawne nie są urządzenia i dane telekomunikacyjne na nich utrwalane, które stanowią tajemnicę komunikacji elektronicznej, lecz informacja o działaniach operacyjnych prowadzonych przez uprawniony podmiot.</w:t>
            </w:r>
          </w:p>
        </w:tc>
      </w:tr>
      <w:tr w:rsidR="00136CB7" w:rsidRPr="009445DD" w14:paraId="5E59B9F7" w14:textId="77777777" w:rsidTr="00A53CEC">
        <w:trPr>
          <w:trHeight w:val="8916"/>
        </w:trPr>
        <w:tc>
          <w:tcPr>
            <w:tcW w:w="596" w:type="dxa"/>
            <w:tcBorders>
              <w:bottom w:val="single" w:sz="4" w:space="0" w:color="auto"/>
            </w:tcBorders>
          </w:tcPr>
          <w:p w14:paraId="6A1CB481" w14:textId="77777777" w:rsidR="00136CB7" w:rsidRPr="009445DD" w:rsidRDefault="00136CB7" w:rsidP="004A531F">
            <w:pPr>
              <w:pStyle w:val="Bezodstpw"/>
              <w:numPr>
                <w:ilvl w:val="0"/>
                <w:numId w:val="2"/>
              </w:numPr>
              <w:ind w:left="171" w:hanging="171"/>
              <w:jc w:val="center"/>
              <w:rPr>
                <w:rFonts w:ascii="Times New Roman" w:hAnsi="Times New Roman" w:cs="Times New Roman"/>
              </w:rPr>
            </w:pPr>
          </w:p>
        </w:tc>
        <w:tc>
          <w:tcPr>
            <w:tcW w:w="1413" w:type="dxa"/>
            <w:tcBorders>
              <w:bottom w:val="single" w:sz="4" w:space="0" w:color="auto"/>
            </w:tcBorders>
          </w:tcPr>
          <w:p w14:paraId="6A45ADF9" w14:textId="553FE99F" w:rsidR="00136CB7" w:rsidRPr="009445DD" w:rsidRDefault="00136CB7" w:rsidP="00B075CA">
            <w:pPr>
              <w:pStyle w:val="Bezodstpw"/>
              <w:jc w:val="center"/>
              <w:rPr>
                <w:rFonts w:ascii="Times New Roman" w:hAnsi="Times New Roman" w:cs="Times New Roman"/>
              </w:rPr>
            </w:pPr>
            <w:r w:rsidRPr="009445DD">
              <w:rPr>
                <w:rFonts w:ascii="Times New Roman" w:hAnsi="Times New Roman" w:cs="Times New Roman"/>
              </w:rPr>
              <w:t>§ 5 ust. 1 i 3</w:t>
            </w:r>
          </w:p>
        </w:tc>
        <w:tc>
          <w:tcPr>
            <w:tcW w:w="1400" w:type="dxa"/>
            <w:tcBorders>
              <w:bottom w:val="single" w:sz="4" w:space="0" w:color="auto"/>
            </w:tcBorders>
          </w:tcPr>
          <w:p w14:paraId="0E3025FE" w14:textId="4730B0EC" w:rsidR="00136CB7" w:rsidRPr="009445DD" w:rsidRDefault="004A531F" w:rsidP="00B075CA">
            <w:pPr>
              <w:pStyle w:val="Bezodstpw"/>
              <w:jc w:val="center"/>
              <w:rPr>
                <w:rFonts w:ascii="Times New Roman" w:hAnsi="Times New Roman" w:cs="Times New Roman"/>
                <w:b/>
                <w:bCs/>
              </w:rPr>
            </w:pPr>
            <w:r w:rsidRPr="009445DD">
              <w:rPr>
                <w:rFonts w:ascii="Times New Roman" w:hAnsi="Times New Roman" w:cs="Times New Roman"/>
                <w:b/>
                <w:bCs/>
              </w:rPr>
              <w:t xml:space="preserve">Minister </w:t>
            </w:r>
            <w:r w:rsidR="00136CB7" w:rsidRPr="009445DD">
              <w:rPr>
                <w:rFonts w:ascii="Times New Roman" w:hAnsi="Times New Roman" w:cs="Times New Roman"/>
                <w:b/>
                <w:bCs/>
              </w:rPr>
              <w:t>Spraw Wewnętrznych i Administracji</w:t>
            </w:r>
          </w:p>
        </w:tc>
        <w:tc>
          <w:tcPr>
            <w:tcW w:w="7674" w:type="dxa"/>
            <w:tcBorders>
              <w:bottom w:val="single" w:sz="4" w:space="0" w:color="auto"/>
            </w:tcBorders>
          </w:tcPr>
          <w:p w14:paraId="4F8F5DDB" w14:textId="77777777" w:rsidR="00E5535A" w:rsidRPr="009445DD" w:rsidRDefault="00136CB7" w:rsidP="00136CB7">
            <w:pPr>
              <w:pStyle w:val="Tekstpodstawowywcity"/>
              <w:spacing w:line="240" w:lineRule="auto"/>
              <w:ind w:left="0"/>
              <w:jc w:val="both"/>
              <w:rPr>
                <w:rFonts w:ascii="Times New Roman" w:hAnsi="Times New Roman" w:cs="Times New Roman"/>
              </w:rPr>
            </w:pPr>
            <w:r w:rsidRPr="009445DD">
              <w:rPr>
                <w:rFonts w:ascii="Times New Roman" w:eastAsia="Times New Roman" w:hAnsi="Times New Roman" w:cs="Times New Roman"/>
                <w:lang w:eastAsia="pl-PL"/>
              </w:rPr>
              <w:t xml:space="preserve">Odnośnie do projektowanego </w:t>
            </w:r>
            <w:r w:rsidRPr="009445DD">
              <w:rPr>
                <w:rStyle w:val="Ppogrubienie"/>
                <w:rFonts w:ascii="Times New Roman" w:hAnsi="Times New Roman" w:cs="Times New Roman"/>
                <w:b w:val="0"/>
                <w:bCs/>
              </w:rPr>
              <w:t>§ 5 ust. 1 i 3</w:t>
            </w:r>
            <w:r w:rsidRPr="009445DD">
              <w:rPr>
                <w:rFonts w:ascii="Times New Roman" w:eastAsia="Times New Roman" w:hAnsi="Times New Roman" w:cs="Times New Roman"/>
                <w:lang w:eastAsia="pl-PL"/>
              </w:rPr>
              <w:t xml:space="preserve"> - p</w:t>
            </w:r>
            <w:r w:rsidRPr="009445DD">
              <w:rPr>
                <w:rFonts w:ascii="Times New Roman" w:hAnsi="Times New Roman" w:cs="Times New Roman"/>
              </w:rPr>
              <w:t xml:space="preserve">rzepis § 5 ust. 1 w zakresie sposobu zapewnienia przez przedsiębiorcę telekomunikacyjnego będącego mikroprzedsiębiorcą albo małym przedsiębiorcą warunków dostępu i utrwalania proponuję  skorelować z treścią § 4 ust. 1, który dotyczy obowiązków przedsiębiorcy telekomunikacyjnego niebędącego mikroprzedsiębiorcą albo małym przedsiębiorcą, a także z definicją zamieszczoną w § 2 pkt 6. Należy zauważyć, że zgodnie z projektowanym § 4 ust. 1 przedsiębiorca telekomunikacyjny niebędący mikroprzedsiębiorcą albo małym przedsiębiorcą zapewnia warunki dostępu i utrwalania za pomocą </w:t>
            </w:r>
            <w:r w:rsidRPr="009445DD">
              <w:rPr>
                <w:rFonts w:ascii="Times New Roman" w:hAnsi="Times New Roman" w:cs="Times New Roman"/>
                <w:u w:val="single"/>
              </w:rPr>
              <w:t>urządzeń przedsiębiorcy</w:t>
            </w:r>
            <w:r w:rsidRPr="009445DD">
              <w:rPr>
                <w:rFonts w:ascii="Times New Roman" w:hAnsi="Times New Roman" w:cs="Times New Roman"/>
              </w:rPr>
              <w:t xml:space="preserve">. Z kolei przepis § 2 pkt 6 projektu definiuje „urządzenia przedsiębiorcy” jako urządzenia przedsiębiorcy </w:t>
            </w:r>
            <w:r w:rsidRPr="009445DD">
              <w:rPr>
                <w:rFonts w:ascii="Times New Roman" w:hAnsi="Times New Roman" w:cs="Times New Roman"/>
                <w:u w:val="single"/>
              </w:rPr>
              <w:t>telekomunikacyjnego</w:t>
            </w:r>
            <w:r w:rsidRPr="009445DD">
              <w:rPr>
                <w:rFonts w:ascii="Times New Roman" w:hAnsi="Times New Roman" w:cs="Times New Roman"/>
              </w:rPr>
              <w:t xml:space="preserve"> podłączone do infrastruktury telekomunikacyjnej tego przedsiębiorcy służące do zapewnienia warunków dostępu i </w:t>
            </w:r>
            <w:r w:rsidRPr="009445DD">
              <w:rPr>
                <w:rFonts w:ascii="Times New Roman" w:hAnsi="Times New Roman" w:cs="Times New Roman"/>
                <w:u w:val="single"/>
              </w:rPr>
              <w:t xml:space="preserve">utrwalania. </w:t>
            </w:r>
            <w:r w:rsidRPr="009445DD">
              <w:rPr>
                <w:rFonts w:ascii="Times New Roman" w:hAnsi="Times New Roman" w:cs="Times New Roman"/>
              </w:rPr>
              <w:t>Mając powyższe na względzie w § 5 ust. 1 projektu zbędne wydaje się dookreślenie urządzeń, za pomocą których realizowane będzie zapewnienie warunków dostępu i utrwalania, jako „utrwalających”, gdyż już z definicji wynika, że służą one również utrwalaniu.</w:t>
            </w:r>
          </w:p>
          <w:p w14:paraId="18592238" w14:textId="77777777" w:rsidR="00A91271" w:rsidRPr="009445DD" w:rsidRDefault="00A91271" w:rsidP="00136CB7">
            <w:pPr>
              <w:pStyle w:val="Tekstpodstawowywcity"/>
              <w:spacing w:line="240" w:lineRule="auto"/>
              <w:ind w:left="0"/>
              <w:jc w:val="both"/>
              <w:rPr>
                <w:rFonts w:ascii="Times New Roman" w:hAnsi="Times New Roman" w:cs="Times New Roman"/>
              </w:rPr>
            </w:pPr>
          </w:p>
          <w:p w14:paraId="1F8C3B1D" w14:textId="77777777" w:rsidR="00E5535A" w:rsidRPr="009445DD" w:rsidRDefault="00136CB7" w:rsidP="00136CB7">
            <w:pPr>
              <w:pStyle w:val="Tekstpodstawowywcity"/>
              <w:spacing w:line="240" w:lineRule="auto"/>
              <w:ind w:left="0"/>
              <w:jc w:val="both"/>
              <w:rPr>
                <w:rFonts w:ascii="Times New Roman" w:hAnsi="Times New Roman" w:cs="Times New Roman"/>
              </w:rPr>
            </w:pPr>
            <w:r w:rsidRPr="009445DD">
              <w:rPr>
                <w:rFonts w:ascii="Times New Roman" w:hAnsi="Times New Roman" w:cs="Times New Roman"/>
              </w:rPr>
              <w:t>Podobnie należałoby zrezygnować z doprecyzowania przedsiębiorcy, do którego należą ww. urządzenia przez wykreślenie wyrazu „telekomunikacyjnego”.</w:t>
            </w:r>
          </w:p>
          <w:p w14:paraId="600A17CB" w14:textId="77777777" w:rsidR="00A91271" w:rsidRPr="009445DD" w:rsidRDefault="00A91271" w:rsidP="00136CB7">
            <w:pPr>
              <w:pStyle w:val="Tekstpodstawowywcity"/>
              <w:spacing w:line="240" w:lineRule="auto"/>
              <w:ind w:left="0"/>
              <w:jc w:val="both"/>
              <w:rPr>
                <w:rFonts w:ascii="Times New Roman" w:hAnsi="Times New Roman" w:cs="Times New Roman"/>
              </w:rPr>
            </w:pPr>
          </w:p>
          <w:p w14:paraId="33401797" w14:textId="2AD3EF33" w:rsidR="00136CB7" w:rsidRPr="009445DD" w:rsidRDefault="00136CB7" w:rsidP="003D7F8A">
            <w:pPr>
              <w:pStyle w:val="Tekstpodstawowywcity"/>
              <w:spacing w:after="0" w:line="240" w:lineRule="auto"/>
              <w:ind w:left="0"/>
              <w:jc w:val="both"/>
              <w:rPr>
                <w:rFonts w:ascii="Times New Roman" w:hAnsi="Times New Roman" w:cs="Times New Roman"/>
              </w:rPr>
            </w:pPr>
            <w:r w:rsidRPr="009445DD">
              <w:rPr>
                <w:rFonts w:ascii="Times New Roman" w:hAnsi="Times New Roman" w:cs="Times New Roman"/>
              </w:rPr>
              <w:t xml:space="preserve">Dodatkowo należy zauważyć, że aktualna treść przepisu § 5 ust. 1, tj. część wspólna, powinna się odnosić jedynie do pkt 2, a nie jak stanowi projekt, do pkt 1 i 2. Zatem zasadnym jest zamieszczenie treści części wspólnej do pkt 2, co dodatkowo będzie spójne z § 4 ust. 1 projektu, gdzie nie doprecyzowuje się usytuowania urządzeń przedsiębiorcy. Biorąc pod uwagę powyższe proponuję, aby § 5 ust. 1 i 3 projektu otrzymały następujące brzmienie: </w:t>
            </w:r>
          </w:p>
          <w:p w14:paraId="3CD5D40C" w14:textId="77777777" w:rsidR="00136CB7" w:rsidRPr="009445DD" w:rsidRDefault="00136CB7" w:rsidP="003D7F8A">
            <w:pPr>
              <w:pStyle w:val="ARTartustawynprozporzdzenia"/>
              <w:spacing w:before="0" w:line="240" w:lineRule="auto"/>
              <w:ind w:firstLine="0"/>
              <w:rPr>
                <w:rFonts w:ascii="Times New Roman" w:hAnsi="Times New Roman" w:cs="Times New Roman"/>
                <w:i/>
                <w:sz w:val="22"/>
                <w:szCs w:val="22"/>
              </w:rPr>
            </w:pPr>
            <w:r w:rsidRPr="009445DD">
              <w:rPr>
                <w:rFonts w:ascii="Times New Roman" w:hAnsi="Times New Roman" w:cs="Times New Roman"/>
                <w:i/>
                <w:sz w:val="22"/>
                <w:szCs w:val="22"/>
              </w:rPr>
              <w:t>„1. Przedsiębiorca telekomunikacyjny będący mikroprzedsiębiorcą albo małym przedsiębiorcą w rozumieniu ustawy z dnia 6 marca 2018 r. – Prawo przedsiębiorców zapewnia warunki dostępu i utrwalania za pomocą:</w:t>
            </w:r>
          </w:p>
          <w:p w14:paraId="7234A22E" w14:textId="77777777" w:rsidR="00136CB7" w:rsidRPr="009445DD" w:rsidRDefault="00136CB7" w:rsidP="003D7F8A">
            <w:pPr>
              <w:numPr>
                <w:ilvl w:val="0"/>
                <w:numId w:val="3"/>
              </w:numPr>
              <w:jc w:val="both"/>
              <w:rPr>
                <w:i/>
                <w:sz w:val="22"/>
                <w:szCs w:val="22"/>
              </w:rPr>
            </w:pPr>
            <w:r w:rsidRPr="009445DD">
              <w:rPr>
                <w:i/>
                <w:sz w:val="22"/>
                <w:szCs w:val="22"/>
              </w:rPr>
              <w:t>urządzeń przedsiębiorcy, albo</w:t>
            </w:r>
          </w:p>
          <w:p w14:paraId="683EA609" w14:textId="77777777" w:rsidR="00136CB7" w:rsidRPr="009445DD" w:rsidRDefault="00136CB7" w:rsidP="003D7F8A">
            <w:pPr>
              <w:numPr>
                <w:ilvl w:val="0"/>
                <w:numId w:val="3"/>
              </w:numPr>
              <w:ind w:left="0" w:firstLine="360"/>
              <w:jc w:val="both"/>
              <w:rPr>
                <w:i/>
                <w:sz w:val="22"/>
                <w:szCs w:val="22"/>
              </w:rPr>
            </w:pPr>
            <w:r w:rsidRPr="009445DD">
              <w:rPr>
                <w:i/>
                <w:sz w:val="22"/>
                <w:szCs w:val="22"/>
              </w:rPr>
              <w:t xml:space="preserve"> urządzeń uprawnionego podmiotu w miejscu albo pomieszczeniu wskazanym przez przedsiębiorcę telekomunikacyjnego, do którego dostęp będzie miał ten podmiot.</w:t>
            </w:r>
          </w:p>
          <w:p w14:paraId="682E3067" w14:textId="6F23D192" w:rsidR="00136CB7" w:rsidRPr="009445DD" w:rsidRDefault="00136CB7" w:rsidP="003D7F8A">
            <w:pPr>
              <w:pStyle w:val="USTustnpkodeksu"/>
              <w:spacing w:line="240" w:lineRule="auto"/>
              <w:ind w:firstLine="0"/>
              <w:rPr>
                <w:rFonts w:ascii="Times New Roman" w:hAnsi="Times New Roman" w:cs="Times New Roman"/>
                <w:i/>
                <w:sz w:val="22"/>
                <w:szCs w:val="22"/>
              </w:rPr>
            </w:pPr>
            <w:r w:rsidRPr="009445DD">
              <w:rPr>
                <w:rFonts w:ascii="Times New Roman" w:hAnsi="Times New Roman" w:cs="Times New Roman"/>
                <w:i/>
                <w:sz w:val="22"/>
                <w:szCs w:val="22"/>
              </w:rPr>
              <w:t>3. W przypadku zapewnienia warunków dostępu i utrwalania za pomocą urządzeń przedsiębiorcy, o których mowa w ust. 1 pkt 1, przechwytywanie, odbiór, przechowywanie i utrwalanie komunikatów elektronicznych i danych, o których mowa w art. 43 ust. 1 pkt 1 ustawy, następuje w taki sposób, aby nie uległy one zakłóceniu lub zniekształceniu.”.</w:t>
            </w:r>
          </w:p>
        </w:tc>
        <w:tc>
          <w:tcPr>
            <w:tcW w:w="4080" w:type="dxa"/>
            <w:tcBorders>
              <w:bottom w:val="single" w:sz="4" w:space="0" w:color="auto"/>
            </w:tcBorders>
          </w:tcPr>
          <w:p w14:paraId="3BC6313B" w14:textId="77777777" w:rsidR="009D4C8D" w:rsidRPr="009445DD" w:rsidRDefault="00E5535A" w:rsidP="004A531F">
            <w:pPr>
              <w:pStyle w:val="Bezodstpw"/>
              <w:jc w:val="both"/>
              <w:rPr>
                <w:rFonts w:ascii="Times New Roman" w:hAnsi="Times New Roman" w:cs="Times New Roman"/>
                <w:b/>
                <w:bCs/>
              </w:rPr>
            </w:pPr>
            <w:r w:rsidRPr="009445DD">
              <w:rPr>
                <w:rFonts w:ascii="Times New Roman" w:hAnsi="Times New Roman" w:cs="Times New Roman"/>
                <w:b/>
                <w:bCs/>
              </w:rPr>
              <w:t>Uwaga uwzględniona</w:t>
            </w:r>
          </w:p>
          <w:p w14:paraId="7BFF1E77" w14:textId="3C8FC801" w:rsidR="00E5535A" w:rsidRPr="009445DD" w:rsidRDefault="00C71888" w:rsidP="004A531F">
            <w:pPr>
              <w:pStyle w:val="Bezodstpw"/>
              <w:jc w:val="both"/>
              <w:rPr>
                <w:rFonts w:ascii="Times New Roman" w:hAnsi="Times New Roman" w:cs="Times New Roman"/>
              </w:rPr>
            </w:pPr>
            <w:r w:rsidRPr="009445DD">
              <w:rPr>
                <w:rFonts w:ascii="Times New Roman" w:hAnsi="Times New Roman" w:cs="Times New Roman"/>
              </w:rPr>
              <w:t>Przeredagowano przepisy</w:t>
            </w:r>
            <w:r w:rsidR="00EB2650">
              <w:rPr>
                <w:rFonts w:ascii="Times New Roman" w:hAnsi="Times New Roman" w:cs="Times New Roman"/>
              </w:rPr>
              <w:t>.</w:t>
            </w:r>
          </w:p>
          <w:p w14:paraId="207A3674" w14:textId="77777777" w:rsidR="00E5535A" w:rsidRPr="009445DD" w:rsidRDefault="00E5535A" w:rsidP="004A531F">
            <w:pPr>
              <w:pStyle w:val="Bezodstpw"/>
              <w:jc w:val="both"/>
              <w:rPr>
                <w:rFonts w:ascii="Times New Roman" w:hAnsi="Times New Roman" w:cs="Times New Roman"/>
                <w:b/>
                <w:bCs/>
              </w:rPr>
            </w:pPr>
          </w:p>
          <w:p w14:paraId="7347006F" w14:textId="77777777" w:rsidR="00E5535A" w:rsidRPr="009445DD" w:rsidRDefault="00E5535A" w:rsidP="004A531F">
            <w:pPr>
              <w:pStyle w:val="Bezodstpw"/>
              <w:jc w:val="both"/>
              <w:rPr>
                <w:rFonts w:ascii="Times New Roman" w:hAnsi="Times New Roman" w:cs="Times New Roman"/>
                <w:b/>
                <w:bCs/>
              </w:rPr>
            </w:pPr>
          </w:p>
          <w:p w14:paraId="472058B1" w14:textId="77777777" w:rsidR="00E5535A" w:rsidRPr="009445DD" w:rsidRDefault="00E5535A" w:rsidP="004A531F">
            <w:pPr>
              <w:pStyle w:val="Bezodstpw"/>
              <w:jc w:val="both"/>
              <w:rPr>
                <w:rFonts w:ascii="Times New Roman" w:hAnsi="Times New Roman" w:cs="Times New Roman"/>
                <w:b/>
                <w:bCs/>
              </w:rPr>
            </w:pPr>
          </w:p>
          <w:p w14:paraId="3187540E" w14:textId="77777777" w:rsidR="00E5535A" w:rsidRPr="009445DD" w:rsidRDefault="00E5535A" w:rsidP="004A531F">
            <w:pPr>
              <w:pStyle w:val="Bezodstpw"/>
              <w:jc w:val="both"/>
              <w:rPr>
                <w:rFonts w:ascii="Times New Roman" w:hAnsi="Times New Roman" w:cs="Times New Roman"/>
                <w:b/>
                <w:bCs/>
              </w:rPr>
            </w:pPr>
          </w:p>
          <w:p w14:paraId="1C513BFE" w14:textId="77777777" w:rsidR="00E5535A" w:rsidRPr="009445DD" w:rsidRDefault="00E5535A" w:rsidP="004A531F">
            <w:pPr>
              <w:pStyle w:val="Bezodstpw"/>
              <w:jc w:val="both"/>
              <w:rPr>
                <w:rFonts w:ascii="Times New Roman" w:hAnsi="Times New Roman" w:cs="Times New Roman"/>
                <w:b/>
                <w:bCs/>
              </w:rPr>
            </w:pPr>
          </w:p>
          <w:p w14:paraId="412A472B" w14:textId="77777777" w:rsidR="00E5535A" w:rsidRPr="009445DD" w:rsidRDefault="00E5535A" w:rsidP="004A531F">
            <w:pPr>
              <w:pStyle w:val="Bezodstpw"/>
              <w:jc w:val="both"/>
              <w:rPr>
                <w:rFonts w:ascii="Times New Roman" w:hAnsi="Times New Roman" w:cs="Times New Roman"/>
                <w:b/>
                <w:bCs/>
              </w:rPr>
            </w:pPr>
          </w:p>
          <w:p w14:paraId="28EDB262" w14:textId="77777777" w:rsidR="00E5535A" w:rsidRPr="009445DD" w:rsidRDefault="00E5535A" w:rsidP="004A531F">
            <w:pPr>
              <w:pStyle w:val="Bezodstpw"/>
              <w:jc w:val="both"/>
              <w:rPr>
                <w:rFonts w:ascii="Times New Roman" w:hAnsi="Times New Roman" w:cs="Times New Roman"/>
                <w:b/>
                <w:bCs/>
              </w:rPr>
            </w:pPr>
          </w:p>
          <w:p w14:paraId="76DE4EF6" w14:textId="77777777" w:rsidR="00E5535A" w:rsidRPr="009445DD" w:rsidRDefault="00E5535A" w:rsidP="004A531F">
            <w:pPr>
              <w:pStyle w:val="Bezodstpw"/>
              <w:jc w:val="both"/>
              <w:rPr>
                <w:rFonts w:ascii="Times New Roman" w:hAnsi="Times New Roman" w:cs="Times New Roman"/>
                <w:b/>
                <w:bCs/>
              </w:rPr>
            </w:pPr>
          </w:p>
          <w:p w14:paraId="0934F988" w14:textId="77777777" w:rsidR="00E5535A" w:rsidRPr="009445DD" w:rsidRDefault="00E5535A" w:rsidP="004A531F">
            <w:pPr>
              <w:pStyle w:val="Bezodstpw"/>
              <w:jc w:val="both"/>
              <w:rPr>
                <w:rFonts w:ascii="Times New Roman" w:hAnsi="Times New Roman" w:cs="Times New Roman"/>
                <w:b/>
                <w:bCs/>
              </w:rPr>
            </w:pPr>
          </w:p>
          <w:p w14:paraId="7C5557BF" w14:textId="77777777" w:rsidR="00E5535A" w:rsidRPr="009445DD" w:rsidRDefault="00E5535A" w:rsidP="004A531F">
            <w:pPr>
              <w:pStyle w:val="Bezodstpw"/>
              <w:jc w:val="both"/>
              <w:rPr>
                <w:rFonts w:ascii="Times New Roman" w:hAnsi="Times New Roman" w:cs="Times New Roman"/>
                <w:b/>
                <w:bCs/>
              </w:rPr>
            </w:pPr>
          </w:p>
          <w:p w14:paraId="2CFC4880" w14:textId="77777777" w:rsidR="00E5535A" w:rsidRPr="009445DD" w:rsidRDefault="00E5535A" w:rsidP="004A531F">
            <w:pPr>
              <w:pStyle w:val="Bezodstpw"/>
              <w:jc w:val="both"/>
              <w:rPr>
                <w:rFonts w:ascii="Times New Roman" w:hAnsi="Times New Roman" w:cs="Times New Roman"/>
                <w:b/>
                <w:bCs/>
              </w:rPr>
            </w:pPr>
          </w:p>
          <w:p w14:paraId="02CA440A" w14:textId="77777777" w:rsidR="00E5535A" w:rsidRPr="009445DD" w:rsidRDefault="00E5535A" w:rsidP="004A531F">
            <w:pPr>
              <w:pStyle w:val="Bezodstpw"/>
              <w:jc w:val="both"/>
              <w:rPr>
                <w:rFonts w:ascii="Times New Roman" w:hAnsi="Times New Roman" w:cs="Times New Roman"/>
                <w:b/>
                <w:bCs/>
              </w:rPr>
            </w:pPr>
          </w:p>
          <w:p w14:paraId="6A930591" w14:textId="77777777" w:rsidR="00A91271" w:rsidRPr="009445DD" w:rsidRDefault="00A91271" w:rsidP="004A531F">
            <w:pPr>
              <w:pStyle w:val="Bezodstpw"/>
              <w:jc w:val="both"/>
              <w:rPr>
                <w:rFonts w:ascii="Times New Roman" w:hAnsi="Times New Roman" w:cs="Times New Roman"/>
                <w:b/>
                <w:bCs/>
              </w:rPr>
            </w:pPr>
          </w:p>
          <w:p w14:paraId="0EB968BF" w14:textId="77777777" w:rsidR="00A91271" w:rsidRPr="009445DD" w:rsidRDefault="00A91271" w:rsidP="004A531F">
            <w:pPr>
              <w:pStyle w:val="Bezodstpw"/>
              <w:jc w:val="both"/>
              <w:rPr>
                <w:rFonts w:ascii="Times New Roman" w:hAnsi="Times New Roman" w:cs="Times New Roman"/>
                <w:b/>
                <w:bCs/>
              </w:rPr>
            </w:pPr>
          </w:p>
          <w:p w14:paraId="4BA6B0A8" w14:textId="54D3FA64" w:rsidR="00E5535A" w:rsidRPr="009445DD" w:rsidRDefault="00E5535A" w:rsidP="004A531F">
            <w:pPr>
              <w:pStyle w:val="Bezodstpw"/>
              <w:jc w:val="both"/>
              <w:rPr>
                <w:rFonts w:ascii="Times New Roman" w:hAnsi="Times New Roman" w:cs="Times New Roman"/>
                <w:b/>
                <w:bCs/>
              </w:rPr>
            </w:pPr>
            <w:r w:rsidRPr="009445DD">
              <w:rPr>
                <w:rFonts w:ascii="Times New Roman" w:hAnsi="Times New Roman" w:cs="Times New Roman"/>
                <w:b/>
                <w:bCs/>
              </w:rPr>
              <w:t>Uwaga uwzględniona</w:t>
            </w:r>
          </w:p>
          <w:p w14:paraId="525F072E" w14:textId="72F89937" w:rsidR="00C71888" w:rsidRPr="009445DD" w:rsidRDefault="00C71888" w:rsidP="004A531F">
            <w:pPr>
              <w:pStyle w:val="Bezodstpw"/>
              <w:jc w:val="both"/>
              <w:rPr>
                <w:rFonts w:ascii="Times New Roman" w:hAnsi="Times New Roman" w:cs="Times New Roman"/>
              </w:rPr>
            </w:pPr>
            <w:r w:rsidRPr="009445DD">
              <w:rPr>
                <w:rFonts w:ascii="Times New Roman" w:hAnsi="Times New Roman" w:cs="Times New Roman"/>
              </w:rPr>
              <w:t>Przeredagowano przepisy</w:t>
            </w:r>
            <w:r w:rsidR="00EB2650">
              <w:rPr>
                <w:rFonts w:ascii="Times New Roman" w:hAnsi="Times New Roman" w:cs="Times New Roman"/>
              </w:rPr>
              <w:t>.</w:t>
            </w:r>
          </w:p>
          <w:p w14:paraId="37D275D3" w14:textId="77777777" w:rsidR="00E5535A" w:rsidRPr="009445DD" w:rsidRDefault="00E5535A" w:rsidP="004A531F">
            <w:pPr>
              <w:pStyle w:val="Bezodstpw"/>
              <w:jc w:val="both"/>
              <w:rPr>
                <w:rFonts w:ascii="Times New Roman" w:hAnsi="Times New Roman" w:cs="Times New Roman"/>
                <w:b/>
                <w:bCs/>
              </w:rPr>
            </w:pPr>
          </w:p>
          <w:p w14:paraId="149C1E1A" w14:textId="77777777" w:rsidR="00E5535A" w:rsidRPr="009445DD" w:rsidRDefault="00E5535A" w:rsidP="004A531F">
            <w:pPr>
              <w:pStyle w:val="Bezodstpw"/>
              <w:jc w:val="both"/>
              <w:rPr>
                <w:rFonts w:ascii="Times New Roman" w:hAnsi="Times New Roman" w:cs="Times New Roman"/>
                <w:b/>
                <w:bCs/>
              </w:rPr>
            </w:pPr>
          </w:p>
          <w:p w14:paraId="23D16C4E" w14:textId="77777777" w:rsidR="00A91271" w:rsidRPr="009445DD" w:rsidRDefault="00A91271" w:rsidP="004A531F">
            <w:pPr>
              <w:pStyle w:val="Bezodstpw"/>
              <w:jc w:val="both"/>
              <w:rPr>
                <w:rFonts w:ascii="Times New Roman" w:hAnsi="Times New Roman" w:cs="Times New Roman"/>
                <w:b/>
                <w:bCs/>
              </w:rPr>
            </w:pPr>
          </w:p>
          <w:p w14:paraId="3C9CE46A" w14:textId="2479B7B8" w:rsidR="00E5535A" w:rsidRPr="009445DD" w:rsidRDefault="003D7F8A" w:rsidP="004A531F">
            <w:pPr>
              <w:pStyle w:val="Bezodstpw"/>
              <w:jc w:val="both"/>
              <w:rPr>
                <w:rFonts w:ascii="Times New Roman" w:hAnsi="Times New Roman" w:cs="Times New Roman"/>
                <w:b/>
                <w:bCs/>
              </w:rPr>
            </w:pPr>
            <w:r w:rsidRPr="009445DD">
              <w:rPr>
                <w:rFonts w:ascii="Times New Roman" w:hAnsi="Times New Roman" w:cs="Times New Roman"/>
                <w:b/>
                <w:bCs/>
              </w:rPr>
              <w:t>Wyjaśnienie uwagi</w:t>
            </w:r>
          </w:p>
          <w:p w14:paraId="3D7B3720" w14:textId="0B0847B9" w:rsidR="00E5535A" w:rsidRPr="009445DD" w:rsidRDefault="003D7F8A" w:rsidP="004A531F">
            <w:pPr>
              <w:pStyle w:val="Bezodstpw"/>
              <w:jc w:val="both"/>
              <w:rPr>
                <w:rFonts w:ascii="Times New Roman" w:hAnsi="Times New Roman" w:cs="Times New Roman"/>
              </w:rPr>
            </w:pPr>
            <w:r w:rsidRPr="009445DD">
              <w:rPr>
                <w:rFonts w:ascii="Times New Roman" w:hAnsi="Times New Roman" w:cs="Times New Roman"/>
              </w:rPr>
              <w:t>W</w:t>
            </w:r>
            <w:r w:rsidR="00060969" w:rsidRPr="009445DD">
              <w:rPr>
                <w:rFonts w:ascii="Times New Roman" w:hAnsi="Times New Roman" w:cs="Times New Roman"/>
              </w:rPr>
              <w:t xml:space="preserve"> odniesieniu do ust. 1 </w:t>
            </w:r>
            <w:r w:rsidRPr="009445DD">
              <w:rPr>
                <w:rFonts w:ascii="Times New Roman" w:hAnsi="Times New Roman" w:cs="Times New Roman"/>
              </w:rPr>
              <w:t xml:space="preserve">zgłoszona </w:t>
            </w:r>
            <w:r w:rsidR="00060969" w:rsidRPr="009445DD">
              <w:rPr>
                <w:rFonts w:ascii="Times New Roman" w:hAnsi="Times New Roman" w:cs="Times New Roman"/>
              </w:rPr>
              <w:t>propozycja zmierza do ograniczenia wpływu przedsiębiorcy telekomunikacyjnego na wskazanie pomieszczenia</w:t>
            </w:r>
            <w:r w:rsidRPr="009445DD">
              <w:rPr>
                <w:rFonts w:ascii="Times New Roman" w:hAnsi="Times New Roman" w:cs="Times New Roman"/>
              </w:rPr>
              <w:t>,</w:t>
            </w:r>
            <w:r w:rsidR="00060969" w:rsidRPr="009445DD">
              <w:rPr>
                <w:rFonts w:ascii="Times New Roman" w:hAnsi="Times New Roman" w:cs="Times New Roman"/>
              </w:rPr>
              <w:t xml:space="preserve"> gdzie będą wykorzystywane urządzenia przedsiębiorcy. Zasadne jest, aby przedsiębiorca decydował</w:t>
            </w:r>
            <w:r w:rsidRPr="009445DD">
              <w:rPr>
                <w:rFonts w:ascii="Times New Roman" w:hAnsi="Times New Roman" w:cs="Times New Roman"/>
              </w:rPr>
              <w:t>,</w:t>
            </w:r>
            <w:r w:rsidR="00060969" w:rsidRPr="009445DD">
              <w:rPr>
                <w:rFonts w:ascii="Times New Roman" w:hAnsi="Times New Roman" w:cs="Times New Roman"/>
              </w:rPr>
              <w:t xml:space="preserve"> w którym pomieszczeniu będę wykorzystywane zarówno urządzenia uprawnionego podmiotu, jak i urządzenia przedsiębiorcy. </w:t>
            </w:r>
            <w:r w:rsidR="008D277C" w:rsidRPr="009445DD">
              <w:rPr>
                <w:rFonts w:ascii="Times New Roman" w:hAnsi="Times New Roman" w:cs="Times New Roman"/>
              </w:rPr>
              <w:t>P</w:t>
            </w:r>
            <w:r w:rsidR="00060969" w:rsidRPr="009445DD">
              <w:rPr>
                <w:rFonts w:ascii="Times New Roman" w:hAnsi="Times New Roman" w:cs="Times New Roman"/>
              </w:rPr>
              <w:t xml:space="preserve">odyktowane jest to </w:t>
            </w:r>
            <w:r w:rsidR="008D277C" w:rsidRPr="009445DD">
              <w:rPr>
                <w:rFonts w:ascii="Times New Roman" w:hAnsi="Times New Roman" w:cs="Times New Roman"/>
              </w:rPr>
              <w:t>wielkością mikro- i</w:t>
            </w:r>
            <w:r w:rsidR="00EB2650">
              <w:rPr>
                <w:rFonts w:ascii="Times New Roman" w:hAnsi="Times New Roman" w:cs="Times New Roman"/>
              </w:rPr>
              <w:t> </w:t>
            </w:r>
            <w:r w:rsidR="008D277C" w:rsidRPr="009445DD">
              <w:rPr>
                <w:rFonts w:ascii="Times New Roman" w:hAnsi="Times New Roman" w:cs="Times New Roman"/>
              </w:rPr>
              <w:t>małych przedsiębiorców, gdzie kontrola operacyjna nie jest często przeprowadzana, a urządzenia te nie są często wykorzystywane.</w:t>
            </w:r>
          </w:p>
          <w:p w14:paraId="0CFB261C" w14:textId="77777777" w:rsidR="008D277C" w:rsidRPr="009445DD" w:rsidRDefault="008D277C" w:rsidP="004A531F">
            <w:pPr>
              <w:pStyle w:val="Bezodstpw"/>
              <w:jc w:val="both"/>
              <w:rPr>
                <w:rFonts w:ascii="Times New Roman" w:hAnsi="Times New Roman" w:cs="Times New Roman"/>
              </w:rPr>
            </w:pPr>
          </w:p>
          <w:p w14:paraId="1FD779B9" w14:textId="77777777" w:rsidR="008D277C" w:rsidRPr="009445DD" w:rsidRDefault="008D277C" w:rsidP="004A531F">
            <w:pPr>
              <w:pStyle w:val="Bezodstpw"/>
              <w:jc w:val="both"/>
              <w:rPr>
                <w:rFonts w:ascii="Times New Roman" w:hAnsi="Times New Roman" w:cs="Times New Roman"/>
              </w:rPr>
            </w:pPr>
          </w:p>
          <w:p w14:paraId="4F03C2EC" w14:textId="53638A15" w:rsidR="00060969" w:rsidRPr="009445DD" w:rsidRDefault="00060969" w:rsidP="004A531F">
            <w:pPr>
              <w:pStyle w:val="Bezodstpw"/>
              <w:jc w:val="both"/>
              <w:rPr>
                <w:rFonts w:ascii="Times New Roman" w:hAnsi="Times New Roman" w:cs="Times New Roman"/>
                <w:b/>
                <w:bCs/>
              </w:rPr>
            </w:pPr>
          </w:p>
        </w:tc>
      </w:tr>
      <w:tr w:rsidR="00B075CA" w:rsidRPr="009445DD" w14:paraId="0091014A" w14:textId="77777777" w:rsidTr="004A531F">
        <w:tc>
          <w:tcPr>
            <w:tcW w:w="596" w:type="dxa"/>
            <w:tcBorders>
              <w:bottom w:val="single" w:sz="4" w:space="0" w:color="auto"/>
            </w:tcBorders>
          </w:tcPr>
          <w:p w14:paraId="0555A829" w14:textId="77777777" w:rsidR="00B075CA" w:rsidRPr="009445DD" w:rsidRDefault="00B075CA" w:rsidP="004A531F">
            <w:pPr>
              <w:pStyle w:val="Bezodstpw"/>
              <w:numPr>
                <w:ilvl w:val="0"/>
                <w:numId w:val="2"/>
              </w:numPr>
              <w:ind w:left="171" w:hanging="171"/>
              <w:jc w:val="center"/>
              <w:rPr>
                <w:rFonts w:ascii="Times New Roman" w:hAnsi="Times New Roman" w:cs="Times New Roman"/>
              </w:rPr>
            </w:pPr>
          </w:p>
        </w:tc>
        <w:tc>
          <w:tcPr>
            <w:tcW w:w="1413" w:type="dxa"/>
            <w:tcBorders>
              <w:bottom w:val="single" w:sz="4" w:space="0" w:color="auto"/>
            </w:tcBorders>
          </w:tcPr>
          <w:p w14:paraId="4220D7C1" w14:textId="0EB8FAA2" w:rsidR="00B075CA" w:rsidRPr="009445DD" w:rsidRDefault="00B075CA" w:rsidP="00B075CA">
            <w:pPr>
              <w:pStyle w:val="Bezodstpw"/>
              <w:jc w:val="center"/>
              <w:rPr>
                <w:rFonts w:ascii="Times New Roman" w:hAnsi="Times New Roman" w:cs="Times New Roman"/>
              </w:rPr>
            </w:pPr>
            <w:r w:rsidRPr="009445DD">
              <w:rPr>
                <w:rFonts w:ascii="Times New Roman" w:hAnsi="Times New Roman" w:cs="Times New Roman"/>
              </w:rPr>
              <w:t>§ 5 ust. 2</w:t>
            </w:r>
          </w:p>
        </w:tc>
        <w:tc>
          <w:tcPr>
            <w:tcW w:w="1400" w:type="dxa"/>
            <w:tcBorders>
              <w:bottom w:val="single" w:sz="4" w:space="0" w:color="auto"/>
            </w:tcBorders>
          </w:tcPr>
          <w:p w14:paraId="0101DD0F" w14:textId="6973C50F" w:rsidR="00B075CA" w:rsidRPr="009445DD" w:rsidRDefault="00B075CA" w:rsidP="00B075CA">
            <w:pPr>
              <w:pStyle w:val="Bezodstpw"/>
              <w:jc w:val="center"/>
              <w:rPr>
                <w:rFonts w:ascii="Times New Roman" w:hAnsi="Times New Roman" w:cs="Times New Roman"/>
                <w:b/>
                <w:bCs/>
              </w:rPr>
            </w:pPr>
            <w:r w:rsidRPr="009445DD">
              <w:rPr>
                <w:rFonts w:ascii="Times New Roman" w:hAnsi="Times New Roman" w:cs="Times New Roman"/>
                <w:b/>
                <w:bCs/>
              </w:rPr>
              <w:t>Koordynator Służb Specjalnych</w:t>
            </w:r>
          </w:p>
        </w:tc>
        <w:tc>
          <w:tcPr>
            <w:tcW w:w="7674" w:type="dxa"/>
            <w:tcBorders>
              <w:bottom w:val="single" w:sz="4" w:space="0" w:color="auto"/>
            </w:tcBorders>
          </w:tcPr>
          <w:p w14:paraId="3F8A490A" w14:textId="33757BE8" w:rsidR="00B075CA" w:rsidRPr="009445DD" w:rsidRDefault="00B075CA" w:rsidP="00BF189C">
            <w:pPr>
              <w:pStyle w:val="Bezodstpw"/>
              <w:jc w:val="both"/>
              <w:rPr>
                <w:rFonts w:ascii="Times New Roman" w:hAnsi="Times New Roman" w:cs="Times New Roman"/>
              </w:rPr>
            </w:pPr>
            <w:r w:rsidRPr="009445DD">
              <w:rPr>
                <w:rFonts w:ascii="Times New Roman" w:hAnsi="Times New Roman" w:cs="Times New Roman"/>
              </w:rPr>
              <w:t>Proponuję uzupełnić § 5 ust. 2 projektu o dodatkowy wymóg dotyczący pomieszczenia,</w:t>
            </w:r>
            <w:r w:rsidR="00635512" w:rsidRPr="009445DD">
              <w:rPr>
                <w:rFonts w:ascii="Times New Roman" w:hAnsi="Times New Roman" w:cs="Times New Roman"/>
              </w:rPr>
              <w:t xml:space="preserve"> </w:t>
            </w:r>
            <w:r w:rsidRPr="009445DD">
              <w:rPr>
                <w:rFonts w:ascii="Times New Roman" w:hAnsi="Times New Roman" w:cs="Times New Roman"/>
              </w:rPr>
              <w:t>w którym realizowany będzie dostęp i utrwalanie, polegający na obowiązku</w:t>
            </w:r>
            <w:r w:rsidR="00635512" w:rsidRPr="009445DD">
              <w:rPr>
                <w:rFonts w:ascii="Times New Roman" w:hAnsi="Times New Roman" w:cs="Times New Roman"/>
              </w:rPr>
              <w:t xml:space="preserve"> </w:t>
            </w:r>
            <w:r w:rsidRPr="009445DD">
              <w:rPr>
                <w:rFonts w:ascii="Times New Roman" w:hAnsi="Times New Roman" w:cs="Times New Roman"/>
              </w:rPr>
              <w:t>wyposażenia go w system kontroli dostępu.</w:t>
            </w:r>
          </w:p>
        </w:tc>
        <w:tc>
          <w:tcPr>
            <w:tcW w:w="4080" w:type="dxa"/>
            <w:tcBorders>
              <w:bottom w:val="single" w:sz="4" w:space="0" w:color="auto"/>
            </w:tcBorders>
          </w:tcPr>
          <w:p w14:paraId="06557FC8" w14:textId="21F7BFFC" w:rsidR="00B075CA" w:rsidRPr="009445DD" w:rsidRDefault="00A67330" w:rsidP="004A531F">
            <w:pPr>
              <w:pStyle w:val="Bezodstpw"/>
              <w:jc w:val="both"/>
              <w:rPr>
                <w:rFonts w:ascii="Times New Roman" w:hAnsi="Times New Roman" w:cs="Times New Roman"/>
                <w:b/>
                <w:bCs/>
              </w:rPr>
            </w:pPr>
            <w:r w:rsidRPr="009445DD">
              <w:rPr>
                <w:rFonts w:ascii="Times New Roman" w:hAnsi="Times New Roman" w:cs="Times New Roman"/>
                <w:b/>
                <w:bCs/>
              </w:rPr>
              <w:t>Uwaga uwzględniona</w:t>
            </w:r>
          </w:p>
          <w:p w14:paraId="3720CE24" w14:textId="38671F22" w:rsidR="00A67330" w:rsidRPr="009445DD" w:rsidRDefault="005F02DF" w:rsidP="004A531F">
            <w:pPr>
              <w:pStyle w:val="Bezodstpw"/>
              <w:jc w:val="both"/>
              <w:rPr>
                <w:rFonts w:ascii="Times New Roman" w:hAnsi="Times New Roman" w:cs="Times New Roman"/>
              </w:rPr>
            </w:pPr>
            <w:r w:rsidRPr="009445DD">
              <w:rPr>
                <w:rFonts w:ascii="Times New Roman" w:hAnsi="Times New Roman" w:cs="Times New Roman"/>
              </w:rPr>
              <w:t>Wprowadzono wymóg zapewnienia kontroli dostępu (bez określenia „system”), co należy rozumieć jako każdą formę rozliczalności wejść i wyjść z</w:t>
            </w:r>
            <w:r w:rsidR="00EB2650">
              <w:rPr>
                <w:rFonts w:ascii="Times New Roman" w:hAnsi="Times New Roman" w:cs="Times New Roman"/>
              </w:rPr>
              <w:t> </w:t>
            </w:r>
            <w:r w:rsidRPr="009445DD">
              <w:rPr>
                <w:rFonts w:ascii="Times New Roman" w:hAnsi="Times New Roman" w:cs="Times New Roman"/>
              </w:rPr>
              <w:t>pomieszczenia.</w:t>
            </w:r>
          </w:p>
        </w:tc>
      </w:tr>
      <w:tr w:rsidR="00136CB7" w:rsidRPr="009445DD" w14:paraId="6CF7E93F" w14:textId="77777777" w:rsidTr="004A531F">
        <w:tc>
          <w:tcPr>
            <w:tcW w:w="596" w:type="dxa"/>
            <w:tcBorders>
              <w:bottom w:val="single" w:sz="4" w:space="0" w:color="auto"/>
            </w:tcBorders>
          </w:tcPr>
          <w:p w14:paraId="38E8CC75" w14:textId="77777777" w:rsidR="00136CB7" w:rsidRPr="009445DD" w:rsidRDefault="00136CB7" w:rsidP="004A531F">
            <w:pPr>
              <w:pStyle w:val="Bezodstpw"/>
              <w:numPr>
                <w:ilvl w:val="0"/>
                <w:numId w:val="2"/>
              </w:numPr>
              <w:ind w:left="171" w:hanging="171"/>
              <w:jc w:val="center"/>
              <w:rPr>
                <w:rFonts w:ascii="Times New Roman" w:hAnsi="Times New Roman" w:cs="Times New Roman"/>
              </w:rPr>
            </w:pPr>
          </w:p>
        </w:tc>
        <w:tc>
          <w:tcPr>
            <w:tcW w:w="1413" w:type="dxa"/>
            <w:tcBorders>
              <w:bottom w:val="single" w:sz="4" w:space="0" w:color="auto"/>
            </w:tcBorders>
          </w:tcPr>
          <w:p w14:paraId="55F8883C" w14:textId="1CB1211F" w:rsidR="00136CB7" w:rsidRPr="009445DD" w:rsidRDefault="00136CB7" w:rsidP="00136CB7">
            <w:pPr>
              <w:pStyle w:val="Bezodstpw"/>
              <w:jc w:val="center"/>
              <w:rPr>
                <w:rFonts w:ascii="Times New Roman" w:hAnsi="Times New Roman" w:cs="Times New Roman"/>
              </w:rPr>
            </w:pPr>
            <w:r w:rsidRPr="009445DD">
              <w:rPr>
                <w:rFonts w:ascii="Times New Roman" w:hAnsi="Times New Roman" w:cs="Times New Roman"/>
              </w:rPr>
              <w:t>§ 5 ust. 2</w:t>
            </w:r>
          </w:p>
        </w:tc>
        <w:tc>
          <w:tcPr>
            <w:tcW w:w="1400" w:type="dxa"/>
            <w:tcBorders>
              <w:bottom w:val="single" w:sz="4" w:space="0" w:color="auto"/>
            </w:tcBorders>
          </w:tcPr>
          <w:p w14:paraId="3A8F3692" w14:textId="036A9A7D" w:rsidR="00136CB7" w:rsidRPr="009445DD" w:rsidRDefault="004A531F" w:rsidP="00136CB7">
            <w:pPr>
              <w:pStyle w:val="Bezodstpw"/>
              <w:jc w:val="center"/>
              <w:rPr>
                <w:rFonts w:ascii="Times New Roman" w:hAnsi="Times New Roman" w:cs="Times New Roman"/>
                <w:b/>
                <w:bCs/>
              </w:rPr>
            </w:pPr>
            <w:r w:rsidRPr="009445DD">
              <w:rPr>
                <w:rFonts w:ascii="Times New Roman" w:hAnsi="Times New Roman" w:cs="Times New Roman"/>
                <w:b/>
                <w:bCs/>
              </w:rPr>
              <w:t xml:space="preserve">Minister </w:t>
            </w:r>
            <w:r w:rsidR="00136CB7" w:rsidRPr="009445DD">
              <w:rPr>
                <w:rFonts w:ascii="Times New Roman" w:hAnsi="Times New Roman" w:cs="Times New Roman"/>
                <w:b/>
                <w:bCs/>
              </w:rPr>
              <w:t>Spraw Wewnętrznych i Administracji</w:t>
            </w:r>
          </w:p>
        </w:tc>
        <w:tc>
          <w:tcPr>
            <w:tcW w:w="7674" w:type="dxa"/>
            <w:tcBorders>
              <w:bottom w:val="single" w:sz="4" w:space="0" w:color="auto"/>
            </w:tcBorders>
          </w:tcPr>
          <w:p w14:paraId="7DBC0C1F" w14:textId="7E0E5B70" w:rsidR="00136CB7" w:rsidRPr="009445DD" w:rsidRDefault="00136CB7" w:rsidP="00136CB7">
            <w:pPr>
              <w:pStyle w:val="USTustnpkodeksu"/>
              <w:spacing w:after="120" w:line="240" w:lineRule="auto"/>
              <w:ind w:firstLine="0"/>
              <w:rPr>
                <w:rFonts w:ascii="Times New Roman" w:hAnsi="Times New Roman" w:cs="Times New Roman"/>
                <w:sz w:val="22"/>
                <w:szCs w:val="22"/>
              </w:rPr>
            </w:pPr>
            <w:r w:rsidRPr="009445DD">
              <w:rPr>
                <w:rFonts w:ascii="Times New Roman" w:hAnsi="Times New Roman" w:cs="Times New Roman"/>
                <w:sz w:val="22"/>
                <w:szCs w:val="22"/>
              </w:rPr>
              <w:t xml:space="preserve">Jak </w:t>
            </w:r>
            <w:r w:rsidRPr="009445DD">
              <w:rPr>
                <w:rFonts w:ascii="Times New Roman" w:eastAsia="Times New Roman" w:hAnsi="Times New Roman" w:cs="Times New Roman"/>
                <w:iCs/>
                <w:sz w:val="22"/>
                <w:szCs w:val="22"/>
              </w:rPr>
              <w:t xml:space="preserve">wynika z uzasadnienia projektu rozporządzenia jednym z jego celów jest wprowadzenie rozwiązania zmierzającego do znacznego złagodzenia obowiązków mikroprzedsiębiorców i małych przedsiębiorców telekomunikacyjnych, w stosunku do przepisów obecnie obowiązującego rozporządzenia Rady Ministrów z dnia 13 września 2005 r. </w:t>
            </w:r>
            <w:r w:rsidRPr="009445DD">
              <w:rPr>
                <w:rFonts w:ascii="Times New Roman" w:eastAsia="Times New Roman" w:hAnsi="Times New Roman" w:cs="Times New Roman"/>
                <w:i/>
                <w:iCs/>
                <w:sz w:val="22"/>
                <w:szCs w:val="22"/>
              </w:rPr>
              <w:t>w sprawie wypełniania przez przedsiębiorców telekomunikacyjnych zadań i obowiązków na rzecz obronności, bezpieczeństwa państwa oraz bezpieczeństwa i porządku publicznego</w:t>
            </w:r>
            <w:r w:rsidRPr="009445DD">
              <w:rPr>
                <w:rFonts w:ascii="Times New Roman" w:eastAsia="Times New Roman" w:hAnsi="Times New Roman" w:cs="Times New Roman"/>
                <w:iCs/>
                <w:sz w:val="22"/>
                <w:szCs w:val="22"/>
              </w:rPr>
              <w:t xml:space="preserve">. Zgodnie z § 5 projektu rozporządzenia ww. przedsiębiorcy będą zwolnieni z obowiązku posiadania świadectwa bezpieczeństwa przemysłowego i tym samym konieczności ponoszenia kosztów jego uzyskania oraz tworzenia i utrzymywania kancelarii tajnych. Tym samym, w przypadku kiedy uprawniony podmiot będzie miał potrzebę włączenia kontroli operacyjnej, według projektodawców określone informacje niejawne tego rodzaju przedsiębiorcom telekomunikacyjnym udostępniane będą </w:t>
            </w:r>
            <w:r w:rsidRPr="009445DD">
              <w:rPr>
                <w:rFonts w:ascii="Times New Roman" w:eastAsia="Times New Roman" w:hAnsi="Times New Roman" w:cs="Times New Roman"/>
                <w:iCs/>
                <w:sz w:val="22"/>
                <w:szCs w:val="22"/>
                <w:u w:val="single"/>
              </w:rPr>
              <w:t>na podstawie jednorazowej zgody właściwego organu</w:t>
            </w:r>
            <w:r w:rsidRPr="009445DD">
              <w:rPr>
                <w:rFonts w:ascii="Times New Roman" w:eastAsia="Times New Roman" w:hAnsi="Times New Roman" w:cs="Times New Roman"/>
                <w:iCs/>
                <w:sz w:val="22"/>
                <w:szCs w:val="22"/>
              </w:rPr>
              <w:t xml:space="preserve">, w trybie określonym w ustawie z dnia 5 sierpnia 2010 r. </w:t>
            </w:r>
            <w:r w:rsidRPr="009445DD">
              <w:rPr>
                <w:rFonts w:ascii="Times New Roman" w:eastAsia="Times New Roman" w:hAnsi="Times New Roman" w:cs="Times New Roman"/>
                <w:i/>
                <w:iCs/>
                <w:sz w:val="22"/>
                <w:szCs w:val="22"/>
              </w:rPr>
              <w:t>o</w:t>
            </w:r>
            <w:r w:rsidRPr="009445DD">
              <w:rPr>
                <w:rFonts w:ascii="Times New Roman" w:eastAsia="Times New Roman" w:hAnsi="Times New Roman" w:cs="Times New Roman"/>
                <w:iCs/>
                <w:sz w:val="22"/>
                <w:szCs w:val="22"/>
              </w:rPr>
              <w:t> </w:t>
            </w:r>
            <w:r w:rsidRPr="009445DD">
              <w:rPr>
                <w:rFonts w:ascii="Times New Roman" w:eastAsia="Times New Roman" w:hAnsi="Times New Roman" w:cs="Times New Roman"/>
                <w:i/>
                <w:iCs/>
                <w:sz w:val="22"/>
                <w:szCs w:val="22"/>
              </w:rPr>
              <w:t>ochronie informacji niejawnych</w:t>
            </w:r>
            <w:r w:rsidRPr="009445DD">
              <w:rPr>
                <w:rFonts w:ascii="Times New Roman" w:eastAsia="Times New Roman" w:hAnsi="Times New Roman" w:cs="Times New Roman"/>
                <w:iCs/>
                <w:sz w:val="22"/>
                <w:szCs w:val="22"/>
              </w:rPr>
              <w:t xml:space="preserve">. Stosowanie rozwiązania, o którym mowa w przepisie art. 34 ust. 5 pkt 1 oraz art. 54 ust. 8 ww. ustawy powinno odbywać się w szczególnie uzasadnionych przypadkach. Nie można uzasadniać stosowania trybu określonego w ww. przepisach ustawy argumentem, że są to przypadki sporadyczne. W przypadku wprowadzenia rozwiązania proponowanego w projekcie rozporządzenia stosowanie powyższych zapisów stanie się powszechne, co spowoduje, że nie będą stosowane w praktyce środki bezpieczeństwa wymagane ustawą. Przepis art. 34 ust. 5 ww. ustawy stanowi, że Szefowie Kancelarii Prezydenta Rzeczypospolitej Polskiej, Kancelarii Sejmu, Kancelarii Senatu lub Kancelarii Prezesa Rady Ministrów albo minister właściwy dla określonego działu administracji rządowej, Prezes Narodowego Banku Polskiego, Prezes Najwyższej Izby Kontroli lub kierownik urzędu centralnego, a w przypadku ich braku ABW albo SKW, mogą: w szczególnie uzasadnionych przypadkach, z zastrzeżeniem art. 4 ust. 2, wyrazić pisemną zgodę na jednorazowe udostępnienie określonych informacji niejawnych osobie nieposiadającej odpowiedniego poświadczenia bezpieczeństwa. Powyższa regulacja w swojej dyspozycji określa, że jego zastosowanie dotyczy szczególnie uzasadnionych przypadków, a udostępnienie ma charakter jednorazowy i dotyczy określonych informacji niejawnych. Wykładnia językowa wyżej wymienionego przepisu, wskazuje, że wyrażenie pisemnej zgody na jednorazowe udostępnienie określonych informacji niejawnych osobie nieposiadającej odpowiedniego poświadczenia </w:t>
            </w:r>
            <w:r w:rsidRPr="009445DD">
              <w:rPr>
                <w:rFonts w:ascii="Times New Roman" w:eastAsia="Times New Roman" w:hAnsi="Times New Roman" w:cs="Times New Roman"/>
                <w:iCs/>
                <w:sz w:val="22"/>
                <w:szCs w:val="22"/>
              </w:rPr>
              <w:lastRenderedPageBreak/>
              <w:t>bezpieczeństwa może zostać uczynione jeden raz w odniesieniu do określonych informacji niejawnych. Ponadto zgoda na dostęp do informacji niejawnych w trybie ww. przepisów wydawana jest w stosunku do już zgromadzonych materiałów. Ustawa nie przewiduje trybu wydania jej na przyszłość. Ustawodawca nie przewidział możliwości wydawania „zgody wyprzedzającej” w odniesieniu do informacji przyszłych i nieokreślonych. Intencją ustawodawcy jest bezwzględna i kategoryczna ochrona informacji niejawnych przed nieuprawnionym dostępem z jednoczesnym uwzględnieniem szczególnie uzasadnionych przypadków, w których dostęp do informacji niejawnych może otrzymać osoba nieposiadająca odpowiedniego poświadczenia bezpieczeństwa. Zwroty użyte w przywołanym przepisie, tj. „mogą” oraz „w szczególnie uzasadnionych przypadkach” w sposób niebudzący wątpliwości wskazują na wyjątkowy tryb zastosowania, który w żadnym stopniu nie powinien nabierać cech powszechności.</w:t>
            </w:r>
          </w:p>
          <w:p w14:paraId="466F7F83" w14:textId="77777777" w:rsidR="00136CB7" w:rsidRPr="009445DD" w:rsidRDefault="00136CB7" w:rsidP="00136CB7">
            <w:pPr>
              <w:pStyle w:val="Bezodstpw"/>
              <w:spacing w:after="120"/>
              <w:jc w:val="both"/>
              <w:rPr>
                <w:rFonts w:ascii="Times New Roman" w:eastAsia="Times New Roman" w:hAnsi="Times New Roman" w:cs="Times New Roman"/>
                <w:iCs/>
                <w:lang w:eastAsia="pl-PL"/>
              </w:rPr>
            </w:pPr>
            <w:r w:rsidRPr="009445DD">
              <w:rPr>
                <w:rFonts w:ascii="Times New Roman" w:eastAsia="Times New Roman" w:hAnsi="Times New Roman" w:cs="Times New Roman"/>
                <w:iCs/>
                <w:lang w:eastAsia="pl-PL"/>
              </w:rPr>
              <w:t xml:space="preserve">Należy podkreślić, że np. Komendant Główny Straży Granicznej - jako kierownik urzędu centralnego - podejmując decyzję o udostępnieniu informacji niejawnych w trybie określonym w art. 34 ust. 5 ustawy, bierze na siebie w pełni odpowiedzialność za jej udostępnienie. W związku z powyższym </w:t>
            </w:r>
            <w:r w:rsidRPr="009445DD">
              <w:rPr>
                <w:rFonts w:ascii="Times New Roman" w:eastAsia="Times New Roman" w:hAnsi="Times New Roman" w:cs="Times New Roman"/>
                <w:b/>
                <w:bCs/>
                <w:iCs/>
                <w:lang w:eastAsia="pl-PL"/>
              </w:rPr>
              <w:t>wydanie zgody dla mikroprzedsiębiorcy albo małego przedsiębiorcy na podstawie aktualnie projektowanego rozporządzenia na jednorazowe udostępnienie informacji niejawnych osobie nieposiadającej odpowiedniego poświadczenia bezpieczeństwa pozostaje w  sprzeczności z rozwiązaniem ustawowym, czyniąc takie działanie jako powszechne i odbierając mu charakter wyjątkowości, tj. szczególnie uzasadnionego przypadku</w:t>
            </w:r>
            <w:r w:rsidRPr="009445DD">
              <w:rPr>
                <w:rFonts w:ascii="Times New Roman" w:eastAsia="Times New Roman" w:hAnsi="Times New Roman" w:cs="Times New Roman"/>
                <w:iCs/>
                <w:lang w:eastAsia="pl-PL"/>
              </w:rPr>
              <w:t xml:space="preserve">. Ustawowy obowiązek należytej ochrony informacji niejawnych, w związku z ewentualnym wejściem w życie przedmiotowego rozporządzenia w obecnym brzmieniu, może zostać zachwiany i może doprowadzić do utraty kontroli nad chronionymi informacjami. Informacje te mają szczególne znaczenie dla bezpieczeństwa państwa (interesu państwa), co stanowi naruszenie przepisów ustawy. </w:t>
            </w:r>
            <w:r w:rsidRPr="009445DD">
              <w:rPr>
                <w:rFonts w:ascii="Times New Roman" w:eastAsia="Times New Roman" w:hAnsi="Times New Roman" w:cs="Times New Roman"/>
                <w:b/>
                <w:bCs/>
                <w:iCs/>
                <w:lang w:eastAsia="pl-PL"/>
              </w:rPr>
              <w:t>Tryb określony w art. 34 ust. 5 pkt 1 oraz art. 54 ust. 8 ustawy jako szczególny powinien być zatem stosowany rzeczywiście w szczególnie uzasadnionych przypadkach stąd też interpretacja rozszerzająca tego przepisu jest niedopuszczalna.</w:t>
            </w:r>
            <w:r w:rsidRPr="009445DD">
              <w:rPr>
                <w:rFonts w:ascii="Times New Roman" w:eastAsia="Times New Roman" w:hAnsi="Times New Roman" w:cs="Times New Roman"/>
                <w:iCs/>
                <w:lang w:eastAsia="pl-PL"/>
              </w:rPr>
              <w:t xml:space="preserve"> Utrwaloną zasadą wywodzącą się z ustawy jest zasada ograniczonego dostępu, która stanowi, że informacje niejawne mogą być udostępnione wyłącznie osobie dającej rękojmię zachowania tajemnicy i tylko w zakresie niezbędnym do wykonywania przez nią pracy na zajmowanym stanowisku (tzw. zasada „need-to-know”). Dodatkowo należy podkreślić  art. 54 ust. 8 ww. ustawy odnosi się tylko do przedsiębiorcy wykonującego swoją działalność jednoosobowo i osobiście, który nie posiada odpowiedniego świadectwa lub poświadczenia bezpieczeństwa. W związku z powyższym nie może być zastosowany do małych przedsiębiorców. W uzasadnieniu do projektu rozporządzenia błędnie zatem przyjęto, że bezpieczeństwo proponowanej procedury jest zachowane w związku z </w:t>
            </w:r>
            <w:r w:rsidRPr="009445DD">
              <w:rPr>
                <w:rFonts w:ascii="Times New Roman" w:eastAsia="Times New Roman" w:hAnsi="Times New Roman" w:cs="Times New Roman"/>
                <w:iCs/>
                <w:lang w:eastAsia="pl-PL"/>
              </w:rPr>
              <w:lastRenderedPageBreak/>
              <w:t xml:space="preserve">przepisami rangi ustawowej, które stanowią, że zgodę na przyznanie jednorazowego dostępu do określonych informacji niejawnych mogą wydać Szefowie Kancelarii Prezydenta Rzeczypospolitej Polskiej, Kancelarii Sejmu, Kancelarii Senatu lub Kancelarii Prezesa Rady Ministrów albo minister właściwy dla określonego działu administracji rządowej, Prezes Narodowego Banku Polskiego, Prezes Najwyższej Izby Kontroli lub kierownik urzędu centralnego, a w przypadku ich braku Agencja Bezpieczeństwa Wewnętrznego albo Służba Kontrwywiadu Wojskowego. Reasumując projektowane rozporządzenie - w ocenie resortu spraw wewnętrznych i administracji - przewiduje niewłaściwą i rozszerzającą interpretację przepisów </w:t>
            </w:r>
            <w:r w:rsidRPr="009445DD">
              <w:rPr>
                <w:rFonts w:ascii="Times New Roman" w:eastAsia="Times New Roman" w:hAnsi="Times New Roman" w:cs="Times New Roman"/>
                <w:i/>
                <w:iCs/>
                <w:lang w:eastAsia="pl-PL"/>
              </w:rPr>
              <w:t>ustawy</w:t>
            </w:r>
            <w:r w:rsidRPr="009445DD">
              <w:rPr>
                <w:rFonts w:ascii="Times New Roman" w:eastAsia="Times New Roman" w:hAnsi="Times New Roman" w:cs="Times New Roman"/>
                <w:iCs/>
                <w:lang w:eastAsia="pl-PL"/>
              </w:rPr>
              <w:t xml:space="preserve"> </w:t>
            </w:r>
            <w:r w:rsidRPr="009445DD">
              <w:rPr>
                <w:rFonts w:ascii="Times New Roman" w:eastAsia="Times New Roman" w:hAnsi="Times New Roman" w:cs="Times New Roman"/>
                <w:i/>
                <w:iCs/>
                <w:lang w:eastAsia="pl-PL"/>
              </w:rPr>
              <w:t>o ochronie informacji niejawnych,</w:t>
            </w:r>
            <w:r w:rsidRPr="009445DD">
              <w:rPr>
                <w:rFonts w:ascii="Times New Roman" w:eastAsia="Times New Roman" w:hAnsi="Times New Roman" w:cs="Times New Roman"/>
                <w:iCs/>
                <w:lang w:eastAsia="pl-PL"/>
              </w:rPr>
              <w:t xml:space="preserve"> powodującą w rzeczywistości znaczne zmniejszenie poziomu bezpieczeństwa informacji niejawnych.</w:t>
            </w:r>
          </w:p>
          <w:p w14:paraId="232D518A" w14:textId="7909F974" w:rsidR="00D07A92" w:rsidRPr="009445DD" w:rsidRDefault="00D07A92" w:rsidP="00136CB7">
            <w:pPr>
              <w:pStyle w:val="Bezodstpw"/>
              <w:spacing w:after="120"/>
              <w:jc w:val="both"/>
              <w:rPr>
                <w:rFonts w:ascii="Times New Roman" w:hAnsi="Times New Roman" w:cs="Times New Roman"/>
              </w:rPr>
            </w:pPr>
            <w:r w:rsidRPr="009445DD">
              <w:rPr>
                <w:rFonts w:ascii="Times New Roman" w:eastAsia="Times New Roman" w:hAnsi="Times New Roman" w:cs="Times New Roman"/>
                <w:iCs/>
                <w:lang w:eastAsia="pl-PL"/>
              </w:rPr>
              <w:t>W przypadku odrzucenia przez projektodawcę przedstawionych argumentów o niezgodności projektowanych regulacji z ustawą, przyjęcie projektowanych rozwiązań będzie skutkować wydłużeniem czasu realizacji postanowienia sądu lub zarządzenia kontroli operacyjnej w trybie niecierpiącym zwłoki, tj. technicznego włączenia kontroli operacyjnej, o okres niezbędny do uzyskania zgody uprawnionego organu na jednorazowe dopuszczenie do informacji niejawnych.</w:t>
            </w:r>
          </w:p>
        </w:tc>
        <w:tc>
          <w:tcPr>
            <w:tcW w:w="4080" w:type="dxa"/>
            <w:tcBorders>
              <w:bottom w:val="single" w:sz="4" w:space="0" w:color="auto"/>
            </w:tcBorders>
          </w:tcPr>
          <w:p w14:paraId="3721EBE2" w14:textId="2BB5671C" w:rsidR="00A16DDA" w:rsidRPr="009445DD" w:rsidRDefault="00F27F8B" w:rsidP="004A531F">
            <w:pPr>
              <w:pStyle w:val="Bezodstpw"/>
              <w:jc w:val="both"/>
              <w:rPr>
                <w:rFonts w:ascii="Times New Roman" w:hAnsi="Times New Roman" w:cs="Times New Roman"/>
                <w:b/>
                <w:bCs/>
              </w:rPr>
            </w:pPr>
            <w:r w:rsidRPr="009445DD">
              <w:rPr>
                <w:rFonts w:ascii="Times New Roman" w:hAnsi="Times New Roman" w:cs="Times New Roman"/>
                <w:b/>
                <w:bCs/>
              </w:rPr>
              <w:lastRenderedPageBreak/>
              <w:t>Wyjaśnienie uwagi</w:t>
            </w:r>
          </w:p>
          <w:p w14:paraId="73497FA1" w14:textId="26D5452C" w:rsidR="001B6E2B" w:rsidRPr="009445DD" w:rsidRDefault="001B6E2B" w:rsidP="004A531F">
            <w:pPr>
              <w:pStyle w:val="Bezodstpw"/>
              <w:spacing w:after="120"/>
              <w:jc w:val="both"/>
              <w:rPr>
                <w:rFonts w:ascii="Times New Roman" w:hAnsi="Times New Roman" w:cs="Times New Roman"/>
              </w:rPr>
            </w:pPr>
            <w:r w:rsidRPr="009445DD">
              <w:rPr>
                <w:rFonts w:ascii="Times New Roman" w:hAnsi="Times New Roman" w:cs="Times New Roman"/>
              </w:rPr>
              <w:t xml:space="preserve">Propozycja stosowania trybu jednorazowego </w:t>
            </w:r>
            <w:r w:rsidR="001F3BEF" w:rsidRPr="009445DD">
              <w:rPr>
                <w:rFonts w:ascii="Times New Roman" w:hAnsi="Times New Roman" w:cs="Times New Roman"/>
              </w:rPr>
              <w:t>dostępu</w:t>
            </w:r>
            <w:r w:rsidRPr="009445DD">
              <w:rPr>
                <w:rFonts w:ascii="Times New Roman" w:hAnsi="Times New Roman" w:cs="Times New Roman"/>
              </w:rPr>
              <w:t xml:space="preserve"> do informacji niejawnych dla mikro- i małych przedsiębiorców jest znacznym </w:t>
            </w:r>
            <w:r w:rsidR="001F3BEF" w:rsidRPr="009445DD">
              <w:rPr>
                <w:rFonts w:ascii="Times New Roman" w:hAnsi="Times New Roman" w:cs="Times New Roman"/>
              </w:rPr>
              <w:t>złagodzeniem obowiązku dla tych przedsiębiorców. Biorąc pod uwagę skalę przeprowadzanych kontroli operacyjnych u</w:t>
            </w:r>
            <w:r w:rsidR="00EB2650">
              <w:rPr>
                <w:rFonts w:ascii="Times New Roman" w:hAnsi="Times New Roman" w:cs="Times New Roman"/>
              </w:rPr>
              <w:t> </w:t>
            </w:r>
            <w:r w:rsidR="001F3BEF" w:rsidRPr="009445DD">
              <w:rPr>
                <w:rFonts w:ascii="Times New Roman" w:hAnsi="Times New Roman" w:cs="Times New Roman"/>
              </w:rPr>
              <w:t>tych przedsiębiorców nie wydaje się uzasadnionym stwierdzenie, że taki tryb stanie się powszechny.</w:t>
            </w:r>
          </w:p>
          <w:p w14:paraId="0A4AB221" w14:textId="3E0265DF" w:rsidR="001F3BEF" w:rsidRPr="009445DD" w:rsidRDefault="001F3BEF" w:rsidP="004A531F">
            <w:pPr>
              <w:pStyle w:val="Bezodstpw"/>
              <w:jc w:val="both"/>
              <w:rPr>
                <w:rFonts w:ascii="Times New Roman" w:hAnsi="Times New Roman" w:cs="Times New Roman"/>
              </w:rPr>
            </w:pPr>
            <w:r w:rsidRPr="009445DD">
              <w:rPr>
                <w:rFonts w:ascii="Times New Roman" w:hAnsi="Times New Roman" w:cs="Times New Roman"/>
              </w:rPr>
              <w:t xml:space="preserve">W trakcie warsztatów </w:t>
            </w:r>
            <w:r w:rsidR="00F27F8B" w:rsidRPr="009445DD">
              <w:rPr>
                <w:rFonts w:ascii="Times New Roman" w:hAnsi="Times New Roman" w:cs="Times New Roman"/>
              </w:rPr>
              <w:t xml:space="preserve">zorganizowanych przez projektodawcę </w:t>
            </w:r>
            <w:r w:rsidR="00CD5AEA" w:rsidRPr="009445DD">
              <w:rPr>
                <w:rFonts w:ascii="Times New Roman" w:hAnsi="Times New Roman" w:cs="Times New Roman"/>
              </w:rPr>
              <w:t>z udziałem przedstawicieli uprawnionych podmiotów i</w:t>
            </w:r>
            <w:r w:rsidR="00EB2650">
              <w:rPr>
                <w:rFonts w:ascii="Times New Roman" w:hAnsi="Times New Roman" w:cs="Times New Roman"/>
              </w:rPr>
              <w:t> </w:t>
            </w:r>
            <w:r w:rsidR="00CD5AEA" w:rsidRPr="009445DD">
              <w:rPr>
                <w:rFonts w:ascii="Times New Roman" w:hAnsi="Times New Roman" w:cs="Times New Roman"/>
              </w:rPr>
              <w:t xml:space="preserve">przedsiębiorców telekomunikacyjnych </w:t>
            </w:r>
            <w:r w:rsidRPr="009445DD">
              <w:rPr>
                <w:rFonts w:ascii="Times New Roman" w:hAnsi="Times New Roman" w:cs="Times New Roman"/>
              </w:rPr>
              <w:t>ustalono, że powyższy tryb dla tych przedsiębiorców będzie utrzymany.</w:t>
            </w:r>
          </w:p>
          <w:p w14:paraId="1C9DCE16" w14:textId="290909D1" w:rsidR="00441DF0" w:rsidRPr="009445DD" w:rsidRDefault="00441DF0" w:rsidP="004A531F">
            <w:pPr>
              <w:pStyle w:val="Bezodstpw"/>
              <w:jc w:val="both"/>
              <w:rPr>
                <w:rFonts w:ascii="Times New Roman" w:hAnsi="Times New Roman" w:cs="Times New Roman"/>
              </w:rPr>
            </w:pPr>
            <w:r w:rsidRPr="009445DD">
              <w:rPr>
                <w:rFonts w:ascii="Times New Roman" w:hAnsi="Times New Roman" w:cs="Times New Roman"/>
              </w:rPr>
              <w:t>W uzasadnieniu do projektu rozporządzenia wskazano, że: „</w:t>
            </w:r>
            <w:r w:rsidRPr="009445DD">
              <w:rPr>
                <w:rFonts w:ascii="Times New Roman" w:hAnsi="Times New Roman" w:cs="Times New Roman"/>
                <w:i/>
                <w:iCs/>
              </w:rPr>
              <w:t>Możliwość udzielania jednorazowej zgody na dostęp do informacji niejawnych, wydawanej na podstawie art. 34 i 54 ustawy o ochronie informacji niejawnych, przedstawicielowi przedsiębiorcy telekomunikacyjnego (zwolnionego z obowiązku posiadania poświadczenia bezpieczeństwa lub świadectwa bezpieczeństwa przemysłowego) jest warunkiem koniecznym do zapoznania go ze zanonimizowaną częścią niejawnego dokumentu, tj. postanowienia sądu lub zarządzenia szefa uprawionego podmiotu w</w:t>
            </w:r>
            <w:r w:rsidR="00EB2650">
              <w:rPr>
                <w:rFonts w:ascii="Times New Roman" w:hAnsi="Times New Roman" w:cs="Times New Roman"/>
                <w:i/>
                <w:iCs/>
              </w:rPr>
              <w:t> </w:t>
            </w:r>
            <w:r w:rsidRPr="009445DD">
              <w:rPr>
                <w:rFonts w:ascii="Times New Roman" w:hAnsi="Times New Roman" w:cs="Times New Roman"/>
                <w:i/>
                <w:iCs/>
              </w:rPr>
              <w:t xml:space="preserve">przypadkach niecierpiących zwłoki dla możliwości technicznej realizacji zadań uprawnionego podmiotu. Jednocześnie </w:t>
            </w:r>
            <w:r w:rsidRPr="009445DD">
              <w:rPr>
                <w:rFonts w:ascii="Times New Roman" w:hAnsi="Times New Roman" w:cs="Times New Roman"/>
                <w:i/>
                <w:iCs/>
              </w:rPr>
              <w:lastRenderedPageBreak/>
              <w:t>należy podkreślić, że zgodnie z brzmieniem art. 34 ust. 5 ustawy z dnia 5 sierpnia 20</w:t>
            </w:r>
            <w:r w:rsidR="00EB2650">
              <w:rPr>
                <w:rFonts w:ascii="Times New Roman" w:hAnsi="Times New Roman" w:cs="Times New Roman"/>
                <w:i/>
                <w:iCs/>
              </w:rPr>
              <w:t>10 </w:t>
            </w:r>
            <w:r w:rsidRPr="009445DD">
              <w:rPr>
                <w:rFonts w:ascii="Times New Roman" w:hAnsi="Times New Roman" w:cs="Times New Roman"/>
                <w:i/>
                <w:iCs/>
              </w:rPr>
              <w:t>r. o ochronie informacji niejawnych pisemną, jednorazową zgodę wyraża, w</w:t>
            </w:r>
            <w:r w:rsidR="00EB2650">
              <w:rPr>
                <w:rFonts w:ascii="Times New Roman" w:hAnsi="Times New Roman" w:cs="Times New Roman"/>
                <w:i/>
                <w:iCs/>
              </w:rPr>
              <w:t> </w:t>
            </w:r>
            <w:r w:rsidRPr="009445DD">
              <w:rPr>
                <w:rFonts w:ascii="Times New Roman" w:hAnsi="Times New Roman" w:cs="Times New Roman"/>
                <w:i/>
                <w:iCs/>
              </w:rPr>
              <w:t>szczególnie uzasadnionych przypadkach, kierownik urzędu centralnego, w tym m. in. Szef Agencji Bezpieczeństwa Wewnętrznego lub Szef Służby Kontrwywiadu Wojskowego. Przedmiotowy przepis przewiduje również odrębne uprawnienie dla Szefa Agencji Bezpieczeństwa Wewnętrznego, albo Szefa Służby Kontrwywiadu Wojskowego, gdy zaistnieje szczególnie uzasadniona potrzeba jednorazowego udostępnienia określonych informacji niejawnych osobie nieposiadającej odpowiedniego poświadczenia bezpieczeństwa, a brak jest kierownika urzędu centralnego, który mógłby wyrazić taką zgodę.</w:t>
            </w:r>
            <w:r w:rsidRPr="009445DD">
              <w:rPr>
                <w:rFonts w:ascii="Times New Roman" w:hAnsi="Times New Roman" w:cs="Times New Roman"/>
              </w:rPr>
              <w:t>”</w:t>
            </w:r>
            <w:r w:rsidR="00EB2650">
              <w:rPr>
                <w:rFonts w:ascii="Times New Roman" w:hAnsi="Times New Roman" w:cs="Times New Roman"/>
              </w:rPr>
              <w:t>.</w:t>
            </w:r>
          </w:p>
        </w:tc>
      </w:tr>
      <w:tr w:rsidR="00B075CA" w:rsidRPr="009445DD" w14:paraId="261A6272" w14:textId="77777777" w:rsidTr="004A531F">
        <w:tc>
          <w:tcPr>
            <w:tcW w:w="596" w:type="dxa"/>
            <w:tcBorders>
              <w:bottom w:val="single" w:sz="4" w:space="0" w:color="auto"/>
            </w:tcBorders>
          </w:tcPr>
          <w:p w14:paraId="57A48B3C" w14:textId="77777777" w:rsidR="00B075CA" w:rsidRPr="009445DD" w:rsidRDefault="00B075CA" w:rsidP="004A531F">
            <w:pPr>
              <w:pStyle w:val="Bezodstpw"/>
              <w:numPr>
                <w:ilvl w:val="0"/>
                <w:numId w:val="2"/>
              </w:numPr>
              <w:ind w:left="171" w:hanging="171"/>
              <w:jc w:val="center"/>
              <w:rPr>
                <w:rFonts w:ascii="Times New Roman" w:hAnsi="Times New Roman" w:cs="Times New Roman"/>
              </w:rPr>
            </w:pPr>
          </w:p>
        </w:tc>
        <w:tc>
          <w:tcPr>
            <w:tcW w:w="1413" w:type="dxa"/>
            <w:tcBorders>
              <w:bottom w:val="single" w:sz="4" w:space="0" w:color="auto"/>
            </w:tcBorders>
          </w:tcPr>
          <w:p w14:paraId="5E7E628C" w14:textId="383F2820" w:rsidR="00B075CA" w:rsidRPr="009445DD" w:rsidRDefault="00B075CA" w:rsidP="00B075CA">
            <w:pPr>
              <w:pStyle w:val="Bezodstpw"/>
              <w:jc w:val="center"/>
              <w:rPr>
                <w:rFonts w:ascii="Times New Roman" w:hAnsi="Times New Roman" w:cs="Times New Roman"/>
              </w:rPr>
            </w:pPr>
            <w:r w:rsidRPr="009445DD">
              <w:rPr>
                <w:rFonts w:ascii="Times New Roman" w:hAnsi="Times New Roman" w:cs="Times New Roman"/>
              </w:rPr>
              <w:t>§ 5 ust. 2 pkt 2</w:t>
            </w:r>
          </w:p>
        </w:tc>
        <w:tc>
          <w:tcPr>
            <w:tcW w:w="1400" w:type="dxa"/>
            <w:tcBorders>
              <w:bottom w:val="single" w:sz="4" w:space="0" w:color="auto"/>
            </w:tcBorders>
          </w:tcPr>
          <w:p w14:paraId="379B2154" w14:textId="4FDE4530" w:rsidR="00B075CA" w:rsidRPr="009445DD" w:rsidRDefault="00831046" w:rsidP="00B075CA">
            <w:pPr>
              <w:pStyle w:val="Bezodstpw"/>
              <w:jc w:val="center"/>
              <w:rPr>
                <w:rFonts w:ascii="Times New Roman" w:hAnsi="Times New Roman" w:cs="Times New Roman"/>
                <w:b/>
                <w:bCs/>
              </w:rPr>
            </w:pPr>
            <w:r w:rsidRPr="009445DD">
              <w:rPr>
                <w:rFonts w:ascii="Times New Roman" w:hAnsi="Times New Roman" w:cs="Times New Roman"/>
                <w:b/>
                <w:bCs/>
              </w:rPr>
              <w:t>Minister</w:t>
            </w:r>
            <w:r w:rsidR="004A531F" w:rsidRPr="009445DD">
              <w:rPr>
                <w:rFonts w:ascii="Times New Roman" w:hAnsi="Times New Roman" w:cs="Times New Roman"/>
                <w:b/>
                <w:bCs/>
              </w:rPr>
              <w:t xml:space="preserve"> </w:t>
            </w:r>
            <w:r w:rsidR="00B075CA" w:rsidRPr="009445DD">
              <w:rPr>
                <w:rFonts w:ascii="Times New Roman" w:hAnsi="Times New Roman" w:cs="Times New Roman"/>
                <w:b/>
                <w:bCs/>
              </w:rPr>
              <w:t>Finansów i Gospodarki</w:t>
            </w:r>
          </w:p>
          <w:p w14:paraId="31978853" w14:textId="1D1116BC" w:rsidR="00FB6D6D" w:rsidRPr="009445DD" w:rsidRDefault="00FB6D6D" w:rsidP="00B075CA">
            <w:pPr>
              <w:pStyle w:val="Bezodstpw"/>
              <w:jc w:val="center"/>
              <w:rPr>
                <w:rFonts w:ascii="Times New Roman" w:hAnsi="Times New Roman" w:cs="Times New Roman"/>
                <w:b/>
                <w:bCs/>
              </w:rPr>
            </w:pPr>
            <w:r w:rsidRPr="009445DD">
              <w:rPr>
                <w:rFonts w:ascii="Times New Roman" w:hAnsi="Times New Roman" w:cs="Times New Roman"/>
                <w:b/>
                <w:bCs/>
              </w:rPr>
              <w:t xml:space="preserve">(w zakresie </w:t>
            </w:r>
            <w:r w:rsidR="00831046" w:rsidRPr="009445DD">
              <w:rPr>
                <w:rFonts w:ascii="Times New Roman" w:hAnsi="Times New Roman" w:cs="Times New Roman"/>
                <w:b/>
                <w:bCs/>
              </w:rPr>
              <w:t>Ministerstwa Rozwoju i Technologii</w:t>
            </w:r>
            <w:r w:rsidRPr="009445DD">
              <w:rPr>
                <w:rFonts w:ascii="Times New Roman" w:hAnsi="Times New Roman" w:cs="Times New Roman"/>
                <w:b/>
                <w:bCs/>
              </w:rPr>
              <w:t>)</w:t>
            </w:r>
          </w:p>
        </w:tc>
        <w:tc>
          <w:tcPr>
            <w:tcW w:w="7674" w:type="dxa"/>
            <w:tcBorders>
              <w:bottom w:val="single" w:sz="4" w:space="0" w:color="auto"/>
            </w:tcBorders>
          </w:tcPr>
          <w:p w14:paraId="1D55AE79" w14:textId="5A92BE2C" w:rsidR="00B075CA" w:rsidRPr="009445DD" w:rsidRDefault="00B075CA" w:rsidP="00BF189C">
            <w:pPr>
              <w:pStyle w:val="Bezodstpw"/>
              <w:jc w:val="both"/>
              <w:rPr>
                <w:rFonts w:ascii="Times New Roman" w:hAnsi="Times New Roman" w:cs="Times New Roman"/>
              </w:rPr>
            </w:pPr>
            <w:r w:rsidRPr="009445DD">
              <w:rPr>
                <w:rFonts w:ascii="Times New Roman" w:hAnsi="Times New Roman" w:cs="Times New Roman"/>
              </w:rPr>
              <w:t>Art. 34 ust. 5 pkt 1 lub art. 54 ust. 8 ustawy OIN nie dotyczy warunków dostępu i utrwalania,</w:t>
            </w:r>
            <w:r w:rsidR="00635512" w:rsidRPr="009445DD">
              <w:rPr>
                <w:rFonts w:ascii="Times New Roman" w:hAnsi="Times New Roman" w:cs="Times New Roman"/>
              </w:rPr>
              <w:t xml:space="preserve"> </w:t>
            </w:r>
            <w:r w:rsidRPr="009445DD">
              <w:rPr>
                <w:rFonts w:ascii="Times New Roman" w:hAnsi="Times New Roman" w:cs="Times New Roman"/>
              </w:rPr>
              <w:t>a jedynie zgody na jednorazowe udostępnienie określonych informacji niejawnych osobie</w:t>
            </w:r>
            <w:r w:rsidR="00635512" w:rsidRPr="009445DD">
              <w:rPr>
                <w:rFonts w:ascii="Times New Roman" w:hAnsi="Times New Roman" w:cs="Times New Roman"/>
              </w:rPr>
              <w:t xml:space="preserve"> </w:t>
            </w:r>
            <w:r w:rsidRPr="009445DD">
              <w:rPr>
                <w:rFonts w:ascii="Times New Roman" w:hAnsi="Times New Roman" w:cs="Times New Roman"/>
              </w:rPr>
              <w:t>nieposiadającej odpowiedniego poświadczenia bezpieczeństwa. Natomiast dokumentem</w:t>
            </w:r>
            <w:r w:rsidR="00635512" w:rsidRPr="009445DD">
              <w:rPr>
                <w:rFonts w:ascii="Times New Roman" w:hAnsi="Times New Roman" w:cs="Times New Roman"/>
              </w:rPr>
              <w:t xml:space="preserve"> </w:t>
            </w:r>
            <w:r w:rsidRPr="009445DD">
              <w:rPr>
                <w:rFonts w:ascii="Times New Roman" w:hAnsi="Times New Roman" w:cs="Times New Roman"/>
              </w:rPr>
              <w:t>potwierdzającym zdolność przedsiębiorcy do zapewnienia ochrony informacji niejawnych</w:t>
            </w:r>
            <w:r w:rsidR="00635512" w:rsidRPr="009445DD">
              <w:rPr>
                <w:rFonts w:ascii="Times New Roman" w:hAnsi="Times New Roman" w:cs="Times New Roman"/>
              </w:rPr>
              <w:t xml:space="preserve"> </w:t>
            </w:r>
            <w:r w:rsidRPr="009445DD">
              <w:rPr>
                <w:rFonts w:ascii="Times New Roman" w:hAnsi="Times New Roman" w:cs="Times New Roman"/>
              </w:rPr>
              <w:t>przed ich nieuprawnionym ujawnieniem w związku z realizacją umów lub zadań, zgodnie</w:t>
            </w:r>
            <w:r w:rsidR="00635512" w:rsidRPr="009445DD">
              <w:rPr>
                <w:rFonts w:ascii="Times New Roman" w:hAnsi="Times New Roman" w:cs="Times New Roman"/>
              </w:rPr>
              <w:t xml:space="preserve"> </w:t>
            </w:r>
            <w:r w:rsidRPr="009445DD">
              <w:rPr>
                <w:rFonts w:ascii="Times New Roman" w:hAnsi="Times New Roman" w:cs="Times New Roman"/>
              </w:rPr>
              <w:t>z ustawą OIN, jest świadectwo bezpieczeństwa przemysłowego.</w:t>
            </w:r>
          </w:p>
        </w:tc>
        <w:tc>
          <w:tcPr>
            <w:tcW w:w="4080" w:type="dxa"/>
            <w:tcBorders>
              <w:bottom w:val="single" w:sz="4" w:space="0" w:color="auto"/>
            </w:tcBorders>
          </w:tcPr>
          <w:p w14:paraId="7C35D1C6" w14:textId="6E33F44B" w:rsidR="00B075CA" w:rsidRPr="009445DD" w:rsidRDefault="002A4055" w:rsidP="004A531F">
            <w:pPr>
              <w:pStyle w:val="Bezodstpw"/>
              <w:jc w:val="both"/>
              <w:rPr>
                <w:rFonts w:ascii="Times New Roman" w:hAnsi="Times New Roman" w:cs="Times New Roman"/>
                <w:b/>
                <w:bCs/>
              </w:rPr>
            </w:pPr>
            <w:r w:rsidRPr="009445DD">
              <w:rPr>
                <w:rFonts w:ascii="Times New Roman" w:hAnsi="Times New Roman" w:cs="Times New Roman"/>
                <w:b/>
                <w:bCs/>
              </w:rPr>
              <w:t>Wyjaśnienie</w:t>
            </w:r>
            <w:r w:rsidR="00F27F8B" w:rsidRPr="009445DD">
              <w:rPr>
                <w:rFonts w:ascii="Times New Roman" w:hAnsi="Times New Roman" w:cs="Times New Roman"/>
                <w:b/>
                <w:bCs/>
              </w:rPr>
              <w:t xml:space="preserve"> uwagi</w:t>
            </w:r>
          </w:p>
          <w:p w14:paraId="7B131505" w14:textId="13F2F245" w:rsidR="00B075CA" w:rsidRPr="009445DD" w:rsidRDefault="00B075CA" w:rsidP="004A531F">
            <w:pPr>
              <w:pStyle w:val="Bezodstpw"/>
              <w:jc w:val="both"/>
              <w:rPr>
                <w:rFonts w:ascii="Times New Roman" w:hAnsi="Times New Roman" w:cs="Times New Roman"/>
              </w:rPr>
            </w:pPr>
            <w:r w:rsidRPr="009445DD">
              <w:rPr>
                <w:rFonts w:ascii="Times New Roman" w:hAnsi="Times New Roman" w:cs="Times New Roman"/>
              </w:rPr>
              <w:t xml:space="preserve">Zgodnie z art. 43 ust. 1 pkt 1 </w:t>
            </w:r>
            <w:r w:rsidR="00F27F8B" w:rsidRPr="009445DD">
              <w:rPr>
                <w:rFonts w:ascii="Times New Roman" w:hAnsi="Times New Roman" w:cs="Times New Roman"/>
              </w:rPr>
              <w:t xml:space="preserve">PKE </w:t>
            </w:r>
            <w:r w:rsidRPr="009445DD">
              <w:rPr>
                <w:rFonts w:ascii="Times New Roman" w:hAnsi="Times New Roman" w:cs="Times New Roman"/>
              </w:rPr>
              <w:t>warunki dostępu i utrwalania to zapewnienie warunków technicznych i organizacyjnych, które umożliwiają uzyskiwanie przez uprawnione podmioty dostępu do komunikatów elektronicznych i danych abonentów. Aby taki dostęp zapewnić pracownik przedsiębiorcy musi posiadać dostęp do informacji niejawnych. W</w:t>
            </w:r>
            <w:r w:rsidR="00EB2650">
              <w:rPr>
                <w:rFonts w:ascii="Times New Roman" w:hAnsi="Times New Roman" w:cs="Times New Roman"/>
              </w:rPr>
              <w:t> </w:t>
            </w:r>
            <w:r w:rsidRPr="009445DD">
              <w:rPr>
                <w:rFonts w:ascii="Times New Roman" w:hAnsi="Times New Roman" w:cs="Times New Roman"/>
              </w:rPr>
              <w:t>przypadku mikro i małych przedsiębiorców, celem odciążenia ich z</w:t>
            </w:r>
            <w:r w:rsidR="00EB2650">
              <w:rPr>
                <w:rFonts w:ascii="Times New Roman" w:hAnsi="Times New Roman" w:cs="Times New Roman"/>
              </w:rPr>
              <w:t> </w:t>
            </w:r>
            <w:r w:rsidRPr="009445DD">
              <w:rPr>
                <w:rFonts w:ascii="Times New Roman" w:hAnsi="Times New Roman" w:cs="Times New Roman"/>
              </w:rPr>
              <w:t>obowiązków wynikających z UOIN, proponuje się „doraźne”</w:t>
            </w:r>
            <w:r w:rsidR="00D62B09" w:rsidRPr="009445DD">
              <w:rPr>
                <w:rFonts w:ascii="Times New Roman" w:hAnsi="Times New Roman" w:cs="Times New Roman"/>
              </w:rPr>
              <w:t>, jednorazowe</w:t>
            </w:r>
            <w:r w:rsidRPr="009445DD">
              <w:rPr>
                <w:rFonts w:ascii="Times New Roman" w:hAnsi="Times New Roman" w:cs="Times New Roman"/>
              </w:rPr>
              <w:t xml:space="preserve"> przyznanie dostępu do informacji niejawnych. Nieracjonalne jest nakładanie</w:t>
            </w:r>
            <w:r w:rsidR="00C82929" w:rsidRPr="009445DD">
              <w:rPr>
                <w:rFonts w:ascii="Times New Roman" w:hAnsi="Times New Roman" w:cs="Times New Roman"/>
              </w:rPr>
              <w:t xml:space="preserve"> n</w:t>
            </w:r>
            <w:r w:rsidRPr="009445DD">
              <w:rPr>
                <w:rFonts w:ascii="Times New Roman" w:hAnsi="Times New Roman" w:cs="Times New Roman"/>
              </w:rPr>
              <w:t>a tych przedsiębiorców obowiązku posiadania świadectwa bezpieczeństwa przemysłowego.</w:t>
            </w:r>
          </w:p>
        </w:tc>
      </w:tr>
      <w:tr w:rsidR="00B075CA" w:rsidRPr="009445DD" w14:paraId="79DA3841" w14:textId="77777777" w:rsidTr="004A531F">
        <w:tc>
          <w:tcPr>
            <w:tcW w:w="596" w:type="dxa"/>
            <w:tcBorders>
              <w:bottom w:val="single" w:sz="4" w:space="0" w:color="auto"/>
            </w:tcBorders>
          </w:tcPr>
          <w:p w14:paraId="3E7349C0" w14:textId="77777777" w:rsidR="00B075CA" w:rsidRPr="009445DD" w:rsidRDefault="00B075CA" w:rsidP="004A531F">
            <w:pPr>
              <w:pStyle w:val="Bezodstpw"/>
              <w:numPr>
                <w:ilvl w:val="0"/>
                <w:numId w:val="2"/>
              </w:numPr>
              <w:ind w:left="171" w:hanging="171"/>
              <w:jc w:val="center"/>
              <w:rPr>
                <w:rFonts w:ascii="Times New Roman" w:hAnsi="Times New Roman" w:cs="Times New Roman"/>
              </w:rPr>
            </w:pPr>
          </w:p>
        </w:tc>
        <w:tc>
          <w:tcPr>
            <w:tcW w:w="1413" w:type="dxa"/>
            <w:tcBorders>
              <w:bottom w:val="single" w:sz="4" w:space="0" w:color="auto"/>
            </w:tcBorders>
          </w:tcPr>
          <w:p w14:paraId="67E12749" w14:textId="60A2508E" w:rsidR="00B075CA" w:rsidRPr="009445DD" w:rsidRDefault="00B075CA" w:rsidP="00B075CA">
            <w:pPr>
              <w:pStyle w:val="Bezodstpw"/>
              <w:jc w:val="center"/>
              <w:rPr>
                <w:rFonts w:ascii="Times New Roman" w:hAnsi="Times New Roman" w:cs="Times New Roman"/>
              </w:rPr>
            </w:pPr>
            <w:r w:rsidRPr="009445DD">
              <w:rPr>
                <w:rFonts w:ascii="Times New Roman" w:hAnsi="Times New Roman" w:cs="Times New Roman"/>
              </w:rPr>
              <w:t>§ 6</w:t>
            </w:r>
          </w:p>
        </w:tc>
        <w:tc>
          <w:tcPr>
            <w:tcW w:w="1400" w:type="dxa"/>
            <w:tcBorders>
              <w:bottom w:val="single" w:sz="4" w:space="0" w:color="auto"/>
            </w:tcBorders>
          </w:tcPr>
          <w:p w14:paraId="43AD01DF" w14:textId="4DF954CA" w:rsidR="00B075CA" w:rsidRPr="009445DD" w:rsidRDefault="00B075CA" w:rsidP="00B075CA">
            <w:pPr>
              <w:pStyle w:val="Bezodstpw"/>
              <w:jc w:val="center"/>
              <w:rPr>
                <w:rFonts w:ascii="Times New Roman" w:hAnsi="Times New Roman" w:cs="Times New Roman"/>
                <w:b/>
                <w:bCs/>
              </w:rPr>
            </w:pPr>
            <w:r w:rsidRPr="009445DD">
              <w:rPr>
                <w:rFonts w:ascii="Times New Roman" w:hAnsi="Times New Roman" w:cs="Times New Roman"/>
                <w:b/>
                <w:bCs/>
              </w:rPr>
              <w:t>Koordynator Służb Specjalnych</w:t>
            </w:r>
          </w:p>
        </w:tc>
        <w:tc>
          <w:tcPr>
            <w:tcW w:w="7674" w:type="dxa"/>
            <w:tcBorders>
              <w:bottom w:val="single" w:sz="4" w:space="0" w:color="auto"/>
            </w:tcBorders>
          </w:tcPr>
          <w:p w14:paraId="5F2DA67F" w14:textId="0051C0A2" w:rsidR="00B075CA" w:rsidRPr="009445DD" w:rsidRDefault="00B075CA" w:rsidP="00BF189C">
            <w:pPr>
              <w:pStyle w:val="Bezodstpw"/>
              <w:jc w:val="both"/>
              <w:rPr>
                <w:rFonts w:ascii="Times New Roman" w:hAnsi="Times New Roman" w:cs="Times New Roman"/>
              </w:rPr>
            </w:pPr>
            <w:r w:rsidRPr="009445DD">
              <w:rPr>
                <w:rFonts w:ascii="Times New Roman" w:hAnsi="Times New Roman" w:cs="Times New Roman"/>
              </w:rPr>
              <w:t>Proponuję uzupełnić § 6 projektu o dodatkowe obowiązki przedsiębiorcy</w:t>
            </w:r>
            <w:r w:rsidR="00635512" w:rsidRPr="009445DD">
              <w:rPr>
                <w:rFonts w:ascii="Times New Roman" w:hAnsi="Times New Roman" w:cs="Times New Roman"/>
              </w:rPr>
              <w:t xml:space="preserve"> </w:t>
            </w:r>
            <w:r w:rsidRPr="009445DD">
              <w:rPr>
                <w:rFonts w:ascii="Times New Roman" w:hAnsi="Times New Roman" w:cs="Times New Roman"/>
              </w:rPr>
              <w:t>telekomunikacyjnego analogiczne do wymagań urządzenia przedsiębiorcy, o którym</w:t>
            </w:r>
            <w:r w:rsidR="00635512" w:rsidRPr="009445DD">
              <w:rPr>
                <w:rFonts w:ascii="Times New Roman" w:hAnsi="Times New Roman" w:cs="Times New Roman"/>
              </w:rPr>
              <w:t xml:space="preserve"> </w:t>
            </w:r>
            <w:r w:rsidRPr="009445DD">
              <w:rPr>
                <w:rFonts w:ascii="Times New Roman" w:hAnsi="Times New Roman" w:cs="Times New Roman"/>
              </w:rPr>
              <w:t xml:space="preserve">mowa w § 4 ust. 2 projektu, w szczególności zapewnienia skutecznego </w:t>
            </w:r>
            <w:r w:rsidRPr="009445DD">
              <w:rPr>
                <w:rFonts w:ascii="Times New Roman" w:hAnsi="Times New Roman" w:cs="Times New Roman"/>
              </w:rPr>
              <w:lastRenderedPageBreak/>
              <w:t>przekazania</w:t>
            </w:r>
            <w:r w:rsidR="00635512" w:rsidRPr="009445DD">
              <w:rPr>
                <w:rFonts w:ascii="Times New Roman" w:hAnsi="Times New Roman" w:cs="Times New Roman"/>
              </w:rPr>
              <w:t xml:space="preserve"> </w:t>
            </w:r>
            <w:r w:rsidRPr="009445DD">
              <w:rPr>
                <w:rFonts w:ascii="Times New Roman" w:hAnsi="Times New Roman" w:cs="Times New Roman"/>
              </w:rPr>
              <w:t>komunikatu elektronicznego i związanych z nim danych do systemów uprawnionych</w:t>
            </w:r>
            <w:r w:rsidR="00635512" w:rsidRPr="009445DD">
              <w:rPr>
                <w:rFonts w:ascii="Times New Roman" w:hAnsi="Times New Roman" w:cs="Times New Roman"/>
              </w:rPr>
              <w:t xml:space="preserve"> </w:t>
            </w:r>
            <w:r w:rsidRPr="009445DD">
              <w:rPr>
                <w:rFonts w:ascii="Times New Roman" w:hAnsi="Times New Roman" w:cs="Times New Roman"/>
              </w:rPr>
              <w:t>podmiotów, a następnie niezwłoczne usunięcie informacji, w tym związanych z</w:t>
            </w:r>
            <w:r w:rsidR="00635512" w:rsidRPr="009445DD">
              <w:rPr>
                <w:rFonts w:ascii="Times New Roman" w:hAnsi="Times New Roman" w:cs="Times New Roman"/>
              </w:rPr>
              <w:t xml:space="preserve"> </w:t>
            </w:r>
            <w:r w:rsidRPr="009445DD">
              <w:rPr>
                <w:rFonts w:ascii="Times New Roman" w:hAnsi="Times New Roman" w:cs="Times New Roman"/>
              </w:rPr>
              <w:t>przesłanymi komunikatami elektronicznymi i danymi.</w:t>
            </w:r>
          </w:p>
        </w:tc>
        <w:tc>
          <w:tcPr>
            <w:tcW w:w="4080" w:type="dxa"/>
            <w:tcBorders>
              <w:bottom w:val="single" w:sz="4" w:space="0" w:color="auto"/>
            </w:tcBorders>
          </w:tcPr>
          <w:p w14:paraId="7368A9C2" w14:textId="32D1A4B6" w:rsidR="00A50F44" w:rsidRPr="009445DD" w:rsidRDefault="00F27F8B" w:rsidP="004A531F">
            <w:pPr>
              <w:pStyle w:val="Bezodstpw"/>
              <w:jc w:val="both"/>
              <w:rPr>
                <w:rFonts w:ascii="Times New Roman" w:hAnsi="Times New Roman" w:cs="Times New Roman"/>
                <w:b/>
                <w:bCs/>
              </w:rPr>
            </w:pPr>
            <w:r w:rsidRPr="009445DD">
              <w:rPr>
                <w:rFonts w:ascii="Times New Roman" w:hAnsi="Times New Roman" w:cs="Times New Roman"/>
                <w:b/>
                <w:bCs/>
              </w:rPr>
              <w:lastRenderedPageBreak/>
              <w:t>Wyjaśnienie uwagi</w:t>
            </w:r>
          </w:p>
          <w:p w14:paraId="755931D9" w14:textId="7446641B" w:rsidR="00C82929" w:rsidRPr="009445DD" w:rsidRDefault="00C82929" w:rsidP="004A531F">
            <w:pPr>
              <w:pStyle w:val="Bezodstpw"/>
              <w:jc w:val="both"/>
              <w:rPr>
                <w:rFonts w:ascii="Times New Roman" w:hAnsi="Times New Roman" w:cs="Times New Roman"/>
              </w:rPr>
            </w:pPr>
            <w:r w:rsidRPr="009445DD">
              <w:rPr>
                <w:rFonts w:ascii="Times New Roman" w:hAnsi="Times New Roman" w:cs="Times New Roman"/>
              </w:rPr>
              <w:lastRenderedPageBreak/>
              <w:t>Wymagania dla interfejsu LI HI są określone w rozporządzeniu wyda</w:t>
            </w:r>
            <w:r w:rsidR="00F27F8B" w:rsidRPr="009445DD">
              <w:rPr>
                <w:rFonts w:ascii="Times New Roman" w:hAnsi="Times New Roman" w:cs="Times New Roman"/>
              </w:rPr>
              <w:t>wanym</w:t>
            </w:r>
            <w:r w:rsidRPr="009445DD">
              <w:rPr>
                <w:rFonts w:ascii="Times New Roman" w:hAnsi="Times New Roman" w:cs="Times New Roman"/>
              </w:rPr>
              <w:t xml:space="preserve"> na podstawie art. 46 ust. 2 </w:t>
            </w:r>
            <w:r w:rsidR="00F27F8B" w:rsidRPr="009445DD">
              <w:rPr>
                <w:rFonts w:ascii="Times New Roman" w:hAnsi="Times New Roman" w:cs="Times New Roman"/>
              </w:rPr>
              <w:t>PKE</w:t>
            </w:r>
            <w:r w:rsidRPr="009445DD">
              <w:rPr>
                <w:rFonts w:ascii="Times New Roman" w:hAnsi="Times New Roman" w:cs="Times New Roman"/>
              </w:rPr>
              <w:t>.</w:t>
            </w:r>
          </w:p>
        </w:tc>
      </w:tr>
      <w:tr w:rsidR="008A2977" w:rsidRPr="009445DD" w14:paraId="03854D1D" w14:textId="77777777" w:rsidTr="004A531F">
        <w:tc>
          <w:tcPr>
            <w:tcW w:w="596" w:type="dxa"/>
            <w:tcBorders>
              <w:bottom w:val="single" w:sz="4" w:space="0" w:color="auto"/>
            </w:tcBorders>
          </w:tcPr>
          <w:p w14:paraId="46742A7D" w14:textId="77777777" w:rsidR="008A2977" w:rsidRPr="009445DD" w:rsidRDefault="008A2977" w:rsidP="004A531F">
            <w:pPr>
              <w:pStyle w:val="Bezodstpw"/>
              <w:numPr>
                <w:ilvl w:val="0"/>
                <w:numId w:val="2"/>
              </w:numPr>
              <w:ind w:left="171" w:hanging="171"/>
              <w:jc w:val="center"/>
              <w:rPr>
                <w:rFonts w:ascii="Times New Roman" w:hAnsi="Times New Roman" w:cs="Times New Roman"/>
              </w:rPr>
            </w:pPr>
          </w:p>
        </w:tc>
        <w:tc>
          <w:tcPr>
            <w:tcW w:w="1413" w:type="dxa"/>
            <w:tcBorders>
              <w:bottom w:val="single" w:sz="4" w:space="0" w:color="auto"/>
            </w:tcBorders>
          </w:tcPr>
          <w:p w14:paraId="718EE0D6" w14:textId="26C5E703" w:rsidR="008A2977" w:rsidRPr="009445DD" w:rsidRDefault="008A2977" w:rsidP="008A2977">
            <w:pPr>
              <w:pStyle w:val="Bezodstpw"/>
              <w:jc w:val="center"/>
              <w:rPr>
                <w:rFonts w:ascii="Times New Roman" w:hAnsi="Times New Roman" w:cs="Times New Roman"/>
              </w:rPr>
            </w:pPr>
            <w:r w:rsidRPr="009445DD">
              <w:rPr>
                <w:rFonts w:ascii="Times New Roman" w:hAnsi="Times New Roman" w:cs="Times New Roman"/>
              </w:rPr>
              <w:t>§ 6</w:t>
            </w:r>
          </w:p>
        </w:tc>
        <w:tc>
          <w:tcPr>
            <w:tcW w:w="1400" w:type="dxa"/>
            <w:tcBorders>
              <w:bottom w:val="single" w:sz="4" w:space="0" w:color="auto"/>
            </w:tcBorders>
          </w:tcPr>
          <w:p w14:paraId="1154735F" w14:textId="113C20EE" w:rsidR="008A2977" w:rsidRPr="009445DD" w:rsidRDefault="008A2977" w:rsidP="008A2977">
            <w:pPr>
              <w:pStyle w:val="Bezodstpw"/>
              <w:jc w:val="center"/>
              <w:rPr>
                <w:rFonts w:ascii="Times New Roman" w:hAnsi="Times New Roman" w:cs="Times New Roman"/>
                <w:b/>
                <w:bCs/>
              </w:rPr>
            </w:pPr>
            <w:r w:rsidRPr="009445DD">
              <w:rPr>
                <w:rFonts w:ascii="Times New Roman" w:hAnsi="Times New Roman" w:cs="Times New Roman"/>
                <w:b/>
                <w:bCs/>
              </w:rPr>
              <w:t>Koordynator Służb Specjalnych</w:t>
            </w:r>
          </w:p>
        </w:tc>
        <w:tc>
          <w:tcPr>
            <w:tcW w:w="7674" w:type="dxa"/>
            <w:tcBorders>
              <w:bottom w:val="single" w:sz="4" w:space="0" w:color="auto"/>
            </w:tcBorders>
          </w:tcPr>
          <w:p w14:paraId="6FDAC047" w14:textId="577ED5A8" w:rsidR="008A2977" w:rsidRPr="009445DD" w:rsidRDefault="008A2977" w:rsidP="00BF189C">
            <w:pPr>
              <w:pStyle w:val="Bezodstpw"/>
              <w:jc w:val="both"/>
              <w:rPr>
                <w:rFonts w:ascii="Times New Roman" w:hAnsi="Times New Roman" w:cs="Times New Roman"/>
              </w:rPr>
            </w:pPr>
            <w:r w:rsidRPr="009445DD">
              <w:rPr>
                <w:rFonts w:ascii="Times New Roman" w:hAnsi="Times New Roman" w:cs="Times New Roman"/>
              </w:rPr>
              <w:t>Dodatkowo projekt powinien przewidywać zapewnienie warunków dostępu i utrwalania przez upoważnionego pracownika, w przypadku niemożliwości ich zapewnienia przez interfejs, np. w sytuacji gdy nastąpi jego awaria.</w:t>
            </w:r>
          </w:p>
        </w:tc>
        <w:tc>
          <w:tcPr>
            <w:tcW w:w="4080" w:type="dxa"/>
            <w:tcBorders>
              <w:bottom w:val="single" w:sz="4" w:space="0" w:color="auto"/>
            </w:tcBorders>
          </w:tcPr>
          <w:p w14:paraId="3E4247AF" w14:textId="77777777" w:rsidR="008A2977" w:rsidRPr="009445DD" w:rsidRDefault="008A2977" w:rsidP="004A531F">
            <w:pPr>
              <w:pStyle w:val="Bezodstpw"/>
              <w:jc w:val="both"/>
              <w:rPr>
                <w:rFonts w:ascii="Times New Roman" w:hAnsi="Times New Roman" w:cs="Times New Roman"/>
                <w:b/>
                <w:bCs/>
              </w:rPr>
            </w:pPr>
            <w:r w:rsidRPr="009445DD">
              <w:rPr>
                <w:rFonts w:ascii="Times New Roman" w:hAnsi="Times New Roman" w:cs="Times New Roman"/>
                <w:b/>
                <w:bCs/>
              </w:rPr>
              <w:t>Uwaga uwzględniona</w:t>
            </w:r>
          </w:p>
          <w:p w14:paraId="360F498C" w14:textId="4B7B5E83" w:rsidR="008A2977" w:rsidRPr="009445DD" w:rsidRDefault="00C71888" w:rsidP="004A531F">
            <w:pPr>
              <w:pStyle w:val="Bezodstpw"/>
              <w:jc w:val="both"/>
              <w:rPr>
                <w:rFonts w:ascii="Times New Roman" w:hAnsi="Times New Roman" w:cs="Times New Roman"/>
              </w:rPr>
            </w:pPr>
            <w:r w:rsidRPr="009445DD">
              <w:rPr>
                <w:rFonts w:ascii="Times New Roman" w:hAnsi="Times New Roman" w:cs="Times New Roman"/>
              </w:rPr>
              <w:t xml:space="preserve">Nowa treść </w:t>
            </w:r>
            <w:r w:rsidR="008A2977" w:rsidRPr="009445DD">
              <w:rPr>
                <w:rFonts w:ascii="Times New Roman" w:hAnsi="Times New Roman" w:cs="Times New Roman"/>
              </w:rPr>
              <w:t>§ 9</w:t>
            </w:r>
            <w:r w:rsidRPr="009445DD">
              <w:rPr>
                <w:rFonts w:ascii="Times New Roman" w:hAnsi="Times New Roman" w:cs="Times New Roman"/>
              </w:rPr>
              <w:t xml:space="preserve"> obejmuje również interfejs</w:t>
            </w:r>
            <w:r w:rsidR="008A2977" w:rsidRPr="009445DD">
              <w:rPr>
                <w:rFonts w:ascii="Times New Roman" w:hAnsi="Times New Roman" w:cs="Times New Roman"/>
              </w:rPr>
              <w:t>.</w:t>
            </w:r>
          </w:p>
        </w:tc>
      </w:tr>
      <w:tr w:rsidR="00B075CA" w:rsidRPr="009445DD" w14:paraId="4C94A9FE" w14:textId="77777777" w:rsidTr="004A531F">
        <w:tc>
          <w:tcPr>
            <w:tcW w:w="596" w:type="dxa"/>
            <w:tcBorders>
              <w:bottom w:val="single" w:sz="4" w:space="0" w:color="auto"/>
            </w:tcBorders>
          </w:tcPr>
          <w:p w14:paraId="2A9E4045" w14:textId="77777777" w:rsidR="00B075CA" w:rsidRPr="009445DD" w:rsidRDefault="00B075CA" w:rsidP="004A531F">
            <w:pPr>
              <w:pStyle w:val="Bezodstpw"/>
              <w:numPr>
                <w:ilvl w:val="0"/>
                <w:numId w:val="2"/>
              </w:numPr>
              <w:ind w:left="171" w:hanging="171"/>
              <w:jc w:val="center"/>
              <w:rPr>
                <w:rFonts w:ascii="Times New Roman" w:hAnsi="Times New Roman" w:cs="Times New Roman"/>
              </w:rPr>
            </w:pPr>
          </w:p>
        </w:tc>
        <w:tc>
          <w:tcPr>
            <w:tcW w:w="1413" w:type="dxa"/>
            <w:tcBorders>
              <w:bottom w:val="single" w:sz="4" w:space="0" w:color="auto"/>
            </w:tcBorders>
          </w:tcPr>
          <w:p w14:paraId="141454A9" w14:textId="3736CF5E" w:rsidR="00B075CA" w:rsidRPr="009445DD" w:rsidRDefault="00B075CA" w:rsidP="00B075CA">
            <w:pPr>
              <w:pStyle w:val="Bezodstpw"/>
              <w:jc w:val="center"/>
              <w:rPr>
                <w:rFonts w:ascii="Times New Roman" w:hAnsi="Times New Roman" w:cs="Times New Roman"/>
              </w:rPr>
            </w:pPr>
            <w:r w:rsidRPr="009445DD">
              <w:rPr>
                <w:rFonts w:ascii="Times New Roman" w:hAnsi="Times New Roman" w:cs="Times New Roman"/>
              </w:rPr>
              <w:t>§ 8</w:t>
            </w:r>
          </w:p>
        </w:tc>
        <w:tc>
          <w:tcPr>
            <w:tcW w:w="1400" w:type="dxa"/>
            <w:tcBorders>
              <w:bottom w:val="single" w:sz="4" w:space="0" w:color="auto"/>
            </w:tcBorders>
          </w:tcPr>
          <w:p w14:paraId="6B0096B5" w14:textId="4CBE12A7" w:rsidR="00B075CA" w:rsidRPr="009445DD" w:rsidRDefault="00B075CA" w:rsidP="00B075CA">
            <w:pPr>
              <w:pStyle w:val="Bezodstpw"/>
              <w:jc w:val="center"/>
              <w:rPr>
                <w:rFonts w:ascii="Times New Roman" w:hAnsi="Times New Roman" w:cs="Times New Roman"/>
                <w:b/>
                <w:bCs/>
              </w:rPr>
            </w:pPr>
            <w:r w:rsidRPr="009445DD">
              <w:rPr>
                <w:rFonts w:ascii="Times New Roman" w:hAnsi="Times New Roman" w:cs="Times New Roman"/>
                <w:b/>
                <w:bCs/>
              </w:rPr>
              <w:t>Koordynator Służb Specjalnych</w:t>
            </w:r>
          </w:p>
        </w:tc>
        <w:tc>
          <w:tcPr>
            <w:tcW w:w="7674" w:type="dxa"/>
            <w:tcBorders>
              <w:bottom w:val="single" w:sz="4" w:space="0" w:color="auto"/>
            </w:tcBorders>
          </w:tcPr>
          <w:p w14:paraId="10A28A41" w14:textId="55180901" w:rsidR="00B075CA" w:rsidRPr="009445DD" w:rsidRDefault="00B075CA" w:rsidP="00BF189C">
            <w:pPr>
              <w:pStyle w:val="Bezodstpw"/>
              <w:jc w:val="both"/>
              <w:rPr>
                <w:rFonts w:ascii="Times New Roman" w:hAnsi="Times New Roman" w:cs="Times New Roman"/>
              </w:rPr>
            </w:pPr>
            <w:r w:rsidRPr="009445DD">
              <w:rPr>
                <w:rFonts w:ascii="Times New Roman" w:hAnsi="Times New Roman" w:cs="Times New Roman"/>
              </w:rPr>
              <w:t>W § 8 projektu należy dodać normę stanowiącą, że utrwalanie przez przedsiębiorcę</w:t>
            </w:r>
            <w:r w:rsidR="00635512" w:rsidRPr="009445DD">
              <w:rPr>
                <w:rFonts w:ascii="Times New Roman" w:hAnsi="Times New Roman" w:cs="Times New Roman"/>
              </w:rPr>
              <w:t xml:space="preserve"> </w:t>
            </w:r>
            <w:r w:rsidRPr="009445DD">
              <w:rPr>
                <w:rFonts w:ascii="Times New Roman" w:hAnsi="Times New Roman" w:cs="Times New Roman"/>
              </w:rPr>
              <w:t>komunikatów elektronicznych na informatycznych nośnikach danych odbywa się w</w:t>
            </w:r>
            <w:r w:rsidR="00635512" w:rsidRPr="009445DD">
              <w:rPr>
                <w:rFonts w:ascii="Times New Roman" w:hAnsi="Times New Roman" w:cs="Times New Roman"/>
              </w:rPr>
              <w:t xml:space="preserve"> </w:t>
            </w:r>
            <w:r w:rsidRPr="009445DD">
              <w:rPr>
                <w:rFonts w:ascii="Times New Roman" w:hAnsi="Times New Roman" w:cs="Times New Roman"/>
              </w:rPr>
              <w:t>sposób umożliwiający ich odtworzenie przez uprawniony podmiot za pomocą</w:t>
            </w:r>
            <w:r w:rsidR="00635512" w:rsidRPr="009445DD">
              <w:rPr>
                <w:rFonts w:ascii="Times New Roman" w:hAnsi="Times New Roman" w:cs="Times New Roman"/>
              </w:rPr>
              <w:t xml:space="preserve"> </w:t>
            </w:r>
            <w:r w:rsidRPr="009445DD">
              <w:rPr>
                <w:rFonts w:ascii="Times New Roman" w:hAnsi="Times New Roman" w:cs="Times New Roman"/>
              </w:rPr>
              <w:t>powszechnie dostępnych urządzeń informatycznych i oprogramowania.</w:t>
            </w:r>
          </w:p>
        </w:tc>
        <w:tc>
          <w:tcPr>
            <w:tcW w:w="4080" w:type="dxa"/>
            <w:tcBorders>
              <w:bottom w:val="single" w:sz="4" w:space="0" w:color="auto"/>
            </w:tcBorders>
          </w:tcPr>
          <w:p w14:paraId="6626582D" w14:textId="2561997F" w:rsidR="00B075CA" w:rsidRPr="009445DD" w:rsidRDefault="00F27F8B" w:rsidP="004A531F">
            <w:pPr>
              <w:pStyle w:val="Bezodstpw"/>
              <w:jc w:val="both"/>
              <w:rPr>
                <w:rFonts w:ascii="Times New Roman" w:hAnsi="Times New Roman" w:cs="Times New Roman"/>
                <w:b/>
                <w:bCs/>
              </w:rPr>
            </w:pPr>
            <w:r w:rsidRPr="009445DD">
              <w:rPr>
                <w:rFonts w:ascii="Times New Roman" w:hAnsi="Times New Roman" w:cs="Times New Roman"/>
                <w:b/>
                <w:bCs/>
              </w:rPr>
              <w:t>Wyjaśnienie uwagi</w:t>
            </w:r>
          </w:p>
          <w:p w14:paraId="274BA8E5" w14:textId="77777777" w:rsidR="008A2977" w:rsidRPr="009445DD" w:rsidRDefault="008A2977" w:rsidP="004A531F">
            <w:pPr>
              <w:pStyle w:val="Bezodstpw"/>
              <w:jc w:val="both"/>
              <w:rPr>
                <w:rFonts w:ascii="Times New Roman" w:hAnsi="Times New Roman" w:cs="Times New Roman"/>
              </w:rPr>
            </w:pPr>
            <w:r w:rsidRPr="009445DD">
              <w:rPr>
                <w:rFonts w:ascii="Times New Roman" w:hAnsi="Times New Roman" w:cs="Times New Roman"/>
              </w:rPr>
              <w:t>Taki wymóg już jest w projektowanym § 8:</w:t>
            </w:r>
          </w:p>
          <w:p w14:paraId="4D764A73" w14:textId="062DCD8D" w:rsidR="008A2977" w:rsidRPr="009445DD" w:rsidRDefault="008A2977" w:rsidP="004A531F">
            <w:pPr>
              <w:pStyle w:val="Bezodstpw"/>
              <w:jc w:val="both"/>
              <w:rPr>
                <w:rFonts w:ascii="Times New Roman" w:hAnsi="Times New Roman" w:cs="Times New Roman"/>
                <w:i/>
                <w:iCs/>
              </w:rPr>
            </w:pPr>
            <w:r w:rsidRPr="009445DD">
              <w:rPr>
                <w:rFonts w:ascii="Times New Roman" w:hAnsi="Times New Roman" w:cs="Times New Roman"/>
              </w:rPr>
              <w:t>„</w:t>
            </w:r>
            <w:r w:rsidR="00ED4DA4" w:rsidRPr="009445DD">
              <w:rPr>
                <w:rFonts w:ascii="Times New Roman" w:hAnsi="Times New Roman" w:cs="Times New Roman"/>
                <w:i/>
                <w:iCs/>
              </w:rPr>
              <w:t>Przedsiębiorca telekomunikacyjny zapewnia warunki dostępu i utrwalania w</w:t>
            </w:r>
            <w:r w:rsidR="00EB2650">
              <w:rPr>
                <w:rFonts w:ascii="Times New Roman" w:hAnsi="Times New Roman" w:cs="Times New Roman"/>
                <w:i/>
                <w:iCs/>
              </w:rPr>
              <w:t> </w:t>
            </w:r>
            <w:r w:rsidR="00ED4DA4" w:rsidRPr="009445DD">
              <w:rPr>
                <w:rFonts w:ascii="Times New Roman" w:hAnsi="Times New Roman" w:cs="Times New Roman"/>
                <w:i/>
                <w:iCs/>
              </w:rPr>
              <w:t>sposób umożliwiający odtworzenie przez uprawniony podmiot informacji za pomocą powszechnie dostępnych urządzeń informatycznych i oprogramowania…”</w:t>
            </w:r>
            <w:r w:rsidR="00EB2650">
              <w:rPr>
                <w:rFonts w:ascii="Times New Roman" w:hAnsi="Times New Roman" w:cs="Times New Roman"/>
                <w:i/>
                <w:iCs/>
              </w:rPr>
              <w:t>.</w:t>
            </w:r>
          </w:p>
          <w:p w14:paraId="469E93B0" w14:textId="1BBC80BC" w:rsidR="00EA14AA" w:rsidRPr="009445DD" w:rsidRDefault="00EA14AA" w:rsidP="004A531F">
            <w:pPr>
              <w:pStyle w:val="Bezodstpw"/>
              <w:jc w:val="both"/>
              <w:rPr>
                <w:rFonts w:ascii="Times New Roman" w:hAnsi="Times New Roman" w:cs="Times New Roman"/>
              </w:rPr>
            </w:pPr>
            <w:r w:rsidRPr="009445DD">
              <w:rPr>
                <w:rFonts w:ascii="Times New Roman" w:hAnsi="Times New Roman" w:cs="Times New Roman"/>
              </w:rPr>
              <w:t>Szczegółowe wyjaśnienie zostało ujęte w</w:t>
            </w:r>
            <w:r w:rsidR="00EB2650">
              <w:rPr>
                <w:rFonts w:ascii="Times New Roman" w:hAnsi="Times New Roman" w:cs="Times New Roman"/>
              </w:rPr>
              <w:t> </w:t>
            </w:r>
            <w:r w:rsidRPr="009445DD">
              <w:rPr>
                <w:rFonts w:ascii="Times New Roman" w:hAnsi="Times New Roman" w:cs="Times New Roman"/>
              </w:rPr>
              <w:t>uzasadnieniu.</w:t>
            </w:r>
          </w:p>
        </w:tc>
      </w:tr>
      <w:tr w:rsidR="00B075CA" w:rsidRPr="009445DD" w14:paraId="3C286131" w14:textId="77777777" w:rsidTr="004A531F">
        <w:tc>
          <w:tcPr>
            <w:tcW w:w="596" w:type="dxa"/>
            <w:tcBorders>
              <w:bottom w:val="single" w:sz="4" w:space="0" w:color="auto"/>
            </w:tcBorders>
          </w:tcPr>
          <w:p w14:paraId="28834E5C" w14:textId="77777777" w:rsidR="00B075CA" w:rsidRPr="009445DD" w:rsidRDefault="00B075CA" w:rsidP="004A531F">
            <w:pPr>
              <w:pStyle w:val="Bezodstpw"/>
              <w:numPr>
                <w:ilvl w:val="0"/>
                <w:numId w:val="2"/>
              </w:numPr>
              <w:ind w:left="171" w:hanging="171"/>
              <w:jc w:val="center"/>
              <w:rPr>
                <w:rFonts w:ascii="Times New Roman" w:hAnsi="Times New Roman" w:cs="Times New Roman"/>
              </w:rPr>
            </w:pPr>
          </w:p>
        </w:tc>
        <w:tc>
          <w:tcPr>
            <w:tcW w:w="1413" w:type="dxa"/>
            <w:tcBorders>
              <w:bottom w:val="single" w:sz="4" w:space="0" w:color="auto"/>
            </w:tcBorders>
          </w:tcPr>
          <w:p w14:paraId="5061EC39" w14:textId="39335F2D" w:rsidR="00B075CA" w:rsidRPr="009445DD" w:rsidRDefault="00B075CA" w:rsidP="00B075CA">
            <w:pPr>
              <w:pStyle w:val="Bezodstpw"/>
              <w:jc w:val="center"/>
              <w:rPr>
                <w:rFonts w:ascii="Times New Roman" w:hAnsi="Times New Roman" w:cs="Times New Roman"/>
              </w:rPr>
            </w:pPr>
            <w:r w:rsidRPr="009445DD">
              <w:rPr>
                <w:rFonts w:ascii="Times New Roman" w:hAnsi="Times New Roman" w:cs="Times New Roman"/>
              </w:rPr>
              <w:t>§ 12</w:t>
            </w:r>
          </w:p>
        </w:tc>
        <w:tc>
          <w:tcPr>
            <w:tcW w:w="1400" w:type="dxa"/>
            <w:tcBorders>
              <w:bottom w:val="single" w:sz="4" w:space="0" w:color="auto"/>
            </w:tcBorders>
          </w:tcPr>
          <w:p w14:paraId="57B02783" w14:textId="02D70F34" w:rsidR="00B075CA" w:rsidRPr="009445DD" w:rsidRDefault="00B075CA" w:rsidP="00B075CA">
            <w:pPr>
              <w:pStyle w:val="Bezodstpw"/>
              <w:jc w:val="center"/>
              <w:rPr>
                <w:rFonts w:ascii="Times New Roman" w:hAnsi="Times New Roman" w:cs="Times New Roman"/>
                <w:b/>
                <w:bCs/>
              </w:rPr>
            </w:pPr>
            <w:r w:rsidRPr="009445DD">
              <w:rPr>
                <w:rFonts w:ascii="Times New Roman" w:hAnsi="Times New Roman" w:cs="Times New Roman"/>
                <w:b/>
                <w:bCs/>
              </w:rPr>
              <w:t>Koordynator Służb Specjalnych</w:t>
            </w:r>
          </w:p>
        </w:tc>
        <w:tc>
          <w:tcPr>
            <w:tcW w:w="7674" w:type="dxa"/>
            <w:tcBorders>
              <w:bottom w:val="single" w:sz="4" w:space="0" w:color="auto"/>
            </w:tcBorders>
          </w:tcPr>
          <w:p w14:paraId="1BE8C082" w14:textId="230F6507" w:rsidR="00B075CA" w:rsidRPr="009445DD" w:rsidRDefault="00B075CA" w:rsidP="00BF189C">
            <w:pPr>
              <w:pStyle w:val="Bezodstpw"/>
              <w:jc w:val="both"/>
              <w:rPr>
                <w:rFonts w:ascii="Times New Roman" w:hAnsi="Times New Roman" w:cs="Times New Roman"/>
              </w:rPr>
            </w:pPr>
            <w:r w:rsidRPr="009445DD">
              <w:rPr>
                <w:rFonts w:ascii="Times New Roman" w:hAnsi="Times New Roman" w:cs="Times New Roman"/>
              </w:rPr>
              <w:t>W § 12 w miejsce zwrotu „wykonywanie działalności telekomunikacyjnej” należy</w:t>
            </w:r>
            <w:r w:rsidR="00635512" w:rsidRPr="009445DD">
              <w:rPr>
                <w:rFonts w:ascii="Times New Roman" w:hAnsi="Times New Roman" w:cs="Times New Roman"/>
              </w:rPr>
              <w:t xml:space="preserve"> </w:t>
            </w:r>
            <w:r w:rsidRPr="009445DD">
              <w:rPr>
                <w:rFonts w:ascii="Times New Roman" w:hAnsi="Times New Roman" w:cs="Times New Roman"/>
              </w:rPr>
              <w:t>posłużyć się ustawowym zwrotem „świadczenie usług telekomunikacyjnych”.</w:t>
            </w:r>
          </w:p>
        </w:tc>
        <w:tc>
          <w:tcPr>
            <w:tcW w:w="4080" w:type="dxa"/>
            <w:tcBorders>
              <w:bottom w:val="single" w:sz="4" w:space="0" w:color="auto"/>
            </w:tcBorders>
          </w:tcPr>
          <w:p w14:paraId="66A74DEB" w14:textId="71116B61" w:rsidR="00B075CA" w:rsidRPr="009445DD" w:rsidRDefault="00EB5CAD" w:rsidP="004A531F">
            <w:pPr>
              <w:pStyle w:val="Bezodstpw"/>
              <w:jc w:val="both"/>
              <w:rPr>
                <w:rFonts w:ascii="Times New Roman" w:hAnsi="Times New Roman" w:cs="Times New Roman"/>
                <w:b/>
                <w:bCs/>
              </w:rPr>
            </w:pPr>
            <w:r w:rsidRPr="009445DD">
              <w:rPr>
                <w:rFonts w:ascii="Times New Roman" w:hAnsi="Times New Roman" w:cs="Times New Roman"/>
                <w:b/>
                <w:bCs/>
              </w:rPr>
              <w:t>Uwaga uwzględniona</w:t>
            </w:r>
          </w:p>
          <w:p w14:paraId="4B2DEEA1" w14:textId="1916357E" w:rsidR="00EB5CAD" w:rsidRPr="009445DD" w:rsidRDefault="00070355" w:rsidP="004A531F">
            <w:pPr>
              <w:pStyle w:val="Bezodstpw"/>
              <w:jc w:val="both"/>
              <w:rPr>
                <w:rFonts w:ascii="Times New Roman" w:hAnsi="Times New Roman" w:cs="Times New Roman"/>
              </w:rPr>
            </w:pPr>
            <w:r w:rsidRPr="009445DD">
              <w:rPr>
                <w:rFonts w:ascii="Times New Roman" w:hAnsi="Times New Roman" w:cs="Times New Roman"/>
              </w:rPr>
              <w:t xml:space="preserve">W czasie warsztatów </w:t>
            </w:r>
            <w:r w:rsidR="00F27F8B" w:rsidRPr="009445DD">
              <w:rPr>
                <w:rFonts w:ascii="Times New Roman" w:hAnsi="Times New Roman" w:cs="Times New Roman"/>
              </w:rPr>
              <w:t xml:space="preserve">zorganizowanych przez projektodawcę </w:t>
            </w:r>
            <w:r w:rsidR="002A4055" w:rsidRPr="009445DD">
              <w:rPr>
                <w:rFonts w:ascii="Times New Roman" w:hAnsi="Times New Roman" w:cs="Times New Roman"/>
              </w:rPr>
              <w:t xml:space="preserve">z udziałem przedstawicieli </w:t>
            </w:r>
            <w:r w:rsidR="00F27F8B" w:rsidRPr="009445DD">
              <w:rPr>
                <w:rFonts w:ascii="Times New Roman" w:hAnsi="Times New Roman" w:cs="Times New Roman"/>
              </w:rPr>
              <w:t xml:space="preserve">Ministra Koordynatora Służb Specjalnych  </w:t>
            </w:r>
            <w:r w:rsidRPr="009445DD">
              <w:rPr>
                <w:rFonts w:ascii="Times New Roman" w:hAnsi="Times New Roman" w:cs="Times New Roman"/>
              </w:rPr>
              <w:t xml:space="preserve">ustalono, że wyłączenie będzie się odnosić </w:t>
            </w:r>
            <w:r w:rsidR="00F27F8B" w:rsidRPr="009445DD">
              <w:rPr>
                <w:rFonts w:ascii="Times New Roman" w:hAnsi="Times New Roman" w:cs="Times New Roman"/>
              </w:rPr>
              <w:t xml:space="preserve">do </w:t>
            </w:r>
            <w:r w:rsidRPr="009445DD">
              <w:rPr>
                <w:rFonts w:ascii="Times New Roman" w:hAnsi="Times New Roman" w:cs="Times New Roman"/>
              </w:rPr>
              <w:t>zakresu wykonywanej działalności telekomunikacyjnej, analogicznie ja</w:t>
            </w:r>
            <w:r w:rsidR="00EB2650">
              <w:rPr>
                <w:rFonts w:ascii="Times New Roman" w:hAnsi="Times New Roman" w:cs="Times New Roman"/>
              </w:rPr>
              <w:t>k</w:t>
            </w:r>
            <w:r w:rsidRPr="009445DD">
              <w:rPr>
                <w:rFonts w:ascii="Times New Roman" w:hAnsi="Times New Roman" w:cs="Times New Roman"/>
              </w:rPr>
              <w:t xml:space="preserve"> w</w:t>
            </w:r>
            <w:r w:rsidR="00EB2650">
              <w:rPr>
                <w:rFonts w:ascii="Times New Roman" w:hAnsi="Times New Roman" w:cs="Times New Roman"/>
              </w:rPr>
              <w:t> </w:t>
            </w:r>
            <w:r w:rsidRPr="009445DD">
              <w:rPr>
                <w:rFonts w:ascii="Times New Roman" w:hAnsi="Times New Roman" w:cs="Times New Roman"/>
              </w:rPr>
              <w:t xml:space="preserve">projekcie rozporządzenia wydawanego na podstawie art. 49 ust. 2 </w:t>
            </w:r>
            <w:r w:rsidR="00F27F8B" w:rsidRPr="009445DD">
              <w:rPr>
                <w:rFonts w:ascii="Times New Roman" w:hAnsi="Times New Roman" w:cs="Times New Roman"/>
              </w:rPr>
              <w:t>PKE</w:t>
            </w:r>
            <w:r w:rsidRPr="009445DD">
              <w:rPr>
                <w:rFonts w:ascii="Times New Roman" w:hAnsi="Times New Roman" w:cs="Times New Roman"/>
              </w:rPr>
              <w:t>.</w:t>
            </w:r>
          </w:p>
        </w:tc>
      </w:tr>
    </w:tbl>
    <w:p w14:paraId="190C04C4" w14:textId="77777777" w:rsidR="00DF4527" w:rsidRPr="009445DD" w:rsidRDefault="00DF4527" w:rsidP="00D841A6">
      <w:pPr>
        <w:pStyle w:val="Bezodstpw"/>
        <w:spacing w:line="276" w:lineRule="auto"/>
        <w:rPr>
          <w:rFonts w:ascii="Times New Roman" w:hAnsi="Times New Roman" w:cs="Times New Roman"/>
          <w:b/>
          <w:bCs/>
        </w:rPr>
      </w:pPr>
    </w:p>
    <w:sectPr w:rsidR="00DF4527" w:rsidRPr="009445DD" w:rsidSect="00D841A6">
      <w:pgSz w:w="16838" w:h="11906" w:orient="landscape"/>
      <w:pgMar w:top="537" w:right="720" w:bottom="720" w:left="72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F7825" w14:textId="77777777" w:rsidR="00AF772C" w:rsidRDefault="00AF772C" w:rsidP="00D841A6">
      <w:r>
        <w:separator/>
      </w:r>
    </w:p>
  </w:endnote>
  <w:endnote w:type="continuationSeparator" w:id="0">
    <w:p w14:paraId="3D7268C8" w14:textId="77777777" w:rsidR="00AF772C" w:rsidRDefault="00AF772C" w:rsidP="00D84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6E693" w14:textId="77777777" w:rsidR="00AF772C" w:rsidRDefault="00AF772C" w:rsidP="00D841A6">
      <w:r>
        <w:separator/>
      </w:r>
    </w:p>
  </w:footnote>
  <w:footnote w:type="continuationSeparator" w:id="0">
    <w:p w14:paraId="2EF9D7CE" w14:textId="77777777" w:rsidR="00AF772C" w:rsidRDefault="00AF772C" w:rsidP="00D841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67F91"/>
    <w:multiLevelType w:val="hybridMultilevel"/>
    <w:tmpl w:val="46BAE420"/>
    <w:lvl w:ilvl="0" w:tplc="7DD4A444">
      <w:start w:val="1"/>
      <w:numFmt w:val="decimal"/>
      <w:lvlText w:val="%1)"/>
      <w:lvlJc w:val="left"/>
      <w:pPr>
        <w:ind w:left="720" w:hanging="360"/>
      </w:pPr>
      <w:rPr>
        <w:rFonts w:asciiTheme="minorHAnsi" w:hAnsiTheme="minorHAnsi" w:cstheme="minorBid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2D3939"/>
    <w:multiLevelType w:val="hybridMultilevel"/>
    <w:tmpl w:val="212E3882"/>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07F3364"/>
    <w:multiLevelType w:val="hybridMultilevel"/>
    <w:tmpl w:val="D7B4D3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86359420">
    <w:abstractNumId w:val="0"/>
  </w:num>
  <w:num w:numId="2" w16cid:durableId="408967821">
    <w:abstractNumId w:val="1"/>
  </w:num>
  <w:num w:numId="3" w16cid:durableId="17070987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B75"/>
    <w:rsid w:val="0000404A"/>
    <w:rsid w:val="000218ED"/>
    <w:rsid w:val="00021A18"/>
    <w:rsid w:val="00050B75"/>
    <w:rsid w:val="00060969"/>
    <w:rsid w:val="00070355"/>
    <w:rsid w:val="000810D5"/>
    <w:rsid w:val="00087092"/>
    <w:rsid w:val="000B394D"/>
    <w:rsid w:val="000F082E"/>
    <w:rsid w:val="00105E79"/>
    <w:rsid w:val="00110686"/>
    <w:rsid w:val="00111205"/>
    <w:rsid w:val="0012268F"/>
    <w:rsid w:val="0012387E"/>
    <w:rsid w:val="00124288"/>
    <w:rsid w:val="00136CB7"/>
    <w:rsid w:val="001379A9"/>
    <w:rsid w:val="00175898"/>
    <w:rsid w:val="00180A78"/>
    <w:rsid w:val="001B6E2B"/>
    <w:rsid w:val="001D14B4"/>
    <w:rsid w:val="001F0860"/>
    <w:rsid w:val="001F3BEF"/>
    <w:rsid w:val="00214AF9"/>
    <w:rsid w:val="0022175E"/>
    <w:rsid w:val="00231DD0"/>
    <w:rsid w:val="002730BB"/>
    <w:rsid w:val="00281ACF"/>
    <w:rsid w:val="00285454"/>
    <w:rsid w:val="002A4055"/>
    <w:rsid w:val="002B7F97"/>
    <w:rsid w:val="002C0E1A"/>
    <w:rsid w:val="002D523F"/>
    <w:rsid w:val="002E67DA"/>
    <w:rsid w:val="002F55FF"/>
    <w:rsid w:val="00324E93"/>
    <w:rsid w:val="003559AF"/>
    <w:rsid w:val="003912B1"/>
    <w:rsid w:val="00396DAE"/>
    <w:rsid w:val="003973D8"/>
    <w:rsid w:val="00397CC1"/>
    <w:rsid w:val="003D02F1"/>
    <w:rsid w:val="003D577D"/>
    <w:rsid w:val="003D7F8A"/>
    <w:rsid w:val="003E0F79"/>
    <w:rsid w:val="003F34F9"/>
    <w:rsid w:val="00414024"/>
    <w:rsid w:val="00416D62"/>
    <w:rsid w:val="00417CEA"/>
    <w:rsid w:val="00422308"/>
    <w:rsid w:val="00431D75"/>
    <w:rsid w:val="0043613B"/>
    <w:rsid w:val="00436EBB"/>
    <w:rsid w:val="00441DF0"/>
    <w:rsid w:val="00471299"/>
    <w:rsid w:val="004A531F"/>
    <w:rsid w:val="004C0B30"/>
    <w:rsid w:val="00512216"/>
    <w:rsid w:val="00514B5E"/>
    <w:rsid w:val="005254C2"/>
    <w:rsid w:val="00525C4F"/>
    <w:rsid w:val="00546BA5"/>
    <w:rsid w:val="00552AE5"/>
    <w:rsid w:val="0056482D"/>
    <w:rsid w:val="00566ACF"/>
    <w:rsid w:val="0057644A"/>
    <w:rsid w:val="00587FA6"/>
    <w:rsid w:val="005A1698"/>
    <w:rsid w:val="005C4E87"/>
    <w:rsid w:val="005D51C8"/>
    <w:rsid w:val="005E12CA"/>
    <w:rsid w:val="005E4822"/>
    <w:rsid w:val="005F02DF"/>
    <w:rsid w:val="0062103A"/>
    <w:rsid w:val="00635512"/>
    <w:rsid w:val="0064164D"/>
    <w:rsid w:val="0064569A"/>
    <w:rsid w:val="00662CE9"/>
    <w:rsid w:val="00692032"/>
    <w:rsid w:val="006E7782"/>
    <w:rsid w:val="006F492C"/>
    <w:rsid w:val="00722F01"/>
    <w:rsid w:val="00724868"/>
    <w:rsid w:val="00726567"/>
    <w:rsid w:val="0074115F"/>
    <w:rsid w:val="0074319A"/>
    <w:rsid w:val="007471C9"/>
    <w:rsid w:val="00767CD4"/>
    <w:rsid w:val="00773DF2"/>
    <w:rsid w:val="0077508A"/>
    <w:rsid w:val="00777F8A"/>
    <w:rsid w:val="007815C6"/>
    <w:rsid w:val="007945C4"/>
    <w:rsid w:val="007B5036"/>
    <w:rsid w:val="007C2209"/>
    <w:rsid w:val="007C6FA0"/>
    <w:rsid w:val="007D1E45"/>
    <w:rsid w:val="007F1E4C"/>
    <w:rsid w:val="007F5A4E"/>
    <w:rsid w:val="00800EC7"/>
    <w:rsid w:val="00812758"/>
    <w:rsid w:val="00822E68"/>
    <w:rsid w:val="00831046"/>
    <w:rsid w:val="008347E5"/>
    <w:rsid w:val="00862379"/>
    <w:rsid w:val="00881BBD"/>
    <w:rsid w:val="0088536F"/>
    <w:rsid w:val="00896BB7"/>
    <w:rsid w:val="008A2977"/>
    <w:rsid w:val="008D277C"/>
    <w:rsid w:val="008D6C95"/>
    <w:rsid w:val="009445DD"/>
    <w:rsid w:val="009753A3"/>
    <w:rsid w:val="0099273F"/>
    <w:rsid w:val="009A2493"/>
    <w:rsid w:val="009A67DE"/>
    <w:rsid w:val="009A6E0D"/>
    <w:rsid w:val="009B0D83"/>
    <w:rsid w:val="009B2E55"/>
    <w:rsid w:val="009D0595"/>
    <w:rsid w:val="009D0C53"/>
    <w:rsid w:val="009D4C8D"/>
    <w:rsid w:val="009E0222"/>
    <w:rsid w:val="009F5715"/>
    <w:rsid w:val="009F686C"/>
    <w:rsid w:val="00A16DDA"/>
    <w:rsid w:val="00A3010C"/>
    <w:rsid w:val="00A37947"/>
    <w:rsid w:val="00A410EF"/>
    <w:rsid w:val="00A471FE"/>
    <w:rsid w:val="00A50F44"/>
    <w:rsid w:val="00A53CEC"/>
    <w:rsid w:val="00A67330"/>
    <w:rsid w:val="00A675BC"/>
    <w:rsid w:val="00A74CA3"/>
    <w:rsid w:val="00A91271"/>
    <w:rsid w:val="00A9454E"/>
    <w:rsid w:val="00AC53AC"/>
    <w:rsid w:val="00AF772C"/>
    <w:rsid w:val="00B0199B"/>
    <w:rsid w:val="00B0728D"/>
    <w:rsid w:val="00B075CA"/>
    <w:rsid w:val="00B135DF"/>
    <w:rsid w:val="00B142E2"/>
    <w:rsid w:val="00B14FD7"/>
    <w:rsid w:val="00B20DFA"/>
    <w:rsid w:val="00B3054D"/>
    <w:rsid w:val="00B66BB2"/>
    <w:rsid w:val="00B73E9D"/>
    <w:rsid w:val="00B82022"/>
    <w:rsid w:val="00BC2179"/>
    <w:rsid w:val="00BD2374"/>
    <w:rsid w:val="00BD2BBF"/>
    <w:rsid w:val="00BE42B3"/>
    <w:rsid w:val="00BF0B52"/>
    <w:rsid w:val="00BF189C"/>
    <w:rsid w:val="00BF59DA"/>
    <w:rsid w:val="00C10D57"/>
    <w:rsid w:val="00C35730"/>
    <w:rsid w:val="00C61D85"/>
    <w:rsid w:val="00C70398"/>
    <w:rsid w:val="00C71888"/>
    <w:rsid w:val="00C82929"/>
    <w:rsid w:val="00C876D4"/>
    <w:rsid w:val="00CB72F9"/>
    <w:rsid w:val="00CD5AEA"/>
    <w:rsid w:val="00CD66C5"/>
    <w:rsid w:val="00CF7926"/>
    <w:rsid w:val="00CF7A97"/>
    <w:rsid w:val="00D00211"/>
    <w:rsid w:val="00D07A92"/>
    <w:rsid w:val="00D14F49"/>
    <w:rsid w:val="00D163A4"/>
    <w:rsid w:val="00D17F79"/>
    <w:rsid w:val="00D31231"/>
    <w:rsid w:val="00D33B90"/>
    <w:rsid w:val="00D62B09"/>
    <w:rsid w:val="00D841A6"/>
    <w:rsid w:val="00DA6AF0"/>
    <w:rsid w:val="00DB1245"/>
    <w:rsid w:val="00DB1D4A"/>
    <w:rsid w:val="00DC3975"/>
    <w:rsid w:val="00DC5DE1"/>
    <w:rsid w:val="00DF2ECD"/>
    <w:rsid w:val="00DF4527"/>
    <w:rsid w:val="00DF58E7"/>
    <w:rsid w:val="00E5535A"/>
    <w:rsid w:val="00E65C89"/>
    <w:rsid w:val="00EA14AA"/>
    <w:rsid w:val="00EB2650"/>
    <w:rsid w:val="00EB5AFB"/>
    <w:rsid w:val="00EB5CAD"/>
    <w:rsid w:val="00ED4DA4"/>
    <w:rsid w:val="00EE7E41"/>
    <w:rsid w:val="00EF306E"/>
    <w:rsid w:val="00EF5063"/>
    <w:rsid w:val="00EF664D"/>
    <w:rsid w:val="00F26242"/>
    <w:rsid w:val="00F27F8B"/>
    <w:rsid w:val="00F3088A"/>
    <w:rsid w:val="00F42A24"/>
    <w:rsid w:val="00F433D2"/>
    <w:rsid w:val="00FA433D"/>
    <w:rsid w:val="00FB5B3F"/>
    <w:rsid w:val="00FB6D6D"/>
    <w:rsid w:val="00FE14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F39F7"/>
  <w15:chartTrackingRefBased/>
  <w15:docId w15:val="{93B21FEE-3A9F-44A9-A3D0-188F83634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21A18"/>
    <w:pPr>
      <w:spacing w:after="0" w:line="240" w:lineRule="auto"/>
    </w:pPr>
    <w:rPr>
      <w:rFonts w:ascii="Times New Roman" w:eastAsia="Times New Roman" w:hAnsi="Times New Roman" w:cs="Times New Roman"/>
      <w:kern w:val="0"/>
      <w:sz w:val="28"/>
      <w:szCs w:val="20"/>
      <w:lang w:eastAsia="pl-PL"/>
      <w14:ligatures w14:val="none"/>
    </w:rPr>
  </w:style>
  <w:style w:type="paragraph" w:styleId="Nagwek1">
    <w:name w:val="heading 1"/>
    <w:basedOn w:val="Normalny"/>
    <w:next w:val="Normalny"/>
    <w:link w:val="Nagwek1Znak"/>
    <w:uiPriority w:val="9"/>
    <w:qFormat/>
    <w:rsid w:val="00050B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50B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50B75"/>
    <w:pPr>
      <w:keepNext/>
      <w:keepLines/>
      <w:spacing w:before="160" w:after="80"/>
      <w:outlineLvl w:val="2"/>
    </w:pPr>
    <w:rPr>
      <w:rFonts w:eastAsiaTheme="majorEastAsia" w:cstheme="majorBidi"/>
      <w:color w:val="0F4761" w:themeColor="accent1" w:themeShade="BF"/>
      <w:szCs w:val="28"/>
    </w:rPr>
  </w:style>
  <w:style w:type="paragraph" w:styleId="Nagwek4">
    <w:name w:val="heading 4"/>
    <w:basedOn w:val="Normalny"/>
    <w:next w:val="Normalny"/>
    <w:link w:val="Nagwek4Znak"/>
    <w:uiPriority w:val="9"/>
    <w:semiHidden/>
    <w:unhideWhenUsed/>
    <w:qFormat/>
    <w:rsid w:val="00050B7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50B7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50B75"/>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50B75"/>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50B75"/>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50B75"/>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50B7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50B7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50B7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50B7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50B7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50B7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50B7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50B7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50B75"/>
    <w:rPr>
      <w:rFonts w:eastAsiaTheme="majorEastAsia" w:cstheme="majorBidi"/>
      <w:color w:val="272727" w:themeColor="text1" w:themeTint="D8"/>
    </w:rPr>
  </w:style>
  <w:style w:type="paragraph" w:styleId="Tytu">
    <w:name w:val="Title"/>
    <w:basedOn w:val="Normalny"/>
    <w:next w:val="Normalny"/>
    <w:link w:val="TytuZnak"/>
    <w:uiPriority w:val="10"/>
    <w:qFormat/>
    <w:rsid w:val="00050B75"/>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50B7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50B75"/>
    <w:pPr>
      <w:numPr>
        <w:ilvl w:val="1"/>
      </w:numPr>
    </w:pPr>
    <w:rPr>
      <w:rFonts w:eastAsiaTheme="majorEastAsia" w:cstheme="majorBidi"/>
      <w:color w:val="595959" w:themeColor="text1" w:themeTint="A6"/>
      <w:spacing w:val="15"/>
      <w:szCs w:val="28"/>
    </w:rPr>
  </w:style>
  <w:style w:type="character" w:customStyle="1" w:styleId="PodtytuZnak">
    <w:name w:val="Podtytuł Znak"/>
    <w:basedOn w:val="Domylnaczcionkaakapitu"/>
    <w:link w:val="Podtytu"/>
    <w:uiPriority w:val="11"/>
    <w:rsid w:val="00050B7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50B75"/>
    <w:pPr>
      <w:spacing w:before="160"/>
      <w:jc w:val="center"/>
    </w:pPr>
    <w:rPr>
      <w:i/>
      <w:iCs/>
      <w:color w:val="404040" w:themeColor="text1" w:themeTint="BF"/>
    </w:rPr>
  </w:style>
  <w:style w:type="character" w:customStyle="1" w:styleId="CytatZnak">
    <w:name w:val="Cytat Znak"/>
    <w:basedOn w:val="Domylnaczcionkaakapitu"/>
    <w:link w:val="Cytat"/>
    <w:uiPriority w:val="29"/>
    <w:rsid w:val="00050B75"/>
    <w:rPr>
      <w:i/>
      <w:iCs/>
      <w:color w:val="404040" w:themeColor="text1" w:themeTint="BF"/>
    </w:rPr>
  </w:style>
  <w:style w:type="paragraph" w:styleId="Akapitzlist">
    <w:name w:val="List Paragraph"/>
    <w:basedOn w:val="Normalny"/>
    <w:uiPriority w:val="34"/>
    <w:qFormat/>
    <w:rsid w:val="00050B75"/>
    <w:pPr>
      <w:ind w:left="720"/>
      <w:contextualSpacing/>
    </w:pPr>
  </w:style>
  <w:style w:type="character" w:styleId="Wyrnienieintensywne">
    <w:name w:val="Intense Emphasis"/>
    <w:basedOn w:val="Domylnaczcionkaakapitu"/>
    <w:uiPriority w:val="21"/>
    <w:qFormat/>
    <w:rsid w:val="00050B75"/>
    <w:rPr>
      <w:i/>
      <w:iCs/>
      <w:color w:val="0F4761" w:themeColor="accent1" w:themeShade="BF"/>
    </w:rPr>
  </w:style>
  <w:style w:type="paragraph" w:styleId="Cytatintensywny">
    <w:name w:val="Intense Quote"/>
    <w:basedOn w:val="Normalny"/>
    <w:next w:val="Normalny"/>
    <w:link w:val="CytatintensywnyZnak"/>
    <w:uiPriority w:val="30"/>
    <w:qFormat/>
    <w:rsid w:val="00050B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50B75"/>
    <w:rPr>
      <w:i/>
      <w:iCs/>
      <w:color w:val="0F4761" w:themeColor="accent1" w:themeShade="BF"/>
    </w:rPr>
  </w:style>
  <w:style w:type="character" w:styleId="Odwoanieintensywne">
    <w:name w:val="Intense Reference"/>
    <w:basedOn w:val="Domylnaczcionkaakapitu"/>
    <w:uiPriority w:val="32"/>
    <w:qFormat/>
    <w:rsid w:val="00050B75"/>
    <w:rPr>
      <w:b/>
      <w:bCs/>
      <w:smallCaps/>
      <w:color w:val="0F4761" w:themeColor="accent1" w:themeShade="BF"/>
      <w:spacing w:val="5"/>
    </w:rPr>
  </w:style>
  <w:style w:type="paragraph" w:styleId="Bezodstpw">
    <w:name w:val="No Spacing"/>
    <w:uiPriority w:val="1"/>
    <w:qFormat/>
    <w:rsid w:val="00DF4527"/>
    <w:pPr>
      <w:spacing w:after="0" w:line="240" w:lineRule="auto"/>
    </w:pPr>
  </w:style>
  <w:style w:type="table" w:styleId="Tabela-Siatka">
    <w:name w:val="Table Grid"/>
    <w:basedOn w:val="Standardowy"/>
    <w:uiPriority w:val="39"/>
    <w:rsid w:val="00DF4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basedOn w:val="Normalny"/>
    <w:link w:val="TekstkomentarzaZnak"/>
    <w:uiPriority w:val="99"/>
    <w:unhideWhenUsed/>
    <w:rsid w:val="00021A18"/>
    <w:rPr>
      <w:sz w:val="20"/>
    </w:rPr>
  </w:style>
  <w:style w:type="character" w:customStyle="1" w:styleId="TekstkomentarzaZnak">
    <w:name w:val="Tekst komentarza Znak"/>
    <w:basedOn w:val="Domylnaczcionkaakapitu"/>
    <w:link w:val="Tekstkomentarza"/>
    <w:uiPriority w:val="99"/>
    <w:rsid w:val="00021A18"/>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rsid w:val="00021A18"/>
    <w:rPr>
      <w:b/>
      <w:bCs/>
    </w:rPr>
  </w:style>
  <w:style w:type="character" w:customStyle="1" w:styleId="TematkomentarzaZnak">
    <w:name w:val="Temat komentarza Znak"/>
    <w:basedOn w:val="TekstkomentarzaZnak"/>
    <w:link w:val="Tematkomentarza"/>
    <w:rsid w:val="00021A18"/>
    <w:rPr>
      <w:rFonts w:ascii="Times New Roman" w:eastAsia="Times New Roman" w:hAnsi="Times New Roman" w:cs="Times New Roman"/>
      <w:b/>
      <w:bCs/>
      <w:kern w:val="0"/>
      <w:sz w:val="20"/>
      <w:szCs w:val="20"/>
      <w:lang w:eastAsia="pl-PL"/>
      <w14:ligatures w14:val="none"/>
    </w:rPr>
  </w:style>
  <w:style w:type="paragraph" w:styleId="Poprawka">
    <w:name w:val="Revision"/>
    <w:hidden/>
    <w:uiPriority w:val="99"/>
    <w:semiHidden/>
    <w:rsid w:val="00A9454E"/>
    <w:pPr>
      <w:spacing w:after="0" w:line="240" w:lineRule="auto"/>
    </w:pPr>
    <w:rPr>
      <w:rFonts w:ascii="Times New Roman" w:eastAsia="Times New Roman" w:hAnsi="Times New Roman" w:cs="Times New Roman"/>
      <w:kern w:val="0"/>
      <w:sz w:val="28"/>
      <w:szCs w:val="20"/>
      <w:lang w:eastAsia="pl-PL"/>
      <w14:ligatures w14:val="none"/>
    </w:rPr>
  </w:style>
  <w:style w:type="character" w:styleId="Odwoaniedokomentarza">
    <w:name w:val="annotation reference"/>
    <w:basedOn w:val="Domylnaczcionkaakapitu"/>
    <w:uiPriority w:val="99"/>
    <w:semiHidden/>
    <w:unhideWhenUsed/>
    <w:rsid w:val="003559AF"/>
    <w:rPr>
      <w:sz w:val="16"/>
      <w:szCs w:val="16"/>
    </w:rPr>
  </w:style>
  <w:style w:type="paragraph" w:styleId="Nagwek">
    <w:name w:val="header"/>
    <w:basedOn w:val="Normalny"/>
    <w:link w:val="NagwekZnak"/>
    <w:uiPriority w:val="99"/>
    <w:unhideWhenUsed/>
    <w:rsid w:val="00D841A6"/>
    <w:pPr>
      <w:tabs>
        <w:tab w:val="center" w:pos="4536"/>
        <w:tab w:val="right" w:pos="9072"/>
      </w:tabs>
    </w:pPr>
  </w:style>
  <w:style w:type="character" w:customStyle="1" w:styleId="NagwekZnak">
    <w:name w:val="Nagłówek Znak"/>
    <w:basedOn w:val="Domylnaczcionkaakapitu"/>
    <w:link w:val="Nagwek"/>
    <w:uiPriority w:val="99"/>
    <w:rsid w:val="00D841A6"/>
    <w:rPr>
      <w:rFonts w:ascii="Times New Roman" w:eastAsia="Times New Roman" w:hAnsi="Times New Roman" w:cs="Times New Roman"/>
      <w:kern w:val="0"/>
      <w:sz w:val="28"/>
      <w:szCs w:val="20"/>
      <w:lang w:eastAsia="pl-PL"/>
      <w14:ligatures w14:val="none"/>
    </w:rPr>
  </w:style>
  <w:style w:type="paragraph" w:styleId="Stopka">
    <w:name w:val="footer"/>
    <w:basedOn w:val="Normalny"/>
    <w:link w:val="StopkaZnak"/>
    <w:uiPriority w:val="99"/>
    <w:unhideWhenUsed/>
    <w:rsid w:val="00D841A6"/>
    <w:pPr>
      <w:tabs>
        <w:tab w:val="center" w:pos="4536"/>
        <w:tab w:val="right" w:pos="9072"/>
      </w:tabs>
    </w:pPr>
  </w:style>
  <w:style w:type="character" w:customStyle="1" w:styleId="StopkaZnak">
    <w:name w:val="Stopka Znak"/>
    <w:basedOn w:val="Domylnaczcionkaakapitu"/>
    <w:link w:val="Stopka"/>
    <w:uiPriority w:val="99"/>
    <w:rsid w:val="00D841A6"/>
    <w:rPr>
      <w:rFonts w:ascii="Times New Roman" w:eastAsia="Times New Roman" w:hAnsi="Times New Roman" w:cs="Times New Roman"/>
      <w:kern w:val="0"/>
      <w:sz w:val="28"/>
      <w:szCs w:val="20"/>
      <w:lang w:eastAsia="pl-PL"/>
      <w14:ligatures w14:val="none"/>
    </w:rPr>
  </w:style>
  <w:style w:type="paragraph" w:customStyle="1" w:styleId="ARTartustawynprozporzdzenia">
    <w:name w:val="ART(§) – art. ustawy (§ np. rozporządzenia)"/>
    <w:uiPriority w:val="11"/>
    <w:qFormat/>
    <w:rsid w:val="00136CB7"/>
    <w:pPr>
      <w:suppressAutoHyphens/>
      <w:autoSpaceDE w:val="0"/>
      <w:autoSpaceDN w:val="0"/>
      <w:adjustRightInd w:val="0"/>
      <w:spacing w:before="120" w:after="0" w:line="360" w:lineRule="auto"/>
      <w:ind w:firstLine="510"/>
      <w:jc w:val="both"/>
    </w:pPr>
    <w:rPr>
      <w:rFonts w:ascii="Times" w:eastAsia="Times New Roman" w:hAnsi="Times" w:cs="Arial"/>
      <w:kern w:val="0"/>
      <w:sz w:val="24"/>
      <w:szCs w:val="20"/>
      <w:lang w:eastAsia="pl-PL"/>
      <w14:ligatures w14:val="none"/>
    </w:rPr>
  </w:style>
  <w:style w:type="paragraph" w:styleId="Tekstpodstawowywcity">
    <w:name w:val="Body Text Indent"/>
    <w:basedOn w:val="Normalny"/>
    <w:link w:val="TekstpodstawowywcityZnak"/>
    <w:uiPriority w:val="99"/>
    <w:unhideWhenUsed/>
    <w:rsid w:val="00136CB7"/>
    <w:pPr>
      <w:spacing w:after="120" w:line="259" w:lineRule="auto"/>
      <w:ind w:left="283"/>
    </w:pPr>
    <w:rPr>
      <w:rFonts w:asciiTheme="minorHAnsi" w:eastAsiaTheme="minorHAnsi" w:hAnsiTheme="minorHAnsi" w:cstheme="minorBidi"/>
      <w:sz w:val="22"/>
      <w:szCs w:val="22"/>
      <w:lang w:eastAsia="en-US"/>
    </w:rPr>
  </w:style>
  <w:style w:type="character" w:customStyle="1" w:styleId="TekstpodstawowywcityZnak">
    <w:name w:val="Tekst podstawowy wcięty Znak"/>
    <w:basedOn w:val="Domylnaczcionkaakapitu"/>
    <w:link w:val="Tekstpodstawowywcity"/>
    <w:uiPriority w:val="99"/>
    <w:rsid w:val="00136CB7"/>
    <w:rPr>
      <w:kern w:val="0"/>
      <w14:ligatures w14:val="none"/>
    </w:rPr>
  </w:style>
  <w:style w:type="character" w:customStyle="1" w:styleId="Ppogrubienie">
    <w:name w:val="_P_ – pogrubienie"/>
    <w:basedOn w:val="Domylnaczcionkaakapitu"/>
    <w:uiPriority w:val="1"/>
    <w:qFormat/>
    <w:rsid w:val="00136CB7"/>
    <w:rPr>
      <w:b/>
    </w:rPr>
  </w:style>
  <w:style w:type="paragraph" w:customStyle="1" w:styleId="USTustnpkodeksu">
    <w:name w:val="UST(§) – ust. (§ np. kodeksu)"/>
    <w:basedOn w:val="ARTartustawynprozporzdzenia"/>
    <w:uiPriority w:val="12"/>
    <w:qFormat/>
    <w:rsid w:val="00136CB7"/>
    <w:pPr>
      <w:spacing w:before="0"/>
    </w:pPr>
    <w:rPr>
      <w:rFonts w:eastAsiaTheme="minorEastAsia"/>
      <w:bCs/>
    </w:rPr>
  </w:style>
  <w:style w:type="paragraph" w:customStyle="1" w:styleId="Standard">
    <w:name w:val="Standard"/>
    <w:rsid w:val="00136CB7"/>
    <w:pPr>
      <w:suppressAutoHyphens/>
      <w:autoSpaceDN w:val="0"/>
      <w:spacing w:after="0" w:line="240" w:lineRule="auto"/>
      <w:textAlignment w:val="baseline"/>
    </w:pPr>
    <w:rPr>
      <w:rFonts w:ascii="Liberation Serif" w:eastAsia="NSimSun" w:hAnsi="Liberation Serif" w:cs="Lucida Sans"/>
      <w:kern w:val="3"/>
      <w:sz w:val="24"/>
      <w:szCs w:val="24"/>
      <w:lang w:eastAsia="zh-CN" w:bidi="hi-IN"/>
      <w14:ligatures w14:val="none"/>
    </w:rPr>
  </w:style>
  <w:style w:type="paragraph" w:styleId="Tekstprzypisukocowego">
    <w:name w:val="endnote text"/>
    <w:basedOn w:val="Normalny"/>
    <w:link w:val="TekstprzypisukocowegoZnak"/>
    <w:uiPriority w:val="99"/>
    <w:semiHidden/>
    <w:unhideWhenUsed/>
    <w:rsid w:val="00B73E9D"/>
    <w:rPr>
      <w:sz w:val="20"/>
    </w:rPr>
  </w:style>
  <w:style w:type="character" w:customStyle="1" w:styleId="TekstprzypisukocowegoZnak">
    <w:name w:val="Tekst przypisu końcowego Znak"/>
    <w:basedOn w:val="Domylnaczcionkaakapitu"/>
    <w:link w:val="Tekstprzypisukocowego"/>
    <w:uiPriority w:val="99"/>
    <w:semiHidden/>
    <w:rsid w:val="00B73E9D"/>
    <w:rPr>
      <w:rFonts w:ascii="Times New Roman" w:eastAsia="Times New Roman" w:hAnsi="Times New Roman" w:cs="Times New Roman"/>
      <w:kern w:val="0"/>
      <w:sz w:val="20"/>
      <w:szCs w:val="20"/>
      <w:lang w:eastAsia="pl-PL"/>
      <w14:ligatures w14:val="none"/>
    </w:rPr>
  </w:style>
  <w:style w:type="character" w:styleId="Odwoanieprzypisukocowego">
    <w:name w:val="endnote reference"/>
    <w:basedOn w:val="Domylnaczcionkaakapitu"/>
    <w:uiPriority w:val="99"/>
    <w:semiHidden/>
    <w:unhideWhenUsed/>
    <w:rsid w:val="00B73E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808063">
      <w:bodyDiv w:val="1"/>
      <w:marLeft w:val="0"/>
      <w:marRight w:val="0"/>
      <w:marTop w:val="0"/>
      <w:marBottom w:val="0"/>
      <w:divBdr>
        <w:top w:val="none" w:sz="0" w:space="0" w:color="auto"/>
        <w:left w:val="none" w:sz="0" w:space="0" w:color="auto"/>
        <w:bottom w:val="none" w:sz="0" w:space="0" w:color="auto"/>
        <w:right w:val="none" w:sz="0" w:space="0" w:color="auto"/>
      </w:divBdr>
    </w:div>
    <w:div w:id="1414350697">
      <w:bodyDiv w:val="1"/>
      <w:marLeft w:val="0"/>
      <w:marRight w:val="0"/>
      <w:marTop w:val="0"/>
      <w:marBottom w:val="0"/>
      <w:divBdr>
        <w:top w:val="none" w:sz="0" w:space="0" w:color="auto"/>
        <w:left w:val="none" w:sz="0" w:space="0" w:color="auto"/>
        <w:bottom w:val="none" w:sz="0" w:space="0" w:color="auto"/>
        <w:right w:val="none" w:sz="0" w:space="0" w:color="auto"/>
      </w:divBdr>
    </w:div>
    <w:div w:id="1526137988">
      <w:bodyDiv w:val="1"/>
      <w:marLeft w:val="0"/>
      <w:marRight w:val="0"/>
      <w:marTop w:val="0"/>
      <w:marBottom w:val="0"/>
      <w:divBdr>
        <w:top w:val="none" w:sz="0" w:space="0" w:color="auto"/>
        <w:left w:val="none" w:sz="0" w:space="0" w:color="auto"/>
        <w:bottom w:val="none" w:sz="0" w:space="0" w:color="auto"/>
        <w:right w:val="none" w:sz="0" w:space="0" w:color="auto"/>
      </w:divBdr>
    </w:div>
    <w:div w:id="1654605761">
      <w:bodyDiv w:val="1"/>
      <w:marLeft w:val="0"/>
      <w:marRight w:val="0"/>
      <w:marTop w:val="0"/>
      <w:marBottom w:val="0"/>
      <w:divBdr>
        <w:top w:val="none" w:sz="0" w:space="0" w:color="auto"/>
        <w:left w:val="none" w:sz="0" w:space="0" w:color="auto"/>
        <w:bottom w:val="none" w:sz="0" w:space="0" w:color="auto"/>
        <w:right w:val="none" w:sz="0" w:space="0" w:color="auto"/>
      </w:divBdr>
    </w:div>
    <w:div w:id="1806506158">
      <w:bodyDiv w:val="1"/>
      <w:marLeft w:val="0"/>
      <w:marRight w:val="0"/>
      <w:marTop w:val="0"/>
      <w:marBottom w:val="0"/>
      <w:divBdr>
        <w:top w:val="none" w:sz="0" w:space="0" w:color="auto"/>
        <w:left w:val="none" w:sz="0" w:space="0" w:color="auto"/>
        <w:bottom w:val="none" w:sz="0" w:space="0" w:color="auto"/>
        <w:right w:val="none" w:sz="0" w:space="0" w:color="auto"/>
      </w:divBdr>
    </w:div>
    <w:div w:id="1819490615">
      <w:bodyDiv w:val="1"/>
      <w:marLeft w:val="0"/>
      <w:marRight w:val="0"/>
      <w:marTop w:val="0"/>
      <w:marBottom w:val="0"/>
      <w:divBdr>
        <w:top w:val="none" w:sz="0" w:space="0" w:color="auto"/>
        <w:left w:val="none" w:sz="0" w:space="0" w:color="auto"/>
        <w:bottom w:val="none" w:sz="0" w:space="0" w:color="auto"/>
        <w:right w:val="none" w:sz="0" w:space="0" w:color="auto"/>
      </w:divBdr>
    </w:div>
    <w:div w:id="2029139036">
      <w:bodyDiv w:val="1"/>
      <w:marLeft w:val="0"/>
      <w:marRight w:val="0"/>
      <w:marTop w:val="0"/>
      <w:marBottom w:val="0"/>
      <w:divBdr>
        <w:top w:val="none" w:sz="0" w:space="0" w:color="auto"/>
        <w:left w:val="none" w:sz="0" w:space="0" w:color="auto"/>
        <w:bottom w:val="none" w:sz="0" w:space="0" w:color="auto"/>
        <w:right w:val="none" w:sz="0" w:space="0" w:color="auto"/>
      </w:divBdr>
    </w:div>
    <w:div w:id="212769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79E0C-216C-4DB3-B615-09A73CE3C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3153</Words>
  <Characters>18921</Characters>
  <Application>Microsoft Office Word</Application>
  <DocSecurity>0</DocSecurity>
  <Lines>157</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Muszyński Marcin</dc:creator>
  <cp:keywords/>
  <dc:description/>
  <cp:lastModifiedBy>DP WL</cp:lastModifiedBy>
  <cp:revision>2</cp:revision>
  <dcterms:created xsi:type="dcterms:W3CDTF">2026-06-16T10:15:00Z</dcterms:created>
  <dcterms:modified xsi:type="dcterms:W3CDTF">2026-06-16T10:15:00Z</dcterms:modified>
</cp:coreProperties>
</file>