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12 września 2022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 sprawie ustanowienia planu ochrony dla rezerwatu przyrody „Ostrowo”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2022, poz. 916 i 1726)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 plan ochrony dla rezerwatu przyrody „Ostrowo” zwanego  dalej „rezerwatem”.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 ochrony w rezerwacie jest zachowanie naturalnie kształtującego się drzewostanu.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Przyrodniczymi  i społecznymi  uwarunkowaniami  realizacji  celu  ochrony,  o 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 1,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 całości na gruntach należących do Skarbu Państwa, zarządzanych przez Państwowe Gospodarstwo Leśne Lasy Państwowe, Nadleśnictwo Miradz;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 obrębie zwartego kompleksu leśnego;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obszaru Natura 2000 Pojezierze Gnieźnieńskie PLH300026.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Identyfikację oraz określenie sposobów eliminacji i ograniczania istniejących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potencjalnych zagrożeń wewnętrznych i zewnętrznych oraz ich skutków na obszarze rezerwatu przedstawia tabela stanowiąca załącznik nr 1 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Ochronie czynnej podlega cały obszar rezerwatu.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Określenie działań ochronnych na obszarze ochrony czynnej, z podaniem ich rodzaju, zakresu i lokalizacji, przedstawia tabela stanowiąca załącznik nr 2 do zarządzenia.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Identyfikacja oraz określenie sposobów eliminacji lub ograniczania istniejących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potencjalnych zagrożeń wewnętrznych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zewnętrznych oraz ich skutków na obszarze rezerwatu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041"/>
        <w:gridCol w:w="44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Identyfikacja zagrożeń istniejących i potencjalnych zagrożeń wewnętrznych i zewnętrznych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Sposób eliminacji lub ograniczania istniejących i potencjalnych zagrożeń wewnętrznych i zewnętrznych oraz ich skutków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Ekspansja gatunku obcego geograficznie czeremchy amerykańskiej </w:t>
            </w:r>
            <w:r>
              <w:rPr>
                <w:i/>
              </w:rPr>
              <w:t xml:space="preserve">Padus serotina </w:t>
            </w:r>
            <w:r>
              <w:t>(zagrożenie istniejące, wewnętrzne i zewnętrzne).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większych osobników czeremchy amerykańskiej </w:t>
            </w:r>
            <w:r>
              <w:rPr>
                <w:i/>
              </w:rPr>
              <w:t xml:space="preserve">Padus serotina </w:t>
            </w:r>
            <w:r>
              <w:t>poprzez karczowanie i usunięcie z szyją korzeniową przy wcześniejszym podkopaniu ręcznym. Wyrywanie i usuwanie odrośli czeremchy amerykańskiej.</w:t>
            </w:r>
          </w:p>
          <w:p>
            <w:pPr>
              <w:jc w:val="left"/>
            </w:pPr>
            <w:r>
              <w:t>Usuwanie czeremchy amerykańskiej w rezerwacie przyrody rozpocząć równocześnie z jej usuwaniem wokół rezerwatu.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działań ochronnych na obszarze ochrony czynnej,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ich rodzaju, zakresu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8"/>
        <w:gridCol w:w="3298"/>
        <w:gridCol w:w="3830"/>
        <w:gridCol w:w="22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działań ochronnych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działań ochronnych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Lokalizacja działań</w:t>
            </w:r>
          </w:p>
          <w:p>
            <w:pPr>
              <w:jc w:val="left"/>
            </w:pPr>
            <w:r>
              <w:rPr>
                <w:b/>
              </w:rPr>
              <w:t xml:space="preserve">ochronnych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większych osobników czeremchy amerykańskiej </w:t>
            </w:r>
            <w:r>
              <w:rPr>
                <w:i/>
              </w:rPr>
              <w:t xml:space="preserve">Padus serotina </w:t>
            </w:r>
            <w:r>
              <w:t>poprzez karczowanie i usunięcie z szyją korzeniową przy wcześniejszym podkopaniu ręcznym. Wyrywanie i usuwanie odrośli czeremchy amerykańskiej.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czeremchy amerykańskiej w rezerwacie przyrody należy rozpocząć równocześnie z jej usuwaniem wokół rezerwatu. </w:t>
            </w:r>
          </w:p>
          <w:p>
            <w:pPr>
              <w:jc w:val="left"/>
            </w:pPr>
            <w:r>
              <w:t xml:space="preserve">Usuwanie większych osobników czeremchy amerykańskiej </w:t>
            </w:r>
            <w:r>
              <w:rPr>
                <w:i/>
              </w:rPr>
              <w:t xml:space="preserve">Padus serotina </w:t>
            </w:r>
            <w:r>
              <w:t>należy prowadzić poprzez karczowanie i usunięcie z szyją korzeniową przy wcześniejszym podkopaniu ręcznym, usuwać poza rezerwat. Wyrywać i usuwać odrośla czeremchy amerykańskiej.</w:t>
            </w:r>
          </w:p>
          <w:p>
            <w:pPr>
              <w:jc w:val="left"/>
            </w:pPr>
            <w:r>
              <w:t>Zabieg prowadzić w okresie jesienno-zimowym. Zabiegi należy wykonać w pierwszej dekadzie obowiązywania planu ochrony dla rezerwatu i kontynuować w zależności od</w:t>
            </w:r>
            <w:r>
              <w:t> </w:t>
            </w:r>
            <w:r>
              <w:t xml:space="preserve">potrzeb.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Cały obszar rezerwatu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ochrony dla rezerwatu przyrody „Ostrowo” jest dokumentem określającym spos</w:t>
      </w:r>
      <w:r>
        <w:rPr>
          <w:color w:val="000000"/>
          <w:szCs w:val="20"/>
          <w:shd w:val="clear" w:color="auto" w:fill="FFFFFF"/>
        </w:rPr>
        <w:t>ób ochrony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naturalnie kształtującego się drzewostanu</w:t>
      </w:r>
      <w:r>
        <w:rPr>
          <w:color w:val="000000"/>
          <w:szCs w:val="20"/>
          <w:shd w:val="clear" w:color="auto" w:fill="FFFFFF"/>
        </w:rPr>
        <w:t xml:space="preserve"> stanowiącego przedmiot ochrony w rezerwacie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Rezerwat przyrody został ustanowiony </w:t>
      </w:r>
      <w:r>
        <w:rPr>
          <w:color w:val="000000"/>
          <w:szCs w:val="20"/>
          <w:shd w:val="clear" w:color="auto" w:fill="FFFFFF"/>
        </w:rPr>
        <w:t>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arządzeniem Ministra Leśnictwa i Przemysłu Drzewnego z dnia 4 kwietnia 1977 r. w sprawie uznania za rezerwaty przyrody (M.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P. </w:t>
      </w:r>
      <w:r>
        <w:rPr>
          <w:color w:val="000000"/>
          <w:szCs w:val="20"/>
          <w:shd w:val="clear" w:color="auto" w:fill="FFFFFF"/>
        </w:rPr>
        <w:t>nr 10, poz. 64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).  Zarządzeniem Regionalnego Dyrektora Ochrony Środowiska w Bydgoszczy z dnia 22 lutego 2017 r.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sprawie zmiany nazwy i celu ochrony rezerwatu przyrody Czapliniec Ostrowo (Dz. Urz. Woj. Kuj-Pom. poz. 838)</w:t>
      </w:r>
      <w:r>
        <w:rPr>
          <w:color w:val="000000"/>
          <w:szCs w:val="20"/>
          <w:shd w:val="clear" w:color="auto" w:fill="FFFFFF"/>
        </w:rPr>
        <w:t>, uległa zmianie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nazwa rezerwatu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na „Ostrowo”</w:t>
      </w:r>
      <w:r>
        <w:rPr>
          <w:color w:val="000000"/>
          <w:szCs w:val="20"/>
          <w:shd w:val="clear" w:color="auto" w:fill="FFFFFF"/>
        </w:rPr>
        <w:t xml:space="preserve"> oraz cel ochrony rezerwatu, ze względu na brak  miejsc lęgowych czapli siwej (brak czapli i jej gniazd). Aktualnie celem ochrony rezerwatu przyrody „Ostrowo" jest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zachowanie naturalnie kształtującego się drzewostanu.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Dla właściwego funkcjonowania rezerwatu i jego ochrony plan ochrony zgodnie z art. 20 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sporządza się na okres 20 lat. Zgodnie z art. 19 ust. 6 ustawy o ochronie przyrody Regionalny Dyrektor Ochrony Środowiska ustanawia w drodze zarządzenia plan ochrony dla rezerwatu przyrody, sporządzony na podstawie w art. 20 ww. ustawy.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Założenia projektu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„Ostrowo” został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zaopiniowan</w:t>
      </w:r>
      <w:r>
        <w:rPr>
          <w:color w:val="000000"/>
          <w:szCs w:val="20"/>
          <w:shd w:val="clear" w:color="auto" w:fill="FFFFFF"/>
        </w:rPr>
        <w:t>e bez uwag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zarządcę terenu </w:t>
      </w:r>
      <w:r>
        <w:rPr>
          <w:color w:val="000000"/>
          <w:szCs w:val="20"/>
          <w:shd w:val="clear" w:color="auto" w:fill="FFFFFF"/>
        </w:rPr>
        <w:t xml:space="preserve">rezerwatu 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Nadleśnictwo Miradz, </w:t>
      </w:r>
      <w:r>
        <w:rPr>
          <w:color w:val="000000"/>
          <w:szCs w:val="20"/>
          <w:shd w:val="clear" w:color="auto" w:fill="FFFFFF"/>
        </w:rPr>
        <w:t>w protokole ze spotkania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dni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29 lipca 2021 r.</w:t>
      </w:r>
      <w:r>
        <w:rPr>
          <w:color w:val="000000"/>
          <w:szCs w:val="20"/>
          <w:shd w:val="clear" w:color="auto" w:fill="FFFFFF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Obwieszczeniem z dnia 28 stycznia 2021 r., znak WOP.6202.3.2021.KLD, Regionalny Dyrektor Ochrony Środowiska w Bydgoszczy zawiadomił o przystąpieniu do sporządzenia projektu planu ochrony dla rezerwatu przyrody </w:t>
      </w:r>
      <w:r>
        <w:rPr>
          <w:color w:val="000000"/>
          <w:szCs w:val="20"/>
          <w:shd w:val="clear" w:color="auto" w:fill="FFFFFF"/>
          <w:lang w:val="ar-SA" w:eastAsia="ar-SA" w:bidi="ar-SA"/>
        </w:rPr>
        <w:t>„Ostrowo”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Obwieszczeniem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 dnia </w:t>
      </w:r>
      <w:r>
        <w:rPr>
          <w:color w:val="000000"/>
          <w:szCs w:val="20"/>
          <w:shd w:val="clear" w:color="auto" w:fill="FFFFFF"/>
        </w:rPr>
        <w:t>1 lutego 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znak </w:t>
      </w:r>
      <w:r>
        <w:rPr>
          <w:color w:val="000000"/>
          <w:szCs w:val="20"/>
          <w:shd w:val="clear" w:color="auto" w:fill="FFFFFF"/>
        </w:rPr>
        <w:t>WOP.6202.6-8.2022.KLD</w:t>
      </w:r>
      <w:r>
        <w:rPr>
          <w:color w:val="000000"/>
          <w:szCs w:val="20"/>
          <w:shd w:val="clear" w:color="auto" w:fill="FFFFFF"/>
          <w:lang w:val="x-none" w:eastAsia="en-US" w:bidi="ar-SA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Regionalny Dyrektor Ochrony Środowiska w Bydgoszczy zawiadomił o możliwości udziału społeczeństwa w postępowaniu poprzez zapoznanie się z projektem planu ochrony i </w:t>
      </w:r>
      <w:r>
        <w:rPr>
          <w:color w:val="000000"/>
          <w:szCs w:val="20"/>
          <w:shd w:val="clear" w:color="auto" w:fill="FFFFFF"/>
        </w:rPr>
        <w:t xml:space="preserve">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możliwoś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składania uwag i wniosków.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 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r., poz. </w:t>
      </w:r>
      <w:r>
        <w:rPr>
          <w:color w:val="000000"/>
          <w:szCs w:val="20"/>
          <w:shd w:val="clear" w:color="auto" w:fill="FFFFFF"/>
        </w:rPr>
        <w:t>1029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(Dz. U. z 2021 r., poz. 735,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o odpowiednim do rodzaju dokumentu zasięgu</w:t>
      </w:r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</w:rPr>
        <w:t xml:space="preserve">Projekt planu ochrony zamieszczono również w publicznie dostępnym wykazie danych na Ekoportalu (nr karty 44/2022). W czasie trwania udziału społeczeństwa wniosek zgłosiło Nadleśnictwo Miradz, które pismami z dnia 24 stycznia 2022 r., znak ZG.7212.2.2022 i z dnia 7 lutego 2022 r., znak ZG.7212.2.2022, zwróciło się o wprowadzenie na obszarze całego rezerwatu ochrony czynnej, w związku z zaobserwowanym intensywnym wkraczaniem </w:t>
      </w:r>
      <w:r>
        <w:rPr>
          <w:color w:val="000000"/>
          <w:szCs w:val="20"/>
          <w:shd w:val="clear" w:color="auto" w:fill="FFFFFF"/>
        </w:rPr>
        <w:t xml:space="preserve">gatunku obcego geograficznie czeremchy amerykańskiej </w:t>
      </w:r>
      <w:r>
        <w:rPr>
          <w:i/>
          <w:color w:val="000000"/>
          <w:szCs w:val="20"/>
          <w:shd w:val="clear" w:color="auto" w:fill="FFFFFF"/>
        </w:rPr>
        <w:t xml:space="preserve">Padus serotina </w:t>
      </w:r>
      <w:r>
        <w:rPr>
          <w:color w:val="000000"/>
          <w:szCs w:val="20"/>
          <w:shd w:val="clear" w:color="auto" w:fill="FFFFFF"/>
        </w:rPr>
        <w:t xml:space="preserve">na obszar rezerwatu z terenów wokół rezerwatu.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W związku z powyższym </w:t>
      </w:r>
      <w:r>
        <w:rPr>
          <w:color w:val="000000"/>
          <w:szCs w:val="20"/>
          <w:shd w:val="clear" w:color="auto" w:fill="FFFFFF"/>
        </w:rPr>
        <w:t xml:space="preserve">Regionalny Dyrektor Ochrony Środowiska w Bydgoszczy wyznaczył na obszarze całego rezerwatu ochronę czynną na okres 20 lat, określając działanie ochronne polegające na usuwaniu większych osobników czeremchy amerykańskiej </w:t>
      </w:r>
      <w:r>
        <w:rPr>
          <w:i/>
          <w:color w:val="000000"/>
          <w:szCs w:val="20"/>
          <w:shd w:val="clear" w:color="auto" w:fill="FFFFFF"/>
        </w:rPr>
        <w:t xml:space="preserve">Padus serotina </w:t>
      </w:r>
      <w:r>
        <w:rPr>
          <w:color w:val="000000"/>
          <w:szCs w:val="20"/>
          <w:shd w:val="clear" w:color="auto" w:fill="FFFFFF"/>
        </w:rPr>
        <w:t xml:space="preserve">poprzez karczowanie i usunięcie z szyją korzeniową przy wcześniejszym podkopaniu ręcznym, usuwanie poza rezerwat. Wyrywaniu i usuwaniu odrośli czeremchy amerykańskiej. Zabiegi te należy prowadzić w okresie jesienno-zimowym i wykonać w pierwszej dekadzie obowiązywania planu ochrony dla rezerwatu i kontynuować w zależności od potrzeb. </w:t>
      </w:r>
      <w:r>
        <w:rPr>
          <w:color w:val="000000"/>
          <w:szCs w:val="20"/>
          <w:shd w:val="clear" w:color="auto" w:fill="FFFFFF"/>
        </w:rPr>
        <w:t xml:space="preserve">Usuwanie czeremchy amerykańskiej w rezerwacie przyrody należy rozpocząć równocześnie z jej usuwaniem wokół rezerwatu, ponieważ działania te w rezerwacie maja sens </w:t>
      </w:r>
      <w:r>
        <w:rPr>
          <w:color w:val="000000"/>
          <w:szCs w:val="20"/>
          <w:shd w:val="clear" w:color="auto" w:fill="FFFFFF"/>
          <w:lang w:val="x-none" w:eastAsia="en-US" w:bidi="ar-SA"/>
        </w:rPr>
        <w:t>jedynie wówczas, gdy wokół rezerwatu również prowadzone będą zabiegi usuwania tego gatunku.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Ze względu na uwarunkowanie przyrodnicze rezerwatu nie wskazano miejsc, w których może być prowadzona działalność wytwórcza, handlowa i rolnicza, jak również nie wskazano obszarów udostępnianych do celów </w:t>
      </w:r>
      <w:r>
        <w:rPr>
          <w:color w:val="000000"/>
          <w:szCs w:val="20"/>
          <w:shd w:val="clear" w:color="auto" w:fill="FFFFFF"/>
        </w:rPr>
        <w:t xml:space="preserve">naukowych,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edukacyjnych, rekreacyjnych, sportowych, amatorskiego połowu ryb i rybactwa. Udostępnianie rezerwatu w celu badań naukowych należy rozpatrywać na podstawie art. 15 ust. 1 pkt. 24 ustawy o ochronie przyrody. Uzyskanie indywidualnej zgody na prowadzenie ww. czynności gwarantuje nadzór nad ich rodzajem i metodyką, mając na uwadze dbałość o zachowanie celu ochrony rezerwatu przyrody we właściwym stanie. 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dostępnienie rezerwatu przyrody dla celów edukacyjnych i turystycznych może nastąpić jedynie w formie odrębnego zarządzenia na podstawie ar. 15 ust. 1 pkt 15 ustawy z dnia 16 kwietnia 2004 r. o ochronie przyrody, a nie zarządzeniem w sprawie ustanowienia planu ochrony rezerwatu.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 wprowadzono dodatkowych ustaleń do studiów uwarunkowań i kierunków zagospodarowania przestrzennego gminy Strzelno, planów zagospodarowania przestrzennego województwa kujawsko-pomorskiego dotyczących eliminacji lub ograniczenia zagrożeń wewnętrznych i zewnętrznych. </w:t>
      </w:r>
      <w:r>
        <w:rPr>
          <w:color w:val="000000"/>
          <w:szCs w:val="20"/>
          <w:shd w:val="clear" w:color="auto" w:fill="FFFFFF"/>
        </w:rPr>
        <w:t>Brak ustaleń wynika z braku zagrożeń, którym można by przeciwdziałać poprzez ww. ustalenia.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20 ust. 6 ustawy o ochronie przyrody niniejszy plan ochrony dla rezerwatu </w:t>
      </w:r>
      <w:r>
        <w:rPr>
          <w:color w:val="000000"/>
          <w:szCs w:val="20"/>
          <w:shd w:val="clear" w:color="auto" w:fill="FFFFFF"/>
        </w:rPr>
        <w:t xml:space="preserve">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zawiera zakres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> planu zadań ochronnych obszaru Natura 2000 Pojezierze Gnieźnieńskie PLH300026, ponieważ dla tego obszaru Natura 2000 ustanowiono plan zadań ochronnych zarządzeniem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Regionalnego Dyrektora Ochrony Środowiska w Poznaniu i Regionalnego Dyrektora Ochrony Środowiska w Bydgoszczy z dnia 7 kwietnia 2014 r. w sprawie ustanowienia planu zadań ochronnych dla obszaru Natura 2000 Pojezierze Gnieźnieńskie PLH300026 (Dz. Urz. Woj. Kuj-Pom. poz. 1291, z późn. zm.)</w:t>
      </w:r>
      <w:r>
        <w:rPr>
          <w:color w:val="000000"/>
          <w:szCs w:val="20"/>
          <w:shd w:val="clear" w:color="auto" w:fill="FFFFFF"/>
        </w:rPr>
        <w:t>, zmienionym z</w:t>
      </w:r>
      <w:r>
        <w:rPr>
          <w:color w:val="000000"/>
          <w:szCs w:val="20"/>
          <w:shd w:val="clear" w:color="auto" w:fill="F9FBF9"/>
          <w:lang w:val="x-none" w:eastAsia="en-US" w:bidi="ar-SA"/>
        </w:rPr>
        <w:t>arządzenie</w:t>
      </w:r>
      <w:r>
        <w:rPr>
          <w:color w:val="000000"/>
          <w:szCs w:val="20"/>
          <w:shd w:val="clear" w:color="auto" w:fill="F9FBF9"/>
        </w:rPr>
        <w:t>m</w:t>
      </w:r>
      <w:r>
        <w:rPr>
          <w:color w:val="000000"/>
          <w:szCs w:val="20"/>
          <w:shd w:val="clear" w:color="auto" w:fill="F9FBF9"/>
          <w:lang w:val="x-none" w:eastAsia="en-US" w:bidi="ar-SA"/>
        </w:rPr>
        <w:t xml:space="preserve"> Regionalnego Dyrektora Ochrony Środowiska w Poznaniu i Regionalnego Dyrektora Ochrony Środowiska w Bydgoszczy z dnia 2 września 2015 r. zmieniając</w:t>
      </w:r>
      <w:r>
        <w:rPr>
          <w:color w:val="000000"/>
          <w:szCs w:val="20"/>
          <w:shd w:val="clear" w:color="auto" w:fill="F9FBF9"/>
        </w:rPr>
        <w:t>ym</w:t>
      </w:r>
      <w:r>
        <w:rPr>
          <w:color w:val="000000"/>
          <w:szCs w:val="20"/>
          <w:shd w:val="clear" w:color="auto" w:fill="F9FBF9"/>
          <w:lang w:val="x-none" w:eastAsia="en-US" w:bidi="ar-SA"/>
        </w:rPr>
        <w:t xml:space="preserve"> zarządzenie w sprawie ustanowienia planu zadań ochronnych dla obszaru Natura 2000 Pojezierze Gnieźnieńskie PLH300026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9FBF9"/>
          <w:lang w:val="x-none" w:eastAsia="en-US" w:bidi="ar-SA"/>
        </w:rPr>
        <w:t>(Dz. Urz. Woj. Kuj-Pom. poz. 2772)</w:t>
      </w:r>
      <w:r>
        <w:rPr>
          <w:color w:val="000000"/>
          <w:szCs w:val="20"/>
          <w:shd w:val="clear" w:color="auto" w:fill="F9FBF9"/>
        </w:rPr>
        <w:t xml:space="preserve">, których zakres obejmuje obszar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„Ostrowo”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zarządzenia w sprawie ustanowienia planu ochrony dla rezerwatu przyrody „Ostrowo” został zaopiniowany</w:t>
      </w:r>
      <w:r>
        <w:rPr>
          <w:color w:val="000000"/>
          <w:szCs w:val="20"/>
          <w:shd w:val="clear" w:color="auto" w:fill="FFFFFF"/>
        </w:rPr>
        <w:t xml:space="preserve"> pozytywnie przez: Nadleśnictwo Miradz pismem z dnia 15 marca 2022 r., znak ZG.7212.8.2022,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Radę Gminy Strzelno pismem z dnia </w:t>
      </w:r>
      <w:r>
        <w:rPr>
          <w:color w:val="000000"/>
          <w:szCs w:val="20"/>
          <w:shd w:val="clear" w:color="auto" w:fill="FFFFFF"/>
        </w:rPr>
        <w:t>9 maja 2022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znak: </w:t>
      </w:r>
      <w:r>
        <w:rPr>
          <w:color w:val="000000"/>
          <w:szCs w:val="20"/>
          <w:shd w:val="clear" w:color="auto" w:fill="FFFFFF"/>
        </w:rPr>
        <w:t>ROR.0004.380.2022 BR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 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 Regionalną Radę Ochrony Przyrody w Bydgoszczy 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3/2022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 dnia </w:t>
      </w:r>
      <w:r>
        <w:rPr>
          <w:color w:val="000000"/>
          <w:szCs w:val="20"/>
          <w:shd w:val="clear" w:color="auto" w:fill="FFFFFF"/>
        </w:rPr>
        <w:t>10 sierpnia 2022 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 podstawie art. 59 ust. 2 ustawy z dnia 23 stycznia 2009 r. o wojewodzie i administracji rządowej w województwie (Dz. U. z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135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) projekt zarządzenia został uzgodniony przez Wojewodę Kujawsko-Pomorskiego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pismem znak: </w:t>
      </w:r>
      <w:r>
        <w:rPr>
          <w:color w:val="000000"/>
          <w:szCs w:val="20"/>
          <w:shd w:val="clear" w:color="auto" w:fill="FFFFFF"/>
        </w:rPr>
        <w:t>WIR.IX.710.46.2022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, z dnia </w:t>
      </w:r>
      <w:r>
        <w:rPr>
          <w:color w:val="000000"/>
          <w:szCs w:val="20"/>
          <w:shd w:val="clear" w:color="auto" w:fill="FFFFFF"/>
        </w:rPr>
        <w:t xml:space="preserve">8 września 2022 r. </w:t>
      </w:r>
    </w:p>
    <w:tbl>
      <w:tblPr>
        <w:tblStyle w:val="TableSimple1"/>
        <w:tblW w:w="8640" w:type="dxa"/>
        <w:tblInd w:w="9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81"/>
        <w:gridCol w:w="3559"/>
      </w:tblGrid>
      <w:tr>
        <w:tblPrEx>
          <w:tblW w:w="8640" w:type="dxa"/>
          <w:tblInd w:w="93" w:type="dxa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120" w:afterAutospacing="0" w:line="240" w:lineRule="auto"/>
              <w:ind w:left="0" w:right="0" w:firstLine="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SIGNATURE_0_1_FUNCTION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szCs w:val="20"/>
                <w:u w:color="000000"/>
              </w:rPr>
              <w:t xml:space="preserve">Regionalny Dyrektor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Ochrony Środowiska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>w Bydgoszczy</w:t>
            </w:r>
            <w:r>
              <w:rPr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SIGNATURE_0_1_FIRSTNAME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 xml:space="preserve">Szymon </w:t>
            </w:r>
            <w:r>
              <w:rPr>
                <w:szCs w:val="20"/>
                <w:u w:color="000000"/>
              </w:rPr>
              <w:fldChar w:fldCharType="end"/>
            </w: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SIGNATURE_0_1_LASTNAME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>Kosmalski</w:t>
            </w:r>
            <w:r>
              <w:rPr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9FE14CA2-39A8-4E63-A9F6-0D543FFB4827.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9FE14CA2-39A8-4E63-A9F6-0D543FFB4827.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9FE14CA2-39A8-4E63-A9F6-0D543FFB4827.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9FE14CA2-39A8-4E63-A9F6-0D543FFB4827.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12 września 2022 r.</dc:title>
  <dc:subject>w^sprawie ustanowienia planu ochrony dla rezerwatu przyrody „Ostrowo”</dc:subject>
  <dc:creator>kleszczynska</dc:creator>
  <cp:lastModifiedBy>kleszczynska</cp:lastModifiedBy>
  <cp:revision>1</cp:revision>
  <dcterms:created xsi:type="dcterms:W3CDTF">2022-09-13T10:05:24Z</dcterms:created>
  <dcterms:modified xsi:type="dcterms:W3CDTF">2022-09-13T10:05:24Z</dcterms:modified>
  <cp:category>Akt prawny</cp:category>
</cp:coreProperties>
</file>