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18" w:rsidRPr="00E10EF2" w:rsidRDefault="000C4418" w:rsidP="000C4418">
      <w:pPr>
        <w:rPr>
          <w:rFonts w:ascii="Times New Roman" w:hAnsi="Times New Roman" w:cs="Times New Roman"/>
          <w:b/>
          <w:sz w:val="24"/>
          <w:szCs w:val="24"/>
        </w:rPr>
      </w:pPr>
      <w:r w:rsidRPr="00E10EF2">
        <w:rPr>
          <w:rFonts w:ascii="Times New Roman" w:hAnsi="Times New Roman" w:cs="Times New Roman"/>
          <w:b/>
          <w:sz w:val="24"/>
          <w:szCs w:val="24"/>
        </w:rPr>
        <w:t>Załącznik nr 1 do Umowy nr ………</w:t>
      </w:r>
      <w:r w:rsidRPr="00ED073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A00B14" w:rsidRPr="00C10DF4" w:rsidRDefault="00A00B14" w:rsidP="0076296A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Przedmiotem zamówienia jest:</w:t>
      </w:r>
    </w:p>
    <w:p w:rsidR="00A00B14" w:rsidRPr="00C10DF4" w:rsidRDefault="00A00B14" w:rsidP="00E10E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Świadczenie usług telefonii stacjonarnej dla Podkarpackiego Urzędu Wojewódzkiego w Rzeszowie według  Wykaz</w:t>
      </w:r>
      <w:r w:rsidR="00E10EF2" w:rsidRPr="00C10DF4">
        <w:rPr>
          <w:rFonts w:ascii="Times New Roman" w:hAnsi="Times New Roman" w:cs="Times New Roman"/>
          <w:sz w:val="24"/>
          <w:szCs w:val="24"/>
        </w:rPr>
        <w:t>u</w:t>
      </w:r>
      <w:r w:rsidRPr="00C10DF4">
        <w:rPr>
          <w:rFonts w:ascii="Times New Roman" w:hAnsi="Times New Roman" w:cs="Times New Roman"/>
          <w:sz w:val="24"/>
          <w:szCs w:val="24"/>
        </w:rPr>
        <w:t xml:space="preserve"> zasobów telekomunikacyjnych wymienionych załączniku nr 2 do umowy.</w:t>
      </w:r>
    </w:p>
    <w:p w:rsidR="00A00B14" w:rsidRPr="00C10DF4" w:rsidRDefault="00A00B14" w:rsidP="00E10E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Zapewnienie łączności głosowej, faksowej oraz wszystkich przyłączy telekomunikacyjnych, niezbędnych do realizacji całości usług określonych w Wykazie zasobów telekomunikacyjnych stanowiącym Załącznik nr 2 do umowy.</w:t>
      </w:r>
    </w:p>
    <w:p w:rsidR="00A00B14" w:rsidRPr="00C10DF4" w:rsidRDefault="00A00B14" w:rsidP="00E10E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Podłączanie nowych i/lub likwidacja istniejących łączy POTS i traktów ISDN we wskazywanych na bieżąco przez Zamawia</w:t>
      </w:r>
      <w:r w:rsidR="001B1580" w:rsidRPr="00C10DF4">
        <w:rPr>
          <w:rFonts w:ascii="Times New Roman" w:hAnsi="Times New Roman" w:cs="Times New Roman"/>
          <w:sz w:val="24"/>
          <w:szCs w:val="24"/>
        </w:rPr>
        <w:t>jącego lokalizacjach, zgodnie z </w:t>
      </w:r>
      <w:r w:rsidR="00184C8F">
        <w:rPr>
          <w:rFonts w:ascii="Times New Roman" w:hAnsi="Times New Roman" w:cs="Times New Roman"/>
          <w:sz w:val="24"/>
          <w:szCs w:val="24"/>
        </w:rPr>
        <w:t>z</w:t>
      </w:r>
      <w:r w:rsidRPr="00C10DF4">
        <w:rPr>
          <w:rFonts w:ascii="Times New Roman" w:hAnsi="Times New Roman" w:cs="Times New Roman"/>
          <w:sz w:val="24"/>
          <w:szCs w:val="24"/>
        </w:rPr>
        <w:t>ałącznikiem nr 2 do umowy.</w:t>
      </w:r>
    </w:p>
    <w:p w:rsidR="00A00B14" w:rsidRPr="00C10DF4" w:rsidRDefault="00A00B14" w:rsidP="00E10E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Comiesięczne sporządzanie pełnych bilingów (lista wszystkich połączeń wychodzących) w rozbiciu na poszczególne numery DDI i MSN traktów ISDN oraz numery końcowe POTS/PSTN, w pliku w formacie zgodnym z programem Microsoft Excel oraz dostarczanie go przez Wykonawcę w terminie 3 dni od dnia wystawienia faktury za miesięczne usługi telekomunikacyjne na adres poczty elektronicznej osoby pełniącej nadzór nad realizacją umowy ze strony </w:t>
      </w:r>
      <w:r w:rsidR="006A37F2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>. Zestawienie bilingowe powinno zawierać następujące informacje:</w:t>
      </w:r>
    </w:p>
    <w:p w:rsidR="00A00B14" w:rsidRPr="00C10DF4" w:rsidRDefault="00A00B14" w:rsidP="00E10E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liczba kolejna (numer rekordu),</w:t>
      </w:r>
    </w:p>
    <w:p w:rsidR="00A00B14" w:rsidRPr="00C10DF4" w:rsidRDefault="00A00B14" w:rsidP="00E10E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data rozpoczęcia rozmowy w formacie: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rrrr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>-mm-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>,</w:t>
      </w:r>
    </w:p>
    <w:p w:rsidR="00A00B14" w:rsidRPr="00C10DF4" w:rsidRDefault="00A00B14" w:rsidP="00E10E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czas rozpoczęcia rozmowy w formacie: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gg:mm:ss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>,</w:t>
      </w:r>
    </w:p>
    <w:p w:rsidR="00A00B14" w:rsidRPr="00C10DF4" w:rsidRDefault="00A00B14" w:rsidP="00E10E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czas trwania połączenia w formacie: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gg:mm:ss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>,</w:t>
      </w:r>
    </w:p>
    <w:p w:rsidR="00A00B14" w:rsidRPr="00C10DF4" w:rsidRDefault="00A00B14" w:rsidP="00E10E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numer DDI, MSN lub POTS abonenta inicjującego połączenie,</w:t>
      </w:r>
    </w:p>
    <w:p w:rsidR="00A00B14" w:rsidRPr="00C10DF4" w:rsidRDefault="00A00B14" w:rsidP="00E10E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wybrany numer,</w:t>
      </w:r>
    </w:p>
    <w:p w:rsidR="00A00B14" w:rsidRPr="00C10DF4" w:rsidRDefault="00A00B14" w:rsidP="00E10E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nazwa wybranego kierunku,</w:t>
      </w:r>
    </w:p>
    <w:p w:rsidR="00A00B14" w:rsidRPr="00C10DF4" w:rsidRDefault="00A00B14" w:rsidP="00E10E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koszt połączenia,</w:t>
      </w:r>
    </w:p>
    <w:p w:rsidR="00A00B14" w:rsidRPr="00C10DF4" w:rsidRDefault="00A00B14" w:rsidP="00E10E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koszt wykonanych połączeń dla danej lokalizacji w okresie rozliczeniowym,</w:t>
      </w:r>
    </w:p>
    <w:p w:rsidR="00A00B14" w:rsidRPr="00C10DF4" w:rsidRDefault="00A00B14" w:rsidP="00E10EF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inne informacje, związane z połączeniem.</w:t>
      </w:r>
    </w:p>
    <w:p w:rsidR="00A00B14" w:rsidRPr="00C10DF4" w:rsidRDefault="00A00B14" w:rsidP="00E10E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Zapewnienie systemu zapowiedzi informacyjnej o zmianie dotychczasowego numeru końcowego lub grupy numerów zgodnie z aktualnymi potrzebami Zamawiającego – w razie likwidacji lub zmiany numerów, przez okres co najmniej 2 miesięcy od dnia likwidacji lub zmiany numeru, jednak nie dłużej niż do końca trwania umowy. Zamawiający oczekuje</w:t>
      </w:r>
      <w:r w:rsidR="003D7326" w:rsidRPr="00C10DF4">
        <w:rPr>
          <w:rFonts w:ascii="Times New Roman" w:hAnsi="Times New Roman" w:cs="Times New Roman"/>
          <w:sz w:val="24"/>
          <w:szCs w:val="24"/>
        </w:rPr>
        <w:t xml:space="preserve"> </w:t>
      </w:r>
      <w:r w:rsidRPr="00C10DF4">
        <w:rPr>
          <w:rFonts w:ascii="Times New Roman" w:hAnsi="Times New Roman" w:cs="Times New Roman"/>
          <w:sz w:val="24"/>
          <w:szCs w:val="24"/>
        </w:rPr>
        <w:t>standardowej zapowiedzi słownej, w treści której będzie informacja o zmianie numeru z podaniem nowego numeru Zamawiającego (jeśli taka zmiana nastąpiła) lub informacja</w:t>
      </w:r>
      <w:r w:rsidR="003D7326" w:rsidRPr="00C10DF4">
        <w:rPr>
          <w:rFonts w:ascii="Times New Roman" w:hAnsi="Times New Roman" w:cs="Times New Roman"/>
          <w:sz w:val="24"/>
          <w:szCs w:val="24"/>
        </w:rPr>
        <w:t xml:space="preserve"> </w:t>
      </w:r>
      <w:r w:rsidRPr="00C10DF4">
        <w:rPr>
          <w:rFonts w:ascii="Times New Roman" w:hAnsi="Times New Roman" w:cs="Times New Roman"/>
          <w:sz w:val="24"/>
          <w:szCs w:val="24"/>
        </w:rPr>
        <w:t>o</w:t>
      </w:r>
      <w:r w:rsidRPr="00C10DF4">
        <w:rPr>
          <w:rFonts w:ascii="Times New Roman" w:hAnsi="Times New Roman" w:cs="Times New Roman"/>
          <w:sz w:val="24"/>
          <w:szCs w:val="24"/>
        </w:rPr>
        <w:tab/>
        <w:t>likwidacji numeru (w przypadku likwidacji Zamawiającego lub jego części lub rezygnacji z numeru przez Zamawiającego bez uruchomienia innego numeru).</w:t>
      </w:r>
    </w:p>
    <w:p w:rsidR="00A00B14" w:rsidRPr="00C10DF4" w:rsidRDefault="00A00B14" w:rsidP="00E10EF2">
      <w:p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II.</w:t>
      </w:r>
      <w:r w:rsidRPr="00C10DF4">
        <w:rPr>
          <w:rFonts w:ascii="Times New Roman" w:hAnsi="Times New Roman" w:cs="Times New Roman"/>
          <w:sz w:val="24"/>
          <w:szCs w:val="24"/>
        </w:rPr>
        <w:tab/>
        <w:t>Usługi telekomunikacyjne będące przedmiotem niniejszego zamówienia będą świadczone zgodnie z ustawą z dnia 16 lipca 2004 r. Pr</w:t>
      </w:r>
      <w:r w:rsidR="006A37F2" w:rsidRPr="00C10DF4">
        <w:rPr>
          <w:rFonts w:ascii="Times New Roman" w:hAnsi="Times New Roman" w:cs="Times New Roman"/>
          <w:sz w:val="24"/>
          <w:szCs w:val="24"/>
        </w:rPr>
        <w:t>awo telekomunikacyjne (Dz. U. z </w:t>
      </w:r>
      <w:r w:rsidRPr="00C10DF4">
        <w:rPr>
          <w:rFonts w:ascii="Times New Roman" w:hAnsi="Times New Roman" w:cs="Times New Roman"/>
          <w:sz w:val="24"/>
          <w:szCs w:val="24"/>
        </w:rPr>
        <w:t>2018 r., poz. 1954) oraz innymi obowiązującymi w tym zakresie przepisami prawa.</w:t>
      </w:r>
    </w:p>
    <w:p w:rsidR="00A00B14" w:rsidRPr="00C10DF4" w:rsidRDefault="00A00B14" w:rsidP="00E10EF2">
      <w:p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III.</w:t>
      </w:r>
      <w:r w:rsidRPr="00C10DF4">
        <w:rPr>
          <w:rFonts w:ascii="Times New Roman" w:hAnsi="Times New Roman" w:cs="Times New Roman"/>
          <w:sz w:val="24"/>
          <w:szCs w:val="24"/>
        </w:rPr>
        <w:tab/>
        <w:t>Przedmiot niniejszego zamówienia nie obejmuje usług dotyczących:</w:t>
      </w:r>
    </w:p>
    <w:p w:rsidR="003D7326" w:rsidRPr="00C10DF4" w:rsidRDefault="00A00B14" w:rsidP="00E10EF2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lastRenderedPageBreak/>
        <w:t>łączy alarmowych (na których funkcjonuje numeracja alarmowa typu 112, 987, 999 etc.),</w:t>
      </w:r>
    </w:p>
    <w:p w:rsidR="003D7326" w:rsidRPr="00C10DF4" w:rsidRDefault="00A00B14" w:rsidP="00E10EF2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dzierżawy/zakupu abonenckich centrali telefonicznych (PABX), modułów wyniesionych, kart wyposażenia centrali itp.,</w:t>
      </w:r>
    </w:p>
    <w:p w:rsidR="003D7326" w:rsidRPr="00C10DF4" w:rsidRDefault="00A00B14" w:rsidP="00E10EF2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dzierżawy/zakupu modemów, bramek, urządzeń końcowych itp.,</w:t>
      </w:r>
    </w:p>
    <w:p w:rsidR="003D7326" w:rsidRPr="00C10DF4" w:rsidRDefault="00A00B14" w:rsidP="00E10EF2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łączy dzierżawionych pomiędzy obiektami </w:t>
      </w:r>
      <w:r w:rsidR="006A37F2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 xml:space="preserve"> (dla łączności resortowej),</w:t>
      </w:r>
    </w:p>
    <w:p w:rsidR="003D7326" w:rsidRPr="00C10DF4" w:rsidRDefault="00A00B14" w:rsidP="00E10EF2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dostępu do Internetu,</w:t>
      </w:r>
    </w:p>
    <w:p w:rsidR="00A00B14" w:rsidRPr="00C10DF4" w:rsidRDefault="00A00B14" w:rsidP="00E10EF2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łączy na których świadczone są inne usługi tj. dostęp do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>/DSL, usługi pakietowe.</w:t>
      </w:r>
    </w:p>
    <w:p w:rsidR="00A00B14" w:rsidRPr="00C10DF4" w:rsidRDefault="00A00B14" w:rsidP="00E10EF2">
      <w:p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Powyższe usługi zostaną zrealizowane samodzielnie przez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 xml:space="preserve"> zgodnie z jej potrzebami oraz w celu zapewnienia wdrożenia usługi będącej przedmiotem niniejszego zamówienia.</w:t>
      </w:r>
    </w:p>
    <w:p w:rsidR="00A00B14" w:rsidRPr="00C10DF4" w:rsidRDefault="00A00B14" w:rsidP="00E10EF2">
      <w:p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IV.</w:t>
      </w:r>
      <w:r w:rsidRPr="00C10DF4">
        <w:rPr>
          <w:rFonts w:ascii="Times New Roman" w:hAnsi="Times New Roman" w:cs="Times New Roman"/>
          <w:sz w:val="24"/>
          <w:szCs w:val="24"/>
        </w:rPr>
        <w:tab/>
        <w:t>Szczegółowe wymagania dotyczące wykonania przedmiotu zamówienia: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Zamawiający zachowa dotychczasową numerację telefoniczną</w:t>
      </w:r>
      <w:r w:rsidR="003D7326" w:rsidRPr="00C10DF4">
        <w:rPr>
          <w:rFonts w:ascii="Times New Roman" w:hAnsi="Times New Roman" w:cs="Times New Roman"/>
          <w:sz w:val="24"/>
          <w:szCs w:val="24"/>
        </w:rPr>
        <w:t>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Wykonawca, w porozumieniu z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Zamawiającym</w:t>
      </w:r>
      <w:r w:rsidRPr="00C10DF4">
        <w:rPr>
          <w:rFonts w:ascii="Times New Roman" w:hAnsi="Times New Roman" w:cs="Times New Roman"/>
          <w:sz w:val="24"/>
          <w:szCs w:val="24"/>
        </w:rPr>
        <w:t xml:space="preserve">, zamieści informację o numeracji telefonicznej </w:t>
      </w:r>
      <w:r w:rsidR="00DD70B4" w:rsidRPr="00C10DF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10DF4">
        <w:rPr>
          <w:rFonts w:ascii="Times New Roman" w:hAnsi="Times New Roman" w:cs="Times New Roman"/>
          <w:sz w:val="24"/>
          <w:szCs w:val="24"/>
        </w:rPr>
        <w:t>w ogólnopolskiej bazie numerów, świadczonej przez Orange (zgodnie z decyzją Prezesa Urzędu Komunikacji Elektronicznej z dn. 14 lipca 2006 r.).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zapewni dla określonych numerów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 xml:space="preserve"> możliwość dyskryminacji kierunków telefonicznych komercyjnych (takich jak 0300, 0700 itd.) na po</w:t>
      </w:r>
      <w:r w:rsidR="003D7326" w:rsidRPr="00C10DF4">
        <w:rPr>
          <w:rFonts w:ascii="Times New Roman" w:hAnsi="Times New Roman" w:cs="Times New Roman"/>
          <w:sz w:val="24"/>
          <w:szCs w:val="24"/>
        </w:rPr>
        <w:t>ziomie centrali miejskiej (OCB).</w:t>
      </w:r>
    </w:p>
    <w:p w:rsidR="00A00B14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uruchomi i udostępni w zależności od potrzeb </w:t>
      </w:r>
      <w:r w:rsidR="00DD70B4" w:rsidRPr="00C10DF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10DF4">
        <w:rPr>
          <w:rFonts w:ascii="Times New Roman" w:hAnsi="Times New Roman" w:cs="Times New Roman"/>
          <w:sz w:val="24"/>
          <w:szCs w:val="24"/>
        </w:rPr>
        <w:t>usługi:</w:t>
      </w:r>
    </w:p>
    <w:p w:rsidR="003D7326" w:rsidRPr="00C10DF4" w:rsidRDefault="00A00B14" w:rsidP="00E10EF2">
      <w:pPr>
        <w:pStyle w:val="Akapitzlist"/>
        <w:numPr>
          <w:ilvl w:val="0"/>
          <w:numId w:val="6"/>
        </w:numPr>
        <w:ind w:left="1134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CLIP -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Calling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 xml:space="preserve"> Line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 xml:space="preserve"> Presentation (pr</w:t>
      </w:r>
      <w:r w:rsidR="003D7326" w:rsidRPr="00C10DF4">
        <w:rPr>
          <w:rFonts w:ascii="Times New Roman" w:hAnsi="Times New Roman" w:cs="Times New Roman"/>
          <w:sz w:val="24"/>
          <w:szCs w:val="24"/>
        </w:rPr>
        <w:t>ezentacja numeru dzwoniącego, z </w:t>
      </w:r>
      <w:r w:rsidRPr="00C10DF4">
        <w:rPr>
          <w:rFonts w:ascii="Times New Roman" w:hAnsi="Times New Roman" w:cs="Times New Roman"/>
          <w:sz w:val="24"/>
          <w:szCs w:val="24"/>
        </w:rPr>
        <w:t>wyłączeniem numerów zastrzeżonych zgodnie z art. 171 ustawy Prawo telekomunikacyjne)</w:t>
      </w:r>
      <w:r w:rsidR="00682A7F" w:rsidRPr="00C10DF4">
        <w:rPr>
          <w:rFonts w:ascii="Times New Roman" w:hAnsi="Times New Roman" w:cs="Times New Roman"/>
          <w:sz w:val="24"/>
          <w:szCs w:val="24"/>
        </w:rPr>
        <w:t>.</w:t>
      </w:r>
    </w:p>
    <w:p w:rsidR="003D7326" w:rsidRPr="00C10DF4" w:rsidRDefault="00A00B14" w:rsidP="00E10EF2">
      <w:pPr>
        <w:pStyle w:val="Akapitzlist"/>
        <w:numPr>
          <w:ilvl w:val="0"/>
          <w:numId w:val="6"/>
        </w:numPr>
        <w:ind w:left="1134" w:hanging="1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DF4">
        <w:rPr>
          <w:rFonts w:ascii="Times New Roman" w:hAnsi="Times New Roman" w:cs="Times New Roman"/>
          <w:sz w:val="24"/>
          <w:szCs w:val="24"/>
          <w:lang w:val="en-US"/>
        </w:rPr>
        <w:t>CLIR - Calling Line Identification Restriction (</w:t>
      </w:r>
      <w:proofErr w:type="spellStart"/>
      <w:r w:rsidRPr="00C10DF4">
        <w:rPr>
          <w:rFonts w:ascii="Times New Roman" w:hAnsi="Times New Roman" w:cs="Times New Roman"/>
          <w:sz w:val="24"/>
          <w:szCs w:val="24"/>
          <w:lang w:val="en-US"/>
        </w:rPr>
        <w:t>blokada</w:t>
      </w:r>
      <w:proofErr w:type="spellEnd"/>
      <w:r w:rsidRPr="00C1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0DF4">
        <w:rPr>
          <w:rFonts w:ascii="Times New Roman" w:hAnsi="Times New Roman" w:cs="Times New Roman"/>
          <w:sz w:val="24"/>
          <w:szCs w:val="24"/>
          <w:lang w:val="en-US"/>
        </w:rPr>
        <w:t>prezentacji</w:t>
      </w:r>
      <w:proofErr w:type="spellEnd"/>
      <w:r w:rsidRPr="00C1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0DF4">
        <w:rPr>
          <w:rFonts w:ascii="Times New Roman" w:hAnsi="Times New Roman" w:cs="Times New Roman"/>
          <w:sz w:val="24"/>
          <w:szCs w:val="24"/>
          <w:lang w:val="en-US"/>
        </w:rPr>
        <w:t>numeru</w:t>
      </w:r>
      <w:proofErr w:type="spellEnd"/>
      <w:r w:rsidRPr="00C1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0DF4">
        <w:rPr>
          <w:rFonts w:ascii="Times New Roman" w:hAnsi="Times New Roman" w:cs="Times New Roman"/>
          <w:sz w:val="24"/>
          <w:szCs w:val="24"/>
          <w:lang w:val="en-US"/>
        </w:rPr>
        <w:t>dzwoniącego</w:t>
      </w:r>
      <w:proofErr w:type="spellEnd"/>
      <w:r w:rsidRPr="00C10DF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2A7F" w:rsidRPr="00C10D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7326" w:rsidRPr="00C10DF4" w:rsidRDefault="00A00B14" w:rsidP="00E10EF2">
      <w:pPr>
        <w:pStyle w:val="Akapitzlist"/>
        <w:numPr>
          <w:ilvl w:val="0"/>
          <w:numId w:val="6"/>
        </w:numPr>
        <w:ind w:left="1134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COLP -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 xml:space="preserve"> Line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 xml:space="preserve"> Pre</w:t>
      </w:r>
      <w:r w:rsidR="00682A7F" w:rsidRPr="00C10DF4">
        <w:rPr>
          <w:rFonts w:ascii="Times New Roman" w:hAnsi="Times New Roman" w:cs="Times New Roman"/>
          <w:sz w:val="24"/>
          <w:szCs w:val="24"/>
        </w:rPr>
        <w:t>sentation (prezentacja numeru z </w:t>
      </w:r>
      <w:r w:rsidRPr="00C10DF4">
        <w:rPr>
          <w:rFonts w:ascii="Times New Roman" w:hAnsi="Times New Roman" w:cs="Times New Roman"/>
          <w:sz w:val="24"/>
          <w:szCs w:val="24"/>
        </w:rPr>
        <w:t>którym nawiązane jest połączenie) wymagane jedynie w obrębie sieci telekomunikacyjnej Wykonawcy</w:t>
      </w:r>
      <w:r w:rsidR="00682A7F" w:rsidRPr="00C10DF4">
        <w:rPr>
          <w:rFonts w:ascii="Times New Roman" w:hAnsi="Times New Roman" w:cs="Times New Roman"/>
          <w:sz w:val="24"/>
          <w:szCs w:val="24"/>
        </w:rPr>
        <w:t>.</w:t>
      </w:r>
    </w:p>
    <w:p w:rsidR="00A00B14" w:rsidRPr="00C10DF4" w:rsidRDefault="00A00B14" w:rsidP="00E10EF2">
      <w:pPr>
        <w:pStyle w:val="Akapitzlist"/>
        <w:numPr>
          <w:ilvl w:val="0"/>
          <w:numId w:val="6"/>
        </w:numPr>
        <w:ind w:left="1134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COLR -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 xml:space="preserve"> Line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Restrictio</w:t>
      </w:r>
      <w:r w:rsidR="003D7326" w:rsidRPr="00C10DF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D7326" w:rsidRPr="00C10DF4">
        <w:rPr>
          <w:rFonts w:ascii="Times New Roman" w:hAnsi="Times New Roman" w:cs="Times New Roman"/>
          <w:sz w:val="24"/>
          <w:szCs w:val="24"/>
        </w:rPr>
        <w:t xml:space="preserve"> (blokada prezentacji numeru z </w:t>
      </w:r>
      <w:r w:rsidRPr="00C10DF4">
        <w:rPr>
          <w:rFonts w:ascii="Times New Roman" w:hAnsi="Times New Roman" w:cs="Times New Roman"/>
          <w:sz w:val="24"/>
          <w:szCs w:val="24"/>
        </w:rPr>
        <w:t>kt</w:t>
      </w:r>
      <w:r w:rsidR="00682A7F" w:rsidRPr="00C10DF4">
        <w:rPr>
          <w:rFonts w:ascii="Times New Roman" w:hAnsi="Times New Roman" w:cs="Times New Roman"/>
          <w:sz w:val="24"/>
          <w:szCs w:val="24"/>
        </w:rPr>
        <w:t>órym nawiązane jest połączenie).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zapewni, aby przesyłanie informacji o numerze abonenta wywołującego w połączeniach przychodzących do </w:t>
      </w:r>
      <w:r w:rsidR="00DD70B4" w:rsidRPr="00C10DF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10DF4">
        <w:rPr>
          <w:rFonts w:ascii="Times New Roman" w:hAnsi="Times New Roman" w:cs="Times New Roman"/>
          <w:sz w:val="24"/>
          <w:szCs w:val="24"/>
        </w:rPr>
        <w:t xml:space="preserve">na łączach analogowych było realizowane za pomącą sygnalizacji DTMF (Dual Tone Multi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>) i FSK (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Frequency-Shift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Keying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>).</w:t>
      </w:r>
    </w:p>
    <w:p w:rsidR="00A00B14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zapewni możliwość przekierowywania na dowolne numery telekomunikacyjnej sieci publicznej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wywołań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 xml:space="preserve"> kierowanych na wszystkie numery analogowe </w:t>
      </w:r>
      <w:r w:rsidR="00DD70B4" w:rsidRPr="00C10DF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10DF4">
        <w:rPr>
          <w:rFonts w:ascii="Times New Roman" w:hAnsi="Times New Roman" w:cs="Times New Roman"/>
          <w:sz w:val="24"/>
          <w:szCs w:val="24"/>
        </w:rPr>
        <w:t>w trybie:</w:t>
      </w:r>
    </w:p>
    <w:p w:rsidR="00A00B14" w:rsidRPr="00C10DF4" w:rsidRDefault="00A00B14" w:rsidP="00E10EF2">
      <w:pPr>
        <w:pStyle w:val="Akapitzlist"/>
        <w:numPr>
          <w:ilvl w:val="0"/>
          <w:numId w:val="8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bezzwłocznym (CFU),</w:t>
      </w:r>
    </w:p>
    <w:p w:rsidR="00A00B14" w:rsidRPr="00C10DF4" w:rsidRDefault="00A00B14" w:rsidP="00E10EF2">
      <w:pPr>
        <w:pStyle w:val="Akapitzlist"/>
        <w:numPr>
          <w:ilvl w:val="0"/>
          <w:numId w:val="8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w przypadku zajętości (CFB),</w:t>
      </w:r>
    </w:p>
    <w:p w:rsidR="003D7326" w:rsidRPr="00C10DF4" w:rsidRDefault="00A00B14" w:rsidP="00E10EF2">
      <w:pPr>
        <w:pStyle w:val="Akapitzlist"/>
        <w:numPr>
          <w:ilvl w:val="0"/>
          <w:numId w:val="8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przy braku odpowiedzi (CFNR).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lastRenderedPageBreak/>
        <w:t xml:space="preserve">Wykonawca zapewni dla wszystkich numerów możliwość identyfikacji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wywołań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 xml:space="preserve"> złośliwych (MCID) oraz blokadę połączeń anonimowych (ACR).</w:t>
      </w:r>
    </w:p>
    <w:p w:rsidR="003D7326" w:rsidRPr="00C10DF4" w:rsidRDefault="00200846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Zamawiający</w:t>
      </w:r>
      <w:r w:rsidR="00A00B14" w:rsidRPr="00C10DF4">
        <w:rPr>
          <w:rFonts w:ascii="Times New Roman" w:hAnsi="Times New Roman" w:cs="Times New Roman"/>
          <w:sz w:val="24"/>
          <w:szCs w:val="24"/>
        </w:rPr>
        <w:t xml:space="preserve"> wymaga, aby podczas prowadzonych rozmów na wszystkich łączach telefonicznych była zachowana możliwość wysyłania i odbierania sygnałów DTMF (Dual Tone Multi </w:t>
      </w:r>
      <w:proofErr w:type="spellStart"/>
      <w:r w:rsidR="00A00B14" w:rsidRPr="00C10DF4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="00A00B14" w:rsidRPr="00C10DF4">
        <w:rPr>
          <w:rFonts w:ascii="Times New Roman" w:hAnsi="Times New Roman" w:cs="Times New Roman"/>
          <w:sz w:val="24"/>
          <w:szCs w:val="24"/>
        </w:rPr>
        <w:t>) pomiędzy urządzeniami końcowymi.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Wykonawca zapewni bezpłatne połączenia telefoniczne na krajowe numery komórkowe</w:t>
      </w:r>
      <w:r w:rsidR="003D7326" w:rsidRPr="00C10DF4">
        <w:rPr>
          <w:rFonts w:ascii="Times New Roman" w:hAnsi="Times New Roman" w:cs="Times New Roman"/>
          <w:sz w:val="24"/>
          <w:szCs w:val="24"/>
        </w:rPr>
        <w:t xml:space="preserve"> </w:t>
      </w:r>
      <w:r w:rsidRPr="00C10DF4">
        <w:rPr>
          <w:rFonts w:ascii="Times New Roman" w:hAnsi="Times New Roman" w:cs="Times New Roman"/>
          <w:sz w:val="24"/>
          <w:szCs w:val="24"/>
        </w:rPr>
        <w:t>i</w:t>
      </w:r>
      <w:r w:rsidRPr="00C10DF4">
        <w:rPr>
          <w:rFonts w:ascii="Times New Roman" w:hAnsi="Times New Roman" w:cs="Times New Roman"/>
          <w:sz w:val="24"/>
          <w:szCs w:val="24"/>
        </w:rPr>
        <w:tab/>
        <w:t>stacjonarne z wyjątkiem połączeń na numery specjalne.</w:t>
      </w:r>
    </w:p>
    <w:p w:rsidR="003D7326" w:rsidRPr="00C10DF4" w:rsidRDefault="00A00B14" w:rsidP="006B015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zapewni bezpłatne połączenia telefoniczne na numery międzynarodowe stacjonarne i komórkowe do krajów UE </w:t>
      </w:r>
      <w:r w:rsidR="006B0150" w:rsidRPr="006B0150">
        <w:rPr>
          <w:rFonts w:ascii="Times New Roman" w:hAnsi="Times New Roman" w:cs="Times New Roman"/>
          <w:sz w:val="24"/>
          <w:szCs w:val="24"/>
        </w:rPr>
        <w:t>, Wielkiej Brytanii i USA,</w:t>
      </w:r>
      <w:r w:rsidRPr="00C10DF4">
        <w:rPr>
          <w:rFonts w:ascii="Times New Roman" w:hAnsi="Times New Roman" w:cs="Times New Roman"/>
          <w:sz w:val="24"/>
          <w:szCs w:val="24"/>
        </w:rPr>
        <w:t>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Taryfikowanie czasu rozmów będzie realizowane z dokładnością do jednej sekundy.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 celu doprowadzenia usługi do urządzeń telekomunikacyjnych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 xml:space="preserve">, Zamawiający wymaga, aby zostały wykorzystane instalacje telekomunikacyjne istniejące na terenie obiektów określonych w Załączniku </w:t>
      </w:r>
      <w:r w:rsidR="00955FA4" w:rsidRPr="00C10DF4">
        <w:rPr>
          <w:rFonts w:ascii="Times New Roman" w:hAnsi="Times New Roman" w:cs="Times New Roman"/>
          <w:sz w:val="24"/>
          <w:szCs w:val="24"/>
        </w:rPr>
        <w:t>nr 2 do umowy</w:t>
      </w:r>
      <w:r w:rsidRPr="00C10DF4">
        <w:rPr>
          <w:rFonts w:ascii="Times New Roman" w:hAnsi="Times New Roman" w:cs="Times New Roman"/>
          <w:sz w:val="24"/>
          <w:szCs w:val="24"/>
        </w:rPr>
        <w:t xml:space="preserve">. Zamawiający wymaga również, aby Wykonawca </w:t>
      </w:r>
      <w:r w:rsidR="00955FA4" w:rsidRPr="00C10DF4">
        <w:rPr>
          <w:rFonts w:ascii="Times New Roman" w:hAnsi="Times New Roman" w:cs="Times New Roman"/>
          <w:sz w:val="24"/>
          <w:szCs w:val="24"/>
        </w:rPr>
        <w:t>doprowadził do budynku usługi w </w:t>
      </w:r>
      <w:r w:rsidRPr="00C10DF4">
        <w:rPr>
          <w:rFonts w:ascii="Times New Roman" w:hAnsi="Times New Roman" w:cs="Times New Roman"/>
          <w:sz w:val="24"/>
          <w:szCs w:val="24"/>
        </w:rPr>
        <w:t>technologii wyszczególnione</w:t>
      </w:r>
      <w:r w:rsidR="00955FA4" w:rsidRPr="00C10DF4">
        <w:rPr>
          <w:rFonts w:ascii="Times New Roman" w:hAnsi="Times New Roman" w:cs="Times New Roman"/>
          <w:sz w:val="24"/>
          <w:szCs w:val="24"/>
        </w:rPr>
        <w:t>j w Załączniku nr 2 do umowy</w:t>
      </w:r>
      <w:r w:rsidRPr="00C10DF4">
        <w:rPr>
          <w:rFonts w:ascii="Times New Roman" w:hAnsi="Times New Roman" w:cs="Times New Roman"/>
          <w:sz w:val="24"/>
          <w:szCs w:val="24"/>
        </w:rPr>
        <w:t xml:space="preserve"> - Wykaz zasobów telekomunikacyjnych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>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 przypadku braku możliwości wykorzystania istniejących zasobów fizycznych instalacji telekomunikacyjnych w poszczególnych obiektach lub braku możliwości zastosowania technologii zgodnej z załącznikiem </w:t>
      </w:r>
      <w:r w:rsidR="00955FA4" w:rsidRPr="00C10DF4">
        <w:rPr>
          <w:rFonts w:ascii="Times New Roman" w:hAnsi="Times New Roman" w:cs="Times New Roman"/>
          <w:sz w:val="24"/>
          <w:szCs w:val="24"/>
        </w:rPr>
        <w:t>nr 2 do umowy</w:t>
      </w:r>
      <w:r w:rsidRPr="00C10DF4">
        <w:rPr>
          <w:rFonts w:ascii="Times New Roman" w:hAnsi="Times New Roman" w:cs="Times New Roman"/>
          <w:sz w:val="24"/>
          <w:szCs w:val="24"/>
        </w:rPr>
        <w:t xml:space="preserve">,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Zamawiający</w:t>
      </w:r>
      <w:r w:rsidRPr="00C10DF4">
        <w:rPr>
          <w:rFonts w:ascii="Times New Roman" w:hAnsi="Times New Roman" w:cs="Times New Roman"/>
          <w:sz w:val="24"/>
          <w:szCs w:val="24"/>
        </w:rPr>
        <w:t xml:space="preserve"> dopuszcza inną, uzgodnioną bezpośrednio z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Zamawiającym</w:t>
      </w:r>
      <w:r w:rsidRPr="00C10DF4">
        <w:rPr>
          <w:rFonts w:ascii="Times New Roman" w:hAnsi="Times New Roman" w:cs="Times New Roman"/>
          <w:sz w:val="24"/>
          <w:szCs w:val="24"/>
        </w:rPr>
        <w:t>, technikę transmisyjną wykonywania usług telekomunikacyjnych będących przedmiotem niniejszego zamówienia tj. kabel światłowodowy, radiolinia lub kabel miedziany.</w:t>
      </w:r>
    </w:p>
    <w:p w:rsidR="00A00B14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Poniżej przedstawiono sposób współpracy dostarczonych przez Wykonawcę łączy telekomunikacyjnych z urządzeniami telekomunikacyjnymi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>:</w:t>
      </w:r>
    </w:p>
    <w:p w:rsidR="00A00B14" w:rsidRPr="00C10DF4" w:rsidRDefault="00A00B14" w:rsidP="00E10EF2">
      <w:pPr>
        <w:pStyle w:val="Akapitzlist"/>
        <w:numPr>
          <w:ilvl w:val="0"/>
          <w:numId w:val="11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ISDN PRA:</w:t>
      </w:r>
    </w:p>
    <w:p w:rsidR="003D7326" w:rsidRPr="00C10DF4" w:rsidRDefault="00A00B14" w:rsidP="00E10EF2">
      <w:pPr>
        <w:pStyle w:val="Akapitzlist"/>
        <w:numPr>
          <w:ilvl w:val="0"/>
          <w:numId w:val="12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udostępni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Zamawiającemu</w:t>
      </w:r>
      <w:r w:rsidR="00C10DF4">
        <w:rPr>
          <w:rFonts w:ascii="Times New Roman" w:hAnsi="Times New Roman" w:cs="Times New Roman"/>
          <w:sz w:val="24"/>
          <w:szCs w:val="24"/>
        </w:rPr>
        <w:t xml:space="preserve"> łącza ISDN z dostępem PRA w </w:t>
      </w:r>
      <w:r w:rsidRPr="00C10DF4">
        <w:rPr>
          <w:rFonts w:ascii="Times New Roman" w:hAnsi="Times New Roman" w:cs="Times New Roman"/>
          <w:sz w:val="24"/>
          <w:szCs w:val="24"/>
        </w:rPr>
        <w:t>konfiguracji kanałów 30B+D, z interfejsem G.703 oraz sygnalizacją DSS1;</w:t>
      </w:r>
    </w:p>
    <w:p w:rsidR="003D7326" w:rsidRPr="00C10DF4" w:rsidRDefault="00A00B14" w:rsidP="00E10EF2">
      <w:pPr>
        <w:pStyle w:val="Akapitzlist"/>
        <w:numPr>
          <w:ilvl w:val="0"/>
          <w:numId w:val="12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Łącze będzie zestawione w relacji operator - centrala telefoniczna PABX JAP:</w:t>
      </w:r>
    </w:p>
    <w:p w:rsidR="00682A7F" w:rsidRPr="00C10DF4" w:rsidRDefault="00682A7F" w:rsidP="00682A7F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AFDD3EB" wp14:editId="36B7B60A">
            <wp:extent cx="2589627" cy="142875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886" cy="142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14" w:rsidRPr="00C10DF4" w:rsidRDefault="00A00B14" w:rsidP="00E10EF2">
      <w:pPr>
        <w:pStyle w:val="Akapitzlist"/>
        <w:numPr>
          <w:ilvl w:val="0"/>
          <w:numId w:val="12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W przypadku użycia do budowy łącza innych technologii niż TDM, operator zapewni jakość głosu nie gorszą niż w łączach TDM, a także prawidłową obsługę wszystkich usług i sygnalizacji ISDN tak jak w sieciach TDM. Ponadto dołoży wszelkich starań, aby we własnej sieci wyeliminować niekorzystne efekty jak:</w:t>
      </w:r>
    </w:p>
    <w:p w:rsidR="00A00B14" w:rsidRPr="00C10DF4" w:rsidRDefault="00A00B14" w:rsidP="00E10EF2">
      <w:pPr>
        <w:pStyle w:val="Akapitzlist"/>
        <w:numPr>
          <w:ilvl w:val="0"/>
          <w:numId w:val="13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pogłos, trzaski i inne sygnały zakłócające podczas prowadzonej rozmowy telefonicznej,</w:t>
      </w:r>
    </w:p>
    <w:p w:rsidR="00A00B14" w:rsidRPr="00C10DF4" w:rsidRDefault="00A00B14" w:rsidP="00E10EF2">
      <w:pPr>
        <w:pStyle w:val="Akapitzlist"/>
        <w:numPr>
          <w:ilvl w:val="0"/>
          <w:numId w:val="13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brak słyszalności rozmówcy,</w:t>
      </w:r>
    </w:p>
    <w:p w:rsidR="00A00B14" w:rsidRPr="00C10DF4" w:rsidRDefault="00A00B14" w:rsidP="00E10EF2">
      <w:pPr>
        <w:pStyle w:val="Akapitzlist"/>
        <w:numPr>
          <w:ilvl w:val="0"/>
          <w:numId w:val="13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lastRenderedPageBreak/>
        <w:t>zrywanie trwających połączeń,</w:t>
      </w:r>
    </w:p>
    <w:p w:rsidR="00A00B14" w:rsidRPr="00C10DF4" w:rsidRDefault="00A00B14" w:rsidP="00E10EF2">
      <w:pPr>
        <w:pStyle w:val="Akapitzlist"/>
        <w:numPr>
          <w:ilvl w:val="0"/>
          <w:numId w:val="13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brak lub niewłaściwe sygnały informacyjne podczas realizacji połączeń (np. brak zwrotnego sygnału wywołania),</w:t>
      </w:r>
    </w:p>
    <w:p w:rsidR="00A00B14" w:rsidRPr="00C10DF4" w:rsidRDefault="00A00B14" w:rsidP="00E10EF2">
      <w:pPr>
        <w:pStyle w:val="Akapitzlist"/>
        <w:numPr>
          <w:ilvl w:val="0"/>
          <w:numId w:val="13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utrudnienia w realizacji połączeń w ruchu wychodzącym i przychodzącym.</w:t>
      </w:r>
    </w:p>
    <w:p w:rsidR="003D7326" w:rsidRPr="00C10DF4" w:rsidRDefault="00A00B14" w:rsidP="00E10EF2">
      <w:pPr>
        <w:pStyle w:val="Akapitzlist"/>
        <w:numPr>
          <w:ilvl w:val="0"/>
          <w:numId w:val="12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zapewni numerację DDI wskazaną przez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>;</w:t>
      </w:r>
    </w:p>
    <w:p w:rsidR="003D7326" w:rsidRPr="00C10DF4" w:rsidRDefault="00A00B14" w:rsidP="00E10EF2">
      <w:pPr>
        <w:pStyle w:val="Akapitzlist"/>
        <w:numPr>
          <w:ilvl w:val="0"/>
          <w:numId w:val="12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Wykonawca zapewni prawidłową transmisję głosu, sygnalizacji DSS1, telefaksów w standardzie co najmniej G3, transmisję danych za pomocą modemów</w:t>
      </w:r>
      <w:r w:rsidR="003D7326" w:rsidRPr="00C10DF4">
        <w:rPr>
          <w:rFonts w:ascii="Times New Roman" w:hAnsi="Times New Roman" w:cs="Times New Roman"/>
          <w:sz w:val="24"/>
          <w:szCs w:val="24"/>
        </w:rPr>
        <w:t xml:space="preserve"> </w:t>
      </w:r>
      <w:r w:rsidR="006A37F2" w:rsidRPr="00C10DF4">
        <w:rPr>
          <w:rFonts w:ascii="Times New Roman" w:hAnsi="Times New Roman" w:cs="Times New Roman"/>
          <w:sz w:val="24"/>
          <w:szCs w:val="24"/>
        </w:rPr>
        <w:t>i </w:t>
      </w:r>
      <w:r w:rsidRPr="00C10DF4">
        <w:rPr>
          <w:rFonts w:ascii="Times New Roman" w:hAnsi="Times New Roman" w:cs="Times New Roman"/>
          <w:sz w:val="24"/>
          <w:szCs w:val="24"/>
        </w:rPr>
        <w:t xml:space="preserve">terminali płatniczych dostosowanych do linii analogowych i ISDN oraz połączeń wideo za pomocą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wideoterminali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 xml:space="preserve"> ISDN;</w:t>
      </w:r>
    </w:p>
    <w:p w:rsidR="00A00B14" w:rsidRPr="00C10DF4" w:rsidRDefault="00A00B14" w:rsidP="00E10EF2">
      <w:pPr>
        <w:pStyle w:val="Akapitzlist"/>
        <w:numPr>
          <w:ilvl w:val="0"/>
          <w:numId w:val="12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 razie konieczności na życzenie </w:t>
      </w:r>
      <w:r w:rsidR="00DD70B4" w:rsidRPr="00C10DF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10DF4">
        <w:rPr>
          <w:rFonts w:ascii="Times New Roman" w:hAnsi="Times New Roman" w:cs="Times New Roman"/>
          <w:sz w:val="24"/>
          <w:szCs w:val="24"/>
        </w:rPr>
        <w:t>Wykonawca w miejsce sygnalizacji DSS1 uruchomi sygnalizację R2.</w:t>
      </w:r>
    </w:p>
    <w:p w:rsidR="00A00B14" w:rsidRPr="00C10DF4" w:rsidRDefault="00A00B14" w:rsidP="00E10EF2">
      <w:pPr>
        <w:pStyle w:val="Akapitzlist"/>
        <w:numPr>
          <w:ilvl w:val="0"/>
          <w:numId w:val="11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ISDN BRA:</w:t>
      </w:r>
    </w:p>
    <w:p w:rsidR="003D7326" w:rsidRPr="00C10DF4" w:rsidRDefault="00A00B14" w:rsidP="00E10EF2">
      <w:pPr>
        <w:pStyle w:val="Akapitzlist"/>
        <w:numPr>
          <w:ilvl w:val="0"/>
          <w:numId w:val="15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udostępni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Zamawiającemu</w:t>
      </w:r>
      <w:r w:rsidRPr="00C10DF4">
        <w:rPr>
          <w:rFonts w:ascii="Times New Roman" w:hAnsi="Times New Roman" w:cs="Times New Roman"/>
          <w:sz w:val="24"/>
          <w:szCs w:val="24"/>
        </w:rPr>
        <w:t xml:space="preserve"> łącza ISDN z dostępem BRA w konfiguracji kanałów 2B+D, z sygnalizacją DSS1 zakończone urządzeniem NT.</w:t>
      </w:r>
    </w:p>
    <w:p w:rsidR="00A00B14" w:rsidRPr="00C10DF4" w:rsidRDefault="00A00B14" w:rsidP="00E10EF2">
      <w:pPr>
        <w:pStyle w:val="Akapitzlist"/>
        <w:numPr>
          <w:ilvl w:val="0"/>
          <w:numId w:val="15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Łącze będzie zestawione w relacji operator - centrala telefoniczna PABX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619A" w:rsidRPr="00C10DF4" w:rsidRDefault="0029619A" w:rsidP="0029619A">
      <w:pPr>
        <w:pStyle w:val="Akapitzli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0CF650A" wp14:editId="6F640E71">
            <wp:extent cx="3590925" cy="156815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123" cy="15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14" w:rsidRPr="00C10DF4" w:rsidRDefault="00A00B14" w:rsidP="00E10EF2">
      <w:pPr>
        <w:pStyle w:val="Akapitzlist"/>
        <w:numPr>
          <w:ilvl w:val="0"/>
          <w:numId w:val="15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W przypadku użycia do budowy łącza innych technologii niż TDM, operator zapewni jakość głosu nie gorszą niż w łączach TDM, a także prawidłową obsługę wszystkich usług i sygnalizacji ISDN tak jak w sieciach TDM. Ponadto dołoży wszelkich starań, aby we własnej sieci wyeliminować niekorzystne efekty jak:</w:t>
      </w:r>
    </w:p>
    <w:p w:rsidR="00A00B14" w:rsidRPr="00C10DF4" w:rsidRDefault="00A00B14" w:rsidP="00E10EF2">
      <w:pPr>
        <w:pStyle w:val="Akapitzlist"/>
        <w:numPr>
          <w:ilvl w:val="0"/>
          <w:numId w:val="17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pogłos, trzaski i inne sygnały zakłócające podczas prowadzonej rozmowy telefonicznej,</w:t>
      </w:r>
    </w:p>
    <w:p w:rsidR="00A00B14" w:rsidRPr="00C10DF4" w:rsidRDefault="00A00B14" w:rsidP="00E10EF2">
      <w:pPr>
        <w:pStyle w:val="Akapitzlist"/>
        <w:numPr>
          <w:ilvl w:val="0"/>
          <w:numId w:val="17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brak słyszalności rozmówcy,</w:t>
      </w:r>
    </w:p>
    <w:p w:rsidR="00A00B14" w:rsidRPr="00C10DF4" w:rsidRDefault="00A00B14" w:rsidP="00E10EF2">
      <w:pPr>
        <w:pStyle w:val="Akapitzlist"/>
        <w:numPr>
          <w:ilvl w:val="0"/>
          <w:numId w:val="17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zrywanie trwających połączeń,</w:t>
      </w:r>
    </w:p>
    <w:p w:rsidR="00A00B14" w:rsidRPr="00C10DF4" w:rsidRDefault="00A00B14" w:rsidP="00E10EF2">
      <w:pPr>
        <w:pStyle w:val="Akapitzlist"/>
        <w:numPr>
          <w:ilvl w:val="0"/>
          <w:numId w:val="17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brak lub niewłaściwe sygnały informacyjne podczas realizacji połączeń (np. brak zwrotnego sygnału wywołania),</w:t>
      </w:r>
    </w:p>
    <w:p w:rsidR="00A00B14" w:rsidRPr="00C10DF4" w:rsidRDefault="00A00B14" w:rsidP="00E10EF2">
      <w:pPr>
        <w:pStyle w:val="Akapitzlist"/>
        <w:numPr>
          <w:ilvl w:val="0"/>
          <w:numId w:val="17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utrudnienia w realizacji połączeń w ruchu wychodzącym i przychodzącym.</w:t>
      </w:r>
    </w:p>
    <w:p w:rsidR="003D7326" w:rsidRPr="00C10DF4" w:rsidRDefault="00A00B14" w:rsidP="00E10EF2">
      <w:pPr>
        <w:pStyle w:val="Akapitzlist"/>
        <w:numPr>
          <w:ilvl w:val="0"/>
          <w:numId w:val="15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Wykonawca zakończy łącze zakończeniem NT lub w zależności od potrzeb JAP wyprowadzi odpowiedni styk S, T, R do p</w:t>
      </w:r>
      <w:r w:rsidR="0029619A" w:rsidRPr="00C10DF4">
        <w:rPr>
          <w:rFonts w:ascii="Times New Roman" w:hAnsi="Times New Roman" w:cs="Times New Roman"/>
          <w:sz w:val="24"/>
          <w:szCs w:val="24"/>
        </w:rPr>
        <w:t>odłączenia urządzeń końcowych w </w:t>
      </w:r>
      <w:r w:rsidRPr="00C10DF4">
        <w:rPr>
          <w:rFonts w:ascii="Times New Roman" w:hAnsi="Times New Roman" w:cs="Times New Roman"/>
          <w:sz w:val="24"/>
          <w:szCs w:val="24"/>
        </w:rPr>
        <w:t>tym minimum dwóch linii analogowych;</w:t>
      </w:r>
    </w:p>
    <w:p w:rsidR="003D7326" w:rsidRPr="00C10DF4" w:rsidRDefault="00A00B14" w:rsidP="00E10EF2">
      <w:pPr>
        <w:pStyle w:val="Akapitzlist"/>
        <w:numPr>
          <w:ilvl w:val="0"/>
          <w:numId w:val="15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Wykonawca zapewni numerację DDI lub</w:t>
      </w:r>
      <w:r w:rsidR="003D7326" w:rsidRPr="00C10DF4">
        <w:rPr>
          <w:rFonts w:ascii="Times New Roman" w:hAnsi="Times New Roman" w:cs="Times New Roman"/>
          <w:sz w:val="24"/>
          <w:szCs w:val="24"/>
        </w:rPr>
        <w:t xml:space="preserve"> MSN przekazaną przez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Zamawiającemu</w:t>
      </w:r>
      <w:r w:rsidR="003D7326" w:rsidRPr="00C10DF4">
        <w:rPr>
          <w:rFonts w:ascii="Times New Roman" w:hAnsi="Times New Roman" w:cs="Times New Roman"/>
          <w:sz w:val="24"/>
          <w:szCs w:val="24"/>
        </w:rPr>
        <w:t>;</w:t>
      </w:r>
    </w:p>
    <w:p w:rsidR="00A00B14" w:rsidRPr="00C10DF4" w:rsidRDefault="00A00B14" w:rsidP="00E10EF2">
      <w:pPr>
        <w:pStyle w:val="Akapitzlist"/>
        <w:numPr>
          <w:ilvl w:val="0"/>
          <w:numId w:val="15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zapewni prawidłową transmisję głosu, sygnalizacji DSS1, telefaksów w standardzie co najmniej G3 i G4, transmisję danych za pomocą </w:t>
      </w:r>
      <w:r w:rsidRPr="00C10DF4">
        <w:rPr>
          <w:rFonts w:ascii="Times New Roman" w:hAnsi="Times New Roman" w:cs="Times New Roman"/>
          <w:sz w:val="24"/>
          <w:szCs w:val="24"/>
        </w:rPr>
        <w:lastRenderedPageBreak/>
        <w:t xml:space="preserve">modemów i terminali płatniczych dostosowanych do linii analogowych i ISDN oraz połączeń wideo za pomocą </w:t>
      </w:r>
      <w:proofErr w:type="spellStart"/>
      <w:r w:rsidRPr="00C10DF4">
        <w:rPr>
          <w:rFonts w:ascii="Times New Roman" w:hAnsi="Times New Roman" w:cs="Times New Roman"/>
          <w:sz w:val="24"/>
          <w:szCs w:val="24"/>
        </w:rPr>
        <w:t>wideoterminali</w:t>
      </w:r>
      <w:proofErr w:type="spellEnd"/>
      <w:r w:rsidRPr="00C10DF4">
        <w:rPr>
          <w:rFonts w:ascii="Times New Roman" w:hAnsi="Times New Roman" w:cs="Times New Roman"/>
          <w:sz w:val="24"/>
          <w:szCs w:val="24"/>
        </w:rPr>
        <w:t xml:space="preserve"> ISDN.</w:t>
      </w:r>
    </w:p>
    <w:p w:rsidR="00A00B14" w:rsidRPr="00C10DF4" w:rsidRDefault="00A00B14" w:rsidP="00E10EF2">
      <w:pPr>
        <w:pStyle w:val="Akapitzlist"/>
        <w:numPr>
          <w:ilvl w:val="0"/>
          <w:numId w:val="11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Linie analogowe POTS:</w:t>
      </w:r>
    </w:p>
    <w:p w:rsidR="003D7326" w:rsidRPr="00C10DF4" w:rsidRDefault="00A00B14" w:rsidP="00E10EF2">
      <w:pPr>
        <w:pStyle w:val="Akapitzlist"/>
        <w:numPr>
          <w:ilvl w:val="0"/>
          <w:numId w:val="18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udostępni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Zamawiającemu</w:t>
      </w:r>
      <w:r w:rsidRPr="00C10DF4">
        <w:rPr>
          <w:rFonts w:ascii="Times New Roman" w:hAnsi="Times New Roman" w:cs="Times New Roman"/>
          <w:sz w:val="24"/>
          <w:szCs w:val="24"/>
        </w:rPr>
        <w:t xml:space="preserve"> linię analogową POTS zakończoną we wskazanym miejscu w budynku lub na przełącznicy głównej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>.</w:t>
      </w:r>
    </w:p>
    <w:p w:rsidR="003D7326" w:rsidRPr="00C10DF4" w:rsidRDefault="00A00B14" w:rsidP="00E10EF2">
      <w:pPr>
        <w:pStyle w:val="Akapitzlist"/>
        <w:numPr>
          <w:ilvl w:val="0"/>
          <w:numId w:val="18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Łącze będzie zestawione w relacji operator -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Zamawiający</w:t>
      </w:r>
      <w:r w:rsidRPr="00C10DF4">
        <w:rPr>
          <w:rFonts w:ascii="Times New Roman" w:hAnsi="Times New Roman" w:cs="Times New Roman"/>
          <w:sz w:val="24"/>
          <w:szCs w:val="24"/>
        </w:rPr>
        <w:t xml:space="preserve"> w technologii zapewniającą jakość połączenia takiego jak dla standardowej analogowej linii telefonicznej po kablu miedzianym. Nie dopuszcza się stosowania technologii bezprzewodowych GSM, UMTS lub LTE </w:t>
      </w:r>
      <w:r w:rsidR="003D7326" w:rsidRPr="00C10DF4">
        <w:rPr>
          <w:rFonts w:ascii="Times New Roman" w:hAnsi="Times New Roman" w:cs="Times New Roman"/>
          <w:sz w:val="24"/>
          <w:szCs w:val="24"/>
        </w:rPr>
        <w:t>l</w:t>
      </w:r>
      <w:r w:rsidRPr="00C10DF4">
        <w:rPr>
          <w:rFonts w:ascii="Times New Roman" w:hAnsi="Times New Roman" w:cs="Times New Roman"/>
          <w:sz w:val="24"/>
          <w:szCs w:val="24"/>
        </w:rPr>
        <w:t>inii analogowych przekazaną przez</w:t>
      </w:r>
      <w:r w:rsidR="003D7326" w:rsidRPr="00C10DF4">
        <w:rPr>
          <w:rFonts w:ascii="Times New Roman" w:hAnsi="Times New Roman" w:cs="Times New Roman"/>
          <w:sz w:val="24"/>
          <w:szCs w:val="24"/>
        </w:rPr>
        <w:t xml:space="preserve"> </w:t>
      </w:r>
      <w:r w:rsidRPr="00C10DF4">
        <w:rPr>
          <w:rFonts w:ascii="Times New Roman" w:hAnsi="Times New Roman" w:cs="Times New Roman"/>
          <w:sz w:val="24"/>
          <w:szCs w:val="24"/>
        </w:rPr>
        <w:t xml:space="preserve">Wykonawca </w:t>
      </w:r>
      <w:r w:rsidR="003D7326" w:rsidRPr="00C10DF4">
        <w:rPr>
          <w:rFonts w:ascii="Times New Roman" w:hAnsi="Times New Roman" w:cs="Times New Roman"/>
          <w:sz w:val="24"/>
          <w:szCs w:val="24"/>
        </w:rPr>
        <w:t xml:space="preserve">zapewni numerację dla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Zamawiającego</w:t>
      </w:r>
      <w:r w:rsidR="003D7326" w:rsidRPr="00C10DF4">
        <w:rPr>
          <w:rFonts w:ascii="Times New Roman" w:hAnsi="Times New Roman" w:cs="Times New Roman"/>
          <w:sz w:val="24"/>
          <w:szCs w:val="24"/>
        </w:rPr>
        <w:t>;</w:t>
      </w:r>
    </w:p>
    <w:p w:rsidR="0029619A" w:rsidRPr="00C10DF4" w:rsidRDefault="0029619A" w:rsidP="002961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C8AEEC6" wp14:editId="28F70729">
            <wp:extent cx="3914775" cy="1652761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65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9A" w:rsidRPr="00C10DF4" w:rsidRDefault="0029619A" w:rsidP="002961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7DA72A8" wp14:editId="026D6ACE">
            <wp:extent cx="3843337" cy="1652957"/>
            <wp:effectExtent l="0" t="0" r="508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549" cy="165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14" w:rsidRPr="00C10DF4" w:rsidRDefault="00A00B14" w:rsidP="00E10EF2">
      <w:pPr>
        <w:pStyle w:val="Akapitzlist"/>
        <w:numPr>
          <w:ilvl w:val="0"/>
          <w:numId w:val="18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zapewni na życzenie </w:t>
      </w:r>
      <w:r w:rsidR="00DD70B4" w:rsidRPr="00C10DF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10DF4">
        <w:rPr>
          <w:rFonts w:ascii="Times New Roman" w:hAnsi="Times New Roman" w:cs="Times New Roman"/>
          <w:sz w:val="24"/>
          <w:szCs w:val="24"/>
        </w:rPr>
        <w:t>wiązki PBX dla wskazanej grupy linii analogowych;</w:t>
      </w:r>
    </w:p>
    <w:p w:rsidR="00A00B14" w:rsidRPr="00C10DF4" w:rsidRDefault="00A00B14" w:rsidP="00E10EF2">
      <w:pPr>
        <w:pStyle w:val="Akapitzlist"/>
        <w:numPr>
          <w:ilvl w:val="0"/>
          <w:numId w:val="18"/>
        </w:numPr>
        <w:ind w:left="851" w:hanging="153"/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Wykonawca zapewni prawidłową transmisję głosu, telefaksów w standardzie co najmniej G3, transmisję danych za pomocą modemów i terminali płatniczych dostosowanych do linii analogowych.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zapewni możliwość takiego skonfigurowania łączy ISDN PRA, aby była możliwość przekierowania ruchu na inne wskazane łącza ISDN PRA (np. w innej lokalizacji), w zależności od potrzeb </w:t>
      </w:r>
      <w:r w:rsidR="00ED6FCA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>.</w:t>
      </w:r>
    </w:p>
    <w:p w:rsidR="00D533ED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zapewni nieprzerwane świadczenie usług telekomunikacyjnych będących przedmiotem niniejszego zamówienia we wszystkich obiektach </w:t>
      </w:r>
      <w:r w:rsidR="00ED6FCA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 xml:space="preserve"> (wyszczególnionych w Wykazie zasobów telekomunikacyjnych </w:t>
      </w:r>
      <w:r w:rsidR="00ED6FCA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 xml:space="preserve"> stanowiącym Załącznik </w:t>
      </w:r>
      <w:r w:rsidR="00ED6FCA" w:rsidRPr="00C10DF4">
        <w:rPr>
          <w:rFonts w:ascii="Times New Roman" w:hAnsi="Times New Roman" w:cs="Times New Roman"/>
          <w:sz w:val="24"/>
          <w:szCs w:val="24"/>
        </w:rPr>
        <w:t>nr 2 do umowy</w:t>
      </w:r>
      <w:r w:rsidRPr="00C10DF4">
        <w:rPr>
          <w:rFonts w:ascii="Times New Roman" w:hAnsi="Times New Roman" w:cs="Times New Roman"/>
          <w:sz w:val="24"/>
          <w:szCs w:val="24"/>
        </w:rPr>
        <w:t xml:space="preserve">, w momencie zmiany usługodawcy. Zakończenie dotychczasowej umowy nastąpi w </w:t>
      </w:r>
      <w:r w:rsidR="000D36FE" w:rsidRPr="00C10DF4">
        <w:rPr>
          <w:rFonts w:ascii="Times New Roman" w:hAnsi="Times New Roman" w:cs="Times New Roman"/>
          <w:sz w:val="24"/>
          <w:szCs w:val="24"/>
        </w:rPr>
        <w:t>momencie wyczerpania się środków przeznaczonych na realizację dotychczasowej umowy</w:t>
      </w:r>
      <w:r w:rsidRPr="00C10DF4">
        <w:rPr>
          <w:rFonts w:ascii="Times New Roman" w:hAnsi="Times New Roman" w:cs="Times New Roman"/>
          <w:sz w:val="24"/>
          <w:szCs w:val="24"/>
        </w:rPr>
        <w:t xml:space="preserve">. Rozpoczęcie świadczenia </w:t>
      </w:r>
      <w:r w:rsidRPr="00C10DF4">
        <w:rPr>
          <w:rFonts w:ascii="Times New Roman" w:hAnsi="Times New Roman" w:cs="Times New Roman"/>
          <w:sz w:val="24"/>
          <w:szCs w:val="24"/>
        </w:rPr>
        <w:lastRenderedPageBreak/>
        <w:t xml:space="preserve">usługi będącej przedmiotem niniejszego zamówienia nastąpi </w:t>
      </w:r>
      <w:r w:rsidR="000D36FE" w:rsidRPr="00C10DF4">
        <w:rPr>
          <w:rFonts w:ascii="Times New Roman" w:hAnsi="Times New Roman" w:cs="Times New Roman"/>
          <w:sz w:val="24"/>
          <w:szCs w:val="24"/>
        </w:rPr>
        <w:t>automatycznie po wyczerpaniu się środków</w:t>
      </w:r>
      <w:r w:rsidR="006A37F2" w:rsidRPr="00C10DF4">
        <w:rPr>
          <w:rFonts w:ascii="Times New Roman" w:hAnsi="Times New Roman" w:cs="Times New Roman"/>
          <w:sz w:val="24"/>
          <w:szCs w:val="24"/>
        </w:rPr>
        <w:t xml:space="preserve"> dotychczasowej umowy</w:t>
      </w:r>
      <w:r w:rsidRPr="00C10D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Po zakończeniu usługi będącej przedmiotem niniejszego zamówienia Wykonawca przekaże wszystkie numery POTS, MSN i D</w:t>
      </w:r>
      <w:r w:rsidR="00D533ED" w:rsidRPr="00C10DF4">
        <w:rPr>
          <w:rFonts w:ascii="Times New Roman" w:hAnsi="Times New Roman" w:cs="Times New Roman"/>
          <w:sz w:val="24"/>
          <w:szCs w:val="24"/>
        </w:rPr>
        <w:t>DI na rzecz nowego Wykonawcy, z </w:t>
      </w:r>
      <w:r w:rsidRPr="00C10DF4">
        <w:rPr>
          <w:rFonts w:ascii="Times New Roman" w:hAnsi="Times New Roman" w:cs="Times New Roman"/>
          <w:sz w:val="24"/>
          <w:szCs w:val="24"/>
        </w:rPr>
        <w:t>możliwością ich skutecznego uruchomienia przez nowego Wykonawcę od godz. 6:00 rano dnia następnego po dniu zakończeniu świadczenia usługi będącej przedmiotem niniejszego zamówienia.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Po zakończeniu usługi będącej przedmiotem niniejszego zamówienia, Wykonawca zdemontuje wszystkie urządzenia, których jest właścicielem a które dostarczył w celu realizacji przedmiotu umowy, w terminie uzgodnionym z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Zamawiającym</w:t>
      </w:r>
      <w:r w:rsidRPr="00C10DF4">
        <w:rPr>
          <w:rFonts w:ascii="Times New Roman" w:hAnsi="Times New Roman" w:cs="Times New Roman"/>
          <w:sz w:val="24"/>
          <w:szCs w:val="24"/>
        </w:rPr>
        <w:t>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Wykonawca w okresie świadczenia usługi, będącej przedmiotem niniejszego zamówienia, zapewni usługi głosowe (w tym na potrzeby telefaksów i terminali płatniczych) w ruchu dwukierunkowym do ws</w:t>
      </w:r>
      <w:r w:rsidR="00D533ED" w:rsidRPr="00C10DF4">
        <w:rPr>
          <w:rFonts w:ascii="Times New Roman" w:hAnsi="Times New Roman" w:cs="Times New Roman"/>
          <w:sz w:val="24"/>
          <w:szCs w:val="24"/>
        </w:rPr>
        <w:t>zystkich kierunków dostępnych w </w:t>
      </w:r>
      <w:r w:rsidRPr="00C10DF4">
        <w:rPr>
          <w:rFonts w:ascii="Times New Roman" w:hAnsi="Times New Roman" w:cs="Times New Roman"/>
          <w:sz w:val="24"/>
          <w:szCs w:val="24"/>
        </w:rPr>
        <w:t>publicznej sieci telekomunikacyjnej z zachowaniem wysokiej jakości parametrów transmisyjnych.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Wykonawca zapewni infolinię dedykowaną do przyjmowania od przedstawicieli </w:t>
      </w:r>
      <w:r w:rsidR="00DD70B4" w:rsidRPr="00C10DF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10DF4">
        <w:rPr>
          <w:rFonts w:ascii="Times New Roman" w:hAnsi="Times New Roman" w:cs="Times New Roman"/>
          <w:sz w:val="24"/>
          <w:szCs w:val="24"/>
        </w:rPr>
        <w:t>wszelkich zgłoszeń w formie telefonicznej i e-mailowej w systemie 24 godziny na dobę/ 7 dni w tygodniu przez cały okres trwania umowy.</w:t>
      </w:r>
    </w:p>
    <w:p w:rsidR="003D7326" w:rsidRPr="00C10DF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>Czas podłączania nowych łączy lub/i traktów lub/i numerów telefonicznych, rozumiany jako czas od momentu przyjęcia zgłoszenia do uruchomienia pełnej funkcjonalności, wynosi nie dłużej niż 4 miesiące.</w:t>
      </w:r>
    </w:p>
    <w:p w:rsidR="00A00B14" w:rsidRDefault="00A00B1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Czas odłączenia istniejących łączy lub/i traktów lub/i numerów telefonicznych, rozumiany jako czas od momentu przyjęcia zgłoszenia do wykonania odłączenia, będzie każdorazowo uzgadniany z przedstawicielem </w:t>
      </w:r>
      <w:r w:rsidR="00DD70B4" w:rsidRPr="00C10DF4">
        <w:rPr>
          <w:rFonts w:ascii="Times New Roman" w:hAnsi="Times New Roman" w:cs="Times New Roman"/>
          <w:sz w:val="24"/>
          <w:szCs w:val="24"/>
        </w:rPr>
        <w:t>Zamawiającego</w:t>
      </w:r>
      <w:r w:rsidRPr="00C10DF4">
        <w:rPr>
          <w:rFonts w:ascii="Times New Roman" w:hAnsi="Times New Roman" w:cs="Times New Roman"/>
          <w:sz w:val="24"/>
          <w:szCs w:val="24"/>
        </w:rPr>
        <w:t>, ale nie będzie dłuższy niż 30 dni kalendarzowe.</w:t>
      </w:r>
    </w:p>
    <w:p w:rsidR="00C42BF4" w:rsidRPr="00BF0EAB" w:rsidRDefault="00C42BF4" w:rsidP="00E10E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EAB">
        <w:rPr>
          <w:rFonts w:ascii="Times New Roman" w:hAnsi="Times New Roman" w:cs="Times New Roman"/>
          <w:sz w:val="24"/>
          <w:szCs w:val="24"/>
        </w:rPr>
        <w:t>W przypadku wystąpienia awarii, w tym również przerw lub zakłóceń w świadczeniu usług będących przedmiotem niniejszej umowy, Wykonawca zobowiązany jest do ich usunięcia w terminie nie dłuższym niż 5 godzin od momentu zgłoszenia.</w:t>
      </w:r>
    </w:p>
    <w:p w:rsidR="00A00B14" w:rsidRPr="00C10DF4" w:rsidRDefault="00A00B14" w:rsidP="00E10EF2">
      <w:pPr>
        <w:jc w:val="both"/>
        <w:rPr>
          <w:rFonts w:ascii="Times New Roman" w:hAnsi="Times New Roman" w:cs="Times New Roman"/>
          <w:sz w:val="24"/>
          <w:szCs w:val="24"/>
        </w:rPr>
      </w:pPr>
      <w:r w:rsidRPr="00C10DF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00B14" w:rsidRPr="00C10DF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285" w:rsidRDefault="00F03285" w:rsidP="003D7326">
      <w:pPr>
        <w:spacing w:after="0" w:line="240" w:lineRule="auto"/>
      </w:pPr>
      <w:r>
        <w:separator/>
      </w:r>
    </w:p>
  </w:endnote>
  <w:endnote w:type="continuationSeparator" w:id="0">
    <w:p w:rsidR="00F03285" w:rsidRDefault="00F03285" w:rsidP="003D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86798100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C4418" w:rsidRPr="000C4418" w:rsidRDefault="000C4418" w:rsidP="000C4418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Znak sprawy: </w:t>
            </w:r>
            <w:r w:rsidR="000344BB">
              <w:rPr>
                <w:rFonts w:ascii="Times New Roman" w:hAnsi="Times New Roman" w:cs="Times New Roman"/>
              </w:rPr>
              <w:t>…………………………………..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0C4418">
              <w:rPr>
                <w:rFonts w:ascii="Times New Roman" w:hAnsi="Times New Roman" w:cs="Times New Roman"/>
              </w:rPr>
              <w:t xml:space="preserve">Strona </w:t>
            </w:r>
            <w:r w:rsidRPr="000C441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C441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C441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D5DC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0C441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C4418">
              <w:rPr>
                <w:rFonts w:ascii="Times New Roman" w:hAnsi="Times New Roman" w:cs="Times New Roman"/>
              </w:rPr>
              <w:t xml:space="preserve"> z </w:t>
            </w:r>
            <w:r w:rsidRPr="000C441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C441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C441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D5DC1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0C441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C4418" w:rsidRPr="000C4418" w:rsidRDefault="000C4418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285" w:rsidRDefault="00F03285" w:rsidP="003D7326">
      <w:pPr>
        <w:spacing w:after="0" w:line="240" w:lineRule="auto"/>
      </w:pPr>
      <w:r>
        <w:separator/>
      </w:r>
    </w:p>
  </w:footnote>
  <w:footnote w:type="continuationSeparator" w:id="0">
    <w:p w:rsidR="00F03285" w:rsidRDefault="00F03285" w:rsidP="003D7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7A4"/>
    <w:multiLevelType w:val="hybridMultilevel"/>
    <w:tmpl w:val="5894B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75A"/>
    <w:multiLevelType w:val="hybridMultilevel"/>
    <w:tmpl w:val="9364C840"/>
    <w:lvl w:ilvl="0" w:tplc="117E6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752A"/>
    <w:multiLevelType w:val="hybridMultilevel"/>
    <w:tmpl w:val="2ACAE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7F4E"/>
    <w:multiLevelType w:val="hybridMultilevel"/>
    <w:tmpl w:val="3C526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1B72"/>
    <w:multiLevelType w:val="hybridMultilevel"/>
    <w:tmpl w:val="2F2CF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52A4E"/>
    <w:multiLevelType w:val="hybridMultilevel"/>
    <w:tmpl w:val="5D46C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14413"/>
    <w:multiLevelType w:val="hybridMultilevel"/>
    <w:tmpl w:val="62409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B07D0"/>
    <w:multiLevelType w:val="hybridMultilevel"/>
    <w:tmpl w:val="6EC88902"/>
    <w:lvl w:ilvl="0" w:tplc="694E53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C5B42"/>
    <w:multiLevelType w:val="hybridMultilevel"/>
    <w:tmpl w:val="7720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11966"/>
    <w:multiLevelType w:val="hybridMultilevel"/>
    <w:tmpl w:val="1EE81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70924"/>
    <w:multiLevelType w:val="hybridMultilevel"/>
    <w:tmpl w:val="8BD26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712FE"/>
    <w:multiLevelType w:val="hybridMultilevel"/>
    <w:tmpl w:val="681C6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05228"/>
    <w:multiLevelType w:val="hybridMultilevel"/>
    <w:tmpl w:val="7F987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33CF4"/>
    <w:multiLevelType w:val="hybridMultilevel"/>
    <w:tmpl w:val="321E2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E4335"/>
    <w:multiLevelType w:val="hybridMultilevel"/>
    <w:tmpl w:val="300C9B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FF5A37"/>
    <w:multiLevelType w:val="hybridMultilevel"/>
    <w:tmpl w:val="4F0E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F1AEF"/>
    <w:multiLevelType w:val="hybridMultilevel"/>
    <w:tmpl w:val="62409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95355"/>
    <w:multiLevelType w:val="hybridMultilevel"/>
    <w:tmpl w:val="3964F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24CD1"/>
    <w:multiLevelType w:val="hybridMultilevel"/>
    <w:tmpl w:val="A4AC0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C362C"/>
    <w:multiLevelType w:val="hybridMultilevel"/>
    <w:tmpl w:val="0616F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345DC"/>
    <w:multiLevelType w:val="hybridMultilevel"/>
    <w:tmpl w:val="832C9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A62FD"/>
    <w:multiLevelType w:val="hybridMultilevel"/>
    <w:tmpl w:val="4588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26E72"/>
    <w:multiLevelType w:val="hybridMultilevel"/>
    <w:tmpl w:val="D2CEE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415E6"/>
    <w:multiLevelType w:val="hybridMultilevel"/>
    <w:tmpl w:val="937EC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34AD2"/>
    <w:multiLevelType w:val="hybridMultilevel"/>
    <w:tmpl w:val="4E5A5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B018E"/>
    <w:multiLevelType w:val="hybridMultilevel"/>
    <w:tmpl w:val="ADE6C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A06DF"/>
    <w:multiLevelType w:val="hybridMultilevel"/>
    <w:tmpl w:val="9C169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6"/>
  </w:num>
  <w:num w:numId="5">
    <w:abstractNumId w:val="21"/>
  </w:num>
  <w:num w:numId="6">
    <w:abstractNumId w:val="20"/>
  </w:num>
  <w:num w:numId="7">
    <w:abstractNumId w:val="13"/>
  </w:num>
  <w:num w:numId="8">
    <w:abstractNumId w:val="19"/>
  </w:num>
  <w:num w:numId="9">
    <w:abstractNumId w:val="7"/>
  </w:num>
  <w:num w:numId="10">
    <w:abstractNumId w:val="25"/>
  </w:num>
  <w:num w:numId="11">
    <w:abstractNumId w:val="12"/>
  </w:num>
  <w:num w:numId="12">
    <w:abstractNumId w:val="18"/>
  </w:num>
  <w:num w:numId="13">
    <w:abstractNumId w:val="24"/>
  </w:num>
  <w:num w:numId="14">
    <w:abstractNumId w:val="3"/>
  </w:num>
  <w:num w:numId="15">
    <w:abstractNumId w:val="10"/>
  </w:num>
  <w:num w:numId="16">
    <w:abstractNumId w:val="22"/>
  </w:num>
  <w:num w:numId="17">
    <w:abstractNumId w:val="8"/>
  </w:num>
  <w:num w:numId="18">
    <w:abstractNumId w:val="11"/>
  </w:num>
  <w:num w:numId="19">
    <w:abstractNumId w:val="0"/>
  </w:num>
  <w:num w:numId="20">
    <w:abstractNumId w:val="15"/>
  </w:num>
  <w:num w:numId="21">
    <w:abstractNumId w:val="17"/>
  </w:num>
  <w:num w:numId="22">
    <w:abstractNumId w:val="26"/>
  </w:num>
  <w:num w:numId="23">
    <w:abstractNumId w:val="2"/>
  </w:num>
  <w:num w:numId="24">
    <w:abstractNumId w:val="4"/>
  </w:num>
  <w:num w:numId="25">
    <w:abstractNumId w:val="23"/>
  </w:num>
  <w:num w:numId="26">
    <w:abstractNumId w:val="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B14"/>
    <w:rsid w:val="000344BB"/>
    <w:rsid w:val="000354E2"/>
    <w:rsid w:val="0004062F"/>
    <w:rsid w:val="000934B8"/>
    <w:rsid w:val="000B5D71"/>
    <w:rsid w:val="000C4418"/>
    <w:rsid w:val="000D36FE"/>
    <w:rsid w:val="00184C8F"/>
    <w:rsid w:val="001B1580"/>
    <w:rsid w:val="00200846"/>
    <w:rsid w:val="00205BE7"/>
    <w:rsid w:val="00264E2F"/>
    <w:rsid w:val="0029619A"/>
    <w:rsid w:val="002A3536"/>
    <w:rsid w:val="002F5325"/>
    <w:rsid w:val="003B7DDB"/>
    <w:rsid w:val="003D7326"/>
    <w:rsid w:val="003D7F57"/>
    <w:rsid w:val="004E4A81"/>
    <w:rsid w:val="005A3324"/>
    <w:rsid w:val="00641B03"/>
    <w:rsid w:val="00682A7F"/>
    <w:rsid w:val="0068599C"/>
    <w:rsid w:val="006A37F2"/>
    <w:rsid w:val="006B0150"/>
    <w:rsid w:val="0076296A"/>
    <w:rsid w:val="007E1914"/>
    <w:rsid w:val="008D69CB"/>
    <w:rsid w:val="008F6503"/>
    <w:rsid w:val="00955FA4"/>
    <w:rsid w:val="00A00B14"/>
    <w:rsid w:val="00B110DF"/>
    <w:rsid w:val="00BF0EAB"/>
    <w:rsid w:val="00C05A45"/>
    <w:rsid w:val="00C10DF4"/>
    <w:rsid w:val="00C42BF4"/>
    <w:rsid w:val="00D100E9"/>
    <w:rsid w:val="00D533ED"/>
    <w:rsid w:val="00DD5DC1"/>
    <w:rsid w:val="00DD70B4"/>
    <w:rsid w:val="00E10EF2"/>
    <w:rsid w:val="00ED073E"/>
    <w:rsid w:val="00ED6FCA"/>
    <w:rsid w:val="00F03285"/>
    <w:rsid w:val="00F34EEE"/>
    <w:rsid w:val="00F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D044"/>
  <w15:docId w15:val="{CD60DB59-EA3A-4AB6-B1A6-29ABFD83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B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326"/>
  </w:style>
  <w:style w:type="paragraph" w:styleId="Stopka">
    <w:name w:val="footer"/>
    <w:basedOn w:val="Normalny"/>
    <w:link w:val="StopkaZnak"/>
    <w:uiPriority w:val="99"/>
    <w:unhideWhenUsed/>
    <w:rsid w:val="003D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326"/>
  </w:style>
  <w:style w:type="paragraph" w:styleId="Tekstdymka">
    <w:name w:val="Balloon Text"/>
    <w:basedOn w:val="Normalny"/>
    <w:link w:val="TekstdymkaZnak"/>
    <w:uiPriority w:val="99"/>
    <w:semiHidden/>
    <w:unhideWhenUsed/>
    <w:rsid w:val="0068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1793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Słowik</dc:creator>
  <cp:lastModifiedBy>Artur Słowik</cp:lastModifiedBy>
  <cp:revision>6</cp:revision>
  <cp:lastPrinted>2023-09-22T10:21:00Z</cp:lastPrinted>
  <dcterms:created xsi:type="dcterms:W3CDTF">2023-08-10T11:42:00Z</dcterms:created>
  <dcterms:modified xsi:type="dcterms:W3CDTF">2025-05-14T06:19:00Z</dcterms:modified>
</cp:coreProperties>
</file>