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719" w:rsidRPr="00C95D76" w:rsidRDefault="00FA6B64" w:rsidP="00E17456">
      <w:pPr>
        <w:keepNext/>
        <w:keepLines/>
        <w:spacing w:before="200" w:after="240" w:line="240" w:lineRule="auto"/>
        <w:jc w:val="both"/>
        <w:outlineLvl w:val="1"/>
        <w:rPr>
          <w:rFonts w:ascii="Arial" w:hAnsi="Arial" w:cs="Arial"/>
        </w:rPr>
      </w:pPr>
      <w:r w:rsidRPr="00C95D76">
        <w:rPr>
          <w:rFonts w:ascii="Arial" w:hAnsi="Arial" w:cs="Arial"/>
        </w:rPr>
        <w:t>Załącznik nr 2</w:t>
      </w:r>
    </w:p>
    <w:p w:rsidR="00FA6B64" w:rsidRPr="00C95D76" w:rsidRDefault="00FA6B64" w:rsidP="00FA6B64">
      <w:pPr>
        <w:keepNext/>
        <w:keepLines/>
        <w:spacing w:before="200" w:after="240" w:line="240" w:lineRule="auto"/>
        <w:jc w:val="center"/>
        <w:outlineLvl w:val="1"/>
        <w:rPr>
          <w:rFonts w:ascii="Arial" w:eastAsia="Symbol" w:hAnsi="Arial" w:cs="Arial"/>
          <w:b/>
          <w:bCs/>
          <w:lang w:val="x-none" w:eastAsia="pl-PL"/>
        </w:rPr>
      </w:pPr>
      <w:r w:rsidRPr="00C95D76">
        <w:rPr>
          <w:rFonts w:ascii="Arial" w:eastAsia="Symbol" w:hAnsi="Arial" w:cs="Arial"/>
          <w:b/>
          <w:bCs/>
          <w:lang w:val="x-none" w:eastAsia="pl-PL"/>
        </w:rPr>
        <w:t>Opis przedmiotu zamówienia</w:t>
      </w:r>
    </w:p>
    <w:p w:rsidR="0038459E" w:rsidRDefault="003544E4" w:rsidP="003544E4">
      <w:pPr>
        <w:keepNext/>
        <w:keepLines/>
        <w:spacing w:before="200" w:after="240" w:line="240" w:lineRule="auto"/>
        <w:jc w:val="center"/>
        <w:outlineLvl w:val="1"/>
        <w:rPr>
          <w:rFonts w:ascii="Arial" w:eastAsia="Symbol" w:hAnsi="Arial" w:cs="Arial"/>
          <w:b/>
          <w:bCs/>
          <w:lang w:val="x-none" w:eastAsia="pl-PL"/>
        </w:rPr>
      </w:pPr>
      <w:r>
        <w:rPr>
          <w:rFonts w:ascii="Arial" w:eastAsia="Symbol" w:hAnsi="Arial" w:cs="Arial"/>
          <w:b/>
          <w:bCs/>
          <w:lang w:eastAsia="pl-PL"/>
        </w:rPr>
        <w:t>Konsola zarządzająca serwerami</w:t>
      </w:r>
    </w:p>
    <w:p w:rsidR="006D1651" w:rsidRPr="00C95D76" w:rsidRDefault="006D1651" w:rsidP="00E17456">
      <w:pPr>
        <w:keepNext/>
        <w:keepLines/>
        <w:spacing w:before="200" w:after="240" w:line="240" w:lineRule="auto"/>
        <w:jc w:val="both"/>
        <w:outlineLvl w:val="1"/>
        <w:rPr>
          <w:rFonts w:ascii="Arial" w:eastAsia="Symbol" w:hAnsi="Arial" w:cs="Arial"/>
          <w:bCs/>
          <w:lang w:val="x-none" w:eastAsia="pl-PL"/>
        </w:rPr>
      </w:pPr>
      <w:r w:rsidRPr="00C95D76">
        <w:rPr>
          <w:rFonts w:ascii="Arial" w:eastAsia="Symbol" w:hAnsi="Arial" w:cs="Arial"/>
          <w:b/>
          <w:bCs/>
          <w:lang w:val="x-none" w:eastAsia="pl-PL"/>
        </w:rPr>
        <w:t xml:space="preserve">w miejsce </w:t>
      </w:r>
      <w:r w:rsidR="0079429C">
        <w:rPr>
          <w:rFonts w:ascii="Arial" w:eastAsia="Symbol" w:hAnsi="Arial" w:cs="Arial"/>
          <w:b/>
          <w:bCs/>
          <w:lang w:eastAsia="pl-PL"/>
        </w:rPr>
        <w:t>uszkodzonego</w:t>
      </w:r>
      <w:r w:rsidRPr="00C95D76">
        <w:rPr>
          <w:rFonts w:ascii="Arial" w:eastAsia="Symbol" w:hAnsi="Arial" w:cs="Arial"/>
          <w:b/>
          <w:bCs/>
          <w:lang w:val="x-none" w:eastAsia="pl-PL"/>
        </w:rPr>
        <w:t xml:space="preserve"> urządzenia </w:t>
      </w:r>
      <w:r w:rsidR="0079429C">
        <w:rPr>
          <w:rFonts w:ascii="Arial" w:eastAsia="Symbol" w:hAnsi="Arial" w:cs="Arial"/>
          <w:b/>
          <w:bCs/>
          <w:lang w:eastAsia="pl-PL"/>
        </w:rPr>
        <w:t xml:space="preserve">- </w:t>
      </w:r>
      <w:r w:rsidR="003544E4">
        <w:rPr>
          <w:rFonts w:ascii="Arial" w:eastAsia="Symbol" w:hAnsi="Arial" w:cs="Arial"/>
          <w:b/>
          <w:bCs/>
          <w:lang w:eastAsia="pl-PL"/>
        </w:rPr>
        <w:t>Konsoli zaradzającej serwerami firmy ATEN</w:t>
      </w:r>
      <w:r w:rsidRPr="00C95D76">
        <w:rPr>
          <w:rFonts w:ascii="Arial" w:eastAsia="Symbol" w:hAnsi="Arial" w:cs="Arial"/>
          <w:bCs/>
          <w:lang w:val="x-none" w:eastAsia="pl-PL"/>
        </w:rPr>
        <w:t xml:space="preserve"> </w:t>
      </w:r>
      <w:r w:rsidR="003544E4">
        <w:rPr>
          <w:rFonts w:ascii="Arial" w:eastAsia="Symbol" w:hAnsi="Arial" w:cs="Arial"/>
          <w:bCs/>
          <w:lang w:val="x-none" w:eastAsia="pl-PL"/>
        </w:rPr>
        <w:t>–</w:t>
      </w:r>
      <w:r w:rsidR="003544E4">
        <w:rPr>
          <w:rFonts w:ascii="Arial" w:eastAsia="Symbol" w:hAnsi="Arial" w:cs="Arial"/>
          <w:bCs/>
          <w:lang w:eastAsia="pl-PL"/>
        </w:rPr>
        <w:t xml:space="preserve"> zakup urządzenia</w:t>
      </w:r>
      <w:r w:rsidRPr="00C95D76">
        <w:rPr>
          <w:rFonts w:ascii="Arial" w:eastAsia="Symbol" w:hAnsi="Arial" w:cs="Arial"/>
          <w:bCs/>
          <w:lang w:val="x-none" w:eastAsia="pl-PL"/>
        </w:rPr>
        <w:t xml:space="preserve"> spełniających niżej wymienione minimalne parametry</w:t>
      </w:r>
      <w:r w:rsidR="003544E4">
        <w:rPr>
          <w:rFonts w:ascii="Arial" w:eastAsia="Symbol" w:hAnsi="Arial" w:cs="Arial"/>
          <w:bCs/>
          <w:lang w:eastAsia="pl-PL"/>
        </w:rPr>
        <w:t xml:space="preserve"> lub równoważne</w:t>
      </w:r>
      <w:r w:rsidRPr="00C95D76">
        <w:rPr>
          <w:rFonts w:ascii="Arial" w:eastAsia="Symbol" w:hAnsi="Arial" w:cs="Arial"/>
          <w:bCs/>
          <w:lang w:val="x-none" w:eastAsia="pl-PL"/>
        </w:rPr>
        <w:t xml:space="preserve"> </w:t>
      </w:r>
    </w:p>
    <w:tbl>
      <w:tblPr>
        <w:tblW w:w="9425" w:type="dxa"/>
        <w:tblInd w:w="2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755"/>
        <w:gridCol w:w="5130"/>
      </w:tblGrid>
      <w:tr w:rsidR="006D1651" w:rsidRPr="00C95D76" w:rsidTr="00BD5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  <w:r w:rsidRPr="00C95D76">
              <w:rPr>
                <w:rFonts w:ascii="Arial" w:eastAsia="Symbol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  <w:r w:rsidRPr="00C95D76">
              <w:rPr>
                <w:rFonts w:ascii="Arial" w:eastAsia="Symbol" w:hAnsi="Arial" w:cs="Arial"/>
                <w:b/>
                <w:bCs/>
                <w:color w:val="000000"/>
                <w:lang w:eastAsia="pl-PL"/>
              </w:rPr>
              <w:t>Parametr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1651" w:rsidRPr="00C95D76" w:rsidRDefault="006D1651" w:rsidP="006D1651">
            <w:pPr>
              <w:spacing w:after="0" w:line="240" w:lineRule="auto"/>
              <w:jc w:val="center"/>
              <w:rPr>
                <w:rFonts w:ascii="Arial" w:eastAsia="Symbol" w:hAnsi="Arial" w:cs="Arial"/>
                <w:lang w:eastAsia="pl-PL"/>
              </w:rPr>
            </w:pPr>
            <w:r w:rsidRPr="00C95D76">
              <w:rPr>
                <w:rFonts w:ascii="Arial" w:eastAsia="Symbol" w:hAnsi="Arial" w:cs="Arial"/>
                <w:b/>
                <w:bCs/>
                <w:color w:val="000000"/>
                <w:lang w:eastAsia="pl-PL"/>
              </w:rPr>
              <w:t>Wymagania techniczne</w:t>
            </w:r>
            <w:r w:rsidR="00986B11">
              <w:rPr>
                <w:rFonts w:ascii="Arial" w:eastAsia="Symbol" w:hAnsi="Arial" w:cs="Arial"/>
                <w:b/>
                <w:bCs/>
                <w:color w:val="000000"/>
                <w:lang w:eastAsia="pl-PL"/>
              </w:rPr>
              <w:t xml:space="preserve"> nie gorsze niż</w:t>
            </w:r>
          </w:p>
        </w:tc>
      </w:tr>
      <w:tr w:rsidR="006D1651" w:rsidRPr="00C95D76" w:rsidTr="00BD5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  <w:r w:rsidRPr="00C95D76">
              <w:rPr>
                <w:rFonts w:ascii="Arial" w:eastAsia="Symbol" w:hAnsi="Arial" w:cs="Arial"/>
                <w:lang w:eastAsia="pl-PL"/>
              </w:rPr>
              <w:t>1.</w:t>
            </w:r>
          </w:p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1651" w:rsidRPr="00C95D76" w:rsidRDefault="006D1651" w:rsidP="006D1651">
            <w:pPr>
              <w:tabs>
                <w:tab w:val="left" w:pos="1286"/>
              </w:tabs>
              <w:spacing w:after="0" w:line="240" w:lineRule="auto"/>
              <w:jc w:val="center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tabs>
                <w:tab w:val="left" w:pos="1286"/>
              </w:tabs>
              <w:spacing w:after="0" w:line="240" w:lineRule="auto"/>
              <w:jc w:val="center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tabs>
                <w:tab w:val="left" w:pos="1286"/>
              </w:tabs>
              <w:spacing w:after="0" w:line="240" w:lineRule="auto"/>
              <w:jc w:val="center"/>
              <w:rPr>
                <w:rFonts w:ascii="Arial" w:eastAsia="Symbol" w:hAnsi="Arial" w:cs="Arial"/>
                <w:lang w:eastAsia="pl-PL"/>
              </w:rPr>
            </w:pPr>
          </w:p>
          <w:p w:rsidR="006D1651" w:rsidRPr="00C95D76" w:rsidRDefault="006D1651" w:rsidP="006D1651">
            <w:pPr>
              <w:tabs>
                <w:tab w:val="left" w:pos="1286"/>
              </w:tabs>
              <w:spacing w:after="0" w:line="240" w:lineRule="auto"/>
              <w:jc w:val="center"/>
              <w:rPr>
                <w:rFonts w:ascii="Arial" w:eastAsia="Symbol" w:hAnsi="Arial" w:cs="Arial"/>
                <w:lang w:eastAsia="pl-PL"/>
              </w:rPr>
            </w:pPr>
          </w:p>
          <w:p w:rsidR="00986B11" w:rsidRPr="00C95D76" w:rsidRDefault="003544E4" w:rsidP="00986B11">
            <w:pPr>
              <w:tabs>
                <w:tab w:val="left" w:pos="1286"/>
              </w:tabs>
              <w:spacing w:after="0" w:line="240" w:lineRule="auto"/>
              <w:jc w:val="center"/>
              <w:rPr>
                <w:rFonts w:ascii="Arial" w:eastAsia="Symbol" w:hAnsi="Arial" w:cs="Arial"/>
                <w:lang w:eastAsia="pl-PL"/>
              </w:rPr>
            </w:pPr>
            <w:r w:rsidRPr="003544E4">
              <w:rPr>
                <w:rFonts w:ascii="Arial" w:eastAsia="Symbol" w:hAnsi="Arial" w:cs="Arial"/>
                <w:lang w:eastAsia="pl-PL"/>
              </w:rPr>
              <w:t>Konsola - przełącznik DKX3-816</w:t>
            </w:r>
            <w:r w:rsidR="0079429C">
              <w:rPr>
                <w:rFonts w:ascii="Arial" w:eastAsia="Symbol" w:hAnsi="Arial" w:cs="Arial"/>
                <w:lang w:eastAsia="pl-PL"/>
              </w:rPr>
              <w:t xml:space="preserve"> firmy RARITAN</w:t>
            </w:r>
            <w:r w:rsidR="00986B11">
              <w:rPr>
                <w:rFonts w:ascii="Arial" w:eastAsia="Symbol" w:hAnsi="Arial" w:cs="Arial"/>
                <w:lang w:eastAsia="pl-PL"/>
              </w:rPr>
              <w:t xml:space="preserve"> ilość 1 szt.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1651" w:rsidRPr="00C95D76" w:rsidRDefault="006D1651" w:rsidP="006D1651">
            <w:p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color w:val="000000"/>
                <w:lang w:eastAsia="pl-PL"/>
              </w:rPr>
            </w:pPr>
            <w:r w:rsidRPr="00C95D76">
              <w:rPr>
                <w:rFonts w:ascii="Arial" w:eastAsia="Symbol" w:hAnsi="Arial" w:cs="Arial"/>
                <w:color w:val="000000"/>
                <w:lang w:eastAsia="pl-PL"/>
              </w:rPr>
              <w:t>Urządzenie musi być wyposażone w poniższą ilość portów:</w:t>
            </w:r>
          </w:p>
          <w:p w:rsidR="006D1651" w:rsidRPr="00C95D76" w:rsidRDefault="003544E4" w:rsidP="00F3729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color w:val="000000"/>
                <w:lang w:val="en-US" w:eastAsia="pl-PL"/>
              </w:rPr>
            </w:pPr>
            <w:r>
              <w:rPr>
                <w:rFonts w:ascii="Arial" w:eastAsia="Symbol" w:hAnsi="Arial" w:cs="Arial"/>
                <w:color w:val="000000"/>
                <w:lang w:val="en-US" w:eastAsia="pl-PL"/>
              </w:rPr>
              <w:t xml:space="preserve">16 </w:t>
            </w:r>
            <w:proofErr w:type="spellStart"/>
            <w:r>
              <w:rPr>
                <w:rFonts w:ascii="Arial" w:eastAsia="Symbol" w:hAnsi="Arial" w:cs="Arial"/>
                <w:color w:val="000000"/>
                <w:lang w:val="en-US" w:eastAsia="pl-PL"/>
              </w:rPr>
              <w:t>portów</w:t>
            </w:r>
            <w:proofErr w:type="spellEnd"/>
            <w:r>
              <w:rPr>
                <w:rFonts w:ascii="Arial" w:eastAsia="Symbol" w:hAnsi="Arial" w:cs="Arial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Symbol" w:hAnsi="Arial" w:cs="Arial"/>
                <w:color w:val="000000"/>
                <w:lang w:val="en-US" w:eastAsia="pl-PL"/>
              </w:rPr>
              <w:t>serwerowych</w:t>
            </w:r>
            <w:proofErr w:type="spellEnd"/>
          </w:p>
          <w:p w:rsidR="006D1651" w:rsidRPr="00986B11" w:rsidRDefault="003544E4" w:rsidP="00F3729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color w:val="000000"/>
                <w:lang w:eastAsia="pl-PL"/>
              </w:rPr>
            </w:pPr>
            <w:r w:rsidRPr="00986B11">
              <w:rPr>
                <w:rFonts w:ascii="Arial" w:eastAsia="Symbol" w:hAnsi="Arial" w:cs="Arial"/>
                <w:color w:val="000000"/>
                <w:lang w:eastAsia="pl-PL"/>
              </w:rPr>
              <w:t xml:space="preserve">obsługiwać nie mniej niż </w:t>
            </w:r>
            <w:r w:rsidR="00986B11">
              <w:rPr>
                <w:rFonts w:ascii="Arial" w:eastAsia="Symbol" w:hAnsi="Arial" w:cs="Arial"/>
                <w:color w:val="000000"/>
                <w:lang w:eastAsia="pl-PL"/>
              </w:rPr>
              <w:t>8 uż</w:t>
            </w:r>
            <w:r w:rsidRPr="00986B11">
              <w:rPr>
                <w:rFonts w:ascii="Arial" w:eastAsia="Symbol" w:hAnsi="Arial" w:cs="Arial"/>
                <w:color w:val="000000"/>
                <w:lang w:eastAsia="pl-PL"/>
              </w:rPr>
              <w:t>ytkowników zdalnych</w:t>
            </w:r>
          </w:p>
          <w:p w:rsidR="00986B11" w:rsidRPr="00986B11" w:rsidRDefault="00986B11" w:rsidP="00F3729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color w:val="000000"/>
                <w:lang w:eastAsia="pl-PL"/>
              </w:rPr>
            </w:pPr>
            <w:r w:rsidRPr="00986B11">
              <w:rPr>
                <w:rFonts w:ascii="Arial" w:eastAsia="Symbol" w:hAnsi="Arial" w:cs="Arial"/>
                <w:color w:val="000000"/>
                <w:lang w:eastAsia="pl-PL"/>
              </w:rPr>
              <w:t xml:space="preserve">obsługiwać nie mniej niż </w:t>
            </w:r>
            <w:r>
              <w:rPr>
                <w:rFonts w:ascii="Arial" w:eastAsia="Symbol" w:hAnsi="Arial" w:cs="Arial"/>
                <w:color w:val="000000"/>
                <w:lang w:eastAsia="pl-PL"/>
              </w:rPr>
              <w:t>1</w:t>
            </w:r>
            <w:r w:rsidRPr="00986B11">
              <w:rPr>
                <w:rFonts w:ascii="Arial" w:eastAsia="Symbol" w:hAnsi="Arial" w:cs="Arial"/>
                <w:color w:val="000000"/>
                <w:lang w:eastAsia="pl-PL"/>
              </w:rPr>
              <w:t xml:space="preserve"> użytkownika </w:t>
            </w:r>
            <w:r>
              <w:rPr>
                <w:rFonts w:ascii="Arial" w:eastAsia="Symbol" w:hAnsi="Arial" w:cs="Arial"/>
                <w:color w:val="000000"/>
                <w:lang w:eastAsia="pl-PL"/>
              </w:rPr>
              <w:t>lokalnego</w:t>
            </w:r>
          </w:p>
          <w:p w:rsidR="006D1651" w:rsidRPr="00C95D76" w:rsidRDefault="00986B11" w:rsidP="00F3729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color w:val="000000"/>
                <w:lang w:val="en-US" w:eastAsia="pl-PL"/>
              </w:rPr>
            </w:pPr>
            <w:proofErr w:type="spellStart"/>
            <w:r>
              <w:rPr>
                <w:rFonts w:ascii="Arial" w:eastAsia="Symbol" w:hAnsi="Arial" w:cs="Arial"/>
                <w:color w:val="000000"/>
                <w:lang w:val="en-US" w:eastAsia="pl-PL"/>
              </w:rPr>
              <w:t>obsługiwać</w:t>
            </w:r>
            <w:proofErr w:type="spellEnd"/>
            <w:r>
              <w:rPr>
                <w:rFonts w:ascii="Arial" w:eastAsia="Symbol" w:hAnsi="Arial" w:cs="Arial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Symbol" w:hAnsi="Arial" w:cs="Arial"/>
                <w:color w:val="000000"/>
                <w:lang w:val="en-US" w:eastAsia="pl-PL"/>
              </w:rPr>
              <w:t>wirtualne</w:t>
            </w:r>
            <w:proofErr w:type="spellEnd"/>
            <w:r>
              <w:rPr>
                <w:rFonts w:ascii="Arial" w:eastAsia="Symbol" w:hAnsi="Arial" w:cs="Arial"/>
                <w:color w:val="000000"/>
                <w:lang w:val="en-US" w:eastAsia="pl-PL"/>
              </w:rPr>
              <w:t xml:space="preserve"> media</w:t>
            </w:r>
          </w:p>
          <w:p w:rsidR="006D1651" w:rsidRPr="00986B11" w:rsidRDefault="00986B11" w:rsidP="00F3729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color w:val="FF0000"/>
                <w:lang w:eastAsia="pl-PL"/>
              </w:rPr>
            </w:pPr>
            <w:r>
              <w:rPr>
                <w:rFonts w:ascii="Arial" w:eastAsia="Symbol" w:hAnsi="Arial" w:cs="Arial"/>
                <w:color w:val="000000"/>
                <w:lang w:eastAsia="pl-PL"/>
              </w:rPr>
              <w:t>posiadać redundantny zasilacz</w:t>
            </w:r>
          </w:p>
          <w:p w:rsidR="00986B11" w:rsidRPr="0079429C" w:rsidRDefault="00986B11" w:rsidP="00F3729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color w:val="FF0000"/>
                <w:lang w:eastAsia="pl-PL"/>
              </w:rPr>
            </w:pPr>
            <w:r>
              <w:rPr>
                <w:rFonts w:ascii="Arial" w:eastAsia="Symbol" w:hAnsi="Arial" w:cs="Arial"/>
                <w:lang w:eastAsia="pl-PL"/>
              </w:rPr>
              <w:t xml:space="preserve">posiadać nie mniej niż </w:t>
            </w:r>
            <w:r w:rsidRPr="00986B11">
              <w:rPr>
                <w:rFonts w:ascii="Arial" w:eastAsia="Symbol" w:hAnsi="Arial" w:cs="Arial"/>
                <w:lang w:eastAsia="pl-PL"/>
              </w:rPr>
              <w:t xml:space="preserve">2 porty </w:t>
            </w:r>
            <w:proofErr w:type="spellStart"/>
            <w:r w:rsidRPr="00986B11">
              <w:rPr>
                <w:rFonts w:ascii="Arial" w:eastAsia="Symbol" w:hAnsi="Arial" w:cs="Arial"/>
                <w:lang w:eastAsia="pl-PL"/>
              </w:rPr>
              <w:t>GbE</w:t>
            </w:r>
            <w:proofErr w:type="spellEnd"/>
            <w:r w:rsidRPr="00986B11">
              <w:rPr>
                <w:rFonts w:ascii="Arial" w:eastAsia="Symbol" w:hAnsi="Arial" w:cs="Arial"/>
                <w:lang w:eastAsia="pl-PL"/>
              </w:rPr>
              <w:t xml:space="preserve"> L</w:t>
            </w:r>
            <w:r w:rsidRPr="0079429C">
              <w:rPr>
                <w:rFonts w:ascii="Arial" w:eastAsia="Symbol" w:hAnsi="Arial" w:cs="Arial"/>
                <w:lang w:eastAsia="pl-PL"/>
              </w:rPr>
              <w:t>AN</w:t>
            </w:r>
          </w:p>
          <w:p w:rsidR="0079429C" w:rsidRPr="0079429C" w:rsidRDefault="0079429C" w:rsidP="00F3729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lang w:eastAsia="pl-PL"/>
              </w:rPr>
            </w:pPr>
            <w:r>
              <w:rPr>
                <w:rFonts w:ascii="Arial" w:eastAsia="Symbol" w:hAnsi="Arial" w:cs="Arial"/>
                <w:lang w:eastAsia="pl-PL"/>
              </w:rPr>
              <w:t>minimalna</w:t>
            </w:r>
            <w:r w:rsidRPr="0079429C">
              <w:rPr>
                <w:rFonts w:ascii="Arial" w:eastAsia="Symbol" w:hAnsi="Arial" w:cs="Arial"/>
                <w:lang w:eastAsia="pl-PL"/>
              </w:rPr>
              <w:t xml:space="preserve"> rozdzielczość 1920x1200</w:t>
            </w:r>
          </w:p>
          <w:p w:rsidR="00986B11" w:rsidRPr="00C95D76" w:rsidRDefault="00986B11" w:rsidP="00F3729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Symbol" w:hAnsi="Arial" w:cs="Arial"/>
                <w:color w:val="FF0000"/>
                <w:lang w:eastAsia="pl-PL"/>
              </w:rPr>
            </w:pPr>
            <w:r>
              <w:rPr>
                <w:rFonts w:ascii="Arial" w:eastAsia="Symbol" w:hAnsi="Arial" w:cs="Arial"/>
                <w:lang w:eastAsia="pl-PL"/>
              </w:rPr>
              <w:t xml:space="preserve">musi </w:t>
            </w:r>
            <w:r w:rsidR="0079429C">
              <w:rPr>
                <w:rFonts w:ascii="Arial" w:eastAsia="Symbol" w:hAnsi="Arial" w:cs="Arial"/>
                <w:lang w:eastAsia="pl-PL"/>
              </w:rPr>
              <w:t>mieć możliwość do podłączenia do systemu centralnego zarządzania</w:t>
            </w:r>
          </w:p>
        </w:tc>
      </w:tr>
      <w:tr w:rsidR="006D1651" w:rsidRPr="00C95D76" w:rsidTr="00BD5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  <w:r w:rsidRPr="00C95D76">
              <w:rPr>
                <w:rFonts w:ascii="Arial" w:eastAsia="Symbol" w:hAnsi="Arial" w:cs="Arial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1651" w:rsidRPr="00C95D76" w:rsidRDefault="0079429C" w:rsidP="006D165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Arial" w:eastAsia="Symbol" w:hAnsi="Arial" w:cs="Arial"/>
                <w:color w:val="000000"/>
                <w:lang w:eastAsia="pl-PL"/>
              </w:rPr>
            </w:pPr>
            <w:r w:rsidRPr="0079429C">
              <w:rPr>
                <w:rFonts w:ascii="Arial" w:eastAsia="Symbol" w:hAnsi="Arial" w:cs="Arial"/>
                <w:lang w:eastAsia="pl-PL"/>
              </w:rPr>
              <w:t>Konsola - moduł dostępowy D2CIM-DVUSB (VGA</w:t>
            </w:r>
            <w:r>
              <w:rPr>
                <w:rFonts w:ascii="Arial" w:eastAsia="Symbol" w:hAnsi="Arial" w:cs="Arial"/>
                <w:lang w:eastAsia="pl-PL"/>
              </w:rPr>
              <w:t>) firmy RARITAN ilość 16 szt.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1651" w:rsidRDefault="0079429C" w:rsidP="00F3729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38" w:hanging="284"/>
              <w:textAlignment w:val="baseline"/>
              <w:rPr>
                <w:rFonts w:ascii="Arial" w:eastAsia="Symbol" w:hAnsi="Arial" w:cs="Arial"/>
                <w:color w:val="000000"/>
                <w:lang w:eastAsia="pl-PL"/>
              </w:rPr>
            </w:pPr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>posiadać podwójny interfejs USB/VGA CIM do obsługi nośników wirtualnych na poziomie BIOS</w:t>
            </w:r>
          </w:p>
          <w:p w:rsidR="0079429C" w:rsidRPr="0079429C" w:rsidRDefault="0079429C" w:rsidP="00F3729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38" w:hanging="284"/>
              <w:textAlignment w:val="baseline"/>
              <w:rPr>
                <w:rFonts w:ascii="Arial" w:eastAsia="Symbol" w:hAnsi="Arial" w:cs="Arial"/>
                <w:color w:val="000000"/>
                <w:lang w:eastAsia="pl-PL"/>
              </w:rPr>
            </w:pPr>
            <w:r>
              <w:rPr>
                <w:rFonts w:ascii="Arial" w:eastAsia="Symbol" w:hAnsi="Arial" w:cs="Arial"/>
                <w:color w:val="000000"/>
                <w:lang w:eastAsia="pl-PL"/>
              </w:rPr>
              <w:t xml:space="preserve">współpracować z </w:t>
            </w:r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 xml:space="preserve">przełącznikami KVM </w:t>
            </w:r>
            <w:proofErr w:type="spellStart"/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>Raritan</w:t>
            </w:r>
            <w:proofErr w:type="spellEnd"/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>Dominion</w:t>
            </w:r>
            <w:proofErr w:type="spellEnd"/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 xml:space="preserve"> KX III lub starszymi</w:t>
            </w:r>
          </w:p>
        </w:tc>
      </w:tr>
      <w:tr w:rsidR="006D1651" w:rsidRPr="00C95D76" w:rsidTr="00BD5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1651" w:rsidRPr="00C95D76" w:rsidRDefault="006D1651" w:rsidP="006D1651">
            <w:pPr>
              <w:spacing w:after="0" w:line="240" w:lineRule="auto"/>
              <w:rPr>
                <w:rFonts w:ascii="Arial" w:eastAsia="Symbol" w:hAnsi="Arial" w:cs="Arial"/>
                <w:color w:val="000000"/>
                <w:lang w:eastAsia="pl-PL"/>
              </w:rPr>
            </w:pPr>
            <w:r w:rsidRPr="00C95D76">
              <w:rPr>
                <w:rFonts w:ascii="Arial" w:eastAsia="Symbol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1651" w:rsidRPr="00C95D76" w:rsidRDefault="0079429C" w:rsidP="00BB5B92">
            <w:pPr>
              <w:spacing w:after="0" w:line="240" w:lineRule="auto"/>
              <w:rPr>
                <w:rFonts w:ascii="Arial" w:eastAsia="Symbol" w:hAnsi="Arial" w:cs="Arial"/>
                <w:color w:val="000000"/>
                <w:lang w:eastAsia="pl-PL"/>
              </w:rPr>
            </w:pPr>
            <w:r w:rsidRPr="0079429C">
              <w:rPr>
                <w:rFonts w:ascii="Arial" w:eastAsia="Symbol" w:hAnsi="Arial" w:cs="Arial"/>
                <w:lang w:eastAsia="pl-PL"/>
              </w:rPr>
              <w:t>Konsola - monitor T1700-LED</w:t>
            </w:r>
            <w:r w:rsidR="00BB5B92">
              <w:rPr>
                <w:rFonts w:ascii="Arial" w:eastAsia="Symbol" w:hAnsi="Arial" w:cs="Arial"/>
                <w:lang w:eastAsia="pl-PL"/>
              </w:rPr>
              <w:t xml:space="preserve"> firmy RARITAN ilość 1 szt.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1651" w:rsidRPr="0079429C" w:rsidRDefault="0079429C" w:rsidP="00F3729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0" w:hanging="284"/>
              <w:jc w:val="both"/>
              <w:rPr>
                <w:rFonts w:ascii="Arial" w:eastAsia="Symbol" w:hAnsi="Arial" w:cs="Arial"/>
                <w:color w:val="000000"/>
                <w:lang w:eastAsia="pl-PL"/>
              </w:rPr>
            </w:pPr>
            <w:r>
              <w:rPr>
                <w:rFonts w:ascii="Arial" w:eastAsia="Symbol" w:hAnsi="Arial" w:cs="Arial"/>
                <w:color w:val="000000"/>
                <w:lang w:eastAsia="pl-PL"/>
              </w:rPr>
              <w:t>m</w:t>
            </w:r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>usi posiadać wbudowany</w:t>
            </w:r>
            <w:r w:rsidR="00E775DE">
              <w:rPr>
                <w:rFonts w:ascii="Arial" w:eastAsia="Symbol" w:hAnsi="Arial" w:cs="Arial"/>
                <w:color w:val="000000"/>
                <w:lang w:eastAsia="pl-PL"/>
              </w:rPr>
              <w:t xml:space="preserve"> </w:t>
            </w:r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>Monitor nie mniejszy niż 17” i rozdzielczości nie mniejszej niż 1920x1080</w:t>
            </w:r>
          </w:p>
          <w:p w:rsidR="0079429C" w:rsidRPr="0079429C" w:rsidRDefault="0079429C" w:rsidP="00F3729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0" w:hanging="284"/>
              <w:jc w:val="both"/>
              <w:rPr>
                <w:rFonts w:ascii="Arial" w:eastAsia="Symbol" w:hAnsi="Arial" w:cs="Arial"/>
                <w:color w:val="000000"/>
                <w:lang w:eastAsia="pl-PL"/>
              </w:rPr>
            </w:pPr>
            <w:r>
              <w:rPr>
                <w:rFonts w:ascii="Arial" w:eastAsia="Symbol" w:hAnsi="Arial" w:cs="Arial"/>
                <w:color w:val="000000"/>
                <w:lang w:eastAsia="pl-PL"/>
              </w:rPr>
              <w:t>m</w:t>
            </w:r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>usi posiadać wbudowaną Klawiaturę US</w:t>
            </w:r>
          </w:p>
          <w:p w:rsidR="0079429C" w:rsidRPr="0079429C" w:rsidRDefault="0079429C" w:rsidP="00F3729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0" w:hanging="284"/>
              <w:jc w:val="both"/>
              <w:rPr>
                <w:rFonts w:ascii="Arial" w:eastAsia="Symbol" w:hAnsi="Arial" w:cs="Arial"/>
                <w:color w:val="000000"/>
                <w:lang w:eastAsia="pl-PL"/>
              </w:rPr>
            </w:pPr>
            <w:r>
              <w:rPr>
                <w:rFonts w:ascii="Arial" w:eastAsia="Symbol" w:hAnsi="Arial" w:cs="Arial"/>
                <w:color w:val="000000"/>
                <w:lang w:eastAsia="pl-PL"/>
              </w:rPr>
              <w:t>m</w:t>
            </w:r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 xml:space="preserve">usi posiadać wbudowany </w:t>
            </w:r>
            <w:proofErr w:type="spellStart"/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>t</w:t>
            </w:r>
            <w:bookmarkStart w:id="0" w:name="_GoBack"/>
            <w:bookmarkEnd w:id="0"/>
            <w:r w:rsidRPr="0079429C">
              <w:rPr>
                <w:rFonts w:ascii="Arial" w:eastAsia="Symbol" w:hAnsi="Arial" w:cs="Arial"/>
                <w:color w:val="000000"/>
                <w:lang w:eastAsia="pl-PL"/>
              </w:rPr>
              <w:t>ouchpad</w:t>
            </w:r>
            <w:proofErr w:type="spellEnd"/>
          </w:p>
        </w:tc>
      </w:tr>
      <w:tr w:rsidR="006D1651" w:rsidRPr="00C95D76" w:rsidTr="00BD5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1651" w:rsidRPr="00C95D76" w:rsidRDefault="0079429C" w:rsidP="006D1651">
            <w:pPr>
              <w:spacing w:after="0" w:line="240" w:lineRule="auto"/>
              <w:rPr>
                <w:rFonts w:ascii="Arial" w:eastAsia="Symbol" w:hAnsi="Arial" w:cs="Arial"/>
                <w:color w:val="000000"/>
                <w:lang w:eastAsia="pl-PL"/>
              </w:rPr>
            </w:pPr>
            <w:r>
              <w:rPr>
                <w:rFonts w:ascii="Arial" w:eastAsia="Symbol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1651" w:rsidRPr="00C95D76" w:rsidRDefault="00E775DE" w:rsidP="006D1651">
            <w:pPr>
              <w:spacing w:after="0" w:line="240" w:lineRule="auto"/>
              <w:rPr>
                <w:rFonts w:ascii="Arial" w:eastAsia="Symbol" w:hAnsi="Arial" w:cs="Arial"/>
                <w:lang w:eastAsia="pl-PL"/>
              </w:rPr>
            </w:pPr>
            <w:r>
              <w:rPr>
                <w:rFonts w:ascii="Arial" w:eastAsia="Symbol" w:hAnsi="Arial" w:cs="Arial"/>
                <w:color w:val="000000"/>
                <w:lang w:eastAsia="pl-PL"/>
              </w:rPr>
              <w:t>Wymagana g</w:t>
            </w:r>
            <w:r w:rsidR="0079429C">
              <w:rPr>
                <w:rFonts w:ascii="Arial" w:eastAsia="Symbol" w:hAnsi="Arial" w:cs="Arial"/>
                <w:color w:val="000000"/>
                <w:lang w:eastAsia="pl-PL"/>
              </w:rPr>
              <w:t>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1651" w:rsidRPr="00F3729E" w:rsidRDefault="0079429C" w:rsidP="006D1651">
            <w:pPr>
              <w:spacing w:after="0" w:line="240" w:lineRule="auto"/>
              <w:jc w:val="both"/>
              <w:rPr>
                <w:rFonts w:ascii="Arial" w:eastAsia="Symbol" w:hAnsi="Arial" w:cs="Arial"/>
                <w:b/>
                <w:lang w:eastAsia="pl-PL"/>
              </w:rPr>
            </w:pPr>
            <w:r w:rsidRPr="00F3729E">
              <w:rPr>
                <w:rFonts w:ascii="Arial" w:eastAsia="Symbol" w:hAnsi="Arial" w:cs="Arial"/>
                <w:b/>
                <w:lang w:eastAsia="pl-PL"/>
              </w:rPr>
              <w:t>24 miesiące</w:t>
            </w:r>
          </w:p>
        </w:tc>
      </w:tr>
    </w:tbl>
    <w:p w:rsidR="00EB34E2" w:rsidRPr="00C95D76" w:rsidRDefault="00EB34E2">
      <w:pPr>
        <w:rPr>
          <w:rFonts w:ascii="Arial" w:hAnsi="Arial" w:cs="Arial"/>
        </w:rPr>
      </w:pPr>
    </w:p>
    <w:sectPr w:rsidR="00EB34E2" w:rsidRPr="00C95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4BE8"/>
    <w:multiLevelType w:val="hybridMultilevel"/>
    <w:tmpl w:val="989E5F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alibri Light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Tahoma" w:hAnsi="Tahoma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Cambria" w:hAnsi="Cambri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alibri Light" w:hAnsi="Calibri Light" w:cs="Calibri Light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Tahoma" w:hAnsi="Tahoma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Cambria" w:hAnsi="Cambri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alibri Light" w:hAnsi="Calibri Light" w:cs="Calibri Light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Tahoma" w:hAnsi="Tahoma" w:hint="default"/>
      </w:r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56B4"/>
    <w:multiLevelType w:val="hybridMultilevel"/>
    <w:tmpl w:val="E228D6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CF3660"/>
    <w:multiLevelType w:val="multilevel"/>
    <w:tmpl w:val="FB00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" w:hAnsi="Cambria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" w:hAnsi="Cambria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Cambria" w:hAnsi="Cambria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" w:hAnsi="Cambria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" w:hAnsi="Cambria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" w:hAnsi="Cambria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Cambria" w:hAnsi="Cambria"/>
        <w:sz w:val="18"/>
      </w:rPr>
    </w:lvl>
  </w:abstractNum>
  <w:abstractNum w:abstractNumId="4" w15:restartNumberingAfterBreak="0">
    <w:nsid w:val="44134BCB"/>
    <w:multiLevelType w:val="multilevel"/>
    <w:tmpl w:val="FB00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" w:hAnsi="Cambria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" w:hAnsi="Cambria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Cambria" w:hAnsi="Cambria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" w:hAnsi="Cambria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" w:hAnsi="Cambria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" w:hAnsi="Cambria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Cambria" w:hAnsi="Cambria"/>
        <w:sz w:val="18"/>
      </w:rPr>
    </w:lvl>
  </w:abstractNum>
  <w:abstractNum w:abstractNumId="5" w15:restartNumberingAfterBreak="0">
    <w:nsid w:val="4AC35653"/>
    <w:multiLevelType w:val="multilevel"/>
    <w:tmpl w:val="FB00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" w:hAnsi="Cambria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" w:hAnsi="Cambria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Cambria" w:hAnsi="Cambria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" w:hAnsi="Cambria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" w:hAnsi="Cambria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" w:hAnsi="Cambria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Cambria" w:hAnsi="Cambria"/>
        <w:sz w:val="18"/>
      </w:rPr>
    </w:lvl>
  </w:abstractNum>
  <w:abstractNum w:abstractNumId="6" w15:restartNumberingAfterBreak="0">
    <w:nsid w:val="52276A6D"/>
    <w:multiLevelType w:val="multilevel"/>
    <w:tmpl w:val="479A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" w:hAnsi="Cambria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" w:hAnsi="Cambria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Cambria" w:hAnsi="Cambria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" w:hAnsi="Cambria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" w:hAnsi="Cambria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" w:hAnsi="Cambria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Cambria" w:hAnsi="Cambria"/>
        <w:sz w:val="18"/>
      </w:rPr>
    </w:lvl>
  </w:abstractNum>
  <w:abstractNum w:abstractNumId="7" w15:restartNumberingAfterBreak="0">
    <w:nsid w:val="5AD56381"/>
    <w:multiLevelType w:val="hybridMultilevel"/>
    <w:tmpl w:val="28F80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alibri Light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Tahoma" w:hAnsi="Tahoma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Cambria" w:hAnsi="Cambri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alibri Light" w:hAnsi="Calibri Light" w:cs="Calibri Light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Tahoma" w:hAnsi="Tahoma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Cambria" w:hAnsi="Cambri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alibri Light" w:hAnsi="Calibri Light" w:cs="Calibri Light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Tahoma" w:hAnsi="Tahoma" w:hint="default"/>
      </w:rPr>
    </w:lvl>
  </w:abstractNum>
  <w:abstractNum w:abstractNumId="8" w15:restartNumberingAfterBreak="0">
    <w:nsid w:val="5D7A6879"/>
    <w:multiLevelType w:val="hybridMultilevel"/>
    <w:tmpl w:val="807C9A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alibri Light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Tahoma" w:hAnsi="Tahoma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Cambria" w:hAnsi="Cambri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alibri Light" w:hAnsi="Calibri Light" w:cs="Calibri Light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Tahoma" w:hAnsi="Tahoma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Cambria" w:hAnsi="Cambri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alibri Light" w:hAnsi="Calibri Light" w:cs="Calibri Light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Tahoma" w:hAnsi="Tahoma" w:hint="default"/>
      </w:rPr>
    </w:lvl>
  </w:abstractNum>
  <w:abstractNum w:abstractNumId="9" w15:restartNumberingAfterBreak="0">
    <w:nsid w:val="5E9B3591"/>
    <w:multiLevelType w:val="multilevel"/>
    <w:tmpl w:val="726CF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pl-PL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3BF6301"/>
    <w:multiLevelType w:val="hybridMultilevel"/>
    <w:tmpl w:val="8DF8F03A"/>
    <w:lvl w:ilvl="0" w:tplc="794CD7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B228F7"/>
    <w:multiLevelType w:val="hybridMultilevel"/>
    <w:tmpl w:val="AFEEE1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alibri Light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Tahoma" w:hAnsi="Tahoma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Cambria" w:hAnsi="Cambri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alibri Light" w:hAnsi="Calibri Light" w:cs="Calibri Light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Tahoma" w:hAnsi="Tahoma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Cambria" w:hAnsi="Cambri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alibri Light" w:hAnsi="Calibri Light" w:cs="Calibri Light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Tahoma" w:hAnsi="Tahoma" w:hint="default"/>
      </w:rPr>
    </w:lvl>
  </w:abstractNum>
  <w:abstractNum w:abstractNumId="12" w15:restartNumberingAfterBreak="0">
    <w:nsid w:val="749C4ADC"/>
    <w:multiLevelType w:val="multilevel"/>
    <w:tmpl w:val="FB00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" w:hAnsi="Cambria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" w:hAnsi="Cambria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Cambria" w:hAnsi="Cambria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" w:hAnsi="Cambria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" w:hAnsi="Cambria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" w:hAnsi="Cambria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Cambria" w:hAnsi="Cambria"/>
        <w:sz w:val="18"/>
      </w:rPr>
    </w:lvl>
  </w:abstractNum>
  <w:abstractNum w:abstractNumId="13" w15:restartNumberingAfterBreak="0">
    <w:nsid w:val="7AA733F1"/>
    <w:multiLevelType w:val="hybridMultilevel"/>
    <w:tmpl w:val="E710F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A0BC0"/>
    <w:multiLevelType w:val="hybridMultilevel"/>
    <w:tmpl w:val="EB26A1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alibri Light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Tahoma" w:hAnsi="Tahoma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Cambria" w:hAnsi="Cambri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alibri Light" w:hAnsi="Calibri Light" w:cs="Calibri Light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Tahoma" w:hAnsi="Tahoma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Cambria" w:hAnsi="Cambri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alibri Light" w:hAnsi="Calibri Light" w:cs="Calibri Light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Tahoma" w:hAnsi="Tahoma" w:hint="default"/>
      </w:rPr>
    </w:lvl>
  </w:abstractNum>
  <w:abstractNum w:abstractNumId="15" w15:restartNumberingAfterBreak="0">
    <w:nsid w:val="7E874B07"/>
    <w:multiLevelType w:val="hybridMultilevel"/>
    <w:tmpl w:val="0B949C7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alibri Light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Tahoma" w:hAnsi="Tahoma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Cambria" w:hAnsi="Cambria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alibri Light" w:hAnsi="Calibri Light" w:cs="Calibri Light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Tahoma" w:hAnsi="Tahoma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Cambria" w:hAnsi="Cambria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alibri Light" w:hAnsi="Calibri Light" w:cs="Calibri Light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Tahoma" w:hAnsi="Tahoma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7"/>
  </w:num>
  <w:num w:numId="5">
    <w:abstractNumId w:val="8"/>
  </w:num>
  <w:num w:numId="6">
    <w:abstractNumId w:val="15"/>
  </w:num>
  <w:num w:numId="7">
    <w:abstractNumId w:val="11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AE"/>
    <w:rsid w:val="00140719"/>
    <w:rsid w:val="00267DB6"/>
    <w:rsid w:val="00291BF3"/>
    <w:rsid w:val="003544E4"/>
    <w:rsid w:val="0038459E"/>
    <w:rsid w:val="0054543B"/>
    <w:rsid w:val="006D1651"/>
    <w:rsid w:val="0079429C"/>
    <w:rsid w:val="00986B11"/>
    <w:rsid w:val="00BB5B92"/>
    <w:rsid w:val="00C95D76"/>
    <w:rsid w:val="00D814AE"/>
    <w:rsid w:val="00E1511D"/>
    <w:rsid w:val="00E17456"/>
    <w:rsid w:val="00E775DE"/>
    <w:rsid w:val="00EB34E2"/>
    <w:rsid w:val="00F3729E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824F"/>
  <w15:chartTrackingRefBased/>
  <w15:docId w15:val="{B0A15021-966A-4648-8301-C41E98CC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B6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2. Kansy</dc:creator>
  <cp:keywords/>
  <dc:description/>
  <cp:lastModifiedBy>Małgorzata Parobiec</cp:lastModifiedBy>
  <cp:revision>6</cp:revision>
  <dcterms:created xsi:type="dcterms:W3CDTF">2021-11-09T11:37:00Z</dcterms:created>
  <dcterms:modified xsi:type="dcterms:W3CDTF">2021-11-12T13:00:00Z</dcterms:modified>
</cp:coreProperties>
</file>