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F1C17" w14:textId="59863B8E" w:rsidR="00391E50" w:rsidRDefault="002C46DD" w:rsidP="00EF2017">
      <w:pPr>
        <w:spacing w:before="120" w:after="120" w:line="276" w:lineRule="auto"/>
        <w:rPr>
          <w:rFonts w:ascii="Open Sans" w:hAnsi="Open Sans" w:cs="Open Sans"/>
          <w:b/>
          <w:bCs/>
        </w:rPr>
      </w:pPr>
      <w:r>
        <w:rPr>
          <w:rFonts w:ascii="Open Sans" w:hAnsi="Open Sans" w:cs="Open Sans"/>
          <w:b/>
          <w:bCs/>
          <w:noProof/>
        </w:rPr>
        <w:drawing>
          <wp:inline distT="0" distB="0" distL="0" distR="0" wp14:anchorId="2B37DF32" wp14:editId="0726889E">
            <wp:extent cx="5761355" cy="572770"/>
            <wp:effectExtent l="0" t="0" r="0" b="0"/>
            <wp:docPr id="1723049514" name="Obraz 1" descr="Ciąg znaków, oznaczenie flagą programu Fundusze Europejskie na Infrastrukturę, Klimat i Środowisko, flagą Rzeczpospolitej Polskiej, flagą Unii Europejskiej oraz flagą NFOŚiG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049514" name="Obraz 1" descr="Ciąg znaków, oznaczenie flagą programu Fundusze Europejskie na Infrastrukturę, Klimat i Środowisko, flagą Rzeczpospolitej Polskiej, flagą Unii Europejskiej oraz flagą NFOŚiG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1355" cy="572770"/>
                    </a:xfrm>
                    <a:prstGeom prst="rect">
                      <a:avLst/>
                    </a:prstGeom>
                    <a:noFill/>
                  </pic:spPr>
                </pic:pic>
              </a:graphicData>
            </a:graphic>
          </wp:inline>
        </w:drawing>
      </w:r>
    </w:p>
    <w:p w14:paraId="13FB5049" w14:textId="2948C472" w:rsidR="00E34D41" w:rsidRPr="00523474" w:rsidRDefault="00336B29" w:rsidP="00523474">
      <w:pPr>
        <w:pStyle w:val="Nagwek1"/>
        <w:numPr>
          <w:ilvl w:val="0"/>
          <w:numId w:val="0"/>
        </w:numPr>
        <w:ind w:left="432"/>
        <w:rPr>
          <w:rFonts w:ascii="Open Sans" w:hAnsi="Open Sans" w:cs="Open Sans"/>
          <w:sz w:val="22"/>
          <w:szCs w:val="22"/>
        </w:rPr>
      </w:pPr>
      <w:r w:rsidRPr="00523474">
        <w:rPr>
          <w:rFonts w:ascii="Open Sans" w:hAnsi="Open Sans" w:cs="Open Sans"/>
          <w:sz w:val="22"/>
          <w:szCs w:val="22"/>
        </w:rPr>
        <w:t>Szkolenie dla beneficjentów programu feniks 2021-2027</w:t>
      </w:r>
      <w:r w:rsidR="00523474" w:rsidRPr="00523474">
        <w:rPr>
          <w:rFonts w:ascii="Open Sans" w:hAnsi="Open Sans" w:cs="Open Sans"/>
          <w:sz w:val="22"/>
          <w:szCs w:val="22"/>
        </w:rPr>
        <w:t xml:space="preserve"> </w:t>
      </w:r>
      <w:r w:rsidRPr="00523474">
        <w:rPr>
          <w:rFonts w:ascii="Open Sans" w:hAnsi="Open Sans" w:cs="Open Sans"/>
          <w:sz w:val="22"/>
          <w:szCs w:val="22"/>
        </w:rPr>
        <w:t xml:space="preserve">działanie fenx.01.05 ochrona przyrody i rozwój zielonej infrastruktury - 18 grudnia 2025 r. </w:t>
      </w:r>
    </w:p>
    <w:p w14:paraId="6F35EEA9" w14:textId="7D3AB85B" w:rsidR="00E34D41" w:rsidRPr="00523474" w:rsidRDefault="00E34D41" w:rsidP="00523474">
      <w:pPr>
        <w:pStyle w:val="Nagwek2"/>
        <w:numPr>
          <w:ilvl w:val="0"/>
          <w:numId w:val="0"/>
        </w:numPr>
        <w:ind w:left="576"/>
        <w:rPr>
          <w:rFonts w:ascii="Open Sans" w:hAnsi="Open Sans" w:cs="Open Sans"/>
          <w:sz w:val="22"/>
          <w:szCs w:val="22"/>
        </w:rPr>
      </w:pPr>
      <w:r w:rsidRPr="00523474">
        <w:rPr>
          <w:rFonts w:ascii="Open Sans" w:hAnsi="Open Sans" w:cs="Open Sans"/>
          <w:sz w:val="22"/>
          <w:szCs w:val="22"/>
        </w:rPr>
        <w:t>Pytania z czatu Yo</w:t>
      </w:r>
      <w:r w:rsidR="000805EB" w:rsidRPr="00523474">
        <w:rPr>
          <w:rFonts w:ascii="Open Sans" w:hAnsi="Open Sans" w:cs="Open Sans"/>
          <w:sz w:val="22"/>
          <w:szCs w:val="22"/>
        </w:rPr>
        <w:t>uTube</w:t>
      </w:r>
    </w:p>
    <w:p w14:paraId="594F96B2" w14:textId="77777777" w:rsidR="00552CDA" w:rsidRPr="00EF2017" w:rsidRDefault="00533B7B" w:rsidP="00EF2017">
      <w:pPr>
        <w:pStyle w:val="Akapitzlist"/>
        <w:numPr>
          <w:ilvl w:val="0"/>
          <w:numId w:val="12"/>
        </w:numPr>
        <w:spacing w:before="120" w:after="120" w:line="276" w:lineRule="auto"/>
        <w:contextualSpacing w:val="0"/>
        <w:rPr>
          <w:rFonts w:ascii="Open Sans" w:hAnsi="Open Sans" w:cs="Open Sans"/>
          <w:b/>
          <w:bCs/>
        </w:rPr>
      </w:pPr>
      <w:r w:rsidRPr="00EF2017">
        <w:rPr>
          <w:rFonts w:ascii="Open Sans" w:hAnsi="Open Sans" w:cs="Open Sans"/>
          <w:b/>
          <w:bCs/>
        </w:rPr>
        <w:t>Czy dla przetargu trybie nieograniczonym brak zamieszczenia w SWZ i ogłoszeniu o zamów. przesłanek wykluczenia zw. z agresją na Ukrainę określonych w art. 5 k rozp. 833/2014 może skutkować korektą fin</w:t>
      </w:r>
      <w:r w:rsidR="00552CDA" w:rsidRPr="00EF2017">
        <w:rPr>
          <w:rFonts w:ascii="Open Sans" w:hAnsi="Open Sans" w:cs="Open Sans"/>
          <w:b/>
          <w:bCs/>
        </w:rPr>
        <w:t>ansową ? B</w:t>
      </w:r>
      <w:r w:rsidRPr="00EF2017">
        <w:rPr>
          <w:rFonts w:ascii="Open Sans" w:hAnsi="Open Sans" w:cs="Open Sans"/>
          <w:b/>
          <w:bCs/>
        </w:rPr>
        <w:t>adanie oferentów nastąpi na podstawie list sankcyjnych</w:t>
      </w:r>
      <w:r w:rsidR="00552CDA" w:rsidRPr="00EF2017">
        <w:rPr>
          <w:rFonts w:ascii="Open Sans" w:hAnsi="Open Sans" w:cs="Open Sans"/>
          <w:b/>
          <w:bCs/>
        </w:rPr>
        <w:t>.</w:t>
      </w:r>
    </w:p>
    <w:p w14:paraId="5BFC041D" w14:textId="0A17416B" w:rsidR="00E34D41" w:rsidRPr="00E34D41" w:rsidRDefault="00EF2017" w:rsidP="00EF2017">
      <w:pPr>
        <w:pStyle w:val="Akapitzlist"/>
        <w:spacing w:before="120" w:after="120" w:line="276" w:lineRule="auto"/>
        <w:contextualSpacing w:val="0"/>
        <w:rPr>
          <w:rFonts w:ascii="Open Sans" w:hAnsi="Open Sans" w:cs="Open Sans"/>
        </w:rPr>
      </w:pPr>
      <w:r>
        <w:rPr>
          <w:rFonts w:ascii="Open Sans" w:hAnsi="Open Sans" w:cs="Open Sans"/>
        </w:rPr>
        <w:t xml:space="preserve">Odpowiedź IW: </w:t>
      </w:r>
      <w:r w:rsidR="00E34D41" w:rsidRPr="703B1F34">
        <w:rPr>
          <w:rFonts w:ascii="Open Sans" w:hAnsi="Open Sans" w:cs="Open Sans"/>
        </w:rPr>
        <w:t>Przepis art. 5k ust. 1 rozporządzenia 833/2014 stanowi odrębną, samoistną, obligatoryjną i dodatkową przesłankę w stosunku do wymienionych w art. 108 ustawy Pzp podstaw wykluczenia wykonawców z udziału w postępowaniach o udzielenie zamówienia publicznego. Na potwierdzenie, że w stosunku do danego wykonawcy nie zachodzi podstawa wykluczenia przewidziana w art. 5k zamawiający żąda oświadczenia, którego brak prowadzi do odrzucenia oferty na podstawie art. 226 ust. 1 pkt 2 lit. c ustawy Pzp. Samodzielna weryfikacja list sankcyjnych przez zamawiającego jest niewystarczająca.</w:t>
      </w:r>
    </w:p>
    <w:p w14:paraId="6E36B5CF" w14:textId="77777777" w:rsidR="00E34D41" w:rsidRPr="00E34D41" w:rsidRDefault="00E34D41" w:rsidP="00EF2017">
      <w:pPr>
        <w:pStyle w:val="Akapitzlist"/>
        <w:spacing w:before="120" w:after="120" w:line="276" w:lineRule="auto"/>
        <w:contextualSpacing w:val="0"/>
        <w:rPr>
          <w:rFonts w:ascii="Open Sans" w:hAnsi="Open Sans" w:cs="Open Sans"/>
        </w:rPr>
      </w:pPr>
      <w:r w:rsidRPr="703B1F34">
        <w:rPr>
          <w:rFonts w:ascii="Open Sans" w:hAnsi="Open Sans" w:cs="Open Sans"/>
        </w:rPr>
        <w:t>Zgodnie z aktualnym brzmieniem art. 5k ust. 1 rozporządzenia (UE) nr 833/2014 zakazuje się udzielania lub dalszego wykonywania zamówień publicznych/koncesji m.in. z:</w:t>
      </w:r>
    </w:p>
    <w:p w14:paraId="43E9A7E8" w14:textId="2ECB9BB3" w:rsidR="00E34D41" w:rsidRPr="00E34D41" w:rsidRDefault="00E34D41" w:rsidP="00EF2017">
      <w:pPr>
        <w:pStyle w:val="Akapitzlist"/>
        <w:numPr>
          <w:ilvl w:val="0"/>
          <w:numId w:val="1"/>
        </w:numPr>
        <w:spacing w:before="120" w:after="120" w:line="276" w:lineRule="auto"/>
        <w:contextualSpacing w:val="0"/>
        <w:rPr>
          <w:rFonts w:ascii="Open Sans" w:hAnsi="Open Sans" w:cs="Open Sans"/>
        </w:rPr>
      </w:pPr>
      <w:r w:rsidRPr="703B1F34">
        <w:rPr>
          <w:rFonts w:ascii="Open Sans" w:hAnsi="Open Sans" w:cs="Open Sans"/>
        </w:rPr>
        <w:t>obywatelem rosyjskim, osobą fizyczną mającą miejsce zamieszkania w Rosji albo osobą prawną/jednostką organizacyjną mającą siedzibę w Rosji,</w:t>
      </w:r>
    </w:p>
    <w:p w14:paraId="75DB43B9" w14:textId="3EE4F684" w:rsidR="00E34D41" w:rsidRPr="00E34D41" w:rsidRDefault="00E34D41" w:rsidP="00EF2017">
      <w:pPr>
        <w:pStyle w:val="Akapitzlist"/>
        <w:numPr>
          <w:ilvl w:val="0"/>
          <w:numId w:val="1"/>
        </w:numPr>
        <w:spacing w:before="120" w:after="120" w:line="276" w:lineRule="auto"/>
        <w:contextualSpacing w:val="0"/>
        <w:rPr>
          <w:rFonts w:ascii="Open Sans" w:hAnsi="Open Sans" w:cs="Open Sans"/>
        </w:rPr>
      </w:pPr>
      <w:r w:rsidRPr="703B1F34">
        <w:rPr>
          <w:rFonts w:ascii="Open Sans" w:hAnsi="Open Sans" w:cs="Open Sans"/>
        </w:rPr>
        <w:t>podmiotem, którego prawa własnościowe są bezpośrednio lub pośrednio w ponad 50% własnością osoby fizycznej lub prawnej, jednostki lub organu, o których mowa w lit. a;</w:t>
      </w:r>
    </w:p>
    <w:p w14:paraId="77C2053E" w14:textId="326BE268" w:rsidR="00E34D41" w:rsidRPr="00E34D41" w:rsidRDefault="00E34D41" w:rsidP="00EF2017">
      <w:pPr>
        <w:pStyle w:val="Akapitzlist"/>
        <w:numPr>
          <w:ilvl w:val="0"/>
          <w:numId w:val="1"/>
        </w:numPr>
        <w:spacing w:before="120" w:after="120" w:line="276" w:lineRule="auto"/>
        <w:contextualSpacing w:val="0"/>
        <w:rPr>
          <w:rFonts w:ascii="Open Sans" w:hAnsi="Open Sans" w:cs="Open Sans"/>
        </w:rPr>
      </w:pPr>
      <w:r w:rsidRPr="703B1F34">
        <w:rPr>
          <w:rFonts w:ascii="Open Sans" w:hAnsi="Open Sans" w:cs="Open Sans"/>
        </w:rPr>
        <w:t>podmiotem działającym w imieniu lub na rzecz podmiotów z lit. a lub b,</w:t>
      </w:r>
    </w:p>
    <w:p w14:paraId="6950113C" w14:textId="5B9F73A5" w:rsidR="00E34D41" w:rsidRPr="00E34D41" w:rsidRDefault="00E34D41" w:rsidP="00EF2017">
      <w:pPr>
        <w:pStyle w:val="Akapitzlist"/>
        <w:spacing w:before="120" w:after="120" w:line="276" w:lineRule="auto"/>
        <w:contextualSpacing w:val="0"/>
        <w:rPr>
          <w:rFonts w:ascii="Open Sans" w:hAnsi="Open Sans" w:cs="Open Sans"/>
        </w:rPr>
      </w:pPr>
      <w:r w:rsidRPr="703B1F34">
        <w:rPr>
          <w:rFonts w:ascii="Open Sans" w:hAnsi="Open Sans" w:cs="Open Sans"/>
        </w:rPr>
        <w:t>Zakaz obejmuje także podmioty udostępniające zasoby oraz podwykonawców/dostawców, jeżeli ich udział przekracza 10% wartości zamówienia.</w:t>
      </w:r>
    </w:p>
    <w:p w14:paraId="2D799B18" w14:textId="15038BEB" w:rsidR="00E34D41" w:rsidRPr="00E34D41" w:rsidRDefault="00E34D41" w:rsidP="00EF2017">
      <w:pPr>
        <w:pStyle w:val="Akapitzlist"/>
        <w:spacing w:before="120" w:after="120" w:line="276" w:lineRule="auto"/>
        <w:contextualSpacing w:val="0"/>
        <w:rPr>
          <w:rFonts w:ascii="Open Sans" w:hAnsi="Open Sans" w:cs="Open Sans"/>
        </w:rPr>
      </w:pPr>
      <w:r w:rsidRPr="703B1F34">
        <w:rPr>
          <w:rFonts w:ascii="Open Sans" w:hAnsi="Open Sans" w:cs="Open Sans"/>
        </w:rPr>
        <w:t xml:space="preserve">Brak wpisu na listach sankcyjnych nie zwalnia wykonawcy z obowiązku złożenia oświadczenia o braku okoliczności z art. 5k. Wynika to zarówno z treści SWZ (wymagań dotyczących dokumentów) jak i z braku realnej możliwości pełnej weryfikacji przez zamawiającego wszystkich relacji kapitałowych/osobowych po </w:t>
      </w:r>
      <w:r w:rsidRPr="703B1F34">
        <w:rPr>
          <w:rFonts w:ascii="Open Sans" w:hAnsi="Open Sans" w:cs="Open Sans"/>
        </w:rPr>
        <w:lastRenderedPageBreak/>
        <w:t xml:space="preserve">stronie wykonawcy, jego łańcucha dostaw, w tym sytuacji podmiotowej dostawców, których udział przekracza 10% wartości zamówienia.  </w:t>
      </w:r>
    </w:p>
    <w:p w14:paraId="2D3FA3BD" w14:textId="6752B2E7" w:rsidR="00E34D41" w:rsidRPr="00E34D41" w:rsidRDefault="00E34D41" w:rsidP="00EF2017">
      <w:pPr>
        <w:pStyle w:val="Akapitzlist"/>
        <w:spacing w:before="120" w:after="120" w:line="276" w:lineRule="auto"/>
        <w:contextualSpacing w:val="0"/>
        <w:rPr>
          <w:rFonts w:ascii="Open Sans" w:hAnsi="Open Sans" w:cs="Open Sans"/>
        </w:rPr>
      </w:pPr>
      <w:r w:rsidRPr="703B1F34">
        <w:rPr>
          <w:rFonts w:ascii="Open Sans" w:hAnsi="Open Sans" w:cs="Open Sans"/>
        </w:rPr>
        <w:t>Oświadczenie wykonawcy jest zatem niezbędne do wykazania braku istnienia wobec wykonawcy zakazu, zwanego umownie jedną z przesłanek wykluczenia. Z tego powodu oferta wykonawcy podlega odrzuceniu na podstawie art. 226 ust. 1 pkt 2 lit. c ustawy Pzp ze względu na niezłożenie w terminie wymaganego oświadczenia.</w:t>
      </w:r>
    </w:p>
    <w:p w14:paraId="4BB6CEED" w14:textId="71CE968E" w:rsidR="00E34D41" w:rsidRPr="00E34D41" w:rsidRDefault="00E34D41" w:rsidP="00EF2017">
      <w:pPr>
        <w:pStyle w:val="Akapitzlist"/>
        <w:spacing w:before="120" w:after="120" w:line="276" w:lineRule="auto"/>
        <w:contextualSpacing w:val="0"/>
        <w:rPr>
          <w:rFonts w:ascii="Open Sans" w:hAnsi="Open Sans" w:cs="Open Sans"/>
        </w:rPr>
      </w:pPr>
      <w:r w:rsidRPr="703B1F34">
        <w:rPr>
          <w:rFonts w:ascii="Open Sans" w:hAnsi="Open Sans" w:cs="Open Sans"/>
        </w:rPr>
        <w:t>Zaniechanie odrzucenia oferty złożonej przez wykonawcę podlegającego wykluczeniu z postępowania o udzielenie zamówienia, stanowi naruszenie art. 226 pkt 2 lit. a) ustawy Pzp i może skutkować stwierdzeniem nieprawidłowości, która rodzi skutki finansowe.</w:t>
      </w:r>
    </w:p>
    <w:p w14:paraId="5952893C" w14:textId="0AB4CEDC" w:rsidR="00552CDA" w:rsidRPr="00EF2017" w:rsidRDefault="00533B7B" w:rsidP="00EF2017">
      <w:pPr>
        <w:pStyle w:val="Akapitzlist"/>
        <w:numPr>
          <w:ilvl w:val="0"/>
          <w:numId w:val="12"/>
        </w:numPr>
        <w:spacing w:before="120" w:after="120" w:line="276" w:lineRule="auto"/>
        <w:contextualSpacing w:val="0"/>
        <w:rPr>
          <w:rFonts w:ascii="Open Sans" w:hAnsi="Open Sans" w:cs="Open Sans"/>
          <w:b/>
          <w:bCs/>
        </w:rPr>
      </w:pPr>
      <w:r w:rsidRPr="00EF2017">
        <w:rPr>
          <w:rFonts w:ascii="Open Sans" w:hAnsi="Open Sans" w:cs="Open Sans"/>
          <w:b/>
          <w:bCs/>
        </w:rPr>
        <w:t>Prosimy o doprecyzowanie "3 tożsamości"? Czy o obowiązku stosowania zasad konkurencyjności decyduje zaistnienie wszystkich 3? Co, jeśli próg w projekcie przekroczy suma usług (np. transportu)?</w:t>
      </w:r>
    </w:p>
    <w:p w14:paraId="41469478" w14:textId="707B9CDD" w:rsidR="00E34D41" w:rsidRPr="00E34D41" w:rsidRDefault="00EF2017" w:rsidP="00EF2017">
      <w:pPr>
        <w:pStyle w:val="Akapitzlist"/>
        <w:spacing w:before="120" w:after="120" w:line="276" w:lineRule="auto"/>
        <w:contextualSpacing w:val="0"/>
        <w:rPr>
          <w:rFonts w:ascii="Open Sans" w:hAnsi="Open Sans" w:cs="Open Sans"/>
        </w:rPr>
      </w:pPr>
      <w:r>
        <w:rPr>
          <w:rFonts w:ascii="Open Sans" w:hAnsi="Open Sans" w:cs="Open Sans"/>
        </w:rPr>
        <w:t xml:space="preserve">Odpowiedź IW: </w:t>
      </w:r>
      <w:r w:rsidR="00E34D41" w:rsidRPr="703B1F34">
        <w:rPr>
          <w:rFonts w:ascii="Open Sans" w:hAnsi="Open Sans" w:cs="Open Sans"/>
        </w:rPr>
        <w:t>Zgodnie z art. 28 ustawy Pzp, podstawą ustalenia wartości zamówienia jest całkowite szacunkowe wynagrodzenie wykonawcy bez podatku od towarów i usług, ustalone z należytą starannością. Zamawiający nie może, w celu uniknięcia stosowania przepisów ustawy Pzp, zaniżać wartości zamówienia lub konkursu, lub wybierać sposobu obliczania wartości zamówienia. Nie wolno mu też dzielić zamówienia na odrębne zamówienia, jeżeli prowadzi to do niestosowania przepisów ustawy, chyba że uzasadniają to obiektywne przyczyny.</w:t>
      </w:r>
    </w:p>
    <w:p w14:paraId="4BBA84AD" w14:textId="4FB80280" w:rsidR="00E34D41" w:rsidRPr="00E34D41" w:rsidRDefault="00E34D41" w:rsidP="00EF2017">
      <w:pPr>
        <w:pStyle w:val="Akapitzlist"/>
        <w:spacing w:before="120" w:after="120" w:line="276" w:lineRule="auto"/>
        <w:contextualSpacing w:val="0"/>
        <w:rPr>
          <w:rFonts w:ascii="Open Sans" w:hAnsi="Open Sans" w:cs="Open Sans"/>
        </w:rPr>
      </w:pPr>
      <w:r w:rsidRPr="703B1F34">
        <w:rPr>
          <w:rFonts w:ascii="Open Sans" w:hAnsi="Open Sans" w:cs="Open Sans"/>
        </w:rPr>
        <w:t xml:space="preserve">Przy szacowaniu zamówień na usługi, podobnie jak przy robotach budowlanych i dostawach, analiza konieczności łącznego ich szacowania powinna opierać się o trzy tożsamości: przedmiotową, podmiotową i czasową. </w:t>
      </w:r>
    </w:p>
    <w:p w14:paraId="4D80CCD2" w14:textId="7D8C0208" w:rsidR="00E34D41" w:rsidRPr="00E34D41" w:rsidRDefault="00E34D41" w:rsidP="00EF2017">
      <w:pPr>
        <w:pStyle w:val="Akapitzlist"/>
        <w:numPr>
          <w:ilvl w:val="0"/>
          <w:numId w:val="16"/>
        </w:numPr>
        <w:spacing w:before="120" w:after="120" w:line="276" w:lineRule="auto"/>
        <w:contextualSpacing w:val="0"/>
        <w:rPr>
          <w:rFonts w:ascii="Open Sans" w:hAnsi="Open Sans" w:cs="Open Sans"/>
        </w:rPr>
      </w:pPr>
      <w:r w:rsidRPr="703B1F34">
        <w:rPr>
          <w:rFonts w:ascii="Open Sans" w:hAnsi="Open Sans" w:cs="Open Sans"/>
        </w:rPr>
        <w:t>tożsamość przedmiotowa – określa ona, czy przedmiot zamówienia jest ten sam, przy czym należy tu rozumieć zarówno takie same przedmioty, jak i różne przedmioty, ale tworzące funkcjonalną całość. Ustalenie, czy zachodzi tożsamość przedmiotowa, wymaga sprawdzenia, czy usługi są nabywane w celu realizacji z góry przyjętego zamierzenia. Jeżeli zamawiane usługi danego rodzaju służą realizacji jednego celu gospodarczego lub organizacyjnego, należy opowiedzieć się za koniecznością łącznego szacowania ich wartości.</w:t>
      </w:r>
    </w:p>
    <w:p w14:paraId="613E6450" w14:textId="5AF20063" w:rsidR="00E34D41" w:rsidRPr="00E34D41" w:rsidRDefault="00E34D41" w:rsidP="00EF2017">
      <w:pPr>
        <w:pStyle w:val="Akapitzlist"/>
        <w:numPr>
          <w:ilvl w:val="0"/>
          <w:numId w:val="16"/>
        </w:numPr>
        <w:spacing w:before="120" w:after="120" w:line="276" w:lineRule="auto"/>
        <w:contextualSpacing w:val="0"/>
        <w:rPr>
          <w:rFonts w:ascii="Open Sans" w:hAnsi="Open Sans" w:cs="Open Sans"/>
        </w:rPr>
      </w:pPr>
      <w:r w:rsidRPr="703B1F34">
        <w:rPr>
          <w:rFonts w:ascii="Open Sans" w:hAnsi="Open Sans" w:cs="Open Sans"/>
        </w:rPr>
        <w:t xml:space="preserve">tożsamość podmiotowa – wymaga ustalenia, czy powszechną sytuacją na rynku jest, aby jeden wykonawca mógł zrealizować usługi będące przedmiotem zamówienia. Co istotne, nie wystarczy, aby taka sytuacja była możliwa – musi być powszechna (standardowa, normalnie spotykana w danej branży). Jeżeli normą jest, że ci sami wykonawcy zajmują się np. organizacją PSZOK oraz jednocześnie odbiorem i transportem odpadów, </w:t>
      </w:r>
      <w:r w:rsidRPr="703B1F34">
        <w:rPr>
          <w:rFonts w:ascii="Open Sans" w:hAnsi="Open Sans" w:cs="Open Sans"/>
        </w:rPr>
        <w:lastRenderedPageBreak/>
        <w:t>to istnieje pomiędzy takimi zamówieniami tożsamość podmiotowa. W sytuacji, gdy realizacją każdego z zamówień zainteresowani są inni przedsiębiorcy, to brak jest tożsamości podmiotowej;</w:t>
      </w:r>
    </w:p>
    <w:p w14:paraId="319B2A9A" w14:textId="6F87B744" w:rsidR="00E34D41" w:rsidRPr="00E34D41" w:rsidRDefault="00E34D41" w:rsidP="00EF2017">
      <w:pPr>
        <w:pStyle w:val="Akapitzlist"/>
        <w:numPr>
          <w:ilvl w:val="0"/>
          <w:numId w:val="16"/>
        </w:numPr>
        <w:spacing w:before="120" w:after="120" w:line="276" w:lineRule="auto"/>
        <w:contextualSpacing w:val="0"/>
        <w:rPr>
          <w:rFonts w:ascii="Open Sans" w:hAnsi="Open Sans" w:cs="Open Sans"/>
        </w:rPr>
      </w:pPr>
      <w:r w:rsidRPr="703B1F34">
        <w:rPr>
          <w:rFonts w:ascii="Open Sans" w:hAnsi="Open Sans" w:cs="Open Sans"/>
        </w:rPr>
        <w:t xml:space="preserve">tożsamość czasowa – ma na celu określenie, czy postępowania o udzielenie zamówienia są wszczynane w tym samym czasie lub zaplanowane do wszczęcia w danej perspektywie czasowej. </w:t>
      </w:r>
    </w:p>
    <w:p w14:paraId="23951FAF" w14:textId="09F66354" w:rsidR="00E34D41" w:rsidRPr="00E34D41" w:rsidRDefault="00E34D41" w:rsidP="00EF2017">
      <w:pPr>
        <w:pStyle w:val="Akapitzlist"/>
        <w:spacing w:before="120" w:after="120" w:line="276" w:lineRule="auto"/>
        <w:contextualSpacing w:val="0"/>
        <w:rPr>
          <w:rFonts w:ascii="Open Sans" w:hAnsi="Open Sans" w:cs="Open Sans"/>
        </w:rPr>
      </w:pPr>
      <w:r w:rsidRPr="703B1F34">
        <w:rPr>
          <w:rFonts w:ascii="Open Sans" w:hAnsi="Open Sans" w:cs="Open Sans"/>
        </w:rPr>
        <w:t>Innymi słowy konieczne jest ustalenie, czy dany rodzaj zamówienia mógł być wykonany w tym samym czasie, przez tego samego wykonawcę. Z odrębnymi zamówieniami będziemy mieli do czynienia w sytuacji, gdy przedmiot zamówienia ma inne przeznaczenie lub nie jest możliwe jego nabycie u tego samego wykonawcy (np. wykonanie poszczególnych zamówień wymaga spełnienia przez wykonawców odmiennych warunków). W przeciwnym wypadku, tzn. gdy udzielane zamówienia mają to samo przeznaczenie oraz dodatkowo istnieje możliwość ich uzyskania u jednego wykonawcy należy uznać, iż mamy do czynienia z jednym zamówieniem.</w:t>
      </w:r>
    </w:p>
    <w:p w14:paraId="2AED494D" w14:textId="77777777" w:rsidR="00E34D41" w:rsidRPr="00E34D41" w:rsidRDefault="00E34D41" w:rsidP="00EF2017">
      <w:pPr>
        <w:pStyle w:val="Akapitzlist"/>
        <w:spacing w:before="120" w:after="120" w:line="276" w:lineRule="auto"/>
        <w:contextualSpacing w:val="0"/>
        <w:rPr>
          <w:rFonts w:ascii="Open Sans" w:hAnsi="Open Sans" w:cs="Open Sans"/>
        </w:rPr>
      </w:pPr>
      <w:r w:rsidRPr="703B1F34">
        <w:rPr>
          <w:rFonts w:ascii="Open Sans" w:hAnsi="Open Sans" w:cs="Open Sans"/>
        </w:rPr>
        <w:t>Brak wystąpienia którejkolwiek z tożsamości powoduje, że zamówienia szacuje się odrębnie. Wówczas każde zamówienie może być dokonane w procedurze (trybie) odpowiadającej jego wartości szacunkowej.</w:t>
      </w:r>
    </w:p>
    <w:p w14:paraId="6BED453B" w14:textId="6761B4B1" w:rsidR="00E34D41" w:rsidRPr="00E34D41" w:rsidRDefault="00E34D41" w:rsidP="00EF2017">
      <w:pPr>
        <w:pStyle w:val="Akapitzlist"/>
        <w:spacing w:before="120" w:after="120" w:line="276" w:lineRule="auto"/>
        <w:contextualSpacing w:val="0"/>
        <w:rPr>
          <w:rFonts w:ascii="Open Sans" w:hAnsi="Open Sans" w:cs="Open Sans"/>
        </w:rPr>
      </w:pPr>
      <w:r w:rsidRPr="703B1F34">
        <w:rPr>
          <w:rFonts w:ascii="Open Sans" w:hAnsi="Open Sans" w:cs="Open Sans"/>
        </w:rPr>
        <w:t>Zamówienia, których zamawiający pierwotnie nie mógł przewidzieć, a które pojawiły się w ciągu roku po zrealizowaniu podobnych zamówień, są – co do zasady – szacowane osobno od zamówień zaplanowanych na początku roku z należytą starannością.</w:t>
      </w:r>
    </w:p>
    <w:p w14:paraId="14F56EFE" w14:textId="6D972529" w:rsidR="00552CDA" w:rsidRPr="00EF2017" w:rsidRDefault="00533B7B" w:rsidP="00EF2017">
      <w:pPr>
        <w:pStyle w:val="Akapitzlist"/>
        <w:numPr>
          <w:ilvl w:val="0"/>
          <w:numId w:val="12"/>
        </w:numPr>
        <w:spacing w:before="120" w:after="120" w:line="276" w:lineRule="auto"/>
        <w:contextualSpacing w:val="0"/>
        <w:rPr>
          <w:rFonts w:ascii="Open Sans" w:hAnsi="Open Sans" w:cs="Open Sans"/>
          <w:b/>
          <w:bCs/>
        </w:rPr>
      </w:pPr>
      <w:r w:rsidRPr="00EF2017">
        <w:rPr>
          <w:rFonts w:ascii="Open Sans" w:hAnsi="Open Sans" w:cs="Open Sans"/>
          <w:b/>
          <w:bCs/>
        </w:rPr>
        <w:t>Czy musimy wykorzystać 100% zaliczki do 180 dni. Czy jeżeli wykorzystamy 70% i wnioskujemy o kolejna transzę to zwracamy te niewykorzystane 30%?</w:t>
      </w:r>
    </w:p>
    <w:p w14:paraId="3CD1656C" w14:textId="36B3FEC4" w:rsidR="007003AE" w:rsidRPr="00E34D41" w:rsidRDefault="00EF2017" w:rsidP="00EF2017">
      <w:pPr>
        <w:pStyle w:val="Akapitzlist"/>
        <w:spacing w:before="120" w:after="120" w:line="276" w:lineRule="auto"/>
        <w:contextualSpacing w:val="0"/>
        <w:rPr>
          <w:rFonts w:ascii="Open Sans" w:hAnsi="Open Sans" w:cs="Open Sans"/>
        </w:rPr>
      </w:pPr>
      <w:r>
        <w:rPr>
          <w:rFonts w:ascii="Open Sans" w:hAnsi="Open Sans" w:cs="Open Sans"/>
        </w:rPr>
        <w:t xml:space="preserve">Odpowiedź IW: </w:t>
      </w:r>
      <w:r w:rsidR="00B72CD5" w:rsidRPr="703B1F34">
        <w:rPr>
          <w:rFonts w:ascii="Open Sans" w:hAnsi="Open Sans" w:cs="Open Sans"/>
        </w:rPr>
        <w:t xml:space="preserve">Zgodnie z UOD </w:t>
      </w:r>
      <w:r w:rsidR="00516A29" w:rsidRPr="703B1F34">
        <w:rPr>
          <w:rFonts w:ascii="Open Sans" w:hAnsi="Open Sans" w:cs="Open Sans"/>
        </w:rPr>
        <w:t xml:space="preserve">Beneficjent ma obowiązek rozliczenia każdej transzy przekazanego mu dofinansowania w formie zaliczki w terminie </w:t>
      </w:r>
      <w:r w:rsidR="00516A29" w:rsidRPr="703B1F34">
        <w:rPr>
          <w:rFonts w:ascii="Open Sans" w:hAnsi="Open Sans" w:cs="Open Sans"/>
          <w:b/>
          <w:bCs/>
        </w:rPr>
        <w:t xml:space="preserve">180 dni </w:t>
      </w:r>
      <w:r w:rsidR="00516A29" w:rsidRPr="703B1F34">
        <w:rPr>
          <w:rFonts w:ascii="Open Sans" w:hAnsi="Open Sans" w:cs="Open Sans"/>
        </w:rPr>
        <w:t xml:space="preserve">od dnia otrzymania każdej z jej transz, w kwocie wydatków kwalifikowalnych odpowiadającej kwocie przekazanej transzy zaliczki przy uwzględnieniu stopy dofinansowania Projektu w momencie wypłaty transzy zaliczki. Wniosek </w:t>
      </w:r>
      <w:r w:rsidR="00B72CD5">
        <w:br/>
      </w:r>
      <w:r w:rsidR="00516A29" w:rsidRPr="703B1F34">
        <w:rPr>
          <w:rFonts w:ascii="Open Sans" w:hAnsi="Open Sans" w:cs="Open Sans"/>
        </w:rPr>
        <w:t xml:space="preserve">o płatność rozliczający przekazaną transzę zaliczki </w:t>
      </w:r>
      <w:r w:rsidR="007003AE" w:rsidRPr="703B1F34">
        <w:rPr>
          <w:rFonts w:ascii="Open Sans" w:hAnsi="Open Sans" w:cs="Open Sans"/>
        </w:rPr>
        <w:t xml:space="preserve">powinien zostać złożony najpóźniej w </w:t>
      </w:r>
      <w:r w:rsidR="00516A29" w:rsidRPr="703B1F34">
        <w:rPr>
          <w:rFonts w:ascii="Open Sans" w:hAnsi="Open Sans" w:cs="Open Sans"/>
        </w:rPr>
        <w:t xml:space="preserve">ostatnim dniu, w którym upływa termin na jej rozliczenie, </w:t>
      </w:r>
      <w:r w:rsidR="00B72CD5">
        <w:br/>
      </w:r>
      <w:r w:rsidR="00516A29" w:rsidRPr="703B1F34">
        <w:rPr>
          <w:rFonts w:ascii="Open Sans" w:hAnsi="Open Sans" w:cs="Open Sans"/>
        </w:rPr>
        <w:t>z uwzględnieniem postanowień Zaleceń w zakresie wzoru wniosku o płatność beneficjenta w ramach programu Fundusze Europejskie na Infrastrukturę, Klimat, Środowisko 2021-2027</w:t>
      </w:r>
      <w:r w:rsidR="007003AE" w:rsidRPr="703B1F34">
        <w:rPr>
          <w:rFonts w:ascii="Open Sans" w:hAnsi="Open Sans" w:cs="Open Sans"/>
        </w:rPr>
        <w:t>.</w:t>
      </w:r>
    </w:p>
    <w:p w14:paraId="47518CDE" w14:textId="2A5DE662" w:rsidR="00B72CD5" w:rsidRPr="00E34D41" w:rsidRDefault="007003AE" w:rsidP="00EF2017">
      <w:pPr>
        <w:pStyle w:val="Akapitzlist"/>
        <w:spacing w:before="120" w:after="120" w:line="276" w:lineRule="auto"/>
        <w:contextualSpacing w:val="0"/>
        <w:rPr>
          <w:rFonts w:ascii="Open Sans" w:hAnsi="Open Sans" w:cs="Open Sans"/>
        </w:rPr>
      </w:pPr>
      <w:r w:rsidRPr="703B1F34">
        <w:rPr>
          <w:rFonts w:ascii="Open Sans" w:hAnsi="Open Sans" w:cs="Open Sans"/>
        </w:rPr>
        <w:t xml:space="preserve">W związku z powyższym, jeżeli Beneficjent nie wydatkował i nie rozliczył w wop </w:t>
      </w:r>
      <w:r w:rsidR="00516A29" w:rsidRPr="703B1F34">
        <w:rPr>
          <w:rFonts w:ascii="Open Sans" w:hAnsi="Open Sans" w:cs="Open Sans"/>
        </w:rPr>
        <w:t xml:space="preserve"> </w:t>
      </w:r>
      <w:r w:rsidRPr="703B1F34">
        <w:rPr>
          <w:rFonts w:ascii="Open Sans" w:hAnsi="Open Sans" w:cs="Open Sans"/>
        </w:rPr>
        <w:t>całej kwoty udzielonej zaliczki, powinien zwrócić niewykorzystaną cześć zaliczki</w:t>
      </w:r>
      <w:r w:rsidR="00DE666B" w:rsidRPr="703B1F34">
        <w:rPr>
          <w:rFonts w:ascii="Open Sans" w:hAnsi="Open Sans" w:cs="Open Sans"/>
        </w:rPr>
        <w:t xml:space="preserve"> najpóźniej w 180 dniu na jej rozliczenie</w:t>
      </w:r>
      <w:r w:rsidRPr="703B1F34">
        <w:rPr>
          <w:rFonts w:ascii="Open Sans" w:hAnsi="Open Sans" w:cs="Open Sans"/>
        </w:rPr>
        <w:t xml:space="preserve">. </w:t>
      </w:r>
    </w:p>
    <w:p w14:paraId="0EFB986B" w14:textId="77777777" w:rsidR="00552CDA" w:rsidRPr="00EF2017" w:rsidRDefault="00533B7B" w:rsidP="00EF2017">
      <w:pPr>
        <w:pStyle w:val="Akapitzlist"/>
        <w:numPr>
          <w:ilvl w:val="0"/>
          <w:numId w:val="12"/>
        </w:numPr>
        <w:spacing w:before="120" w:after="120" w:line="276" w:lineRule="auto"/>
        <w:contextualSpacing w:val="0"/>
        <w:rPr>
          <w:rFonts w:ascii="Open Sans" w:hAnsi="Open Sans" w:cs="Open Sans"/>
          <w:b/>
          <w:bCs/>
        </w:rPr>
      </w:pPr>
      <w:r w:rsidRPr="00EF2017">
        <w:rPr>
          <w:rFonts w:ascii="Open Sans" w:hAnsi="Open Sans" w:cs="Open Sans"/>
          <w:b/>
          <w:bCs/>
        </w:rPr>
        <w:lastRenderedPageBreak/>
        <w:t>Czy zasilając rachunek zaliczkowy wkładem własnym w wysokości 15% możemy wydatek opłacić tylko z tego rachunku zaliczkowego?</w:t>
      </w:r>
    </w:p>
    <w:p w14:paraId="6C69978E" w14:textId="0C82E7DD" w:rsidR="00552CDA" w:rsidRPr="00E34D41" w:rsidRDefault="00EF2017" w:rsidP="00EF2017">
      <w:pPr>
        <w:pStyle w:val="Akapitzlist"/>
        <w:spacing w:before="120" w:after="120" w:line="276" w:lineRule="auto"/>
        <w:contextualSpacing w:val="0"/>
        <w:rPr>
          <w:rFonts w:ascii="Open Sans" w:hAnsi="Open Sans" w:cs="Open Sans"/>
        </w:rPr>
      </w:pPr>
      <w:r>
        <w:rPr>
          <w:rFonts w:ascii="Open Sans" w:hAnsi="Open Sans" w:cs="Open Sans"/>
        </w:rPr>
        <w:t xml:space="preserve">Odpowiedź IW: </w:t>
      </w:r>
      <w:r w:rsidR="00552CDA" w:rsidRPr="703B1F34">
        <w:rPr>
          <w:rFonts w:ascii="Open Sans" w:hAnsi="Open Sans" w:cs="Open Sans"/>
        </w:rPr>
        <w:t>Tak, w przypadku zasilenia konta zaliczkowego kwotą stanowiąca 15 % wkładu własnego, wydatek należy opłacić tylko z rachunku zaliczkowego.</w:t>
      </w:r>
      <w:r w:rsidR="0002613B" w:rsidRPr="703B1F34">
        <w:rPr>
          <w:rFonts w:ascii="Open Sans" w:hAnsi="Open Sans" w:cs="Open Sans"/>
        </w:rPr>
        <w:t xml:space="preserve"> Zasilenia należy dokonać w tym samym dniu w którym dokonujecie Państwo płatności do wykonawcy.</w:t>
      </w:r>
    </w:p>
    <w:p w14:paraId="32DA868A" w14:textId="77777777" w:rsidR="00552CDA" w:rsidRPr="00EF2017" w:rsidRDefault="00533B7B" w:rsidP="00EF2017">
      <w:pPr>
        <w:pStyle w:val="Akapitzlist"/>
        <w:numPr>
          <w:ilvl w:val="0"/>
          <w:numId w:val="12"/>
        </w:numPr>
        <w:spacing w:before="120" w:after="120" w:line="276" w:lineRule="auto"/>
        <w:contextualSpacing w:val="0"/>
        <w:rPr>
          <w:rFonts w:ascii="Open Sans" w:hAnsi="Open Sans" w:cs="Open Sans"/>
          <w:b/>
          <w:bCs/>
        </w:rPr>
      </w:pPr>
      <w:r w:rsidRPr="00EF2017">
        <w:rPr>
          <w:rFonts w:ascii="Open Sans" w:hAnsi="Open Sans" w:cs="Open Sans"/>
          <w:b/>
          <w:bCs/>
        </w:rPr>
        <w:t>Jeśli wniosek końcowy nie może być wnioskiem rozliczającym zaliczkę to znaczy, że wniosek końcowy może być jedynie wnioskiem sprawozdawczym?</w:t>
      </w:r>
    </w:p>
    <w:p w14:paraId="4B74C30C" w14:textId="35860AFE" w:rsidR="00552CDA" w:rsidRPr="00E34D41" w:rsidRDefault="00EF2017" w:rsidP="00EF2017">
      <w:pPr>
        <w:pStyle w:val="Akapitzlist"/>
        <w:spacing w:before="120" w:after="120" w:line="276" w:lineRule="auto"/>
        <w:contextualSpacing w:val="0"/>
        <w:rPr>
          <w:rFonts w:ascii="Open Sans" w:hAnsi="Open Sans" w:cs="Open Sans"/>
        </w:rPr>
      </w:pPr>
      <w:r>
        <w:rPr>
          <w:rFonts w:ascii="Open Sans" w:hAnsi="Open Sans" w:cs="Open Sans"/>
        </w:rPr>
        <w:t xml:space="preserve">Odpowiedź IW: </w:t>
      </w:r>
      <w:r w:rsidR="00552CDA" w:rsidRPr="703B1F34">
        <w:rPr>
          <w:rFonts w:ascii="Open Sans" w:hAnsi="Open Sans" w:cs="Open Sans"/>
        </w:rPr>
        <w:t>Tak, wniosek końcowy</w:t>
      </w:r>
      <w:r w:rsidR="0002613B" w:rsidRPr="703B1F34">
        <w:rPr>
          <w:rFonts w:ascii="Open Sans" w:hAnsi="Open Sans" w:cs="Open Sans"/>
        </w:rPr>
        <w:t xml:space="preserve">, co do zasady nie może być wnioskiem rozliczającym zaliczkę, </w:t>
      </w:r>
      <w:r w:rsidR="00552CDA" w:rsidRPr="703B1F34">
        <w:rPr>
          <w:rFonts w:ascii="Open Sans" w:hAnsi="Open Sans" w:cs="Open Sans"/>
        </w:rPr>
        <w:t xml:space="preserve">może być </w:t>
      </w:r>
      <w:r w:rsidR="00A41C9C" w:rsidRPr="703B1F34">
        <w:rPr>
          <w:rFonts w:ascii="Open Sans" w:hAnsi="Open Sans" w:cs="Open Sans"/>
        </w:rPr>
        <w:t xml:space="preserve">jedynie </w:t>
      </w:r>
      <w:r w:rsidR="00552CDA" w:rsidRPr="703B1F34">
        <w:rPr>
          <w:rFonts w:ascii="Open Sans" w:hAnsi="Open Sans" w:cs="Open Sans"/>
        </w:rPr>
        <w:t>wnioskiem sprawozdawczym</w:t>
      </w:r>
      <w:r w:rsidR="00736D82" w:rsidRPr="703B1F34">
        <w:rPr>
          <w:rFonts w:ascii="Open Sans" w:hAnsi="Open Sans" w:cs="Open Sans"/>
        </w:rPr>
        <w:t xml:space="preserve"> l</w:t>
      </w:r>
      <w:r w:rsidR="0002613B" w:rsidRPr="703B1F34">
        <w:rPr>
          <w:rFonts w:ascii="Open Sans" w:hAnsi="Open Sans" w:cs="Open Sans"/>
        </w:rPr>
        <w:t xml:space="preserve">ub refundacyjnym. </w:t>
      </w:r>
    </w:p>
    <w:p w14:paraId="2F7FCFBD" w14:textId="55707C87" w:rsidR="00552CDA" w:rsidRPr="00EF2017" w:rsidRDefault="00533B7B" w:rsidP="00EF2017">
      <w:pPr>
        <w:pStyle w:val="Akapitzlist"/>
        <w:numPr>
          <w:ilvl w:val="0"/>
          <w:numId w:val="12"/>
        </w:numPr>
        <w:spacing w:before="120" w:after="120" w:line="276" w:lineRule="auto"/>
        <w:contextualSpacing w:val="0"/>
        <w:rPr>
          <w:rFonts w:ascii="Open Sans" w:hAnsi="Open Sans" w:cs="Open Sans"/>
          <w:b/>
          <w:bCs/>
        </w:rPr>
      </w:pPr>
      <w:r w:rsidRPr="00EF2017">
        <w:rPr>
          <w:rFonts w:ascii="Open Sans" w:hAnsi="Open Sans" w:cs="Open Sans"/>
          <w:b/>
          <w:bCs/>
        </w:rPr>
        <w:t>Zgodnie z umową całość dofinansowania będzie zaliczką, a w umowie nie ma mowy o "rezerwacji" jakiegoś % kwoty na poczet refundacji w momencie rozliczenia końcowego.</w:t>
      </w:r>
    </w:p>
    <w:p w14:paraId="4E1F0CC8" w14:textId="5AB8C7BD" w:rsidR="00B72CD5" w:rsidRPr="00E34D41" w:rsidRDefault="00EF2017" w:rsidP="00EF2017">
      <w:pPr>
        <w:pStyle w:val="Akapitzlist"/>
        <w:spacing w:before="120" w:after="120" w:line="276" w:lineRule="auto"/>
        <w:contextualSpacing w:val="0"/>
        <w:rPr>
          <w:rFonts w:ascii="Open Sans" w:hAnsi="Open Sans" w:cs="Open Sans"/>
        </w:rPr>
      </w:pPr>
      <w:r>
        <w:rPr>
          <w:rFonts w:ascii="Open Sans" w:hAnsi="Open Sans" w:cs="Open Sans"/>
        </w:rPr>
        <w:t xml:space="preserve">Odpowiedź IW: </w:t>
      </w:r>
      <w:r w:rsidR="00B72CD5" w:rsidRPr="703B1F34">
        <w:rPr>
          <w:rFonts w:ascii="Open Sans" w:hAnsi="Open Sans" w:cs="Open Sans"/>
        </w:rPr>
        <w:t xml:space="preserve">Zapisy umowy o dofinansowanie nie określają % udzielonego dofinansowania, który musi zostać rozliczony refundacją w ramach wop końcowego. W przypadku gdy w podpisanej UoD całość dofinansowania rozliczana jest zaliczką sugerujemy aktualizacje Harmonogramu płatności i rozliczanie kosztów pośrednich refundacją. </w:t>
      </w:r>
    </w:p>
    <w:p w14:paraId="007994FA" w14:textId="03EB9112" w:rsidR="00997DEE" w:rsidRPr="00EF2017" w:rsidRDefault="00552CDA" w:rsidP="00EF2017">
      <w:pPr>
        <w:pStyle w:val="Akapitzlist"/>
        <w:numPr>
          <w:ilvl w:val="0"/>
          <w:numId w:val="12"/>
        </w:numPr>
        <w:spacing w:before="120" w:after="120" w:line="276" w:lineRule="auto"/>
        <w:contextualSpacing w:val="0"/>
        <w:rPr>
          <w:rFonts w:ascii="Open Sans" w:hAnsi="Open Sans" w:cs="Open Sans"/>
          <w:b/>
          <w:bCs/>
        </w:rPr>
      </w:pPr>
      <w:r w:rsidRPr="00EF2017">
        <w:rPr>
          <w:rFonts w:ascii="Open Sans" w:hAnsi="Open Sans" w:cs="Open Sans"/>
          <w:b/>
          <w:bCs/>
        </w:rPr>
        <w:t>C</w:t>
      </w:r>
      <w:r w:rsidR="00533B7B" w:rsidRPr="00EF2017">
        <w:rPr>
          <w:rFonts w:ascii="Open Sans" w:hAnsi="Open Sans" w:cs="Open Sans"/>
          <w:b/>
          <w:bCs/>
        </w:rPr>
        <w:t>zy oświadczenie dot. horyzontalnych zasad równościowych musi być składane w przypadku zerowego wniosku o płatność, gdzie w danym okresie nie poniesione były żadne wydatki?</w:t>
      </w:r>
    </w:p>
    <w:p w14:paraId="43C7A5B1" w14:textId="6596EC44" w:rsidR="00B72CD5" w:rsidRPr="00E34D41" w:rsidRDefault="00EF2017" w:rsidP="00EF2017">
      <w:pPr>
        <w:pStyle w:val="Akapitzlist"/>
        <w:spacing w:before="120" w:after="120" w:line="276" w:lineRule="auto"/>
        <w:contextualSpacing w:val="0"/>
        <w:rPr>
          <w:rFonts w:ascii="Open Sans" w:hAnsi="Open Sans" w:cs="Open Sans"/>
        </w:rPr>
      </w:pPr>
      <w:r>
        <w:rPr>
          <w:rFonts w:ascii="Open Sans" w:hAnsi="Open Sans" w:cs="Open Sans"/>
        </w:rPr>
        <w:t xml:space="preserve">Odpowiedź IW: </w:t>
      </w:r>
      <w:r w:rsidR="00E3644F" w:rsidRPr="703B1F34">
        <w:rPr>
          <w:rFonts w:ascii="Open Sans" w:hAnsi="Open Sans" w:cs="Open Sans"/>
        </w:rPr>
        <w:t>W przypadku wniosku sprawozdawczego nie ma obowiązku załączania oświadczenia</w:t>
      </w:r>
      <w:r w:rsidR="000805EB" w:rsidRPr="703B1F34">
        <w:rPr>
          <w:rFonts w:ascii="Open Sans" w:hAnsi="Open Sans" w:cs="Open Sans"/>
        </w:rPr>
        <w:t xml:space="preserve">. </w:t>
      </w:r>
      <w:r w:rsidR="00E3644F" w:rsidRPr="703B1F34">
        <w:rPr>
          <w:rFonts w:ascii="Open Sans" w:hAnsi="Open Sans" w:cs="Open Sans"/>
        </w:rPr>
        <w:t xml:space="preserve">Jeżeli jednak zostanie dołączone do wop, nie będzie to błędem. </w:t>
      </w:r>
    </w:p>
    <w:sectPr w:rsidR="00B72CD5" w:rsidRPr="00E34D41" w:rsidSect="00533B7B">
      <w:footerReference w:type="default" r:id="rId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9CD47" w14:textId="77777777" w:rsidR="00644898" w:rsidRDefault="00644898" w:rsidP="000805EB">
      <w:pPr>
        <w:spacing w:after="0" w:line="240" w:lineRule="auto"/>
      </w:pPr>
      <w:r>
        <w:separator/>
      </w:r>
    </w:p>
  </w:endnote>
  <w:endnote w:type="continuationSeparator" w:id="0">
    <w:p w14:paraId="4000BB1C" w14:textId="77777777" w:rsidR="00644898" w:rsidRDefault="00644898" w:rsidP="00080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altName w:val="Open Sans"/>
    <w:panose1 w:val="00000000000000000000"/>
    <w:charset w:val="EE"/>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52551"/>
      <w:docPartObj>
        <w:docPartGallery w:val="Page Numbers (Bottom of Page)"/>
        <w:docPartUnique/>
      </w:docPartObj>
    </w:sdtPr>
    <w:sdtEndPr/>
    <w:sdtContent>
      <w:p w14:paraId="7123FFFA" w14:textId="2D57AF89" w:rsidR="000805EB" w:rsidRDefault="000805EB">
        <w:pPr>
          <w:pStyle w:val="Stopka"/>
          <w:jc w:val="center"/>
        </w:pPr>
        <w:r>
          <w:fldChar w:fldCharType="begin"/>
        </w:r>
        <w:r>
          <w:instrText>PAGE   \* MERGEFORMAT</w:instrText>
        </w:r>
        <w:r>
          <w:fldChar w:fldCharType="separate"/>
        </w:r>
        <w:r>
          <w:t>2</w:t>
        </w:r>
        <w:r>
          <w:fldChar w:fldCharType="end"/>
        </w:r>
      </w:p>
    </w:sdtContent>
  </w:sdt>
  <w:p w14:paraId="4D0309DC" w14:textId="77777777" w:rsidR="000805EB" w:rsidRDefault="000805E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CBC1C" w14:textId="77777777" w:rsidR="00644898" w:rsidRDefault="00644898" w:rsidP="000805EB">
      <w:pPr>
        <w:spacing w:after="0" w:line="240" w:lineRule="auto"/>
      </w:pPr>
      <w:r>
        <w:separator/>
      </w:r>
    </w:p>
  </w:footnote>
  <w:footnote w:type="continuationSeparator" w:id="0">
    <w:p w14:paraId="3CB93BBA" w14:textId="77777777" w:rsidR="00644898" w:rsidRDefault="00644898" w:rsidP="000805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82404"/>
    <w:multiLevelType w:val="hybridMultilevel"/>
    <w:tmpl w:val="515815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3276F2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482775B"/>
    <w:multiLevelType w:val="multilevel"/>
    <w:tmpl w:val="0EBA3C40"/>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3" w15:restartNumberingAfterBreak="0">
    <w:nsid w:val="23576D13"/>
    <w:multiLevelType w:val="hybridMultilevel"/>
    <w:tmpl w:val="9F66908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332BBF9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426E4D7A"/>
    <w:multiLevelType w:val="hybridMultilevel"/>
    <w:tmpl w:val="C3CCE748"/>
    <w:lvl w:ilvl="0" w:tplc="611E243A">
      <w:start w:val="1"/>
      <w:numFmt w:val="lowerLetter"/>
      <w:lvlText w:val="%1)"/>
      <w:lvlJc w:val="left"/>
      <w:pPr>
        <w:ind w:left="1080" w:hanging="360"/>
      </w:pPr>
    </w:lvl>
    <w:lvl w:ilvl="1" w:tplc="34306AB6">
      <w:start w:val="1"/>
      <w:numFmt w:val="lowerLetter"/>
      <w:lvlText w:val="%2."/>
      <w:lvlJc w:val="left"/>
      <w:pPr>
        <w:ind w:left="1800" w:hanging="360"/>
      </w:pPr>
    </w:lvl>
    <w:lvl w:ilvl="2" w:tplc="35AA3576">
      <w:start w:val="1"/>
      <w:numFmt w:val="lowerRoman"/>
      <w:lvlText w:val="%3."/>
      <w:lvlJc w:val="right"/>
      <w:pPr>
        <w:ind w:left="2520" w:hanging="180"/>
      </w:pPr>
    </w:lvl>
    <w:lvl w:ilvl="3" w:tplc="509CDB9A">
      <w:start w:val="1"/>
      <w:numFmt w:val="decimal"/>
      <w:lvlText w:val="%4."/>
      <w:lvlJc w:val="left"/>
      <w:pPr>
        <w:ind w:left="3240" w:hanging="360"/>
      </w:pPr>
    </w:lvl>
    <w:lvl w:ilvl="4" w:tplc="5142ABC4">
      <w:start w:val="1"/>
      <w:numFmt w:val="lowerLetter"/>
      <w:lvlText w:val="%5."/>
      <w:lvlJc w:val="left"/>
      <w:pPr>
        <w:ind w:left="3960" w:hanging="360"/>
      </w:pPr>
    </w:lvl>
    <w:lvl w:ilvl="5" w:tplc="15EEB2DC">
      <w:start w:val="1"/>
      <w:numFmt w:val="lowerRoman"/>
      <w:lvlText w:val="%6."/>
      <w:lvlJc w:val="right"/>
      <w:pPr>
        <w:ind w:left="4680" w:hanging="180"/>
      </w:pPr>
    </w:lvl>
    <w:lvl w:ilvl="6" w:tplc="521A38DE">
      <w:start w:val="1"/>
      <w:numFmt w:val="decimal"/>
      <w:lvlText w:val="%7."/>
      <w:lvlJc w:val="left"/>
      <w:pPr>
        <w:ind w:left="5400" w:hanging="360"/>
      </w:pPr>
    </w:lvl>
    <w:lvl w:ilvl="7" w:tplc="2FA07F54">
      <w:start w:val="1"/>
      <w:numFmt w:val="lowerLetter"/>
      <w:lvlText w:val="%8."/>
      <w:lvlJc w:val="left"/>
      <w:pPr>
        <w:ind w:left="6120" w:hanging="360"/>
      </w:pPr>
    </w:lvl>
    <w:lvl w:ilvl="8" w:tplc="4FC6EAC6">
      <w:start w:val="1"/>
      <w:numFmt w:val="lowerRoman"/>
      <w:lvlText w:val="%9."/>
      <w:lvlJc w:val="right"/>
      <w:pPr>
        <w:ind w:left="6840" w:hanging="180"/>
      </w:pPr>
    </w:lvl>
  </w:abstractNum>
  <w:abstractNum w:abstractNumId="6" w15:restartNumberingAfterBreak="0">
    <w:nsid w:val="48D60E5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380208245">
    <w:abstractNumId w:val="5"/>
  </w:num>
  <w:num w:numId="2" w16cid:durableId="888103936">
    <w:abstractNumId w:val="2"/>
  </w:num>
  <w:num w:numId="3" w16cid:durableId="1635911528">
    <w:abstractNumId w:val="2"/>
  </w:num>
  <w:num w:numId="4" w16cid:durableId="219022355">
    <w:abstractNumId w:val="2"/>
  </w:num>
  <w:num w:numId="5" w16cid:durableId="2023556012">
    <w:abstractNumId w:val="2"/>
  </w:num>
  <w:num w:numId="6" w16cid:durableId="1631784103">
    <w:abstractNumId w:val="2"/>
  </w:num>
  <w:num w:numId="7" w16cid:durableId="246353687">
    <w:abstractNumId w:val="2"/>
  </w:num>
  <w:num w:numId="8" w16cid:durableId="1525246609">
    <w:abstractNumId w:val="2"/>
  </w:num>
  <w:num w:numId="9" w16cid:durableId="743576371">
    <w:abstractNumId w:val="2"/>
  </w:num>
  <w:num w:numId="10" w16cid:durableId="865677080">
    <w:abstractNumId w:val="2"/>
  </w:num>
  <w:num w:numId="11" w16cid:durableId="1327052700">
    <w:abstractNumId w:val="2"/>
  </w:num>
  <w:num w:numId="12" w16cid:durableId="645817341">
    <w:abstractNumId w:val="0"/>
  </w:num>
  <w:num w:numId="13" w16cid:durableId="1468551780">
    <w:abstractNumId w:val="4"/>
  </w:num>
  <w:num w:numId="14" w16cid:durableId="1270241747">
    <w:abstractNumId w:val="1"/>
  </w:num>
  <w:num w:numId="15" w16cid:durableId="345982629">
    <w:abstractNumId w:val="6"/>
  </w:num>
  <w:num w:numId="16" w16cid:durableId="21173580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B7B"/>
    <w:rsid w:val="00025F22"/>
    <w:rsid w:val="0002613B"/>
    <w:rsid w:val="000805EB"/>
    <w:rsid w:val="001B33EA"/>
    <w:rsid w:val="001C455D"/>
    <w:rsid w:val="0025412D"/>
    <w:rsid w:val="002C46DD"/>
    <w:rsid w:val="00336B29"/>
    <w:rsid w:val="00391E50"/>
    <w:rsid w:val="00501934"/>
    <w:rsid w:val="00516A29"/>
    <w:rsid w:val="00523474"/>
    <w:rsid w:val="00533B7B"/>
    <w:rsid w:val="005360DF"/>
    <w:rsid w:val="00552CDA"/>
    <w:rsid w:val="00593777"/>
    <w:rsid w:val="006148AB"/>
    <w:rsid w:val="00644898"/>
    <w:rsid w:val="007003AE"/>
    <w:rsid w:val="0073022D"/>
    <w:rsid w:val="00736D82"/>
    <w:rsid w:val="008147BC"/>
    <w:rsid w:val="008F320A"/>
    <w:rsid w:val="008F4ECB"/>
    <w:rsid w:val="00962857"/>
    <w:rsid w:val="0097401E"/>
    <w:rsid w:val="00997DEE"/>
    <w:rsid w:val="009A150A"/>
    <w:rsid w:val="009B5C64"/>
    <w:rsid w:val="00A41C9C"/>
    <w:rsid w:val="00A82AA5"/>
    <w:rsid w:val="00B72CD5"/>
    <w:rsid w:val="00D711B9"/>
    <w:rsid w:val="00DE666B"/>
    <w:rsid w:val="00E111F4"/>
    <w:rsid w:val="00E34D41"/>
    <w:rsid w:val="00E3644F"/>
    <w:rsid w:val="00EF2017"/>
    <w:rsid w:val="019B95E4"/>
    <w:rsid w:val="1D76311F"/>
    <w:rsid w:val="2CC91D04"/>
    <w:rsid w:val="2EBAB2CB"/>
    <w:rsid w:val="3AC431C5"/>
    <w:rsid w:val="703B1F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36A23"/>
  <w15:chartTrackingRefBased/>
  <w15:docId w15:val="{E1662B33-D139-4B95-9E9E-8E466BD29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B5C64"/>
  </w:style>
  <w:style w:type="paragraph" w:styleId="Nagwek1">
    <w:name w:val="heading 1"/>
    <w:basedOn w:val="Normalny"/>
    <w:next w:val="Normalny"/>
    <w:link w:val="Nagwek1Znak"/>
    <w:uiPriority w:val="9"/>
    <w:qFormat/>
    <w:rsid w:val="009B5C64"/>
    <w:pPr>
      <w:keepNext/>
      <w:keepLines/>
      <w:numPr>
        <w:numId w:val="1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Nagwek2">
    <w:name w:val="heading 2"/>
    <w:basedOn w:val="Normalny"/>
    <w:next w:val="Normalny"/>
    <w:link w:val="Nagwek2Znak"/>
    <w:uiPriority w:val="9"/>
    <w:unhideWhenUsed/>
    <w:qFormat/>
    <w:rsid w:val="009B5C64"/>
    <w:pPr>
      <w:keepNext/>
      <w:keepLines/>
      <w:numPr>
        <w:ilvl w:val="1"/>
        <w:numId w:val="1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Nagwek3">
    <w:name w:val="heading 3"/>
    <w:basedOn w:val="Normalny"/>
    <w:next w:val="Normalny"/>
    <w:link w:val="Nagwek3Znak"/>
    <w:uiPriority w:val="9"/>
    <w:semiHidden/>
    <w:unhideWhenUsed/>
    <w:qFormat/>
    <w:rsid w:val="009B5C64"/>
    <w:pPr>
      <w:keepNext/>
      <w:keepLines/>
      <w:numPr>
        <w:ilvl w:val="2"/>
        <w:numId w:val="11"/>
      </w:numPr>
      <w:spacing w:before="200" w:after="0"/>
      <w:outlineLvl w:val="2"/>
    </w:pPr>
    <w:rPr>
      <w:rFonts w:asciiTheme="majorHAnsi" w:eastAsiaTheme="majorEastAsia" w:hAnsiTheme="majorHAnsi" w:cstheme="majorBidi"/>
      <w:b/>
      <w:bCs/>
      <w:color w:val="000000" w:themeColor="text1"/>
    </w:rPr>
  </w:style>
  <w:style w:type="paragraph" w:styleId="Nagwek4">
    <w:name w:val="heading 4"/>
    <w:basedOn w:val="Normalny"/>
    <w:next w:val="Normalny"/>
    <w:link w:val="Nagwek4Znak"/>
    <w:uiPriority w:val="9"/>
    <w:semiHidden/>
    <w:unhideWhenUsed/>
    <w:qFormat/>
    <w:rsid w:val="009B5C64"/>
    <w:pPr>
      <w:keepNext/>
      <w:keepLines/>
      <w:numPr>
        <w:ilvl w:val="3"/>
        <w:numId w:val="11"/>
      </w:numPr>
      <w:spacing w:before="200" w:after="0"/>
      <w:outlineLvl w:val="3"/>
    </w:pPr>
    <w:rPr>
      <w:rFonts w:asciiTheme="majorHAnsi" w:eastAsiaTheme="majorEastAsia" w:hAnsiTheme="majorHAnsi" w:cstheme="majorBidi"/>
      <w:b/>
      <w:bCs/>
      <w:i/>
      <w:iCs/>
      <w:color w:val="000000" w:themeColor="text1"/>
    </w:rPr>
  </w:style>
  <w:style w:type="paragraph" w:styleId="Nagwek5">
    <w:name w:val="heading 5"/>
    <w:basedOn w:val="Normalny"/>
    <w:next w:val="Normalny"/>
    <w:link w:val="Nagwek5Znak"/>
    <w:uiPriority w:val="9"/>
    <w:semiHidden/>
    <w:unhideWhenUsed/>
    <w:qFormat/>
    <w:rsid w:val="009B5C64"/>
    <w:pPr>
      <w:keepNext/>
      <w:keepLines/>
      <w:numPr>
        <w:ilvl w:val="4"/>
        <w:numId w:val="11"/>
      </w:numPr>
      <w:spacing w:before="200" w:after="0"/>
      <w:outlineLvl w:val="4"/>
    </w:pPr>
    <w:rPr>
      <w:rFonts w:asciiTheme="majorHAnsi" w:eastAsiaTheme="majorEastAsia" w:hAnsiTheme="majorHAnsi" w:cstheme="majorBidi"/>
      <w:color w:val="0A1D30" w:themeColor="text2" w:themeShade="BF"/>
    </w:rPr>
  </w:style>
  <w:style w:type="paragraph" w:styleId="Nagwek6">
    <w:name w:val="heading 6"/>
    <w:basedOn w:val="Normalny"/>
    <w:next w:val="Normalny"/>
    <w:link w:val="Nagwek6Znak"/>
    <w:uiPriority w:val="9"/>
    <w:semiHidden/>
    <w:unhideWhenUsed/>
    <w:qFormat/>
    <w:rsid w:val="009B5C64"/>
    <w:pPr>
      <w:keepNext/>
      <w:keepLines/>
      <w:numPr>
        <w:ilvl w:val="5"/>
        <w:numId w:val="11"/>
      </w:numPr>
      <w:spacing w:before="200" w:after="0"/>
      <w:outlineLvl w:val="5"/>
    </w:pPr>
    <w:rPr>
      <w:rFonts w:asciiTheme="majorHAnsi" w:eastAsiaTheme="majorEastAsia" w:hAnsiTheme="majorHAnsi" w:cstheme="majorBidi"/>
      <w:i/>
      <w:iCs/>
      <w:color w:val="0A1D30" w:themeColor="text2" w:themeShade="BF"/>
    </w:rPr>
  </w:style>
  <w:style w:type="paragraph" w:styleId="Nagwek7">
    <w:name w:val="heading 7"/>
    <w:basedOn w:val="Normalny"/>
    <w:next w:val="Normalny"/>
    <w:link w:val="Nagwek7Znak"/>
    <w:uiPriority w:val="9"/>
    <w:semiHidden/>
    <w:unhideWhenUsed/>
    <w:qFormat/>
    <w:rsid w:val="009B5C64"/>
    <w:pPr>
      <w:keepNext/>
      <w:keepLines/>
      <w:numPr>
        <w:ilvl w:val="6"/>
        <w:numId w:val="11"/>
      </w:numPr>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9B5C64"/>
    <w:pPr>
      <w:keepNext/>
      <w:keepLines/>
      <w:numPr>
        <w:ilvl w:val="7"/>
        <w:numId w:val="11"/>
      </w:numPr>
      <w:spacing w:before="200" w:after="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uiPriority w:val="9"/>
    <w:semiHidden/>
    <w:unhideWhenUsed/>
    <w:qFormat/>
    <w:rsid w:val="009B5C64"/>
    <w:pPr>
      <w:keepNext/>
      <w:keepLines/>
      <w:numPr>
        <w:ilvl w:val="8"/>
        <w:numId w:val="1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B5C64"/>
    <w:rPr>
      <w:rFonts w:asciiTheme="majorHAnsi" w:eastAsiaTheme="majorEastAsia" w:hAnsiTheme="majorHAnsi" w:cstheme="majorBidi"/>
      <w:b/>
      <w:bCs/>
      <w:smallCaps/>
      <w:color w:val="000000" w:themeColor="text1"/>
      <w:sz w:val="36"/>
      <w:szCs w:val="36"/>
    </w:rPr>
  </w:style>
  <w:style w:type="character" w:customStyle="1" w:styleId="Nagwek2Znak">
    <w:name w:val="Nagłówek 2 Znak"/>
    <w:basedOn w:val="Domylnaczcionkaakapitu"/>
    <w:link w:val="Nagwek2"/>
    <w:uiPriority w:val="9"/>
    <w:rsid w:val="009B5C64"/>
    <w:rPr>
      <w:rFonts w:asciiTheme="majorHAnsi" w:eastAsiaTheme="majorEastAsia" w:hAnsiTheme="majorHAnsi" w:cstheme="majorBidi"/>
      <w:b/>
      <w:bCs/>
      <w:smallCaps/>
      <w:color w:val="000000" w:themeColor="text1"/>
      <w:sz w:val="28"/>
      <w:szCs w:val="28"/>
    </w:rPr>
  </w:style>
  <w:style w:type="character" w:customStyle="1" w:styleId="Nagwek3Znak">
    <w:name w:val="Nagłówek 3 Znak"/>
    <w:basedOn w:val="Domylnaczcionkaakapitu"/>
    <w:link w:val="Nagwek3"/>
    <w:uiPriority w:val="9"/>
    <w:semiHidden/>
    <w:rsid w:val="009B5C64"/>
    <w:rPr>
      <w:rFonts w:asciiTheme="majorHAnsi" w:eastAsiaTheme="majorEastAsia" w:hAnsiTheme="majorHAnsi" w:cstheme="majorBidi"/>
      <w:b/>
      <w:bCs/>
      <w:color w:val="000000" w:themeColor="text1"/>
    </w:rPr>
  </w:style>
  <w:style w:type="character" w:customStyle="1" w:styleId="Nagwek4Znak">
    <w:name w:val="Nagłówek 4 Znak"/>
    <w:basedOn w:val="Domylnaczcionkaakapitu"/>
    <w:link w:val="Nagwek4"/>
    <w:uiPriority w:val="9"/>
    <w:semiHidden/>
    <w:rsid w:val="009B5C64"/>
    <w:rPr>
      <w:rFonts w:asciiTheme="majorHAnsi" w:eastAsiaTheme="majorEastAsia" w:hAnsiTheme="majorHAnsi" w:cstheme="majorBidi"/>
      <w:b/>
      <w:bCs/>
      <w:i/>
      <w:iCs/>
      <w:color w:val="000000" w:themeColor="text1"/>
    </w:rPr>
  </w:style>
  <w:style w:type="character" w:customStyle="1" w:styleId="Nagwek5Znak">
    <w:name w:val="Nagłówek 5 Znak"/>
    <w:basedOn w:val="Domylnaczcionkaakapitu"/>
    <w:link w:val="Nagwek5"/>
    <w:uiPriority w:val="9"/>
    <w:semiHidden/>
    <w:rsid w:val="009B5C64"/>
    <w:rPr>
      <w:rFonts w:asciiTheme="majorHAnsi" w:eastAsiaTheme="majorEastAsia" w:hAnsiTheme="majorHAnsi" w:cstheme="majorBidi"/>
      <w:color w:val="0A1D30" w:themeColor="text2" w:themeShade="BF"/>
    </w:rPr>
  </w:style>
  <w:style w:type="character" w:customStyle="1" w:styleId="Nagwek6Znak">
    <w:name w:val="Nagłówek 6 Znak"/>
    <w:basedOn w:val="Domylnaczcionkaakapitu"/>
    <w:link w:val="Nagwek6"/>
    <w:uiPriority w:val="9"/>
    <w:semiHidden/>
    <w:rsid w:val="009B5C64"/>
    <w:rPr>
      <w:rFonts w:asciiTheme="majorHAnsi" w:eastAsiaTheme="majorEastAsia" w:hAnsiTheme="majorHAnsi" w:cstheme="majorBidi"/>
      <w:i/>
      <w:iCs/>
      <w:color w:val="0A1D30" w:themeColor="text2" w:themeShade="BF"/>
    </w:rPr>
  </w:style>
  <w:style w:type="character" w:customStyle="1" w:styleId="Nagwek7Znak">
    <w:name w:val="Nagłówek 7 Znak"/>
    <w:basedOn w:val="Domylnaczcionkaakapitu"/>
    <w:link w:val="Nagwek7"/>
    <w:uiPriority w:val="9"/>
    <w:semiHidden/>
    <w:rsid w:val="009B5C64"/>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9B5C64"/>
    <w:rPr>
      <w:rFonts w:asciiTheme="majorHAnsi" w:eastAsiaTheme="majorEastAsia" w:hAnsiTheme="majorHAnsi" w:cstheme="majorBidi"/>
      <w:color w:val="404040" w:themeColor="text1" w:themeTint="BF"/>
      <w:sz w:val="20"/>
      <w:szCs w:val="20"/>
    </w:rPr>
  </w:style>
  <w:style w:type="character" w:customStyle="1" w:styleId="Nagwek9Znak">
    <w:name w:val="Nagłówek 9 Znak"/>
    <w:basedOn w:val="Domylnaczcionkaakapitu"/>
    <w:link w:val="Nagwek9"/>
    <w:uiPriority w:val="9"/>
    <w:semiHidden/>
    <w:rsid w:val="009B5C64"/>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9B5C64"/>
    <w:pPr>
      <w:spacing w:after="200" w:line="240" w:lineRule="auto"/>
    </w:pPr>
    <w:rPr>
      <w:i/>
      <w:iCs/>
      <w:color w:val="0E2841" w:themeColor="text2"/>
      <w:sz w:val="18"/>
      <w:szCs w:val="18"/>
    </w:rPr>
  </w:style>
  <w:style w:type="paragraph" w:styleId="Tytu">
    <w:name w:val="Title"/>
    <w:basedOn w:val="Normalny"/>
    <w:next w:val="Normalny"/>
    <w:link w:val="TytuZnak"/>
    <w:uiPriority w:val="10"/>
    <w:qFormat/>
    <w:rsid w:val="009B5C64"/>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ytuZnak">
    <w:name w:val="Tytuł Znak"/>
    <w:basedOn w:val="Domylnaczcionkaakapitu"/>
    <w:link w:val="Tytu"/>
    <w:uiPriority w:val="10"/>
    <w:rsid w:val="009B5C64"/>
    <w:rPr>
      <w:rFonts w:asciiTheme="majorHAnsi" w:eastAsiaTheme="majorEastAsia" w:hAnsiTheme="majorHAnsi" w:cstheme="majorBidi"/>
      <w:color w:val="000000" w:themeColor="text1"/>
      <w:sz w:val="56"/>
      <w:szCs w:val="56"/>
    </w:rPr>
  </w:style>
  <w:style w:type="paragraph" w:styleId="Podtytu">
    <w:name w:val="Subtitle"/>
    <w:basedOn w:val="Normalny"/>
    <w:next w:val="Normalny"/>
    <w:link w:val="PodtytuZnak"/>
    <w:uiPriority w:val="11"/>
    <w:qFormat/>
    <w:rsid w:val="009B5C64"/>
    <w:pPr>
      <w:numPr>
        <w:ilvl w:val="1"/>
      </w:numPr>
    </w:pPr>
    <w:rPr>
      <w:color w:val="5A5A5A" w:themeColor="text1" w:themeTint="A5"/>
      <w:spacing w:val="10"/>
    </w:rPr>
  </w:style>
  <w:style w:type="character" w:customStyle="1" w:styleId="PodtytuZnak">
    <w:name w:val="Podtytuł Znak"/>
    <w:basedOn w:val="Domylnaczcionkaakapitu"/>
    <w:link w:val="Podtytu"/>
    <w:uiPriority w:val="11"/>
    <w:rsid w:val="009B5C64"/>
    <w:rPr>
      <w:color w:val="5A5A5A" w:themeColor="text1" w:themeTint="A5"/>
      <w:spacing w:val="10"/>
    </w:rPr>
  </w:style>
  <w:style w:type="character" w:styleId="Pogrubienie">
    <w:name w:val="Strong"/>
    <w:basedOn w:val="Domylnaczcionkaakapitu"/>
    <w:uiPriority w:val="22"/>
    <w:qFormat/>
    <w:rsid w:val="009B5C64"/>
    <w:rPr>
      <w:b/>
      <w:bCs/>
      <w:color w:val="000000" w:themeColor="text1"/>
    </w:rPr>
  </w:style>
  <w:style w:type="character" w:styleId="Uwydatnienie">
    <w:name w:val="Emphasis"/>
    <w:basedOn w:val="Domylnaczcionkaakapitu"/>
    <w:uiPriority w:val="20"/>
    <w:qFormat/>
    <w:rsid w:val="009B5C64"/>
    <w:rPr>
      <w:i/>
      <w:iCs/>
      <w:color w:val="auto"/>
    </w:rPr>
  </w:style>
  <w:style w:type="paragraph" w:styleId="Bezodstpw">
    <w:name w:val="No Spacing"/>
    <w:uiPriority w:val="1"/>
    <w:qFormat/>
    <w:rsid w:val="009B5C64"/>
    <w:pPr>
      <w:spacing w:after="0" w:line="240" w:lineRule="auto"/>
    </w:pPr>
  </w:style>
  <w:style w:type="paragraph" w:styleId="Akapitzlist">
    <w:name w:val="List Paragraph"/>
    <w:basedOn w:val="Normalny"/>
    <w:uiPriority w:val="34"/>
    <w:qFormat/>
    <w:rsid w:val="009B5C64"/>
    <w:pPr>
      <w:ind w:left="720"/>
      <w:contextualSpacing/>
    </w:pPr>
  </w:style>
  <w:style w:type="paragraph" w:styleId="Cytat">
    <w:name w:val="Quote"/>
    <w:basedOn w:val="Normalny"/>
    <w:next w:val="Normalny"/>
    <w:link w:val="CytatZnak"/>
    <w:uiPriority w:val="29"/>
    <w:qFormat/>
    <w:rsid w:val="009B5C64"/>
    <w:pPr>
      <w:spacing w:before="160"/>
      <w:ind w:left="720" w:right="720"/>
    </w:pPr>
    <w:rPr>
      <w:i/>
      <w:iCs/>
      <w:color w:val="000000" w:themeColor="text1"/>
    </w:rPr>
  </w:style>
  <w:style w:type="character" w:customStyle="1" w:styleId="CytatZnak">
    <w:name w:val="Cytat Znak"/>
    <w:basedOn w:val="Domylnaczcionkaakapitu"/>
    <w:link w:val="Cytat"/>
    <w:uiPriority w:val="29"/>
    <w:rsid w:val="009B5C64"/>
    <w:rPr>
      <w:i/>
      <w:iCs/>
      <w:color w:val="000000" w:themeColor="text1"/>
    </w:rPr>
  </w:style>
  <w:style w:type="paragraph" w:styleId="Cytatintensywny">
    <w:name w:val="Intense Quote"/>
    <w:basedOn w:val="Normalny"/>
    <w:next w:val="Normalny"/>
    <w:link w:val="CytatintensywnyZnak"/>
    <w:uiPriority w:val="30"/>
    <w:qFormat/>
    <w:rsid w:val="009B5C64"/>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CytatintensywnyZnak">
    <w:name w:val="Cytat intensywny Znak"/>
    <w:basedOn w:val="Domylnaczcionkaakapitu"/>
    <w:link w:val="Cytatintensywny"/>
    <w:uiPriority w:val="30"/>
    <w:rsid w:val="009B5C64"/>
    <w:rPr>
      <w:color w:val="000000" w:themeColor="text1"/>
      <w:shd w:val="clear" w:color="auto" w:fill="F2F2F2" w:themeFill="background1" w:themeFillShade="F2"/>
    </w:rPr>
  </w:style>
  <w:style w:type="character" w:styleId="Wyrnieniedelikatne">
    <w:name w:val="Subtle Emphasis"/>
    <w:basedOn w:val="Domylnaczcionkaakapitu"/>
    <w:uiPriority w:val="19"/>
    <w:qFormat/>
    <w:rsid w:val="009B5C64"/>
    <w:rPr>
      <w:i/>
      <w:iCs/>
      <w:color w:val="404040" w:themeColor="text1" w:themeTint="BF"/>
    </w:rPr>
  </w:style>
  <w:style w:type="character" w:styleId="Wyrnienieintensywne">
    <w:name w:val="Intense Emphasis"/>
    <w:basedOn w:val="Domylnaczcionkaakapitu"/>
    <w:uiPriority w:val="21"/>
    <w:qFormat/>
    <w:rsid w:val="009B5C64"/>
    <w:rPr>
      <w:b/>
      <w:bCs/>
      <w:i/>
      <w:iCs/>
      <w:caps/>
    </w:rPr>
  </w:style>
  <w:style w:type="character" w:styleId="Odwoaniedelikatne">
    <w:name w:val="Subtle Reference"/>
    <w:basedOn w:val="Domylnaczcionkaakapitu"/>
    <w:uiPriority w:val="31"/>
    <w:qFormat/>
    <w:rsid w:val="009B5C64"/>
    <w:rPr>
      <w:smallCaps/>
      <w:color w:val="404040" w:themeColor="text1" w:themeTint="BF"/>
      <w:u w:val="single" w:color="7F7F7F" w:themeColor="text1" w:themeTint="80"/>
    </w:rPr>
  </w:style>
  <w:style w:type="character" w:styleId="Odwoanieintensywne">
    <w:name w:val="Intense Reference"/>
    <w:basedOn w:val="Domylnaczcionkaakapitu"/>
    <w:uiPriority w:val="32"/>
    <w:qFormat/>
    <w:rsid w:val="009B5C64"/>
    <w:rPr>
      <w:b/>
      <w:bCs/>
      <w:smallCaps/>
      <w:u w:val="single"/>
    </w:rPr>
  </w:style>
  <w:style w:type="character" w:styleId="Tytuksiki">
    <w:name w:val="Book Title"/>
    <w:basedOn w:val="Domylnaczcionkaakapitu"/>
    <w:uiPriority w:val="33"/>
    <w:qFormat/>
    <w:rsid w:val="009B5C64"/>
    <w:rPr>
      <w:b w:val="0"/>
      <w:bCs w:val="0"/>
      <w:smallCaps/>
      <w:spacing w:val="5"/>
    </w:rPr>
  </w:style>
  <w:style w:type="paragraph" w:styleId="Nagwekspisutreci">
    <w:name w:val="TOC Heading"/>
    <w:basedOn w:val="Nagwek1"/>
    <w:next w:val="Normalny"/>
    <w:uiPriority w:val="39"/>
    <w:semiHidden/>
    <w:unhideWhenUsed/>
    <w:qFormat/>
    <w:rsid w:val="009B5C64"/>
    <w:pPr>
      <w:outlineLvl w:val="9"/>
    </w:pPr>
  </w:style>
  <w:style w:type="paragraph" w:customStyle="1" w:styleId="Default">
    <w:name w:val="Default"/>
    <w:rsid w:val="00516A29"/>
    <w:pPr>
      <w:autoSpaceDE w:val="0"/>
      <w:autoSpaceDN w:val="0"/>
      <w:adjustRightInd w:val="0"/>
      <w:spacing w:after="0" w:line="240" w:lineRule="auto"/>
    </w:pPr>
    <w:rPr>
      <w:rFonts w:ascii="Open Sans" w:hAnsi="Open Sans" w:cs="Open Sans"/>
      <w:color w:val="000000"/>
      <w:sz w:val="24"/>
      <w:szCs w:val="24"/>
    </w:rPr>
  </w:style>
  <w:style w:type="paragraph" w:styleId="Nagwek">
    <w:name w:val="header"/>
    <w:basedOn w:val="Normalny"/>
    <w:link w:val="NagwekZnak"/>
    <w:uiPriority w:val="99"/>
    <w:unhideWhenUsed/>
    <w:rsid w:val="000805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805EB"/>
  </w:style>
  <w:style w:type="paragraph" w:styleId="Stopka">
    <w:name w:val="footer"/>
    <w:basedOn w:val="Normalny"/>
    <w:link w:val="StopkaZnak"/>
    <w:uiPriority w:val="99"/>
    <w:unhideWhenUsed/>
    <w:rsid w:val="000805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805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4</Pages>
  <Words>1075</Words>
  <Characters>7419</Characters>
  <Application>Microsoft Office Word</Application>
  <DocSecurity>0</DocSecurity>
  <Lines>285</Lines>
  <Paragraphs>134</Paragraphs>
  <ScaleCrop>false</ScaleCrop>
  <HeadingPairs>
    <vt:vector size="2" baseType="variant">
      <vt:variant>
        <vt:lpstr>Tytuł</vt:lpstr>
      </vt:variant>
      <vt:variant>
        <vt:i4>1</vt:i4>
      </vt:variant>
    </vt:vector>
  </HeadingPairs>
  <TitlesOfParts>
    <vt:vector size="1" baseType="lpstr">
      <vt:lpstr/>
    </vt:vector>
  </TitlesOfParts>
  <Company>NFOSiGW</Company>
  <LinksUpToDate>false</LinksUpToDate>
  <CharactersWithSpaces>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Szkolenie 18.12.2025 r. Odpowiedź na pytania z czatu youtube</dc:title>
  <dc:subject/>
  <dc:creator>Wójcik-Napiórkowska Beata</dc:creator>
  <cp:keywords/>
  <dc:description/>
  <cp:lastModifiedBy>Wójcik-Napiórkowska Beata</cp:lastModifiedBy>
  <cp:revision>6</cp:revision>
  <cp:lastPrinted>2026-01-22T08:27:00Z</cp:lastPrinted>
  <dcterms:created xsi:type="dcterms:W3CDTF">2026-01-22T07:42:00Z</dcterms:created>
  <dcterms:modified xsi:type="dcterms:W3CDTF">2026-01-22T08:27:00Z</dcterms:modified>
</cp:coreProperties>
</file>