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5B" w:rsidRDefault="002213CD" w:rsidP="00686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213CD">
        <w:rPr>
          <w:rFonts w:ascii="Times New Roman" w:hAnsi="Times New Roman" w:cs="Times New Roman"/>
          <w:bCs/>
        </w:rPr>
        <w:t xml:space="preserve">Załącznik </w:t>
      </w:r>
      <w:r w:rsidRPr="002213CD">
        <w:rPr>
          <w:rFonts w:ascii="Times New Roman" w:hAnsi="Times New Roman" w:cs="Times New Roman"/>
          <w:bCs/>
        </w:rPr>
        <w:fldChar w:fldCharType="begin"/>
      </w:r>
      <w:r w:rsidRPr="002213CD">
        <w:rPr>
          <w:rFonts w:ascii="Times New Roman" w:hAnsi="Times New Roman" w:cs="Times New Roman"/>
          <w:bCs/>
        </w:rPr>
        <w:instrText xml:space="preserve"> FILENAME   \* MERGEFORMAT </w:instrText>
      </w:r>
      <w:r w:rsidRPr="002213CD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B.46</w:t>
      </w:r>
      <w:r w:rsidRPr="002213CD">
        <w:rPr>
          <w:rFonts w:ascii="Times New Roman" w:hAnsi="Times New Roman" w:cs="Times New Roman"/>
          <w:bCs/>
        </w:rPr>
        <w:t>.</w:t>
      </w:r>
      <w:r w:rsidRPr="002213CD">
        <w:rPr>
          <w:rFonts w:ascii="Times New Roman" w:hAnsi="Times New Roman" w:cs="Times New Roman"/>
          <w:bCs/>
        </w:rPr>
        <w:fldChar w:fldCharType="end"/>
      </w:r>
    </w:p>
    <w:p w:rsidR="002213CD" w:rsidRPr="002213CD" w:rsidRDefault="002213CD" w:rsidP="00686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213CD">
        <w:rPr>
          <w:rFonts w:ascii="Times New Roman" w:hAnsi="Times New Roman" w:cs="Times New Roman"/>
          <w:bCs/>
        </w:rPr>
        <w:fldChar w:fldCharType="begin"/>
      </w:r>
      <w:r w:rsidRPr="002213CD">
        <w:rPr>
          <w:rFonts w:ascii="Times New Roman" w:hAnsi="Times New Roman" w:cs="Times New Roman"/>
          <w:bCs/>
        </w:rPr>
        <w:instrText xml:space="preserve"> FILENAME   \* MERGEFORMAT </w:instrText>
      </w:r>
      <w:r w:rsidRPr="002213CD">
        <w:rPr>
          <w:rFonts w:ascii="Times New Roman" w:hAnsi="Times New Roman" w:cs="Times New Roman"/>
          <w:bCs/>
        </w:rPr>
        <w:fldChar w:fldCharType="end"/>
      </w:r>
    </w:p>
    <w:p w:rsidR="00783659" w:rsidRPr="00A21BD3" w:rsidRDefault="00783659" w:rsidP="0014355B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21BD3">
        <w:rPr>
          <w:rFonts w:ascii="Times New Roman" w:hAnsi="Times New Roman" w:cs="Times New Roman"/>
          <w:b/>
          <w:bCs/>
          <w:sz w:val="28"/>
          <w:szCs w:val="24"/>
        </w:rPr>
        <w:t>LECZENIE STWARDNIENIA ROZSIANEGO PO NIEPOWODZENIU TERAPII LEKAMI PIERWSZEGO RZUTU LUB SZYBKO ROZWIJAJĄCEJ  SIĘ CIĘŻKIEJ POSTACI  STWARDNIENIA  ROZSIANEGO</w:t>
      </w:r>
      <w:r w:rsidR="00D87CA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87CA5" w:rsidRPr="00D87CA5">
        <w:rPr>
          <w:rFonts w:ascii="Times New Roman" w:hAnsi="Times New Roman" w:cs="Times New Roman"/>
          <w:b/>
          <w:bCs/>
          <w:sz w:val="28"/>
          <w:szCs w:val="24"/>
        </w:rPr>
        <w:t>LUB PIERWOTNIE POSTĘPUJĄCEJ POSTACI STWARDNIENIA</w:t>
      </w:r>
      <w:r w:rsidR="00D87CA5">
        <w:rPr>
          <w:rFonts w:ascii="Times New Roman" w:hAnsi="Times New Roman" w:cs="Times New Roman"/>
          <w:b/>
          <w:bCs/>
          <w:sz w:val="28"/>
          <w:szCs w:val="24"/>
        </w:rPr>
        <w:t xml:space="preserve"> ROZSIANEGO</w:t>
      </w:r>
      <w:r w:rsidRPr="00A21BD3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2534E2">
        <w:rPr>
          <w:rFonts w:ascii="Times New Roman" w:hAnsi="Times New Roman" w:cs="Times New Roman"/>
          <w:b/>
          <w:bCs/>
          <w:sz w:val="28"/>
          <w:szCs w:val="24"/>
        </w:rPr>
        <w:t xml:space="preserve">(ICD-10  </w:t>
      </w:r>
      <w:r w:rsidRPr="00A21BD3">
        <w:rPr>
          <w:rFonts w:ascii="Times New Roman" w:hAnsi="Times New Roman" w:cs="Times New Roman"/>
          <w:b/>
          <w:bCs/>
          <w:sz w:val="28"/>
          <w:szCs w:val="24"/>
        </w:rPr>
        <w:t>G 35)</w:t>
      </w:r>
    </w:p>
    <w:tbl>
      <w:tblPr>
        <w:tblpPr w:leftFromText="141" w:rightFromText="141" w:vertAnchor="text" w:tblpXSpec="center" w:tblpY="1"/>
        <w:tblOverlap w:val="never"/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0"/>
        <w:gridCol w:w="4471"/>
        <w:gridCol w:w="5595"/>
      </w:tblGrid>
      <w:tr w:rsidR="00783659" w:rsidRPr="00D107EF" w:rsidTr="00AE5AA4">
        <w:tc>
          <w:tcPr>
            <w:tcW w:w="5000" w:type="pct"/>
            <w:gridSpan w:val="3"/>
            <w:vAlign w:val="center"/>
          </w:tcPr>
          <w:p w:rsidR="00783659" w:rsidRPr="00D107EF" w:rsidRDefault="00783659" w:rsidP="00D107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783659" w:rsidRPr="00D107EF" w:rsidTr="00AE5AA4">
        <w:tc>
          <w:tcPr>
            <w:tcW w:w="1733" w:type="pct"/>
            <w:vAlign w:val="center"/>
          </w:tcPr>
          <w:p w:rsidR="00783659" w:rsidRPr="00D107EF" w:rsidRDefault="00783659" w:rsidP="00D107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51" w:type="pct"/>
            <w:vAlign w:val="center"/>
          </w:tcPr>
          <w:p w:rsidR="00783659" w:rsidRPr="00D107EF" w:rsidRDefault="00783659" w:rsidP="00D107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783659" w:rsidRPr="00D107EF" w:rsidRDefault="00783659" w:rsidP="00D107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783659" w:rsidRPr="00D107EF" w:rsidTr="00AE5AA4">
        <w:trPr>
          <w:trHeight w:val="1408"/>
        </w:trPr>
        <w:tc>
          <w:tcPr>
            <w:tcW w:w="1733" w:type="pct"/>
          </w:tcPr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Kryteria kwalifikacji do leczenia</w:t>
            </w:r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fingolimodem</w:t>
            </w:r>
            <w:proofErr w:type="spellEnd"/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 ramach programu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leczenia 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substancją czynną </w:t>
            </w:r>
            <w:proofErr w:type="spellStart"/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</w:t>
            </w:r>
            <w:proofErr w:type="spellEnd"/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kwalifikowani są pacjenci spełniający </w:t>
            </w:r>
            <w:r w:rsidR="002572EB"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łącznie kryteria wymi</w:t>
            </w:r>
            <w:r w:rsidR="00974E59"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enione w punktach: 1.1, 1.2 i 1.3 albo 1.1, 1.2</w:t>
            </w:r>
            <w:r w:rsidR="002572EB"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1.4: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Wiek od 18 roku życia; 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 Rozpoznanie postaci rzutow</w:t>
            </w:r>
            <w:r w:rsidR="00D8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o-</w:t>
            </w:r>
            <w:proofErr w:type="spellStart"/>
            <w:r w:rsidR="00D8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remisyjnej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stwardnienia rozsianego (RRMS) - oparte na </w:t>
            </w:r>
            <w:r w:rsidR="00D8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aktualnych 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kryteriach diagnostycznych McDonald</w:t>
            </w:r>
            <w:r w:rsidR="00D8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Pacjenci, u których stwierdza się brak odpowiedzi na pełny, minimum roczny cykl leczenia</w:t>
            </w:r>
            <w:r w:rsidR="00815DC3"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5DC3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interferonem beta lub PEG-interferonem beta-1a lub octanem </w:t>
            </w:r>
            <w:proofErr w:type="spellStart"/>
            <w:r w:rsidR="00815DC3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glatirameru</w:t>
            </w:r>
            <w:proofErr w:type="spellEnd"/>
            <w:r w:rsidR="00815DC3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="00815DC3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fumaranem</w:t>
            </w:r>
            <w:proofErr w:type="spellEnd"/>
            <w:r w:rsidR="00815DC3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dimetylu</w:t>
            </w:r>
            <w:r w:rsidR="00847589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="00847589" w:rsidRPr="00D10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teryflunomidem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definiowany jako spełnienie obu  poniższych warunków:</w:t>
            </w:r>
          </w:p>
          <w:p w:rsidR="00783659" w:rsidRPr="00D107EF" w:rsidRDefault="00783659" w:rsidP="00D107EF">
            <w:pPr>
              <w:spacing w:before="120" w:after="120"/>
              <w:ind w:left="284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liczba i ciężkość rzutów: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2 lub więcej rzutów umiarkowanych wymagających leczenia sterydami (wzrost EDSS o 1 do 2 pkt lub wzrost o 2 pkt w zakresie jednego lub dwóch układów </w:t>
            </w:r>
            <w:r w:rsidRPr="00D107EF">
              <w:rPr>
                <w:color w:val="000000"/>
                <w:sz w:val="20"/>
                <w:szCs w:val="20"/>
              </w:rPr>
              <w:lastRenderedPageBreak/>
              <w:t>funkcjonalnych, lub o 1 pkt w zakresie czterech lub większej liczby układów funkcjonalnych)  lub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1 ciężki rzut po 6 miesiącach leczenia (wzrost w EDSS większy niż w definicji rzutu umiarkowanego);</w:t>
            </w:r>
          </w:p>
          <w:p w:rsidR="00783659" w:rsidRPr="00D107EF" w:rsidRDefault="00783659" w:rsidP="00D107EF">
            <w:pPr>
              <w:spacing w:before="120" w:after="120"/>
              <w:ind w:left="360" w:hanging="2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zmiany w badaniu rezonansu magnetycznego wykonanym  po każdych 12 miesiącach, gdy stwierdza się jedno z poniższych:</w:t>
            </w:r>
          </w:p>
          <w:p w:rsidR="00783659" w:rsidRPr="00D107EF" w:rsidRDefault="00783659" w:rsidP="00D107EF">
            <w:pPr>
              <w:spacing w:before="120" w:after="120"/>
              <w:ind w:left="56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więcej niż jedna nowa zmiana Gd (+),</w:t>
            </w:r>
          </w:p>
          <w:p w:rsidR="0078668B" w:rsidRPr="00D107EF" w:rsidRDefault="00783659" w:rsidP="00D107EF">
            <w:pPr>
              <w:spacing w:before="120" w:after="120"/>
              <w:ind w:left="56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więcej niż dwie nowe zmiany w sekwencji T2.</w:t>
            </w:r>
          </w:p>
          <w:p w:rsidR="003D2A67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Szybko rozwijająca się, ciężka postać choroby 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rozpoznawana kiedy zostaną spełnione oba poniższe parametry: </w:t>
            </w:r>
          </w:p>
          <w:p w:rsidR="0078668B" w:rsidRPr="00D107EF" w:rsidRDefault="0078668B" w:rsidP="00D107EF">
            <w:pPr>
              <w:spacing w:before="120" w:after="120"/>
              <w:ind w:left="4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co najmniej dwa rzuty wymagające leczenia sterydami powodujące niesprawność (w czasie rzutu wzrost EDSS o minimum 2 pkt)</w:t>
            </w:r>
          </w:p>
          <w:p w:rsidR="0078668B" w:rsidRPr="00D107EF" w:rsidRDefault="0078668B" w:rsidP="00D107EF">
            <w:pPr>
              <w:spacing w:before="120" w:after="120"/>
              <w:ind w:left="4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zmiany w badaniu rezonansu magnetycznego</w:t>
            </w:r>
          </w:p>
          <w:p w:rsidR="0078668B" w:rsidRPr="00D107EF" w:rsidRDefault="0078668B" w:rsidP="00D107EF">
            <w:pPr>
              <w:spacing w:before="120" w:after="120"/>
              <w:ind w:left="4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więcej niż jedna nowa zmiana GD(+) lub</w:t>
            </w:r>
          </w:p>
          <w:p w:rsidR="001449D0" w:rsidRPr="00D107EF" w:rsidRDefault="0078668B" w:rsidP="00D107EF">
            <w:pPr>
              <w:spacing w:before="120" w:after="120"/>
              <w:ind w:left="4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więcej niż dwie nowe zmiany w sekwencji T2 (w sumie nie mniej niż 9 zmian);</w:t>
            </w:r>
          </w:p>
          <w:p w:rsidR="001449D0" w:rsidRPr="00D107EF" w:rsidRDefault="001449D0" w:rsidP="00D107EF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 włączane są, bez konieczności ponownej kwalifikacji, pacjentki wyłączone z programu w związku z ciążą, które w momencie wyłączenia spełniały pozostałe kryteria  leczenia w programie oraz które na moment ponownego włączania do programu nie spełniają przeciwskazań do leczenia oraz kryteriów wyłączenia i spełniają pozostałe kryteria przedłużenia leczenia.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Przeciwwskazania bezwzg</w:t>
            </w:r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lędne do stosowania </w:t>
            </w:r>
            <w:proofErr w:type="spellStart"/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fingolimodu</w:t>
            </w:r>
            <w:proofErr w:type="spellEnd"/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Przeciwwskazaniem do leczenia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jest spełnienie co najmniej jednego z niżej wymienionych kryteriów: 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ze zwiększonym ryzykiem wystąpienia zakażeń oportunistycznych, w tym:</w:t>
            </w:r>
          </w:p>
          <w:p w:rsidR="00783659" w:rsidRPr="00D107EF" w:rsidRDefault="00783659" w:rsidP="00D107EF">
            <w:pPr>
              <w:spacing w:before="120" w:after="12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 rozpoznanym zespołem niedoboru odporności,</w:t>
            </w:r>
          </w:p>
          <w:p w:rsidR="00783659" w:rsidRPr="00D107EF" w:rsidRDefault="00783659" w:rsidP="00D107EF">
            <w:pPr>
              <w:spacing w:before="120" w:after="12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osoby przyjmujące aktualnie leki immunosupresyjne,</w:t>
            </w:r>
          </w:p>
          <w:p w:rsidR="00783659" w:rsidRPr="00D107EF" w:rsidRDefault="00783659" w:rsidP="00D107EF">
            <w:pPr>
              <w:spacing w:before="120" w:after="12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ze zmniejszoną odpornością powstałą w wyniku wcześniejszego leczenia immunosupresyjnego;</w:t>
            </w:r>
          </w:p>
          <w:p w:rsidR="00783659" w:rsidRPr="00D107EF" w:rsidRDefault="00783659" w:rsidP="00D107EF">
            <w:pPr>
              <w:spacing w:before="120" w:after="12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Ciężkie aktywne zakażenia oraz aktywne przewlekłe zakażenia w szczególności zapalenie wątroby, gruźlica;</w:t>
            </w:r>
          </w:p>
          <w:p w:rsidR="00783659" w:rsidRPr="00D107EF" w:rsidRDefault="00783659" w:rsidP="00D107EF">
            <w:pPr>
              <w:spacing w:before="120" w:after="12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Rozpoznane czynne choroby nowotworowe, z wyjątkiem pacjentów z rakiem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podstawnokomórkowym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skóry;</w:t>
            </w:r>
          </w:p>
          <w:p w:rsidR="00783659" w:rsidRPr="00D107EF" w:rsidRDefault="00783659" w:rsidP="00D107EF">
            <w:pPr>
              <w:spacing w:before="120" w:after="120"/>
              <w:ind w:left="374" w:hanging="3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Ciężkie zaburzenia czynności wątroby (stopnia C wg Child-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Pugh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783659" w:rsidRPr="00D107EF" w:rsidRDefault="00783659" w:rsidP="00D107EF">
            <w:pPr>
              <w:spacing w:before="120" w:after="12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Nadwrażliwość na substancję czynną lub na którąkolwiek substancję pomocniczą;</w:t>
            </w:r>
          </w:p>
          <w:p w:rsidR="00783659" w:rsidRPr="00D107EF" w:rsidRDefault="00783659" w:rsidP="00D107EF">
            <w:pPr>
              <w:spacing w:before="120" w:after="120"/>
              <w:ind w:left="388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Pacjenci z chorobą niedokrwienną serca, chorobą węzła zatokowego, wywiadem w kierunku zawału serca oraz leczeni lekami antyarytmicznymi klasy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 III;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Pacjenci, którzy nie przebyli ospy wietrznej lub nie zostali przeciw niej zaszczepieni i nie występują u nich przeciwciała przeciw wirusowi ospy wietrznej i półpaśca (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Varicella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-Zoster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virus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VZV);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8)   Pacjenci z wtórnie postępującą postacią choroby.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Przeciww</w:t>
            </w:r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skazania względne do stosowania</w:t>
            </w:r>
          </w:p>
          <w:p w:rsidR="00783659" w:rsidRPr="00D107EF" w:rsidRDefault="00783659" w:rsidP="00D107EF">
            <w:pPr>
              <w:spacing w:before="120" w:after="120"/>
              <w:ind w:hanging="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zaleca się stosowania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fingolimodu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ind w:left="284" w:hanging="284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lastRenderedPageBreak/>
              <w:t>U pacjentów spełniających  co najmniej jedno  kryterium z niżej wymienionych: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blok drugiego stopnia typu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Mobitz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II lub blok przedsionkowo-komorowy wyższego stopnia;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blok zatokowo-przedsionkowy;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istotne wydłużenie QT (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QTc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&gt;470 milisekund u kobiet lub&gt;450 milisekund u mężczyzn);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wywiad w kierunku objawowej bradykardii lub nawracających omdleń;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choroba naczyń mózgowych;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wywiad w kierunku zastoinowej niewydolności krążenia;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wywiad w kierunku zatrzymania krążenia;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niekontrolowane nadciśnienie tętnicze;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ciężki zespół bezdechu sennego;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obrzęk plamki żółtej.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567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Ze względu na zwiększone ryzyko wystąpienia obrzęku plamki żółtej lek należy stosować ostrożnie u pacjentów z wywiadem w kierunku cukrzycy oraz zapalenia błony naczyniowej oka.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ind w:left="284" w:hanging="284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U pacjentów przyjmujących następujące leki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przeciwarytmiczne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lub zwalniające rytm serca:</w:t>
            </w:r>
          </w:p>
          <w:p w:rsidR="00783659" w:rsidRPr="00D107EF" w:rsidRDefault="00783659" w:rsidP="003872CD">
            <w:pPr>
              <w:pStyle w:val="Akapitzlist"/>
              <w:numPr>
                <w:ilvl w:val="1"/>
                <w:numId w:val="21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leki beta-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adrenolityczne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;</w:t>
            </w:r>
          </w:p>
          <w:p w:rsidR="00783659" w:rsidRPr="00D107EF" w:rsidRDefault="00783659" w:rsidP="003872CD">
            <w:pPr>
              <w:pStyle w:val="Akapitzlist"/>
              <w:numPr>
                <w:ilvl w:val="1"/>
                <w:numId w:val="21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antagoniści kanału wapniowego zwalniający akcję serca (np.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werapamil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diltiazem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iwabradyna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);</w:t>
            </w:r>
          </w:p>
          <w:p w:rsidR="00783659" w:rsidRPr="00D107EF" w:rsidRDefault="00783659" w:rsidP="003872CD">
            <w:pPr>
              <w:pStyle w:val="Akapitzlist"/>
              <w:numPr>
                <w:ilvl w:val="1"/>
                <w:numId w:val="21"/>
              </w:numPr>
              <w:spacing w:before="120" w:after="120"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lastRenderedPageBreak/>
              <w:t xml:space="preserve">inne substancje mogące zwalniać akcję serca </w:t>
            </w:r>
            <w:r w:rsidRPr="00D107EF">
              <w:rPr>
                <w:color w:val="000000"/>
                <w:sz w:val="20"/>
                <w:szCs w:val="20"/>
              </w:rPr>
              <w:br/>
              <w:t xml:space="preserve">(np.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digoksyna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, antagoniści cholinoesterazy lub pilokarpina).</w:t>
            </w:r>
          </w:p>
          <w:p w:rsidR="00783659" w:rsidRPr="00D107EF" w:rsidRDefault="00783659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Kryteria wyłączenia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Kryterium wyłączenia z leczenia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jest spełnienie co najmniej jednego z niżej wymienionych kryteriów: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Rezygnacja pacjenta 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Ciąża;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Spełnienie kryteriów nieskuteczności leczenia zawartych w pkt 5;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Utrzymujący się, spadek liczby limfocytów poniżej 0.2 x 10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/l;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Utrzymujące się i niebędące wynikiem innego procesu chorobowego zwiększenie aktywności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aminotransferaz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wątrobowych powyżej pięciokrotności górnej granicy normy lub zwiększenie stężenia bilirubiny w surowicy;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Wystąpienie innych zdarzeń niepożądanych związanych z leczeniem, niepoddających się rutynowemu postępowaniu;</w:t>
            </w:r>
          </w:p>
          <w:p w:rsidR="00783659" w:rsidRPr="00D107EF" w:rsidRDefault="00783659" w:rsidP="003872CD">
            <w:pPr>
              <w:numPr>
                <w:ilvl w:val="0"/>
                <w:numId w:val="9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Przejście w postać wtórnie postępującą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668B" w:rsidRPr="00D107EF" w:rsidRDefault="0078668B" w:rsidP="00D107EF">
            <w:pPr>
              <w:spacing w:before="120" w:after="120"/>
              <w:ind w:left="578" w:hanging="5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5. Określenie czasu leczenia w programie: 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Ocenę skuteczności leczenia przeprowadza się po każdych pełnych 12 miesiącach terapii. 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 chorych odpowiadających na leczenie po ocenie skuteczności, terapię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można przedłużać o kolejne 12 miesięcy. 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Łączny czas leczenia pacjenta, lekami modyfikującymi przebieg choroby, zależy od decyzji lekarza.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przypadku wystąpienia, w początkowym okresie leczenia, objawów niepożądanych lub ze względu na bezpieczeństwo chorego, dopuszcza się w ramach programu zamianę na lek o innym mechanizmie działania.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Przesłanki do zmiany terapii, wymienione w poprzednim zdaniu nie są tożsame z brakiem skuteczności wdrożonego leczenia.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 brak skuteczności leczenia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uzasadniający zmianę leczenia lub przerwanie leczenia,  przyjmuje się wystąpienie jednej z poniższych sytuacji: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Przejście w postać wtórnie postępującą lub</w:t>
            </w:r>
          </w:p>
          <w:p w:rsidR="0078668B" w:rsidRPr="00D107EF" w:rsidRDefault="0078668B" w:rsidP="00D107EF">
            <w:pPr>
              <w:spacing w:before="120" w:after="120"/>
              <w:ind w:left="578" w:hanging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Wystąpienie 2 z 3 poniższych  kryteriów:</w:t>
            </w:r>
          </w:p>
          <w:p w:rsidR="0078668B" w:rsidRPr="00D107EF" w:rsidRDefault="0078668B" w:rsidP="00D107EF">
            <w:pPr>
              <w:spacing w:before="120" w:after="12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liczba i ciężkość rzutów: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lub więcej rzutów umiarkowanych wymagających leczenia sterydami (wzrost EDSS o 1 do 2 pkt lub wzrost o 2 pkt w zakresie jednego lub dwóch układów funkcjonalnych lub o 1 pkt w zakresie czterech lub większej liczbie układów funkcjonalnych) lub 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1 ciężki rzut  wymagający leczenia sterydami po 6 miesiącach leczenia (wzrost EDSS większy niż w definicji rzutu umiarkowanego),</w:t>
            </w:r>
          </w:p>
          <w:p w:rsidR="0078668B" w:rsidRPr="00D107EF" w:rsidRDefault="0078668B" w:rsidP="00D107EF">
            <w:pPr>
              <w:spacing w:before="120" w:after="12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progresja choroby mimo leczenia, co oznacza utrzymujące się przez co najmniej 3 miesiące pogorszenie się stanu neurologicznego o co najmniej: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- 2 pkt EDSS, gdy EDSS do 3,5,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pkt EDSS, gdy EDSS od 4,0;</w:t>
            </w:r>
          </w:p>
          <w:p w:rsidR="0078668B" w:rsidRPr="00D107EF" w:rsidRDefault="0078668B" w:rsidP="00D107EF">
            <w:pPr>
              <w:spacing w:before="120" w:after="12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zmiany w badaniu rezonansu magnetycznego wykonanym po każdych 12 miesiącach, gdy stwierdza się jedno z poniższych: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więcej niż jedna nowa zmiana Gd (+),   </w:t>
            </w:r>
          </w:p>
          <w:p w:rsidR="0078668B" w:rsidRPr="00D107EF" w:rsidRDefault="0078668B" w:rsidP="00D107EF">
            <w:pPr>
              <w:spacing w:before="120" w:after="12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więcej niż dwie nowe zmiany w sekwencji T2.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Kryteria przedłużenia</w:t>
            </w:r>
            <w:r w:rsidR="00CB413C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leczenia o kolejne 12 miesięcy</w:t>
            </w:r>
          </w:p>
          <w:p w:rsidR="0078668B" w:rsidRPr="00D107EF" w:rsidRDefault="0078668B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Leczenie może zostać przedłużone o kolejne 12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miesięcy, jeżeli </w:t>
            </w: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zostaną spełnione 2 z 3 niżej wymienionych kryteriów: </w:t>
            </w:r>
          </w:p>
          <w:p w:rsidR="0078668B" w:rsidRPr="00D107EF" w:rsidRDefault="0078668B" w:rsidP="003872CD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liczba i ciężkość rzutów:</w:t>
            </w:r>
          </w:p>
          <w:p w:rsidR="0078668B" w:rsidRPr="00D107EF" w:rsidRDefault="0078668B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- brak rzutów lub rzuty łagodne (wzrost EDSS </w:t>
            </w:r>
            <w:r w:rsidRPr="00D107EF">
              <w:rPr>
                <w:sz w:val="20"/>
                <w:szCs w:val="20"/>
              </w:rPr>
              <w:t xml:space="preserve">w trakcie rzutu </w:t>
            </w:r>
            <w:r w:rsidRPr="00D107EF">
              <w:rPr>
                <w:color w:val="000000"/>
                <w:sz w:val="20"/>
                <w:szCs w:val="20"/>
              </w:rPr>
              <w:t xml:space="preserve">o 0.5 pkt lub o 1 pkt w zakresie jednego do trzech układów funkcjonalnych) lub </w:t>
            </w:r>
          </w:p>
          <w:p w:rsidR="0078668B" w:rsidRPr="00D107EF" w:rsidRDefault="0078668B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- 1 rzut umiarkowany (wzrost EDSS </w:t>
            </w:r>
            <w:r w:rsidRPr="00D107EF">
              <w:rPr>
                <w:sz w:val="20"/>
                <w:szCs w:val="20"/>
              </w:rPr>
              <w:t xml:space="preserve">w trakcie rzutu </w:t>
            </w:r>
            <w:r w:rsidRPr="00D107EF">
              <w:rPr>
                <w:color w:val="000000"/>
                <w:sz w:val="20"/>
                <w:szCs w:val="20"/>
              </w:rPr>
              <w:t xml:space="preserve">o 1 do 2 pkt lub 2 pkt w zakresie jednego do dwóch układów funkcjonalnych lub o 1 pkt w czterech lub większej liczbie układów funkcjonalnych) lub </w:t>
            </w:r>
          </w:p>
          <w:p w:rsidR="0078668B" w:rsidRPr="00D107EF" w:rsidRDefault="0078668B" w:rsidP="003872CD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brak progresji choroby w okresie ostatniego roku leczenia: różnica w skali EDSS poniżej 1 pkt;</w:t>
            </w:r>
          </w:p>
          <w:p w:rsidR="0078668B" w:rsidRPr="00D107EF" w:rsidRDefault="0078668B" w:rsidP="003872CD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brak wyraźnych cech aktywności i progresji choroby w badaniu MRI z podaniem kontrastu  (nie więcej niż jedna nowa zmiana Gd+ lub dwie nowe zmiany w sekwencji T2).</w:t>
            </w:r>
          </w:p>
          <w:p w:rsidR="00783659" w:rsidRPr="00D107EF" w:rsidRDefault="00286DAA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7.</w:t>
            </w:r>
            <w:r w:rsidRPr="00D107E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659" w:rsidRPr="00D107EF">
              <w:rPr>
                <w:b/>
                <w:bCs/>
                <w:color w:val="000000"/>
                <w:sz w:val="20"/>
                <w:szCs w:val="20"/>
              </w:rPr>
              <w:t xml:space="preserve">Kryteria kwalifikacji do leczenia </w:t>
            </w:r>
            <w:proofErr w:type="spellStart"/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>natalizumabem</w:t>
            </w:r>
            <w:proofErr w:type="spellEnd"/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 xml:space="preserve"> w ramach programu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leczenia substancją czynną </w:t>
            </w:r>
            <w:proofErr w:type="spellStart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natalizumab</w:t>
            </w:r>
            <w:proofErr w:type="spellEnd"/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kwalifikowani są pacjenci spełniający łącznie następujące kryteria: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7</w:t>
            </w:r>
            <w:r w:rsidR="00FF535E" w:rsidRPr="00D107EF">
              <w:rPr>
                <w:color w:val="000000"/>
                <w:sz w:val="20"/>
                <w:szCs w:val="20"/>
              </w:rPr>
              <w:t>.1. Wiek od 12</w:t>
            </w:r>
            <w:r w:rsidRPr="00D107EF">
              <w:rPr>
                <w:color w:val="000000"/>
                <w:sz w:val="20"/>
                <w:szCs w:val="20"/>
              </w:rPr>
              <w:t xml:space="preserve"> roku życia;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7.2. Rozpoznanie postaci rzutowej (nawracająco-ustępującej) stwardnienia rozsianego – oparte na </w:t>
            </w:r>
            <w:r w:rsidR="00D87CA5">
              <w:rPr>
                <w:color w:val="000000"/>
                <w:sz w:val="20"/>
                <w:szCs w:val="20"/>
              </w:rPr>
              <w:t xml:space="preserve">aktualnych </w:t>
            </w:r>
            <w:r w:rsidRPr="00D107EF">
              <w:rPr>
                <w:color w:val="000000"/>
                <w:sz w:val="20"/>
                <w:szCs w:val="20"/>
              </w:rPr>
              <w:t>kryter</w:t>
            </w:r>
            <w:r w:rsidR="00D87CA5">
              <w:rPr>
                <w:color w:val="000000"/>
                <w:sz w:val="20"/>
                <w:szCs w:val="20"/>
              </w:rPr>
              <w:t xml:space="preserve">iach diagnostycznych McDonalda </w:t>
            </w:r>
            <w:r w:rsidRPr="00D107EF">
              <w:rPr>
                <w:color w:val="000000"/>
                <w:sz w:val="20"/>
                <w:szCs w:val="20"/>
              </w:rPr>
              <w:t>i speł</w:t>
            </w:r>
            <w:r w:rsidR="00D87CA5">
              <w:rPr>
                <w:color w:val="000000"/>
                <w:sz w:val="20"/>
                <w:szCs w:val="20"/>
              </w:rPr>
              <w:t xml:space="preserve">nianie kryteriów określonych w </w:t>
            </w:r>
            <w:r w:rsidRPr="00D107EF">
              <w:rPr>
                <w:color w:val="000000"/>
                <w:sz w:val="20"/>
                <w:szCs w:val="20"/>
              </w:rPr>
              <w:t>pkt. 7.3. albo pkt.7.4.;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bCs/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7.3. Pacjenci, u których stwierdza się brak skuteczności terapii</w:t>
            </w:r>
            <w:r w:rsidR="00815DC3" w:rsidRPr="00D107EF">
              <w:rPr>
                <w:color w:val="000000"/>
                <w:sz w:val="20"/>
                <w:szCs w:val="20"/>
              </w:rPr>
              <w:t xml:space="preserve"> leczenia </w:t>
            </w:r>
            <w:r w:rsidR="00815DC3" w:rsidRPr="00D107EF">
              <w:rPr>
                <w:bCs/>
                <w:color w:val="000000"/>
                <w:sz w:val="20"/>
                <w:szCs w:val="20"/>
              </w:rPr>
              <w:t xml:space="preserve">interferonem beta lub PEG-interferonem beta-1a lub octanem </w:t>
            </w:r>
            <w:proofErr w:type="spellStart"/>
            <w:r w:rsidR="00815DC3" w:rsidRPr="00D107EF">
              <w:rPr>
                <w:bCs/>
                <w:color w:val="000000"/>
                <w:sz w:val="20"/>
                <w:szCs w:val="20"/>
              </w:rPr>
              <w:t>gl</w:t>
            </w:r>
            <w:r w:rsidR="00F804A9" w:rsidRPr="00D107EF">
              <w:rPr>
                <w:bCs/>
                <w:color w:val="000000"/>
                <w:sz w:val="20"/>
                <w:szCs w:val="20"/>
              </w:rPr>
              <w:t>a</w:t>
            </w:r>
            <w:r w:rsidR="000727A2" w:rsidRPr="00D107EF">
              <w:rPr>
                <w:bCs/>
                <w:color w:val="000000"/>
                <w:sz w:val="20"/>
                <w:szCs w:val="20"/>
              </w:rPr>
              <w:t>tirameru</w:t>
            </w:r>
            <w:proofErr w:type="spellEnd"/>
            <w:r w:rsidR="000727A2" w:rsidRPr="00D107EF">
              <w:rPr>
                <w:bCs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="000727A2" w:rsidRPr="00D107EF">
              <w:rPr>
                <w:bCs/>
                <w:color w:val="000000"/>
                <w:sz w:val="20"/>
                <w:szCs w:val="20"/>
              </w:rPr>
              <w:t>fumaranem</w:t>
            </w:r>
            <w:proofErr w:type="spellEnd"/>
            <w:r w:rsidR="000727A2" w:rsidRPr="00D107EF">
              <w:rPr>
                <w:bCs/>
                <w:color w:val="000000"/>
                <w:sz w:val="20"/>
                <w:szCs w:val="20"/>
              </w:rPr>
              <w:t xml:space="preserve"> dimetylu </w:t>
            </w:r>
            <w:r w:rsidR="00E94E8C" w:rsidRPr="00D107EF">
              <w:rPr>
                <w:bCs/>
                <w:color w:val="000000"/>
                <w:sz w:val="20"/>
                <w:szCs w:val="20"/>
              </w:rPr>
              <w:t xml:space="preserve">lub </w:t>
            </w:r>
            <w:proofErr w:type="spellStart"/>
            <w:r w:rsidR="00E94E8C" w:rsidRPr="00D107EF">
              <w:rPr>
                <w:bCs/>
                <w:color w:val="000000"/>
                <w:sz w:val="20"/>
                <w:szCs w:val="20"/>
              </w:rPr>
              <w:t>teryflunomidem</w:t>
            </w:r>
            <w:proofErr w:type="spellEnd"/>
            <w:r w:rsidR="00E94E8C" w:rsidRPr="00D107E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02176" w:rsidRPr="00D107EF">
              <w:rPr>
                <w:bCs/>
                <w:color w:val="000000"/>
                <w:sz w:val="20"/>
                <w:szCs w:val="20"/>
              </w:rPr>
              <w:t>po minimum 12-tu miesiącach terapii</w:t>
            </w:r>
            <w:r w:rsidRPr="00D107EF">
              <w:rPr>
                <w:color w:val="000000"/>
                <w:sz w:val="20"/>
                <w:szCs w:val="20"/>
              </w:rPr>
              <w:t>, definiowany jako spełnienie obu poniższych warunków: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liczba i ciężkość rzutów:</w:t>
            </w:r>
          </w:p>
          <w:p w:rsidR="00783659" w:rsidRPr="00D107EF" w:rsidRDefault="00783659" w:rsidP="003872CD">
            <w:pPr>
              <w:pStyle w:val="Akapitzlist"/>
              <w:numPr>
                <w:ilvl w:val="1"/>
                <w:numId w:val="18"/>
              </w:numPr>
              <w:spacing w:before="120" w:after="120" w:line="276" w:lineRule="auto"/>
              <w:ind w:left="709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2 lub więcej rzutów umiarkowanych wymagających leczenia sterydami (wzrost EDSS o 1 do 2 pkt lub wzrost o 2 pkt w zakresie jednego lub dwóch układów funkcjonalnych lub o 1 pkt w czterech lub  większej liczbie układów funkcjonalnych)  lub</w:t>
            </w:r>
          </w:p>
          <w:p w:rsidR="00783659" w:rsidRPr="00D107EF" w:rsidRDefault="00783659" w:rsidP="003872CD">
            <w:pPr>
              <w:pStyle w:val="Akapitzlist"/>
              <w:numPr>
                <w:ilvl w:val="1"/>
                <w:numId w:val="18"/>
              </w:numPr>
              <w:spacing w:before="120" w:after="120" w:line="276" w:lineRule="auto"/>
              <w:ind w:left="709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1 ciężki rzut po 6 miesiącach wymagający leczenia sterydami (wzrost w EDSS większy niż w definicji rzutu umiarkowanego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zmiany w badaniu  rezonansu magnetycznego </w:t>
            </w:r>
            <w:r w:rsidRPr="00D107E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107EF">
              <w:rPr>
                <w:color w:val="000000"/>
                <w:sz w:val="20"/>
                <w:szCs w:val="20"/>
              </w:rPr>
              <w:t>wykonanym  po każdych 12 miesiącach gdy stwierdza się jedno z poniższych: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więcej niż jedna nowa zmiana GD(+) 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więcej niż dwie nowe zmiany w sekwencji T2 (w sumie nie mniej niż 9 zmian);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7.4. Szybko rozwijająca  się, ciężka postać choroby rozpoznawana kiedy zostaną s</w:t>
            </w:r>
            <w:r w:rsidR="00D87CA5">
              <w:rPr>
                <w:color w:val="000000"/>
                <w:sz w:val="20"/>
                <w:szCs w:val="20"/>
              </w:rPr>
              <w:t>pełnione oba poniższe parametry</w:t>
            </w:r>
            <w:r w:rsidRPr="00D107EF">
              <w:rPr>
                <w:color w:val="000000"/>
                <w:sz w:val="20"/>
                <w:szCs w:val="20"/>
              </w:rPr>
              <w:t xml:space="preserve">: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a) liczba i ciężkość rzutów: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 -  co najmniej dwa  rzuty wymagające leczenia sterydami powodujące niesprawność (w czasie rzutu wzrost EDSS o minimum 2 pkt)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b) zmiany w badaniu  rezonansu magnetycznego           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- więcej niż jedna nowa zmiana GD(+) lub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- więcej niż dwie nowe zmiany w sekwencji T2  (w sumie nie mniej niż 9 zmian);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7.5. Zapoznanie się przez pacjenta z ustną i pisemną informacją dotyczącą programu. Podpisanie formularza świadomej  zgody przez pacjenta i lekarza prowadzącego. Jeden komplet dokumentów pozostaje w Ośrodku, drugi zostaje przekazany pacjentowi;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7.6. Przekazanie i potwierdzenie otrzymania karty pacjenta</w:t>
            </w:r>
            <w:r w:rsidRPr="00D107EF">
              <w:rPr>
                <w:bCs/>
                <w:color w:val="000000"/>
                <w:sz w:val="20"/>
                <w:szCs w:val="20"/>
              </w:rPr>
              <w:t>;</w:t>
            </w:r>
          </w:p>
          <w:p w:rsidR="00770CE5" w:rsidRPr="00D107EF" w:rsidRDefault="001449D0" w:rsidP="00D107EF">
            <w:pPr>
              <w:pStyle w:val="Akapitzlist"/>
              <w:spacing w:before="120" w:after="120" w:line="276" w:lineRule="auto"/>
              <w:ind w:left="0"/>
              <w:rPr>
                <w:bCs/>
                <w:color w:val="000000"/>
                <w:sz w:val="20"/>
                <w:szCs w:val="20"/>
              </w:rPr>
            </w:pPr>
            <w:r w:rsidRPr="00D107EF">
              <w:rPr>
                <w:bCs/>
                <w:color w:val="000000"/>
                <w:sz w:val="20"/>
                <w:szCs w:val="20"/>
              </w:rPr>
              <w:t>Do programu włączane są, bez konieczności ponownej kwalifikacji, pacjentki wyłączone z programu w związku z ciążą, które w momencie wyłączenia spełniały pozostałe kryteria  leczenia w programie  oraz które na moment ponownego włączania do programu nie spełniają przeciwskazań do leczenia oraz kryteriów wyłączenia i spełniają pozostałe kryteria przedłużenia leczenia.</w:t>
            </w:r>
          </w:p>
          <w:p w:rsidR="00783659" w:rsidRPr="00D107EF" w:rsidRDefault="00B410F4" w:rsidP="00D107EF">
            <w:pPr>
              <w:pStyle w:val="Akapitzlist"/>
              <w:spacing w:before="120" w:after="120" w:line="276" w:lineRule="auto"/>
              <w:ind w:left="0"/>
              <w:rPr>
                <w:b/>
                <w:color w:val="000000"/>
                <w:sz w:val="20"/>
                <w:szCs w:val="20"/>
              </w:rPr>
            </w:pPr>
            <w:r w:rsidRPr="00D107EF">
              <w:rPr>
                <w:b/>
                <w:color w:val="000000"/>
                <w:sz w:val="20"/>
                <w:szCs w:val="20"/>
              </w:rPr>
              <w:t>8</w:t>
            </w:r>
            <w:r w:rsidR="00CA2A82" w:rsidRPr="00D107EF">
              <w:rPr>
                <w:b/>
                <w:color w:val="000000"/>
                <w:sz w:val="20"/>
                <w:szCs w:val="20"/>
              </w:rPr>
              <w:t>.</w:t>
            </w:r>
            <w:r w:rsidR="00CA2A82" w:rsidRPr="00D107EF">
              <w:rPr>
                <w:color w:val="000000"/>
                <w:sz w:val="20"/>
                <w:szCs w:val="20"/>
              </w:rPr>
              <w:t xml:space="preserve"> </w:t>
            </w:r>
            <w:r w:rsidR="00783659" w:rsidRPr="00D107EF">
              <w:rPr>
                <w:b/>
                <w:bCs/>
                <w:color w:val="000000"/>
                <w:sz w:val="20"/>
                <w:szCs w:val="20"/>
              </w:rPr>
              <w:t>Przeciwskaz</w:t>
            </w:r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 xml:space="preserve">ania do stosowania </w:t>
            </w:r>
            <w:proofErr w:type="spellStart"/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>natalizumabu</w:t>
            </w:r>
            <w:proofErr w:type="spellEnd"/>
          </w:p>
          <w:p w:rsidR="00CD3C6D" w:rsidRPr="00D107EF" w:rsidRDefault="00A64CE2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U pacjentów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spełniajacych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conajmniej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jedno kryterium z poniżej wymienionych:</w:t>
            </w:r>
          </w:p>
          <w:p w:rsidR="00783659" w:rsidRPr="00D107EF" w:rsidRDefault="00FF535E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Wiek poniżej 12 </w:t>
            </w:r>
            <w:r w:rsidR="00783659" w:rsidRPr="00D107EF">
              <w:rPr>
                <w:color w:val="000000"/>
                <w:sz w:val="20"/>
                <w:szCs w:val="20"/>
              </w:rPr>
              <w:t>roku życia;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Ciąża i karmienie piersią;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Postać wtórnie postępująca i pierwotnie postępująca SM;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Skojarzenie z interferonem beta,  octanem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glatirameru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Zwiększone ryzyko zakażeń oportunistycznych, w tym pacjenci z upośledzoną odpornością (obecnie leczeni lekami  immunosupresyjnymi lub z upośledzoną odpornością z powodu wcześniej stosowanej terapii, np.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mitoksantronem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cyklofosfamidem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). W przypadku braku zaburzeń odporności dopuszczalne jest leczenie po upłynięciu 6-ciu miesięcy od podania ostatniej dawki leku immunosupresyjnego;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Przeciwwskazania do wykonania rezonansu magnetycznego.</w:t>
            </w:r>
          </w:p>
          <w:p w:rsidR="00783659" w:rsidRPr="00D107EF" w:rsidRDefault="00B410F4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A2A82" w:rsidRPr="00D107E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>Kryteria wyłączenia</w:t>
            </w:r>
          </w:p>
          <w:p w:rsidR="00CD3C6D" w:rsidRPr="00D107EF" w:rsidRDefault="00CD3C6D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Kryterium wyłączenia z leczenia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natalizumabem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jest spełnienie co najmniej jednego z niżej wymienionych kryteriów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Rezygnacja pacjenta;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Ciąża.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Nieprzestrzeganie zasad leczenia- pominięcie dwóch kolejnych dawek;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Postępująca wieloogniskowa leukoencefalopatia (PML);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708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a) w przypadku podejrzenia PML wstrzymanie podawania leku do czasu jego wykluczenia,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708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b) w przypadku potwierdzenia PML trwałe odstawienie leku.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Brak stabilizacji lub postęp choroby pomimo leczenia (dwa rzuty wymagające </w:t>
            </w:r>
            <w:proofErr w:type="spellStart"/>
            <w:r w:rsidRPr="00D107EF">
              <w:rPr>
                <w:sz w:val="20"/>
                <w:szCs w:val="20"/>
              </w:rPr>
              <w:t>sterydoterapii</w:t>
            </w:r>
            <w:proofErr w:type="spellEnd"/>
            <w:r w:rsidRPr="00D107EF">
              <w:rPr>
                <w:sz w:val="20"/>
                <w:szCs w:val="20"/>
              </w:rPr>
              <w:t xml:space="preserve"> lub pogorszenie o 2 punkty w EDSS w ciągu roku);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Reakcje nadwrażliwości  przy podaniu leku; 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Nieprawidłowe wyniki badań laboratoryjnych związane z leczeniem </w:t>
            </w:r>
            <w:proofErr w:type="spellStart"/>
            <w:r w:rsidR="00B410F4" w:rsidRPr="00D107EF">
              <w:rPr>
                <w:sz w:val="20"/>
                <w:szCs w:val="20"/>
              </w:rPr>
              <w:t>natalizumabem</w:t>
            </w:r>
            <w:proofErr w:type="spellEnd"/>
            <w:r w:rsidRPr="00D107EF">
              <w:rPr>
                <w:sz w:val="20"/>
                <w:szCs w:val="20"/>
              </w:rPr>
              <w:t xml:space="preserve"> (powyżej 3 górna granica normy);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Nowotwory złośliwe;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Inne zakażenia oportunistyczne.</w:t>
            </w:r>
          </w:p>
          <w:p w:rsidR="00783659" w:rsidRPr="00D107EF" w:rsidRDefault="00B410F4" w:rsidP="00D107EF">
            <w:pPr>
              <w:spacing w:before="120" w:after="120"/>
              <w:ind w:left="578" w:hanging="57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783659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Określe</w:t>
            </w:r>
            <w:r w:rsidR="00CB413C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czasu leczenia w programie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Ocenę skuteczności leczenia przeprowadza się po każdych pełnych 12 miesiącach terapii. 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U chorych odpowiadających na leczenie po ocenie skuteczności, terapię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można przedłużać o kolejne 12 miesięcy. </w:t>
            </w:r>
          </w:p>
          <w:p w:rsidR="00523614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Z uwagi na podwyższone ryzyko PML, lekarz specjalista i pacjent powinni ponownie po 2 latach indywidualnie rozważyć korzyści i ryzyko leczenia </w:t>
            </w:r>
            <w:proofErr w:type="spellStart"/>
            <w:r w:rsidR="00B410F4" w:rsidRPr="00D107EF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07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23614" w:rsidRPr="00D107EF" w:rsidRDefault="00523614" w:rsidP="00D107EF">
            <w:pPr>
              <w:spacing w:before="120"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Łączny czas leczenia pacjenta, lekami modyfikującymi przebieg choroby, zależy od decyzji lekarza.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W przypadku wystąpienia, w początkowym okresie leczenia, objawów niepożądanych lub ze względu na bezpieczeństwo chorego, dopuszcza się w ramach programu, zamianę na lek o innym mechanizmie działania.  Przesłanki do zmiany terapii, wymienione w poprzednim zdaniu, nie są tożsame z brakiem skuteczności wdrożonego leczenia.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Za brak skuteczności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, uzasadniający zmianę leczenia lub przerwanie leczenia,  przyjmuje się wystąpienie jednej z poniższych sytuacji: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Przejście w postać wtórnie postępującą;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Wystąpienie 2 z 3 poniższych  kryteriów: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hanging="218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liczba i ciężkość rzutów:</w:t>
            </w:r>
          </w:p>
          <w:p w:rsidR="00783659" w:rsidRPr="00D107EF" w:rsidRDefault="00783659" w:rsidP="00D107EF">
            <w:pPr>
              <w:spacing w:before="120" w:after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- 2 lub więcej rzutów umiarkowanych wymagających leczenia sterydami (wzrost EDSS o 1 do 2 pkt lub wzrost o 2 pkt w zakresie jednego lub dwóch układów funkcjonalnych lub o 1 pkt w zakresie czterech lub większej liczbie układów funkcjonalnych) lub</w:t>
            </w:r>
          </w:p>
          <w:p w:rsidR="00783659" w:rsidRPr="00D107EF" w:rsidRDefault="00783659" w:rsidP="00D107EF">
            <w:pPr>
              <w:spacing w:before="120" w:after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- 1 ciężki rzut wymagający leczenia sterydami po 6 miesiącach leczenia (wzrost w EDSS większy niż w definicji rzutu umiarkowanego),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hanging="218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progresja choroby mimo leczenia, co oznacza utrzymujące się przez co najmniej 3 miesiące pogorszenie się stanu neurologicznego o co najmniej: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- 2 pkt EDSS, gdy EDSS do 3,5,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42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- 1 pkt EDSS, gdy EDSS od 4,0;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hanging="218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zmiany w badaniu rezonansu magnetycznego wykonanym po każdych 12 miesiącach, gdy stwierdza się jedno z poniższych:</w:t>
            </w:r>
          </w:p>
          <w:p w:rsidR="00783659" w:rsidRPr="00D107EF" w:rsidRDefault="00783659" w:rsidP="00D107EF">
            <w:pPr>
              <w:spacing w:before="120" w:after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- więcej niż jedna nowa zmiana Gd (+),   </w:t>
            </w:r>
          </w:p>
          <w:p w:rsidR="00783659" w:rsidRPr="00D107EF" w:rsidRDefault="00783659" w:rsidP="00D107EF">
            <w:pPr>
              <w:spacing w:before="120" w:after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 więcej niż dwie nowe zmiany w sekwencji T2.</w:t>
            </w:r>
          </w:p>
          <w:p w:rsidR="00783659" w:rsidRPr="00D107EF" w:rsidRDefault="00B410F4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783659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Kryteria przedłużenia</w:t>
            </w:r>
            <w:r w:rsidR="00CB413C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leczenia o kolejne 12 miesięcy</w:t>
            </w:r>
          </w:p>
          <w:p w:rsidR="00783659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Leczenie może zostać przedłużone o kolejne 12 miesięcy, jeżeli zostaną spełnione 2 z 3 niżej wymienionych kryteriów: 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liczba i ciężkość rzutów:</w:t>
            </w:r>
          </w:p>
          <w:p w:rsidR="00783659" w:rsidRPr="00D107EF" w:rsidRDefault="00783659" w:rsidP="00D107EF">
            <w:pPr>
              <w:spacing w:before="120" w:after="12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- brak rzutów lub rzuty łagodne (wzrost EDSS w trakcie rzutu o 0.5 pkt lub o 1 pkt w zakresie jednego do trzech układów funkcjonalnych) lub </w:t>
            </w:r>
          </w:p>
          <w:p w:rsidR="00783659" w:rsidRPr="00D107EF" w:rsidRDefault="00783659" w:rsidP="00D107EF">
            <w:pPr>
              <w:spacing w:before="120" w:after="12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- 1 rzut umiarkowany (wzrost EDSS w trakcie rzutu o 1 do 2 pkt lub 2 pkt w zakresie jednego do dwóch układów funkcjonalnych lub o 1 pkt w czterech lub większej liczbie układów funkcjonalnych) lub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brak progresji choroby w okresie ostatniego roku leczenia: różnica w skali EDSS poniżej 1 pkt;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brak wyraźnych cech aktywności i progresji choroby w badaniu MRI z podaniem kontrastu  (nie więcej niż jedna nowa zmiana Gd+ lub d</w:t>
            </w:r>
            <w:r w:rsidR="001413F4" w:rsidRPr="00D107EF">
              <w:rPr>
                <w:sz w:val="20"/>
                <w:szCs w:val="20"/>
              </w:rPr>
              <w:t>wie nowe zmiany w sekwencji T2).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 Kryteria kwalifikacji </w:t>
            </w:r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do leczenia </w:t>
            </w:r>
            <w:proofErr w:type="spellStart"/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okrelizumabem</w:t>
            </w:r>
            <w:proofErr w:type="spellEnd"/>
            <w:r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32362" w:rsidRPr="00D10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ramach programu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leczenia substancją czynną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kwalifikowani są pacjenci spełniający łącznie kryteria 1.1.,1.2.,1.3.,1.4</w:t>
            </w:r>
            <w:r w:rsidR="008A351F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albo 2.1.,2.2.,2.3.,2.4., 2.5.,2.6.</w:t>
            </w:r>
          </w:p>
          <w:p w:rsidR="007B0E17" w:rsidRPr="00D107EF" w:rsidRDefault="007B0E17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a) Postać rzutowo-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remisyjna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1.1. Wiek od 18 roku życia;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1.2. Rozpoznanie postaci rzutowej stwardnienia rozsianego (RRMS) oparte na kryteriach diagnostycznych McDonalda (2017), łącznie z badaniami rezonansem magnetycznym, przed i po podaniu kontrastu  i spełnianie kryteriów określonych w  pkt. 1.3.;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1.3. Pacjenci, u których stwierdza się brak skuteczności terapii</w:t>
            </w: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leczenia interferonem beta lub PEG-interferonem beta-1a lub octanem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glatirameru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fumaranem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dimetylu lub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teriflunomidu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po minimum 12-tu miesiącach terapii, def</w:t>
            </w:r>
            <w:r w:rsidR="008A351F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niowany jako spełnienie obu poniższych warunków:</w:t>
            </w:r>
          </w:p>
          <w:p w:rsidR="00AE5AA4" w:rsidRPr="00D107EF" w:rsidRDefault="00AE5AA4" w:rsidP="003872CD">
            <w:pPr>
              <w:widowControl w:val="0"/>
              <w:numPr>
                <w:ilvl w:val="0"/>
                <w:numId w:val="23"/>
              </w:numPr>
              <w:spacing w:before="120" w:after="120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liczba i ciężkość rzutów:</w:t>
            </w:r>
          </w:p>
          <w:p w:rsidR="00AE5AA4" w:rsidRPr="00D107EF" w:rsidRDefault="00AE5AA4" w:rsidP="003872CD">
            <w:pPr>
              <w:widowControl w:val="0"/>
              <w:numPr>
                <w:ilvl w:val="1"/>
                <w:numId w:val="22"/>
              </w:numPr>
              <w:spacing w:before="120" w:after="120"/>
              <w:ind w:left="709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2 lub więcej rzutów umiarkowanych wymagających leczenia sterydami (wzrost EDSS o 1 do 2 pkt lub wzrost o 2 pkt w zakresie jednego lub dwóch układów funkcjonalnych lub o 1 pkt w czterech lub  większej liczbie układów funkcjonalnych)  lub</w:t>
            </w:r>
          </w:p>
          <w:p w:rsidR="00AE5AA4" w:rsidRPr="00D107EF" w:rsidRDefault="00AE5AA4" w:rsidP="003872CD">
            <w:pPr>
              <w:widowControl w:val="0"/>
              <w:numPr>
                <w:ilvl w:val="1"/>
                <w:numId w:val="22"/>
              </w:numPr>
              <w:spacing w:before="120" w:after="120"/>
              <w:ind w:left="709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 ciężki rzut po 6 miesiącach wymagający leczenia sterydami (wzrost w EDSS większy niż w definicji rzutu umiarkowanego</w:t>
            </w:r>
            <w:r w:rsidR="007B0E17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5AA4" w:rsidRPr="00D107EF" w:rsidRDefault="00AE5AA4" w:rsidP="003872CD">
            <w:pPr>
              <w:widowControl w:val="0"/>
              <w:numPr>
                <w:ilvl w:val="0"/>
                <w:numId w:val="23"/>
              </w:numPr>
              <w:spacing w:before="120" w:after="120"/>
              <w:ind w:left="42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zmiany w badaniu  rezonansu magnetycznego  wykonanym  po każdych 12 miesiącach gdy stwierdza się jedno z poniższych:</w:t>
            </w:r>
          </w:p>
          <w:p w:rsidR="00AE5AA4" w:rsidRPr="00D107EF" w:rsidRDefault="00AE5AA4" w:rsidP="003872CD">
            <w:pPr>
              <w:widowControl w:val="0"/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więcej niż  jedna nowa zmiana Gd (+) </w:t>
            </w:r>
          </w:p>
          <w:p w:rsidR="00AE5AA4" w:rsidRPr="00D107EF" w:rsidRDefault="00AE5AA4" w:rsidP="003872CD">
            <w:pPr>
              <w:widowControl w:val="0"/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więcej niż dwie nowe zmiany w sekwencji T2;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1.4. W przypadku kobiet w wieku rozrodczym stosowanie antykoncepcji;</w:t>
            </w:r>
          </w:p>
          <w:p w:rsidR="007B0E17" w:rsidRPr="00D107EF" w:rsidRDefault="007B0E17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132362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) P</w:t>
            </w: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ostać pierwotnie postępująca:</w:t>
            </w:r>
          </w:p>
          <w:p w:rsidR="00AE5AA4" w:rsidRPr="00D107EF" w:rsidRDefault="00AE5AA4" w:rsidP="00D107EF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A351F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wiek od 18 roku życia;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  <w:r w:rsidR="008A351F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rozpoznanie postaci pierwotnie postępującej stwardnienia rozsianego oparte na aktualnych kryteriach diagnostycznych McDonalda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1"/>
                <w:numId w:val="3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EDSS od 3 do 6,5</w:t>
            </w:r>
          </w:p>
          <w:p w:rsidR="00AE5AA4" w:rsidRPr="00D107EF" w:rsidRDefault="008A351F" w:rsidP="00D107EF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AE5AA4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czas trwania od pierwszych objawów postaci pierwotnie postępującej stwardnienia rozsianego: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8"/>
              </w:numPr>
              <w:spacing w:before="120" w:after="120" w:line="276" w:lineRule="auto"/>
              <w:ind w:left="452" w:hanging="425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mniej niż 10 lat u pacjentów z wynikiem EDSS w chwili kwalifikacji ≤ 5,0 lub 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8"/>
              </w:numPr>
              <w:spacing w:before="120" w:after="120" w:line="276" w:lineRule="auto"/>
              <w:ind w:left="452" w:hanging="425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mniej niż 15 lat u pacjentów z wynikiem EDSS w chwili kwalifikacji &gt;5,0.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1"/>
                <w:numId w:val="2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Potwierdzona aktywność zapalna w MRI :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1"/>
                <w:numId w:val="2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przynajmniej 1 ognisko wzmacniające się po Gd lub 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1"/>
                <w:numId w:val="2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przynajmniej 1 nowe lub powiększające ognisko T2 </w:t>
            </w:r>
          </w:p>
          <w:p w:rsidR="00AE5AA4" w:rsidRPr="00D107EF" w:rsidRDefault="00AE5AA4" w:rsidP="00D107EF">
            <w:pPr>
              <w:spacing w:before="120" w:after="12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w stosunku do poprzednio wykonanego badania MRI.</w:t>
            </w:r>
          </w:p>
          <w:p w:rsidR="00AE5AA4" w:rsidRPr="00D107EF" w:rsidRDefault="008A351F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  <w:r w:rsidR="00AE5AA4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przypadku kobiet w wieku rozrodczym stosowanie   antykoncepcji</w:t>
            </w:r>
          </w:p>
          <w:p w:rsidR="00AE5AA4" w:rsidRPr="00D107EF" w:rsidRDefault="00AE5AA4" w:rsidP="00D107E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Ponadto do programu lekowego, w celu zapewnienia kontynuacji terapii są kwalifikowani również pacjenci, którzy rozpoczęli leczenie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okrelizumabem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przed dniem </w:t>
            </w:r>
            <w:r w:rsidR="008A351F"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1 listopada 2019 r.</w:t>
            </w: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spełniają łącznie następujące kryteria: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Leczenie zostało włączone zgodnie z charakterystyką produktu leczniczego i powyższe znajduje odzwierciedlenie w dokumentacji medycznej pacjenta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Nie podlegają kryteriom uniemożl</w:t>
            </w:r>
            <w:r w:rsidR="007B0E17" w:rsidRPr="00D107EF">
              <w:rPr>
                <w:sz w:val="20"/>
                <w:szCs w:val="20"/>
              </w:rPr>
              <w:t>iwiającym włączenie do programu;</w:t>
            </w:r>
          </w:p>
          <w:p w:rsidR="00AE5AA4" w:rsidRPr="00D107EF" w:rsidRDefault="00AE5AA4" w:rsidP="00D107EF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Do programu włączane są, bez konieczności ponownej kwalifikacji, pacjentki wyłączone z programu w związku z ciążą, które w momencie wyłączenia spełniały pozostałe kryteria przedłużenia leczenia.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13.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ryteria uniemożliwiające włączenie do programu 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Przeciwwskazaniem do stosowania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okrelizumabu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jest: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nadwrażliwość na </w:t>
            </w:r>
            <w:proofErr w:type="spellStart"/>
            <w:r w:rsidRPr="00D107EF">
              <w:rPr>
                <w:sz w:val="20"/>
                <w:szCs w:val="20"/>
              </w:rPr>
              <w:t>okrelizumab</w:t>
            </w:r>
            <w:proofErr w:type="spellEnd"/>
            <w:r w:rsidRPr="00D107EF">
              <w:rPr>
                <w:sz w:val="20"/>
                <w:szCs w:val="20"/>
              </w:rPr>
              <w:t xml:space="preserve"> lub na któr</w:t>
            </w:r>
            <w:r w:rsidR="007B0E17" w:rsidRPr="00D107EF">
              <w:rPr>
                <w:sz w:val="20"/>
                <w:szCs w:val="20"/>
              </w:rPr>
              <w:t>ąkolwiek substancję pomocniczą;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Trwaj</w:t>
            </w:r>
            <w:r w:rsidR="007B0E17" w:rsidRPr="00D107EF">
              <w:rPr>
                <w:sz w:val="20"/>
                <w:szCs w:val="20"/>
              </w:rPr>
              <w:t>ące aktualnie, czynne zakażenie;</w:t>
            </w:r>
          </w:p>
          <w:p w:rsidR="00AE5AA4" w:rsidRPr="00D107EF" w:rsidRDefault="007B0E17" w:rsidP="003872CD">
            <w:pPr>
              <w:pStyle w:val="Akapitzlist"/>
              <w:widowControl w:val="0"/>
              <w:numPr>
                <w:ilvl w:val="0"/>
                <w:numId w:val="2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Ciężkie obniżenie odporności;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Rozpozn</w:t>
            </w:r>
            <w:r w:rsidR="007B0E17" w:rsidRPr="00D107EF">
              <w:rPr>
                <w:sz w:val="20"/>
                <w:szCs w:val="20"/>
              </w:rPr>
              <w:t>any , czynny  nowotwór złośliwy;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2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inne  przeciwwskazania wymienione w Charakterystyce Produktu Leczniczego.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7B0E17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Kryteria wyłączenia</w:t>
            </w:r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Kryterium wyłączenia z leczenia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okrelizumabem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spełnienie co najmniej jednego z niżej wymienionych kryteriów:</w:t>
            </w:r>
          </w:p>
          <w:p w:rsidR="00AE5AA4" w:rsidRPr="00D107EF" w:rsidRDefault="00AE5AA4" w:rsidP="003872CD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nietolerancja  </w:t>
            </w:r>
            <w:proofErr w:type="spellStart"/>
            <w:r w:rsidRPr="00D107EF">
              <w:rPr>
                <w:sz w:val="20"/>
                <w:szCs w:val="20"/>
              </w:rPr>
              <w:t>okrelizumabu</w:t>
            </w:r>
            <w:proofErr w:type="spellEnd"/>
            <w:r w:rsidR="00132362" w:rsidRPr="00D107EF">
              <w:rPr>
                <w:sz w:val="20"/>
                <w:szCs w:val="20"/>
              </w:rPr>
              <w:t>,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czynne zakażenie do momentu jego ustąpienia</w:t>
            </w:r>
            <w:r w:rsidR="00132362" w:rsidRPr="00D107EF">
              <w:rPr>
                <w:sz w:val="20"/>
                <w:szCs w:val="20"/>
              </w:rPr>
              <w:t>,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stan ciężkiego osłabienia odporności</w:t>
            </w:r>
            <w:r w:rsidR="00132362" w:rsidRPr="00D107EF">
              <w:rPr>
                <w:sz w:val="20"/>
                <w:szCs w:val="20"/>
              </w:rPr>
              <w:t>,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nowotwór złośliwy </w:t>
            </w:r>
            <w:r w:rsidR="00132362" w:rsidRPr="00D107EF">
              <w:rPr>
                <w:sz w:val="20"/>
                <w:szCs w:val="20"/>
              </w:rPr>
              <w:t>,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ciąża, chyba, że potencjalne korzyści dla matki przewyższa</w:t>
            </w:r>
            <w:r w:rsidR="00132362" w:rsidRPr="00D107EF">
              <w:rPr>
                <w:sz w:val="20"/>
                <w:szCs w:val="20"/>
              </w:rPr>
              <w:t>ją potencjalne ryzyko dla płodu,</w:t>
            </w:r>
          </w:p>
          <w:p w:rsidR="00AE5AA4" w:rsidRPr="00D107EF" w:rsidRDefault="007B0E17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brak skuteczności leczenia</w:t>
            </w:r>
            <w:r w:rsidR="00132362" w:rsidRPr="00D107EF">
              <w:rPr>
                <w:sz w:val="20"/>
                <w:szCs w:val="20"/>
              </w:rPr>
              <w:t>,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przejście w postać wtórnie postępującą.</w:t>
            </w:r>
          </w:p>
          <w:p w:rsidR="00AE5AA4" w:rsidRPr="00D107EF" w:rsidRDefault="007B0E17" w:rsidP="00D107EF">
            <w:pPr>
              <w:spacing w:before="120" w:after="120"/>
              <w:ind w:left="578" w:hanging="57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15.  </w:t>
            </w:r>
            <w:r w:rsidR="00AE5AA4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Określe</w:t>
            </w:r>
            <w:r w:rsidR="00132362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 czasu leczenia w programie</w:t>
            </w:r>
          </w:p>
          <w:p w:rsidR="007B0E17" w:rsidRPr="00D107EF" w:rsidRDefault="008E22DE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7B0E17" w:rsidRPr="00D107EF">
              <w:rPr>
                <w:rFonts w:ascii="Times New Roman" w:hAnsi="Times New Roman" w:cs="Times New Roman"/>
                <w:sz w:val="20"/>
                <w:szCs w:val="20"/>
              </w:rPr>
              <w:t>Postać rzutowo-</w:t>
            </w:r>
            <w:proofErr w:type="spellStart"/>
            <w:r w:rsidR="007B0E17" w:rsidRPr="00D107EF">
              <w:rPr>
                <w:rFonts w:ascii="Times New Roman" w:hAnsi="Times New Roman" w:cs="Times New Roman"/>
                <w:sz w:val="20"/>
                <w:szCs w:val="20"/>
              </w:rPr>
              <w:t>remisyjna</w:t>
            </w:r>
            <w:proofErr w:type="spellEnd"/>
          </w:p>
          <w:p w:rsidR="00AE5AA4" w:rsidRPr="00D107EF" w:rsidRDefault="00AE5AA4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Ocenę skuteczności leczenia przeprowadza się po każdych pełnych 12 miesiącach terapii. Za brak skuteczności leczenia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okrelizumabem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uzasadniający zmianę lub przerwanie leczenia,  przyjmuje się wystąpienie obu poniższych sytuacji: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0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liczba i ciężkość rzutów:</w:t>
            </w:r>
          </w:p>
          <w:p w:rsidR="00AE5AA4" w:rsidRPr="00D107EF" w:rsidRDefault="00AE5AA4" w:rsidP="00D107EF">
            <w:pPr>
              <w:spacing w:before="120" w:after="120"/>
              <w:ind w:left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- 2 lub więcej rzutów umiarkowanych wymagających leczenia sterydami (wzrost EDSS o 1 do 2 pkt lub wzrost o 2 pkt w zakresie jednego lub dwóch układów funkcjonalnych lub o 1 pkt w zakresie czterech lub większej liczbie układów funkcjonalnych)  lub </w:t>
            </w:r>
          </w:p>
          <w:p w:rsidR="00AE5AA4" w:rsidRPr="00D107EF" w:rsidRDefault="00AE5AA4" w:rsidP="00D107EF">
            <w:pPr>
              <w:spacing w:before="120" w:after="120"/>
              <w:ind w:left="5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-  1 ciężki rzut  wymagający leczenia sterydami po 6 miesiącach leczenia (wzrost EDSS większy niż w definicji rzutu umiarkowanego tj. powyżej 2 pkt.),</w:t>
            </w:r>
          </w:p>
          <w:p w:rsidR="00132362" w:rsidRPr="00D107EF" w:rsidRDefault="00AE5AA4" w:rsidP="003872CD">
            <w:pPr>
              <w:pStyle w:val="Akapitzlist"/>
              <w:widowControl w:val="0"/>
              <w:numPr>
                <w:ilvl w:val="0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zmiany w badaniu rezonansu magnetycznego wykonanym po każdych 12 miesiącach, gdy stwierdza się jedno z poniższych:</w:t>
            </w:r>
          </w:p>
          <w:p w:rsidR="00132362" w:rsidRPr="00D107EF" w:rsidRDefault="00AE5AA4" w:rsidP="003872CD">
            <w:pPr>
              <w:pStyle w:val="Akapitzlist"/>
              <w:widowControl w:val="0"/>
              <w:numPr>
                <w:ilvl w:val="1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co najmniej jedna nowa zmiana Gd (+),   </w:t>
            </w:r>
          </w:p>
          <w:p w:rsidR="00AE5AA4" w:rsidRPr="00D107EF" w:rsidRDefault="00AE5AA4" w:rsidP="003872CD">
            <w:pPr>
              <w:pStyle w:val="Akapitzlist"/>
              <w:widowControl w:val="0"/>
              <w:numPr>
                <w:ilvl w:val="1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co najmniej dwie nowe zmiany w sekwencji T2.</w:t>
            </w:r>
          </w:p>
          <w:p w:rsidR="007B0E17" w:rsidRPr="00D107EF" w:rsidRDefault="008E22DE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7B0E17" w:rsidRPr="00D107EF">
              <w:rPr>
                <w:rFonts w:ascii="Times New Roman" w:hAnsi="Times New Roman" w:cs="Times New Roman"/>
                <w:sz w:val="20"/>
                <w:szCs w:val="20"/>
              </w:rPr>
              <w:t>Postać pierwotnie-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postępująca</w:t>
            </w:r>
          </w:p>
          <w:p w:rsidR="003A3447" w:rsidRPr="00D107EF" w:rsidRDefault="007B0E17" w:rsidP="00D107E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Ocenę skuteczności leczenia przeprowadza się po każdych pełnych 12 miesiącach terapii. Za brak skuteczności leczenia 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okrelizumabem</w:t>
            </w:r>
            <w:proofErr w:type="spellEnd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uzasadniający zmianę lub przerwanie leczenia,  przyjmuje się wystąpienie jednego z poniższych:</w:t>
            </w:r>
          </w:p>
          <w:p w:rsidR="003A3447" w:rsidRPr="00D107EF" w:rsidRDefault="007B0E17" w:rsidP="003872CD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357" w:hanging="357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wystąpienie nieskuteczność leczenia definiowana jako pogorszenie w skali EDSS o co najmniej 2 pkt w ciągu 12 miesięcy lub</w:t>
            </w:r>
            <w:r w:rsidR="008E22DE" w:rsidRPr="00D107EF">
              <w:rPr>
                <w:sz w:val="20"/>
                <w:szCs w:val="20"/>
              </w:rPr>
              <w:t xml:space="preserve"> </w:t>
            </w:r>
          </w:p>
          <w:p w:rsidR="00610CDE" w:rsidRPr="00D107EF" w:rsidRDefault="007B0E17" w:rsidP="003872CD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357" w:hanging="357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EDSS powyżej 8</w:t>
            </w:r>
            <w:r w:rsidR="008E22DE" w:rsidRPr="00D107EF">
              <w:rPr>
                <w:sz w:val="20"/>
                <w:szCs w:val="20"/>
              </w:rPr>
              <w:t>;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16. </w:t>
            </w:r>
            <w:r w:rsidRPr="00D107E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107EF">
              <w:rPr>
                <w:b/>
                <w:bCs/>
                <w:color w:val="000000"/>
                <w:sz w:val="20"/>
                <w:szCs w:val="20"/>
              </w:rPr>
              <w:t>Kryteria kwalifikacji do leczenia kladrybiną</w:t>
            </w:r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 xml:space="preserve"> w tabletkach w ramach programu</w:t>
            </w:r>
          </w:p>
          <w:p w:rsidR="00DF5898" w:rsidRPr="00D107EF" w:rsidRDefault="00DF5898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leczenia substancją czynną kladrybina w tabletkach kwalifikowani są pacjenci spełniający następujące kryteria: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1.1. Wiek od 18 roku życia;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1.2. Rozpoznanie postaci </w:t>
            </w:r>
            <w:r w:rsidR="00FD2BEF">
              <w:rPr>
                <w:color w:val="000000"/>
                <w:sz w:val="20"/>
                <w:szCs w:val="20"/>
              </w:rPr>
              <w:t>rzutowo-</w:t>
            </w:r>
            <w:proofErr w:type="spellStart"/>
            <w:r w:rsidR="00FD2BEF">
              <w:rPr>
                <w:color w:val="000000"/>
                <w:sz w:val="20"/>
                <w:szCs w:val="20"/>
              </w:rPr>
              <w:t>remisyjnej</w:t>
            </w:r>
            <w:proofErr w:type="spellEnd"/>
            <w:r w:rsidR="00FD2BEF">
              <w:rPr>
                <w:color w:val="000000"/>
                <w:sz w:val="20"/>
                <w:szCs w:val="20"/>
              </w:rPr>
              <w:t xml:space="preserve"> stwardnienia rozsianego </w:t>
            </w:r>
            <w:r w:rsidRPr="00D107EF">
              <w:rPr>
                <w:color w:val="000000"/>
                <w:sz w:val="20"/>
                <w:szCs w:val="20"/>
              </w:rPr>
              <w:t xml:space="preserve">(RRMS) – oparte na </w:t>
            </w:r>
            <w:r w:rsidR="00DB2F0B" w:rsidRPr="00D107EF">
              <w:rPr>
                <w:color w:val="000000"/>
                <w:sz w:val="20"/>
                <w:szCs w:val="20"/>
              </w:rPr>
              <w:t xml:space="preserve">aktualnych </w:t>
            </w:r>
            <w:r w:rsidRPr="00D107EF">
              <w:rPr>
                <w:color w:val="000000"/>
                <w:sz w:val="20"/>
                <w:szCs w:val="20"/>
              </w:rPr>
              <w:t>kryter</w:t>
            </w:r>
            <w:r w:rsidR="00DB2F0B" w:rsidRPr="00D107EF">
              <w:rPr>
                <w:color w:val="000000"/>
                <w:sz w:val="20"/>
                <w:szCs w:val="20"/>
              </w:rPr>
              <w:t xml:space="preserve">iach diagnostycznych McDonalda </w:t>
            </w:r>
            <w:r w:rsidRPr="00D107EF">
              <w:rPr>
                <w:color w:val="000000"/>
                <w:sz w:val="20"/>
                <w:szCs w:val="20"/>
              </w:rPr>
              <w:t>i spełnianie</w:t>
            </w:r>
            <w:r w:rsidR="00FD2BEF">
              <w:rPr>
                <w:color w:val="000000"/>
                <w:sz w:val="20"/>
                <w:szCs w:val="20"/>
              </w:rPr>
              <w:t xml:space="preserve"> kryterió</w:t>
            </w:r>
            <w:r w:rsidR="00A2210E">
              <w:rPr>
                <w:color w:val="000000"/>
                <w:sz w:val="20"/>
                <w:szCs w:val="20"/>
              </w:rPr>
              <w:t>w określonych w pkt. 1.3. lub 1</w:t>
            </w:r>
            <w:r w:rsidR="00FD2BEF">
              <w:rPr>
                <w:color w:val="000000"/>
                <w:sz w:val="20"/>
                <w:szCs w:val="20"/>
              </w:rPr>
              <w:t>.4 oraz 1</w:t>
            </w:r>
            <w:r w:rsidRPr="00D107EF">
              <w:rPr>
                <w:color w:val="000000"/>
                <w:sz w:val="20"/>
                <w:szCs w:val="20"/>
              </w:rPr>
              <w:t>.5.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1.3. Pacjenci, u których stwierdza się brak odpowiedzi na leczenie </w:t>
            </w:r>
            <w:r w:rsidRPr="00D107EF">
              <w:rPr>
                <w:bCs/>
                <w:color w:val="000000"/>
                <w:sz w:val="20"/>
                <w:szCs w:val="20"/>
              </w:rPr>
              <w:t xml:space="preserve">interferonem beta lub PEG-interferonem beta-1a lub octanem </w:t>
            </w:r>
            <w:proofErr w:type="spellStart"/>
            <w:r w:rsidRPr="00D107EF">
              <w:rPr>
                <w:bCs/>
                <w:color w:val="000000"/>
                <w:sz w:val="20"/>
                <w:szCs w:val="20"/>
              </w:rPr>
              <w:t>glatirameru</w:t>
            </w:r>
            <w:proofErr w:type="spellEnd"/>
            <w:r w:rsidRPr="00D107EF">
              <w:rPr>
                <w:bCs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D107EF">
              <w:rPr>
                <w:bCs/>
                <w:color w:val="000000"/>
                <w:sz w:val="20"/>
                <w:szCs w:val="20"/>
              </w:rPr>
              <w:t>fumaranem</w:t>
            </w:r>
            <w:proofErr w:type="spellEnd"/>
            <w:r w:rsidRPr="00D107EF">
              <w:rPr>
                <w:bCs/>
                <w:color w:val="000000"/>
                <w:sz w:val="20"/>
                <w:szCs w:val="20"/>
              </w:rPr>
              <w:t xml:space="preserve"> dimetylu lub </w:t>
            </w:r>
            <w:proofErr w:type="spellStart"/>
            <w:r w:rsidRPr="00D107EF">
              <w:rPr>
                <w:bCs/>
                <w:color w:val="000000"/>
                <w:sz w:val="20"/>
                <w:szCs w:val="20"/>
              </w:rPr>
              <w:t>teryflunomidem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, definiowany jako spełnienie obu poniższych warunków: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liczba i ciężkość rzutów: 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a)  2 lub więcej rzutów umiarkowanych wymagających leczenia sterydami (wzrost EDSS o 1 do 2 pkt lub wzrost o 2 pkt w zakresie jednego lub dwóch układów funkcjonalnych lub o 1 pkt w zakresie czterech lub większej liczby układów funkcjonalnych) lub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b) 1 ciężki rzut po 6 miesiącach leczenia (wzrost EDSS większy niż w definicji rzutu umiarkowanego);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zmiany w badaniu rezonansu magnetycznego, gdy stwierdza się jedno z poniższych: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a) więcej niż 1 nowa zmiana T1 Gd(+)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b) więcej niż 2 nowe zmiany w sekwencji T2 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1.4. Pacjenci z szybko rozwijająca się, ciężka postacią choroby rozpoznawaną kiedy zostaną spełnione oba poniższe parametry: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liczba i ciężkość rzutów: 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- co najmniej dwa rzuty wymagające terapii sterydami, powodujące niesprawność (w czasie rzutu wzrost EDSS o minimum 2 pkt)  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zmiany w badaniu rezonansu magnetycznego: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więcej niż jedna nowa zmiana GD(+) lub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więcej niż dwie nowe zmiany w sekwencji T2 (w sumie nie mniej niż 9 zmian);</w:t>
            </w:r>
          </w:p>
          <w:p w:rsidR="00DF5898" w:rsidRPr="00D107EF" w:rsidRDefault="00DF5898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1.5. Liczba limfocytów musi: 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a) być prawidłowa przed rozpoczęciem stosowania kladrybiny w tabletkach w roku 1, </w:t>
            </w:r>
          </w:p>
          <w:p w:rsidR="00DF5898" w:rsidRPr="00D107EF" w:rsidRDefault="00DF5898" w:rsidP="00D107EF">
            <w:pPr>
              <w:pStyle w:val="Akapitzlist"/>
              <w:spacing w:before="120" w:after="120"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b) wynosić co najmniej 800 komórek/mm³ przed rozpoczęciem stosowania kladrybiny w tabletkach w roku 2.</w:t>
            </w:r>
          </w:p>
          <w:p w:rsidR="00DF5898" w:rsidRPr="00D107EF" w:rsidRDefault="00DF5898" w:rsidP="00D107EF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razie potrzeby można opóźnić cykl leczenia w roku 2. o okres do 6 miesięcy, aby umożliwić odnowę limfocytów. Jeśli taka odnowa trwa dłużej niż 6 miesięcy, pacjent nie powinien już otrzymywać kladrybiny w tabletkach.</w:t>
            </w:r>
          </w:p>
          <w:p w:rsidR="00BB3F71" w:rsidRPr="00BB3F71" w:rsidRDefault="00BB3F71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BB3F71">
              <w:rPr>
                <w:color w:val="000000"/>
                <w:sz w:val="20"/>
                <w:szCs w:val="20"/>
              </w:rPr>
              <w:t xml:space="preserve">Ponadto do programu lekowego, w celu zapewnienia kontynuacji terapii są kwalifikowani również pacjenci,  którzy </w:t>
            </w:r>
            <w:r w:rsidR="00A2210E">
              <w:rPr>
                <w:color w:val="000000"/>
                <w:sz w:val="20"/>
                <w:szCs w:val="20"/>
              </w:rPr>
              <w:t>byli</w:t>
            </w:r>
            <w:r w:rsidRPr="00BB3F71">
              <w:rPr>
                <w:color w:val="000000"/>
                <w:sz w:val="20"/>
                <w:szCs w:val="20"/>
              </w:rPr>
              <w:t xml:space="preserve"> uprzednio leczeni kladrybiną w ramach innego sposobu finansowania terapii  przed dniem 1 listopada 2019 r., o ile na dzień rozpoczęcia terapii spełnili stosowne</w:t>
            </w:r>
            <w:r w:rsidR="00A2210E">
              <w:rPr>
                <w:color w:val="000000"/>
                <w:sz w:val="20"/>
                <w:szCs w:val="20"/>
              </w:rPr>
              <w:t xml:space="preserve"> kryteria kwalifikacji oraz jednocześnie nie spełniają</w:t>
            </w:r>
            <w:bookmarkStart w:id="0" w:name="_GoBack"/>
            <w:bookmarkEnd w:id="0"/>
            <w:r w:rsidRPr="00BB3F71">
              <w:rPr>
                <w:color w:val="000000"/>
                <w:sz w:val="20"/>
                <w:szCs w:val="20"/>
              </w:rPr>
              <w:t xml:space="preserve"> kryteriów uniemożliwiających włączenie do programu.</w:t>
            </w:r>
          </w:p>
          <w:p w:rsidR="00DF5898" w:rsidRPr="00D107EF" w:rsidRDefault="00DB2F0B" w:rsidP="00D107EF">
            <w:pPr>
              <w:pStyle w:val="Akapitzlist"/>
              <w:spacing w:before="120" w:after="120" w:line="276" w:lineRule="auto"/>
              <w:ind w:left="0"/>
              <w:rPr>
                <w:color w:val="000000"/>
                <w:sz w:val="20"/>
                <w:szCs w:val="20"/>
              </w:rPr>
            </w:pPr>
            <w:r w:rsidRPr="00D107EF">
              <w:rPr>
                <w:b/>
                <w:color w:val="000000"/>
                <w:sz w:val="20"/>
                <w:szCs w:val="20"/>
              </w:rPr>
              <w:t xml:space="preserve">17. </w:t>
            </w:r>
            <w:r w:rsidR="00DF5898" w:rsidRPr="00D107EF">
              <w:rPr>
                <w:color w:val="000000"/>
                <w:sz w:val="20"/>
                <w:szCs w:val="20"/>
              </w:rPr>
              <w:t xml:space="preserve"> </w:t>
            </w:r>
            <w:r w:rsidR="00DF5898" w:rsidRPr="00D107EF">
              <w:rPr>
                <w:b/>
                <w:bCs/>
                <w:color w:val="000000"/>
                <w:sz w:val="20"/>
                <w:szCs w:val="20"/>
              </w:rPr>
              <w:t>Przeciwskazania do sto</w:t>
            </w:r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>sowania kladrybiny w tabletkach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ciąża i karmienie piersią;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nadwrażliwość na kladrybinę lub substancje pomocnicze;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zakażenie ludzkim wirusem niedoboru odporności (HIV);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przewlekłe zakażenie w fazie aktywnej (gruźlica, zapalenie wątroby);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 xml:space="preserve">obecne leczenie lekami immunosupresyjnymi lub 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mielosupresyjnymi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>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aktywna złośliwa choroba nowotworowa;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umiarkowana lub ciężka niewydolność nerek (</w:t>
            </w:r>
            <w:proofErr w:type="spellStart"/>
            <w:r w:rsidRPr="00D107EF">
              <w:rPr>
                <w:color w:val="000000"/>
                <w:sz w:val="20"/>
                <w:szCs w:val="20"/>
              </w:rPr>
              <w:t>klirens</w:t>
            </w:r>
            <w:proofErr w:type="spellEnd"/>
            <w:r w:rsidRPr="00D107EF">
              <w:rPr>
                <w:color w:val="000000"/>
                <w:sz w:val="20"/>
                <w:szCs w:val="20"/>
              </w:rPr>
              <w:t xml:space="preserve"> kreatyniny &lt;60 ml/min);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color w:val="000000"/>
                <w:sz w:val="20"/>
                <w:szCs w:val="20"/>
              </w:rPr>
            </w:pPr>
            <w:r w:rsidRPr="00D107EF">
              <w:rPr>
                <w:color w:val="000000"/>
                <w:sz w:val="20"/>
                <w:szCs w:val="20"/>
              </w:rPr>
              <w:t>inne - zgodnie z zapisami aktualnej Charakterystyki Produktu Leczniczego.</w:t>
            </w:r>
          </w:p>
          <w:p w:rsidR="00DF5898" w:rsidRPr="00D107EF" w:rsidRDefault="00DB2F0B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D107EF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CB413C" w:rsidRPr="00D107EF">
              <w:rPr>
                <w:b/>
                <w:bCs/>
                <w:color w:val="000000"/>
                <w:sz w:val="20"/>
                <w:szCs w:val="20"/>
              </w:rPr>
              <w:t>. Kryteria wyłączenia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nadwrażliwość na kladrybinę lub substancje pomocnicze;</w:t>
            </w:r>
          </w:p>
          <w:p w:rsidR="00DF5898" w:rsidRPr="00D107EF" w:rsidRDefault="00DF5898" w:rsidP="003872CD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rezygnacja pacjenta;</w:t>
            </w:r>
          </w:p>
          <w:p w:rsidR="00DF5898" w:rsidRPr="00D107EF" w:rsidRDefault="00DF5898" w:rsidP="003872CD">
            <w:pPr>
              <w:pStyle w:val="Default"/>
              <w:numPr>
                <w:ilvl w:val="0"/>
                <w:numId w:val="40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jeśli odnowa limfocytów przed podaniem cyklu leczenia w roku 2 trwa dłużej niż 6 miesięcy, pacjent nie powinien już otrzymywać kladrybiny w tabletkach;</w:t>
            </w:r>
          </w:p>
          <w:p w:rsidR="00DF5898" w:rsidRPr="00D107EF" w:rsidRDefault="00DF5898" w:rsidP="003872CD">
            <w:pPr>
              <w:pStyle w:val="Default"/>
              <w:numPr>
                <w:ilvl w:val="0"/>
                <w:numId w:val="40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ciąża i karmienie piersią;</w:t>
            </w:r>
          </w:p>
          <w:p w:rsidR="00DF5898" w:rsidRDefault="00DF5898" w:rsidP="003872CD">
            <w:pPr>
              <w:pStyle w:val="Default"/>
              <w:numPr>
                <w:ilvl w:val="0"/>
                <w:numId w:val="40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pojawienie się innych przeciwwskazań wymienionych w Charak</w:t>
            </w:r>
            <w:r w:rsidR="00D87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terystyce Produktu Leczniczego;</w:t>
            </w:r>
          </w:p>
          <w:p w:rsidR="00D87CA5" w:rsidRPr="00D107EF" w:rsidRDefault="00D87CA5" w:rsidP="00D87CA5">
            <w:pPr>
              <w:pStyle w:val="Default"/>
              <w:numPr>
                <w:ilvl w:val="0"/>
                <w:numId w:val="40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7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przejśc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 w postać wtórnie postępującą;</w:t>
            </w:r>
          </w:p>
          <w:p w:rsidR="00DF5898" w:rsidRPr="00D107EF" w:rsidRDefault="00DB2F0B" w:rsidP="00D107EF">
            <w:pPr>
              <w:spacing w:before="120" w:after="120"/>
              <w:ind w:left="578" w:hanging="57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DF5898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Określe</w:t>
            </w:r>
            <w:r w:rsidR="003872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czasu leczenia w programie</w:t>
            </w:r>
          </w:p>
          <w:p w:rsidR="00DF5898" w:rsidRPr="00D107EF" w:rsidRDefault="00DF5898" w:rsidP="00D107EF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Leczenie kladrybiną w tabletkach prowadzone jest w dwóch cyklach, podawanych na początku dwóch kolejnych lat: 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 kwalifikujący się pacjent otrzymuje 2 cykle leczenia kladrybiną w tabletkach – pierwszy cykl w pierwszym roku i drugi cykl w drugim roku leczenia. Każdy cykl składa się z 2 tygodni leczenia, jednego na początku pierwszego miesiąca i jednego na początku drugiego miesiąca danego roku leczenia. Każdy tydzień leczenia trwa 4 lub 5 dni, podczas których pacjent otrzymuje 10 mg lub 20 mg (jedną lub dwie tabletki) w pojedynczej dawce dobowej, w zależności od masy ciała – zgodnie z Charakterystyką Produktu Leczniczego.</w:t>
            </w:r>
          </w:p>
          <w:p w:rsidR="00DF5898" w:rsidRPr="00D107EF" w:rsidRDefault="00DF5898" w:rsidP="00D107EF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2 cykli leczenia nie jest wymagane dalsze leczenie kladrybiną w roku 3. i 4.</w:t>
            </w:r>
          </w:p>
          <w:p w:rsidR="00DF5898" w:rsidRPr="00D107EF" w:rsidRDefault="00DF5898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razie potrzeby można opóźnić cykl leczenia w roku 2. o okres do 6 miesięcy, aby umożliwić odnowę limfocytów. Jeśli taka odnowa trwa dłużej niż 6 miesięcy, pacjent nie powinien już otrzymywać kladrybiny w tabletkach.</w:t>
            </w:r>
          </w:p>
        </w:tc>
        <w:tc>
          <w:tcPr>
            <w:tcW w:w="1451" w:type="pct"/>
          </w:tcPr>
          <w:p w:rsidR="00783659" w:rsidRPr="00D107EF" w:rsidRDefault="0019390C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b/>
                <w:bCs/>
                <w:sz w:val="20"/>
                <w:szCs w:val="20"/>
              </w:rPr>
              <w:lastRenderedPageBreak/>
              <w:t xml:space="preserve">1. </w:t>
            </w:r>
            <w:proofErr w:type="spellStart"/>
            <w:r w:rsidR="00783659" w:rsidRPr="00D107EF">
              <w:rPr>
                <w:b/>
                <w:bCs/>
                <w:sz w:val="20"/>
                <w:szCs w:val="20"/>
              </w:rPr>
              <w:t>Fingolimod</w:t>
            </w:r>
            <w:proofErr w:type="spellEnd"/>
          </w:p>
          <w:p w:rsidR="0019390C" w:rsidRPr="00D107EF" w:rsidRDefault="0078365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Zalec</w:t>
            </w:r>
            <w:r w:rsidR="005E09C7">
              <w:rPr>
                <w:rFonts w:ascii="Times New Roman" w:hAnsi="Times New Roman" w:cs="Times New Roman"/>
                <w:sz w:val="20"/>
                <w:szCs w:val="20"/>
              </w:rPr>
              <w:t xml:space="preserve">ane dawkowanie </w:t>
            </w:r>
            <w:proofErr w:type="spellStart"/>
            <w:r w:rsidR="005E09C7">
              <w:rPr>
                <w:rFonts w:ascii="Times New Roman" w:hAnsi="Times New Roman" w:cs="Times New Roman"/>
                <w:sz w:val="20"/>
                <w:szCs w:val="20"/>
              </w:rPr>
              <w:t>fingolimodu</w:t>
            </w:r>
            <w:proofErr w:type="spellEnd"/>
            <w:r w:rsidR="005E09C7">
              <w:rPr>
                <w:rFonts w:ascii="Times New Roman" w:hAnsi="Times New Roman" w:cs="Times New Roman"/>
                <w:sz w:val="20"/>
                <w:szCs w:val="20"/>
              </w:rPr>
              <w:t xml:space="preserve"> to 0,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5 mg doustnie raz na dobę.</w:t>
            </w:r>
          </w:p>
          <w:p w:rsidR="00783659" w:rsidRPr="00D107EF" w:rsidRDefault="0019390C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="00783659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Natalizumab</w:t>
            </w:r>
            <w:proofErr w:type="spellEnd"/>
          </w:p>
          <w:p w:rsidR="001413F4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Zalecane dawkowanie </w:t>
            </w:r>
            <w:proofErr w:type="spellStart"/>
            <w:r w:rsidRPr="00D107EF">
              <w:rPr>
                <w:sz w:val="20"/>
                <w:szCs w:val="20"/>
              </w:rPr>
              <w:t>natalizumabu</w:t>
            </w:r>
            <w:proofErr w:type="spellEnd"/>
            <w:r w:rsidRPr="00D107EF">
              <w:rPr>
                <w:sz w:val="20"/>
                <w:szCs w:val="20"/>
              </w:rPr>
              <w:t xml:space="preserve"> to 300 mg dożylnie, we wlewie kroplowym 100 ml 0,9% NaCl co 4 tygodnie.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Przerywając podawanie </w:t>
            </w:r>
            <w:proofErr w:type="spellStart"/>
            <w:r w:rsidRPr="00D107EF">
              <w:rPr>
                <w:sz w:val="20"/>
                <w:szCs w:val="20"/>
              </w:rPr>
              <w:t>natalizumabu</w:t>
            </w:r>
            <w:proofErr w:type="spellEnd"/>
            <w:r w:rsidRPr="00D107EF">
              <w:rPr>
                <w:sz w:val="20"/>
                <w:szCs w:val="20"/>
              </w:rPr>
              <w:t xml:space="preserve"> przed zastosowaniem alternatywnego leczenia należy uwzględnić, że </w:t>
            </w:r>
            <w:proofErr w:type="spellStart"/>
            <w:r w:rsidRPr="00D107EF">
              <w:rPr>
                <w:sz w:val="20"/>
                <w:szCs w:val="20"/>
              </w:rPr>
              <w:t>natalizumab</w:t>
            </w:r>
            <w:proofErr w:type="spellEnd"/>
            <w:r w:rsidRPr="00D107EF">
              <w:rPr>
                <w:sz w:val="20"/>
                <w:szCs w:val="20"/>
              </w:rPr>
              <w:t xml:space="preserve"> utrzymuje się we krwi i jego działania farmakodynamiczne trwają przez około 12 tygodni po podaniu ostatniej dawki.</w:t>
            </w:r>
          </w:p>
          <w:p w:rsidR="0019390C" w:rsidRPr="00D107EF" w:rsidRDefault="0019390C" w:rsidP="00D107E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107EF">
              <w:rPr>
                <w:rFonts w:ascii="Times New Roman" w:hAnsi="Times New Roman" w:cs="Times New Roman"/>
                <w:b/>
                <w:sz w:val="20"/>
                <w:szCs w:val="20"/>
              </w:rPr>
              <w:t>Okrelizumab</w:t>
            </w:r>
            <w:proofErr w:type="spellEnd"/>
          </w:p>
          <w:p w:rsidR="00F451D3" w:rsidRPr="00D107EF" w:rsidRDefault="00F451D3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Początkową dawkę 600 mg podaje się w dwóch oddzielnych wlewach dożylnych; najpierw wlew 300 mg, a 2 tygodnie później drugi wlew 300 mg</w:t>
            </w:r>
          </w:p>
          <w:p w:rsidR="00202951" w:rsidRPr="00D107EF" w:rsidRDefault="00F451D3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Kolejne dawki to pojedynczy wlew dożylny dawki 600 mg podawany co 6 miesięcy. Pierwszą kolejną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dawkę 600 mg należy podać sześć miesięcy po pierwszym wlewie dawki początkowej. Pomiędzy kolejnymi dawkami należy zachować odstęp minimum 5 miesięcy.</w:t>
            </w:r>
          </w:p>
          <w:p w:rsidR="00F451D3" w:rsidRDefault="00F451D3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Szczegółowe informacje dotyczące dawkowania znajdują się w aktualnej 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 Produktu Leczniczego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3D7" w:rsidRPr="00D107EF" w:rsidRDefault="00B613D7" w:rsidP="00B613D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Konieczna premedykacja zgodnie z Charakterystyką Produktu Leczniczego</w:t>
            </w:r>
          </w:p>
          <w:p w:rsidR="00B613D7" w:rsidRPr="00B613D7" w:rsidRDefault="00B613D7" w:rsidP="00B613D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Wymagany jest d</w:t>
            </w:r>
            <w:r w:rsidRPr="00B61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ostęp do środków medycznych niezbędny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 do leczenia ciężkich reakcji </w:t>
            </w:r>
            <w:r w:rsidRPr="00B61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związanych z wlewem </w:t>
            </w:r>
          </w:p>
          <w:p w:rsidR="0019390C" w:rsidRPr="00D107EF" w:rsidRDefault="0019390C" w:rsidP="00D107E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sz w:val="20"/>
                <w:szCs w:val="20"/>
              </w:rPr>
              <w:t>4. Kladrybina</w:t>
            </w:r>
          </w:p>
          <w:p w:rsidR="00202951" w:rsidRPr="00D107EF" w:rsidRDefault="00202951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Zalecana dawka całkowita kladrybiny w tabletkach to 3,5 mg/kg masy ciała przez 2 lata, podawana w 1 cyklu leczenia 1,75 mg/kg na rok. Każdy cykl składa się z 2 tygodni leczenia, jednego na początku pierwszego miesiąca i jednego na początku drugiego miesiąca danego roku leczenia. W każdym tygodniu leczenie trwa 4 lub 5 dni, podczas których pacjent otrzymuje 10 mg lub 20 mg (jedną lub dwie tabletki) w pojedynczej dawce dobowej, w zależności od masy ciała.  Po zakończeniu 2 cykli leczenia nie jest wymagane dalsze leczenie kladrybiną w roku 3. i 4. </w:t>
            </w:r>
          </w:p>
          <w:p w:rsidR="00202951" w:rsidRPr="00D107EF" w:rsidRDefault="00202951" w:rsidP="00D107EF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Szczegółowe informacje dotyczące dawkowania znajdują się w aktualnej 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 Produktu Leczniczego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2951" w:rsidRPr="00D107EF" w:rsidRDefault="00202951" w:rsidP="00D107E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pct"/>
            <w:tcBorders>
              <w:right w:val="single" w:sz="4" w:space="0" w:color="auto"/>
            </w:tcBorders>
          </w:tcPr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 Badania przy kwalif</w:t>
            </w:r>
            <w:r w:rsidR="00CB413C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ikacji do leczenia </w:t>
            </w:r>
            <w:proofErr w:type="spellStart"/>
            <w:r w:rsidR="00CB413C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fingolimodem</w:t>
            </w:r>
            <w:proofErr w:type="spellEnd"/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1.1. Badania biochemiczne, w tym oceniające funkcję wątroby;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1.2. Morfologia krwi z rozmazem;</w:t>
            </w:r>
          </w:p>
          <w:p w:rsidR="00783659" w:rsidRPr="00D107EF" w:rsidRDefault="00783659" w:rsidP="00D107EF">
            <w:pPr>
              <w:spacing w:before="120" w:after="120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1.3. Rezonans magnetyczny z kontrastem; rezonans magnetyczny wykonuje się w okresie kwalifikacji do programu. Jeżeli leczenie nie zostanie rozpoczęte do </w:t>
            </w:r>
            <w:r w:rsidR="001449D0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dni od jego wykonania to badanie powtarza się tuż przed zastosowaniem pierwszej dawki leku;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1.4. Konsultacja kardiologiczna przed włączeniem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u pacjentów otrzymujących leki mogące zwalniać akcję serca (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betablokery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werapamil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digoksyna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, leki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cholinolityczne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, pilokarpina itp.) oraz u pacjentów z wywiadem w kierunku zaburzeń rytmu i przewodzenia, niewydolności serca, omdleń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kardiogennych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, lub innej znaczącej choroby serca;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1.5. Konsultacja okulistyczna - u pacjentów  z wywiadem w kierunku cukrzycy lub zapalenia błony naczyniowej oka;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1.6. Oznaczenie poziomu przeciwciał przeciw wirusowi ospy wietrznej i półpaśca (VZV); w razie braku przeciwciał przeciw </w:t>
            </w:r>
            <w:r w:rsidRPr="00D10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VZV konieczne jest przeprowadzenie szczepienia przeciw VZV miesiąc przed włączeniem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1.7. U kobiet w wieku reprodukcyjnym – test ciążowy, który musi być negatywny przed rozpoczęciem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1.8. Konsultacja dermatologiczna w ciągu 6 miesięcy przed rozpoczęciem leczenia.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Ponadto pacjenci włączeni do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powinni obligatoryjnie zapoznać się z materiałami edukacyjnymi dostarczonymi przez producenta leku w ramach tzw. „planu zarządzania ryzykiem” i potwierdzić ten fakt pisemnie w dokumentacji medycznej.</w:t>
            </w:r>
          </w:p>
          <w:p w:rsidR="00783659" w:rsidRPr="00D107EF" w:rsidRDefault="00CB413C" w:rsidP="00D107EF">
            <w:pPr>
              <w:spacing w:before="120" w:after="120"/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Inicjacja leczenia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2.1. Inicjacja leczenia musi być przeprowadzona w warunkach krótkotrwałej hospitalizacji bądź w poradni przyszpitalnej, gdzie istnieje możliwość ciągłego monitorowania zapisu EKG, oraz pilnej hospitalizacji w razie konieczności leczenia zaburzeń rytmu lub w razie konieczności leczenia zaburzeń przewodzenia. Wszyscy pacjenci w dniu inicjacji leczenia muszą być poddani 6-godzinnej ciągłej obserwacji w kierunku potencjalnie mogących wystąpić zaburzeń rytmu lub przewodzenia;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2.2. W toku opisanej inicjacji wykonuje się badania: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Badanie EKG z 12 </w:t>
            </w:r>
            <w:proofErr w:type="spellStart"/>
            <w:r w:rsidRPr="00D107EF">
              <w:rPr>
                <w:sz w:val="20"/>
                <w:szCs w:val="20"/>
              </w:rPr>
              <w:t>odprowadzeniami</w:t>
            </w:r>
            <w:proofErr w:type="spellEnd"/>
            <w:r w:rsidRPr="00D107EF">
              <w:rPr>
                <w:sz w:val="20"/>
                <w:szCs w:val="20"/>
              </w:rPr>
              <w:t xml:space="preserve"> oraz pomiar ciśnienia tętniczego bezpośrednio przez podaniem leku oraz po 6 godzinach od momentu podania leku;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Ciągłe monitorowanie EKG w czasie rzeczywistym (z użyciem kardiomonitora) w trakcie 6-godzinnej obserwacji po pierwszej dawce leku;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lastRenderedPageBreak/>
              <w:t>Pomiary ciśnienia tętniczego krwi i tętna co godzinę do zakończenia obserwacji, których wyniki musza być odnotowane w dokumentacji pacjenta;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W razie wystąpienia zaburzeń rytmu lub przewodzenia konieczne może być wykonanie dodatkowego badania EKG oraz przedłużenie monitorowania EKG do dnia następnego lub włączenie leczenia farmakologicznego;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W przypadku  pacjentów z kardiologicznymi czynnikami ryzyka zdefiniowanymi w przeciwwskazaniach względnych obowiązkowa jest obserwacja do następnego dnia po włączeniu leczenia </w:t>
            </w:r>
            <w:proofErr w:type="spellStart"/>
            <w:r w:rsidRPr="00D107EF">
              <w:rPr>
                <w:sz w:val="20"/>
                <w:szCs w:val="20"/>
              </w:rPr>
              <w:t>fingolimodem</w:t>
            </w:r>
            <w:proofErr w:type="spellEnd"/>
            <w:r w:rsidRPr="00D107EF">
              <w:rPr>
                <w:sz w:val="20"/>
                <w:szCs w:val="20"/>
              </w:rPr>
              <w:t xml:space="preserve">. U takich pacjentów konieczne jest przeprowadzenie konsultacji kardiologicznej przed planowanym włączeniem leczenia, a w przypadku pacjentów leczonych lekami zwalniającymi akcję serca zaleca się o ile jest to możliwe zmianę leczenia na takie, które nie powoduje zwolnienia akcji serca.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Identyczną procedurę monitorowania należy przeprowadzić również u pacjentów, u których doszło do przerwy w podawaniu </w:t>
            </w:r>
            <w:proofErr w:type="spellStart"/>
            <w:r w:rsidRPr="00D107EF">
              <w:rPr>
                <w:sz w:val="20"/>
                <w:szCs w:val="20"/>
              </w:rPr>
              <w:t>fingolimodu</w:t>
            </w:r>
            <w:proofErr w:type="spellEnd"/>
            <w:r w:rsidRPr="00D107EF">
              <w:rPr>
                <w:sz w:val="20"/>
                <w:szCs w:val="20"/>
              </w:rPr>
              <w:t xml:space="preserve"> trwającej dłużej niż 14 dni;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16" w:hanging="316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W przypadku wystąpienia istotnego wpływu na układ krążenia, obserwację pacjenta należy przedłużyć do czasu jego ustąpienia, nie krócej jednak niż do następnego dnia. Kryteria przedłużenia obserwacji obejmują:</w:t>
            </w:r>
          </w:p>
          <w:p w:rsidR="00783659" w:rsidRPr="00D107EF" w:rsidRDefault="00783659" w:rsidP="00D107EF">
            <w:pPr>
              <w:spacing w:before="120" w:after="120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a) wystąpienie w dowolnym momencie  podczas 6-godzinnego okresu monitorowania pacjenta po podaniu pierwszej dawki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fingolimodu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bloku serca III stopnia,</w:t>
            </w:r>
          </w:p>
          <w:p w:rsidR="00783659" w:rsidRPr="00D107EF" w:rsidRDefault="00783659" w:rsidP="00D107EF">
            <w:pPr>
              <w:spacing w:before="120" w:after="120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b) obecność poniższych objawów w momencie zakończenia 6-godzinnej obserwacji:</w:t>
            </w:r>
          </w:p>
          <w:p w:rsidR="00783659" w:rsidRPr="00D107EF" w:rsidRDefault="00783659" w:rsidP="00D107EF">
            <w:pPr>
              <w:spacing w:before="120" w:after="12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 akcja serca poniżej 45 uderzeń na minutę,</w:t>
            </w:r>
          </w:p>
          <w:p w:rsidR="00783659" w:rsidRPr="00D107EF" w:rsidRDefault="00783659" w:rsidP="00D107EF">
            <w:pPr>
              <w:spacing w:before="120" w:after="12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wydłużenie odstępu QT &gt;500 milisekund,</w:t>
            </w:r>
          </w:p>
          <w:p w:rsidR="00783659" w:rsidRPr="00D107EF" w:rsidRDefault="00783659" w:rsidP="00D107EF">
            <w:pPr>
              <w:spacing w:before="120" w:after="12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- utrzymujący się nowo rozpoznany blok serca II stopnia typu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Mobitz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I lub blok przedsionkowo-komorowy wyższego stopnia.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U takich pacjentów konieczna jest konsultacja kardiologiczna (bądź internistyczna) celem oceny bezpieczeństwa dalszego leczenia </w:t>
            </w:r>
            <w:proofErr w:type="spellStart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fingolimodem</w:t>
            </w:r>
            <w:proofErr w:type="spellEnd"/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. W razie wątpliwości należy rozważyć zmianę terapii.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CB413C" w:rsidRPr="00D10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 leczenia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Badanie morfologii krwi oraz poziomu transaminaz wątrobowych w 1., 3., 6., 9. i 12.  miesiącu leczenia, a następnie nie rzadziej, niż co 6 miesięcy lub zależnie od wskazań klinicznych;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Rezonans magnetyczny z kontrastem – po każdych 12 miesiącach leczenia;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Konsultacja okulistyczna 3-4 miesiące po rozpoczęciu leczenia w celu wykluczenia obrzęku plamki, a następnie zależnie od opinii okulisty, jednak nie rzadziej niż raz w roku;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Konsultacja okulistyczna jest konieczna również w przypadku wystąpienia jakichkolwiek zaburzeń widzenia w trakcie leczenia </w:t>
            </w:r>
            <w:proofErr w:type="spellStart"/>
            <w:r w:rsidRPr="00D107EF">
              <w:rPr>
                <w:sz w:val="20"/>
                <w:szCs w:val="20"/>
              </w:rPr>
              <w:t>fingolimodem</w:t>
            </w:r>
            <w:proofErr w:type="spellEnd"/>
            <w:r w:rsidRPr="00D107EF">
              <w:rPr>
                <w:sz w:val="20"/>
                <w:szCs w:val="20"/>
              </w:rPr>
              <w:t>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Okresowa kontrola ciśnienia tętniczego krwi, nie rzadziej niż raz na 3 miesiące;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Konsultacja dermatologiczna po każdych 12 miesiącach leczenia.</w:t>
            </w:r>
          </w:p>
          <w:p w:rsidR="00783659" w:rsidRPr="00D107EF" w:rsidRDefault="004532F0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b/>
                <w:bCs/>
                <w:sz w:val="20"/>
                <w:szCs w:val="20"/>
              </w:rPr>
              <w:t xml:space="preserve">4. </w:t>
            </w:r>
            <w:r w:rsidR="00783659" w:rsidRPr="00D107EF">
              <w:rPr>
                <w:b/>
                <w:bCs/>
                <w:sz w:val="20"/>
                <w:szCs w:val="20"/>
              </w:rPr>
              <w:t xml:space="preserve">Badania przy kwalifikacji do leczenia </w:t>
            </w:r>
            <w:proofErr w:type="spellStart"/>
            <w:r w:rsidR="00783659" w:rsidRPr="00D107EF">
              <w:rPr>
                <w:b/>
                <w:bCs/>
                <w:sz w:val="20"/>
                <w:szCs w:val="20"/>
              </w:rPr>
              <w:t>natalizumabem</w:t>
            </w:r>
            <w:proofErr w:type="spellEnd"/>
            <w:r w:rsidR="00783659" w:rsidRPr="00D107EF">
              <w:rPr>
                <w:b/>
                <w:bCs/>
                <w:sz w:val="20"/>
                <w:szCs w:val="20"/>
              </w:rPr>
              <w:t>: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4.1. Morfologia krwi z rozmazem;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lastRenderedPageBreak/>
              <w:t>4.2. Badania biochemiczne krwi, w tym oceniające funkcję nerek i wątroby;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4.3. Badanie ogólne moczu; 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4.4. Test ciążowy w moczu;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4.5. </w:t>
            </w:r>
            <w:r w:rsidR="00AC00D6" w:rsidRPr="00D107EF">
              <w:rPr>
                <w:sz w:val="20"/>
                <w:szCs w:val="20"/>
              </w:rPr>
              <w:t xml:space="preserve">Rezonans magnetyczny </w:t>
            </w:r>
            <w:r w:rsidRPr="00D107EF">
              <w:rPr>
                <w:sz w:val="20"/>
                <w:szCs w:val="20"/>
              </w:rPr>
              <w:t xml:space="preserve">bez i po podaniu kontrastu w okresie nie dłuższym niż </w:t>
            </w:r>
            <w:r w:rsidR="001449D0" w:rsidRPr="00D107EF">
              <w:rPr>
                <w:sz w:val="20"/>
                <w:szCs w:val="20"/>
              </w:rPr>
              <w:t xml:space="preserve">60 </w:t>
            </w:r>
            <w:r w:rsidRPr="00D107EF">
              <w:rPr>
                <w:sz w:val="20"/>
                <w:szCs w:val="20"/>
              </w:rPr>
              <w:t>dni do podania leku, wg ustalonej metodologii (natężenie pola skanera ≥1,0 T, grubość przekroju ≤5 mm, bez przerw, sekwencje:</w:t>
            </w:r>
            <w:r w:rsidRPr="00D107EF">
              <w:rPr>
                <w:snapToGrid w:val="0"/>
                <w:sz w:val="20"/>
                <w:szCs w:val="20"/>
              </w:rPr>
              <w:t xml:space="preserve"> FLAIR, TSE PD/T2, SE T1);</w:t>
            </w:r>
          </w:p>
          <w:p w:rsidR="00783659" w:rsidRPr="00D107EF" w:rsidRDefault="00783659" w:rsidP="00D107EF">
            <w:pPr>
              <w:pStyle w:val="Akapitzlist"/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4.6. Ocena stanu neurologicznego z określeniem EDSS;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4.7. Wykonanie testu na obecność przeciwciał anty-JCV w celu kwalifikacji do leczenia i stratyfikacji ryzyka PML.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Ponadto w ramach Planu Zarządzania Ryzykiem lekarze przepisujący produkt leczniczy zawierający </w:t>
            </w:r>
            <w:proofErr w:type="spellStart"/>
            <w:r w:rsidRPr="00D107EF">
              <w:rPr>
                <w:sz w:val="20"/>
                <w:szCs w:val="20"/>
              </w:rPr>
              <w:t>natalizumab</w:t>
            </w:r>
            <w:proofErr w:type="spellEnd"/>
            <w:r w:rsidRPr="00D107EF">
              <w:rPr>
                <w:sz w:val="20"/>
                <w:szCs w:val="20"/>
              </w:rPr>
              <w:t xml:space="preserve"> otrzymują pakiet dla lekarza zawierający: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Charakterystykę Produktu Leczniczego oraz Ulotkę dla Pacjenta,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Informację dla lekarza o produkcie leczniczym zawierającym </w:t>
            </w:r>
            <w:proofErr w:type="spellStart"/>
            <w:r w:rsidRPr="00D107EF">
              <w:rPr>
                <w:sz w:val="20"/>
                <w:szCs w:val="20"/>
              </w:rPr>
              <w:t>natalizumab</w:t>
            </w:r>
            <w:proofErr w:type="spellEnd"/>
            <w:r w:rsidRPr="00D107EF">
              <w:rPr>
                <w:sz w:val="20"/>
                <w:szCs w:val="20"/>
              </w:rPr>
              <w:t>,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Kartę Ostrzegawczą Pacjenta,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formularz wdrożenia i kontynuacji leczenia,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pacjenci włączenie do programu muszą otrzymać kartę ostrzegawczą pacjenta i kopię formularza rozpoczęcia terapii. Potwierdzenie otrzymania kopii formularza i karty ostrzegawczej pacjenta pozostaje w dokumentacji medycznej.</w:t>
            </w:r>
          </w:p>
          <w:p w:rsidR="00783659" w:rsidRPr="00D107EF" w:rsidRDefault="004532F0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b/>
                <w:bCs/>
                <w:sz w:val="20"/>
                <w:szCs w:val="20"/>
              </w:rPr>
              <w:t xml:space="preserve">5. </w:t>
            </w:r>
            <w:r w:rsidR="00CB413C" w:rsidRPr="00D107EF">
              <w:rPr>
                <w:b/>
                <w:bCs/>
                <w:sz w:val="20"/>
                <w:szCs w:val="20"/>
              </w:rPr>
              <w:t>Monitorowanie leczenia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badanie podmiotowe i przedmiotowe, ze szczególnym uwzględnieniem stanu psychicznego i funkcji poznawczych, przed każdym podaniem leku oraz w sytuacji pojawienia się nowych objawów;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badania laboratoryjne, w tym: morfologia krwi z rozmazem, badania funkcji nerek, wątroby; 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badanie ogólne moczu co 3 miesiące w ciągu pierwszego roku, a następnie co 6 miesięcy lub w razie wskazań medycznych;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MRI bez i po podaniu kontrastu po każdych 12-tu miesiącach leczenia; </w:t>
            </w:r>
          </w:p>
          <w:p w:rsidR="00E97993" w:rsidRPr="00D107EF" w:rsidRDefault="00E97993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W przypadku pacjentów z wyższym ryzykiem wystąpienia PML należy rozważyć częstsze badania MRI (np. co 3-6 miesięcy), z zastosowaniem skróconej sekwencji. Do</w:t>
            </w:r>
            <w:r w:rsidR="00CB413C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takich pacjentów należą:</w:t>
            </w:r>
          </w:p>
          <w:p w:rsidR="00E97993" w:rsidRPr="00D107EF" w:rsidRDefault="002B73C4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  <w:r w:rsidR="00E97993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pacjenci z wszystkimi trzema czynnikami ryzyka PML (tj. z obecnością przeciwciał anty-JCV </w:t>
            </w:r>
            <w:r w:rsidR="00E97993" w:rsidRPr="00D107E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oraz </w:t>
            </w:r>
            <w:r w:rsidR="00E97993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stosujący leczenie produktem TYSABRI od ponad 2 lat </w:t>
            </w:r>
            <w:r w:rsidR="00E97993" w:rsidRPr="00D107E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oraz</w:t>
            </w:r>
            <w:r w:rsidR="00CB413C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E97993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wcześniej stosujący leki immunosupresyjne),</w:t>
            </w:r>
          </w:p>
          <w:p w:rsidR="00E97993" w:rsidRPr="00D107EF" w:rsidRDefault="00E97993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lub</w:t>
            </w:r>
          </w:p>
          <w:p w:rsidR="00E97993" w:rsidRPr="00D107EF" w:rsidRDefault="002B73C4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-</w:t>
            </w:r>
            <w:r w:rsidR="00E97993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pacjenci z wysokim wskaźnikiem przeciwciał anty-JCV, leczeni produktem TYSABRI od ponad 2 lat i którzy wcześniej nie otrzymywali leków immunosupresyjnych.</w:t>
            </w:r>
          </w:p>
          <w:p w:rsidR="00E97993" w:rsidRPr="00D107EF" w:rsidRDefault="00E97993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Z dostępnych danych wynika, że ryzyko rozwoju PML jest niskie przy wskaźniku ≤0,9 i znacząco wzrasta dla wartości powyżej 1,5 u pacjentów leczonych produktem TYSABRI przez dłużej niż 2 lata</w:t>
            </w:r>
          </w:p>
          <w:p w:rsidR="00783659" w:rsidRPr="00D107EF" w:rsidRDefault="001622D0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W</w:t>
            </w:r>
            <w:r w:rsidR="00783659" w:rsidRPr="00D107EF">
              <w:rPr>
                <w:sz w:val="20"/>
                <w:szCs w:val="20"/>
              </w:rPr>
              <w:t xml:space="preserve"> przypadku podejrzenia PML</w:t>
            </w:r>
            <w:r w:rsidR="00C64855" w:rsidRPr="00D107EF">
              <w:rPr>
                <w:sz w:val="20"/>
                <w:szCs w:val="20"/>
              </w:rPr>
              <w:t xml:space="preserve"> lub JCV GCN</w:t>
            </w:r>
            <w:r w:rsidR="00783659" w:rsidRPr="00D107EF">
              <w:rPr>
                <w:sz w:val="20"/>
                <w:szCs w:val="20"/>
              </w:rPr>
              <w:t xml:space="preserve"> badanie płynu mózgowo-rdzeniowego na obecność wirusa JC, badanie rezonansu magnetycznego bez i po podaniu kontrastu;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Powtarzanie testu</w:t>
            </w:r>
            <w:r w:rsidR="004762BF" w:rsidRPr="00D107EF">
              <w:rPr>
                <w:sz w:val="20"/>
                <w:szCs w:val="20"/>
              </w:rPr>
              <w:t xml:space="preserve"> na obecność przeciwciał anty-JCV z określeniem miana poziomu </w:t>
            </w:r>
            <w:r w:rsidR="00D30232" w:rsidRPr="00D107EF">
              <w:rPr>
                <w:sz w:val="20"/>
                <w:szCs w:val="20"/>
              </w:rPr>
              <w:t>przeciwciał,</w:t>
            </w:r>
            <w:r w:rsidRPr="00D107EF">
              <w:rPr>
                <w:sz w:val="20"/>
                <w:szCs w:val="20"/>
              </w:rPr>
              <w:t xml:space="preserve"> u pacjenta z ujemnym mianem przeciwciał anty- JCV co 6 miesięcy.</w:t>
            </w:r>
          </w:p>
          <w:p w:rsidR="00B463D6" w:rsidRPr="00D107EF" w:rsidRDefault="00CD3C6D" w:rsidP="003872C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U pacjentów zgłaszających objawy takie jak: zmniejszona ostrość widzenia, zaczerwienienie i ból oka należy skierować na badanie siatkówki </w:t>
            </w:r>
            <w:r w:rsidR="00855192" w:rsidRPr="00D107EF">
              <w:rPr>
                <w:sz w:val="20"/>
                <w:szCs w:val="20"/>
              </w:rPr>
              <w:t xml:space="preserve">w kierunku </w:t>
            </w:r>
            <w:r w:rsidRPr="00D107EF">
              <w:rPr>
                <w:sz w:val="20"/>
                <w:szCs w:val="20"/>
              </w:rPr>
              <w:t xml:space="preserve">ARN. W przypadku klinicznego potwierdzenia ARN należy </w:t>
            </w:r>
            <w:proofErr w:type="spellStart"/>
            <w:r w:rsidRPr="00D107EF">
              <w:rPr>
                <w:sz w:val="20"/>
                <w:szCs w:val="20"/>
              </w:rPr>
              <w:t>rozważyc</w:t>
            </w:r>
            <w:proofErr w:type="spellEnd"/>
            <w:r w:rsidRPr="00D107EF">
              <w:rPr>
                <w:sz w:val="20"/>
                <w:szCs w:val="20"/>
              </w:rPr>
              <w:t xml:space="preserve"> zakończenie leczenia </w:t>
            </w:r>
            <w:proofErr w:type="spellStart"/>
            <w:r w:rsidRPr="00D107EF">
              <w:rPr>
                <w:sz w:val="20"/>
                <w:szCs w:val="20"/>
              </w:rPr>
              <w:t>natalizumabem</w:t>
            </w:r>
            <w:proofErr w:type="spellEnd"/>
          </w:p>
          <w:p w:rsidR="00783659" w:rsidRPr="00D107EF" w:rsidRDefault="004532F0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b/>
                <w:bCs/>
                <w:sz w:val="20"/>
                <w:szCs w:val="20"/>
              </w:rPr>
              <w:t xml:space="preserve">6. </w:t>
            </w:r>
            <w:r w:rsidR="00CB413C" w:rsidRPr="00D107EF">
              <w:rPr>
                <w:b/>
                <w:bCs/>
                <w:sz w:val="20"/>
                <w:szCs w:val="20"/>
              </w:rPr>
              <w:t>Specjalne środki ostrożności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Stosowanie </w:t>
            </w:r>
            <w:proofErr w:type="spellStart"/>
            <w:r w:rsidR="00B410F4" w:rsidRPr="00D107EF">
              <w:rPr>
                <w:sz w:val="20"/>
                <w:szCs w:val="20"/>
              </w:rPr>
              <w:t>natalizumabu</w:t>
            </w:r>
            <w:proofErr w:type="spellEnd"/>
            <w:r w:rsidRPr="00D107EF">
              <w:rPr>
                <w:sz w:val="20"/>
                <w:szCs w:val="20"/>
              </w:rPr>
              <w:t xml:space="preserve"> wiąże się ze zwiększonym ryzykiem wystąpienia PML</w:t>
            </w:r>
            <w:r w:rsidR="001622D0" w:rsidRPr="00D107EF">
              <w:rPr>
                <w:sz w:val="20"/>
                <w:szCs w:val="20"/>
              </w:rPr>
              <w:t xml:space="preserve"> lub JCV GCN </w:t>
            </w:r>
            <w:r w:rsidRPr="00D107EF">
              <w:rPr>
                <w:sz w:val="20"/>
                <w:szCs w:val="20"/>
              </w:rPr>
              <w:t xml:space="preserve"> – oportunistycznego zakażenia wywoływanego przez wirusa JC. </w:t>
            </w:r>
          </w:p>
          <w:p w:rsidR="00783659" w:rsidRPr="00D107EF" w:rsidRDefault="002B73C4" w:rsidP="00D107EF">
            <w:pPr>
              <w:pStyle w:val="Akapitzlist"/>
              <w:spacing w:before="120" w:after="120" w:line="276" w:lineRule="auto"/>
              <w:ind w:left="360" w:hanging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       </w:t>
            </w:r>
            <w:r w:rsidR="00783659" w:rsidRPr="00D107EF">
              <w:rPr>
                <w:sz w:val="20"/>
                <w:szCs w:val="20"/>
              </w:rPr>
              <w:t>Lekarz powinien być szczególnie wyczulony na objawy sugerujące PML</w:t>
            </w:r>
            <w:r w:rsidR="001622D0" w:rsidRPr="00D107EF">
              <w:rPr>
                <w:sz w:val="20"/>
                <w:szCs w:val="20"/>
              </w:rPr>
              <w:t xml:space="preserve"> lub JCV GCN</w:t>
            </w:r>
            <w:r w:rsidR="00783659" w:rsidRPr="00D107EF">
              <w:rPr>
                <w:sz w:val="20"/>
                <w:szCs w:val="20"/>
              </w:rPr>
              <w:t>, których pacjent może nie dostrzegać (np. objawy zaburzenia funkcji poznawczych lub psychiczne</w:t>
            </w:r>
            <w:r w:rsidR="001622D0" w:rsidRPr="00D107EF">
              <w:rPr>
                <w:sz w:val="20"/>
                <w:szCs w:val="20"/>
              </w:rPr>
              <w:t xml:space="preserve"> lub zespół móżdżkowy</w:t>
            </w:r>
            <w:r w:rsidR="00783659" w:rsidRPr="00D107EF">
              <w:rPr>
                <w:sz w:val="20"/>
                <w:szCs w:val="20"/>
              </w:rPr>
              <w:t xml:space="preserve">). </w:t>
            </w:r>
          </w:p>
          <w:p w:rsidR="001622D0" w:rsidRPr="00D107EF" w:rsidRDefault="00D17105" w:rsidP="00D107EF">
            <w:pPr>
              <w:pStyle w:val="Akapitzlist"/>
              <w:spacing w:before="120" w:after="120" w:line="276" w:lineRule="auto"/>
              <w:ind w:left="282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Pacjenci z wyższym ryzykiem wystąpienia PML</w:t>
            </w:r>
            <w:r w:rsidR="00F0447E" w:rsidRPr="00D107EF">
              <w:rPr>
                <w:sz w:val="20"/>
                <w:szCs w:val="20"/>
              </w:rPr>
              <w:t xml:space="preserve"> </w:t>
            </w:r>
            <w:r w:rsidRPr="00D107EF">
              <w:rPr>
                <w:sz w:val="20"/>
                <w:szCs w:val="20"/>
              </w:rPr>
              <w:t>to:</w:t>
            </w:r>
          </w:p>
          <w:p w:rsidR="00917BA6" w:rsidRPr="00D107EF" w:rsidRDefault="00917BA6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pacjenci z wszystkimi trzema czynnikami ryzyka PML (tj. z obecnością przeciwciał anty-JCV </w:t>
            </w:r>
            <w:r w:rsidRPr="00D107E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oraz </w:t>
            </w: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stosujący leczenie produktem TYSABRI od ponad 2 lat </w:t>
            </w:r>
            <w:r w:rsidRPr="00D107E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oraz</w:t>
            </w:r>
            <w:r w:rsidR="002B73C4" w:rsidRPr="00D107EF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wcześniej stosujący leki immunosupresyjne);</w:t>
            </w:r>
          </w:p>
          <w:p w:rsidR="00917BA6" w:rsidRPr="00D107EF" w:rsidRDefault="00917BA6" w:rsidP="00D107EF">
            <w:pPr>
              <w:autoSpaceDE w:val="0"/>
              <w:autoSpaceDN w:val="0"/>
              <w:adjustRightInd w:val="0"/>
              <w:spacing w:before="120" w:after="120"/>
              <w:ind w:left="282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-pacjenci z wysokim wskaźnikiem przeciwciał anty-JCV, leczeni produktem TYSABRI od ponad 2 lat i którzy wcześniej nie otrzymywali leków immunosupresyjnych.</w:t>
            </w:r>
          </w:p>
          <w:p w:rsidR="00E30662" w:rsidRPr="00D107EF" w:rsidRDefault="002B5CAE" w:rsidP="003872CD">
            <w:pPr>
              <w:pStyle w:val="Default"/>
              <w:numPr>
                <w:ilvl w:val="0"/>
                <w:numId w:val="2"/>
              </w:numPr>
              <w:spacing w:before="120" w:after="120" w:line="276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Pacjentom, ich partnerom/partnerkom oraz opiekunom należy również przekazać informacje na temat wczesnych podmiotowych objawów PML a także uprzedzić ich, że objawy mogą wystąpić podczas leczenia produktem TYSABRI, a także w okresie około 6 miesięcy po zastosowaniu ostatniej dawki produktu TYSABRI </w:t>
            </w:r>
          </w:p>
          <w:p w:rsidR="00DE3121" w:rsidRPr="00D107EF" w:rsidRDefault="00783659" w:rsidP="003872CD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Jeśli u pacjenta rozwinie się PML</w:t>
            </w:r>
            <w:r w:rsidR="00DE3121" w:rsidRPr="00D107EF">
              <w:rPr>
                <w:sz w:val="20"/>
                <w:szCs w:val="20"/>
              </w:rPr>
              <w:t xml:space="preserve"> lub JCV GCN</w:t>
            </w:r>
            <w:r w:rsidRPr="00D107EF">
              <w:rPr>
                <w:sz w:val="20"/>
                <w:szCs w:val="20"/>
              </w:rPr>
              <w:t xml:space="preserve">, podawanie </w:t>
            </w:r>
            <w:proofErr w:type="spellStart"/>
            <w:r w:rsidR="00B410F4" w:rsidRPr="00D107EF">
              <w:rPr>
                <w:sz w:val="20"/>
                <w:szCs w:val="20"/>
              </w:rPr>
              <w:t>natalizumabu</w:t>
            </w:r>
            <w:proofErr w:type="spellEnd"/>
            <w:r w:rsidRPr="00D107EF">
              <w:rPr>
                <w:sz w:val="20"/>
                <w:szCs w:val="20"/>
              </w:rPr>
              <w:t xml:space="preserve"> trzeba przerwać na stałe</w:t>
            </w:r>
            <w:r w:rsidR="00DA16D1" w:rsidRPr="00D107EF">
              <w:rPr>
                <w:sz w:val="20"/>
                <w:szCs w:val="20"/>
              </w:rPr>
              <w:t xml:space="preserve"> </w:t>
            </w:r>
          </w:p>
          <w:p w:rsidR="00783659" w:rsidRPr="00D107EF" w:rsidRDefault="002B73C4" w:rsidP="00D107EF">
            <w:pPr>
              <w:autoSpaceDE w:val="0"/>
              <w:autoSpaceDN w:val="0"/>
              <w:adjustRightInd w:val="0"/>
              <w:spacing w:before="120" w:after="120"/>
              <w:ind w:left="360" w:hanging="36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659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W celu oszacowania ryzyka przed lub w trakcie leczenia </w:t>
            </w:r>
            <w:proofErr w:type="spellStart"/>
            <w:r w:rsidR="00B410F4" w:rsidRPr="00D107EF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="00783659" w:rsidRPr="00D107EF">
              <w:rPr>
                <w:rFonts w:ascii="Times New Roman" w:hAnsi="Times New Roman" w:cs="Times New Roman"/>
                <w:sz w:val="20"/>
                <w:szCs w:val="20"/>
              </w:rPr>
              <w:t>, badanie na obecność przeciwciał anty-JCV może dostarczyć wspierających informacji</w:t>
            </w:r>
            <w:r w:rsidR="00DE3121" w:rsidRPr="00D107EF">
              <w:rPr>
                <w:rFonts w:ascii="Times New Roman" w:hAnsi="Times New Roman" w:cs="Times New Roman"/>
                <w:sz w:val="20"/>
                <w:szCs w:val="20"/>
              </w:rPr>
              <w:t>, niemniej jednak, u pacjentów z ujemnym mianem przeciwciał anty-JCV może nadal występować ryzyko PML z powodów takich jak nowa infekcja JCV, wahania poziomu</w:t>
            </w:r>
            <w:r w:rsidR="002B5CAE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5CAE" w:rsidRPr="00D107EF">
              <w:rPr>
                <w:rFonts w:ascii="Times New Roman" w:eastAsiaTheme="minorHAnsi" w:hAnsi="Times New Roman" w:cs="Times New Roman"/>
                <w:sz w:val="20"/>
                <w:szCs w:val="20"/>
              </w:rPr>
              <w:t>przeciwciał lub fałszywie ujemny wynik badania</w:t>
            </w:r>
          </w:p>
          <w:p w:rsidR="00D17105" w:rsidRPr="00D107EF" w:rsidRDefault="002B73C4" w:rsidP="00D107EF">
            <w:pPr>
              <w:spacing w:before="120" w:after="12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659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Przed rozpoczęciem leczenia </w:t>
            </w:r>
            <w:proofErr w:type="spellStart"/>
            <w:r w:rsidR="00B410F4" w:rsidRPr="00D107EF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proofErr w:type="spellEnd"/>
            <w:r w:rsidR="00783659" w:rsidRPr="00D107EF">
              <w:rPr>
                <w:rFonts w:ascii="Times New Roman" w:hAnsi="Times New Roman" w:cs="Times New Roman"/>
                <w:sz w:val="20"/>
                <w:szCs w:val="20"/>
              </w:rPr>
              <w:t xml:space="preserve"> wymagane jest niedawne  badanie MRI, jako obraz odniesienia, a następnie powtarzanie tego badania co roku w celu aktualizacji obrazu odniesienia. Należy regularnie monitorować pacjentów </w:t>
            </w:r>
            <w:r w:rsidR="00D17105" w:rsidRPr="00D107EF">
              <w:rPr>
                <w:rFonts w:ascii="Times New Roman" w:hAnsi="Times New Roman" w:cs="Times New Roman"/>
                <w:sz w:val="20"/>
                <w:szCs w:val="20"/>
              </w:rPr>
              <w:t>Należy szczególnie monitorować pacjentów z grup podwyższonego ryzyka wystąpienia PML</w:t>
            </w:r>
            <w:r w:rsidR="00F05657" w:rsidRPr="00D1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Po 2 latach należy ponownie poinformować pacjenta o zagrożeniach związanych z leczeniem </w:t>
            </w:r>
            <w:proofErr w:type="spellStart"/>
            <w:r w:rsidR="00B410F4" w:rsidRPr="00D107EF">
              <w:rPr>
                <w:sz w:val="20"/>
                <w:szCs w:val="20"/>
              </w:rPr>
              <w:t>natalizumabem</w:t>
            </w:r>
            <w:proofErr w:type="spellEnd"/>
            <w:r w:rsidRPr="00D107EF">
              <w:rPr>
                <w:sz w:val="20"/>
                <w:szCs w:val="20"/>
              </w:rPr>
              <w:t>. Pacjenci włączeni do programu muszą otrzymać kartę ostrzegawczą pacjenta i kopię formularza kontynuacji leczenia. Potwierdzenie otrzymania kopii formularza i karty ostrzegawczej pacjenta pozostaje w dokumentacji medycznej.</w:t>
            </w:r>
          </w:p>
          <w:p w:rsidR="00783659" w:rsidRPr="00D107EF" w:rsidRDefault="002B73C4" w:rsidP="00D107EF">
            <w:pPr>
              <w:pStyle w:val="Akapitzlist"/>
              <w:spacing w:before="120" w:after="120" w:line="276" w:lineRule="auto"/>
              <w:ind w:left="360" w:hanging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       </w:t>
            </w:r>
            <w:r w:rsidR="00783659" w:rsidRPr="00D107EF">
              <w:rPr>
                <w:sz w:val="20"/>
                <w:szCs w:val="20"/>
              </w:rPr>
              <w:t>W przypadku podejrzenia PML</w:t>
            </w:r>
            <w:r w:rsidR="00DE3121" w:rsidRPr="00D107EF">
              <w:rPr>
                <w:sz w:val="20"/>
                <w:szCs w:val="20"/>
              </w:rPr>
              <w:t xml:space="preserve"> lub JCV GCN</w:t>
            </w:r>
            <w:r w:rsidR="00783659" w:rsidRPr="00D107EF">
              <w:rPr>
                <w:sz w:val="20"/>
                <w:szCs w:val="20"/>
              </w:rPr>
              <w:t xml:space="preserve"> należy wstrzymać dalsze podawanie leku do czasu wykluczenia PML</w:t>
            </w:r>
            <w:r w:rsidR="00DE3121" w:rsidRPr="00D107EF">
              <w:rPr>
                <w:sz w:val="20"/>
                <w:szCs w:val="20"/>
              </w:rPr>
              <w:t xml:space="preserve"> lub JCV GCN</w:t>
            </w:r>
            <w:r w:rsidR="00783659" w:rsidRPr="00D107EF">
              <w:rPr>
                <w:sz w:val="20"/>
                <w:szCs w:val="20"/>
              </w:rPr>
              <w:t>. Lekarz powinien ocenić pacjenta i określić, czy objawy wskazują na dysfunkcję neurologiczną. W potwierdzonych przypadkach lekarz powinien stwierdzić, czy objawy są typowe dla stwardnienia rozsianego, czy wskazują na możliwe rozpoznanie PML</w:t>
            </w:r>
            <w:r w:rsidR="00DE3121" w:rsidRPr="00D107EF">
              <w:rPr>
                <w:sz w:val="20"/>
                <w:szCs w:val="20"/>
              </w:rPr>
              <w:t xml:space="preserve"> lub JCV GCN</w:t>
            </w:r>
            <w:r w:rsidR="00783659" w:rsidRPr="00D107EF">
              <w:rPr>
                <w:sz w:val="20"/>
                <w:szCs w:val="20"/>
              </w:rPr>
              <w:t>. W razie wątpliwości należy rozważyć dalszą diagnostykę, w tym badanie MRI, najlepiej z podaniem kontrastu (dla porównania z wynikiem MRI sprzed leczenia), badanie płynu mózgowo-rdzeniowego w kierunku DNA wirusa JC oraz powtórne badanie neurologiczne.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60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Po wykluczeniu przez lekarza PML</w:t>
            </w:r>
            <w:r w:rsidR="00DE3121" w:rsidRPr="00D107EF">
              <w:rPr>
                <w:sz w:val="20"/>
                <w:szCs w:val="20"/>
              </w:rPr>
              <w:t xml:space="preserve"> lub JCV GCN</w:t>
            </w:r>
            <w:r w:rsidRPr="00D107EF">
              <w:rPr>
                <w:sz w:val="20"/>
                <w:szCs w:val="20"/>
              </w:rPr>
              <w:t xml:space="preserve"> (jeśli to konieczne, przez powtórzenie badań klinicznych, obrazowych i laboratoryjnych, gdy nadal istnieje podejrzenie kliniczne) można wznowić leczenie </w:t>
            </w:r>
            <w:proofErr w:type="spellStart"/>
            <w:r w:rsidRPr="00D107EF">
              <w:rPr>
                <w:sz w:val="20"/>
                <w:szCs w:val="20"/>
              </w:rPr>
              <w:t>natalizumabem</w:t>
            </w:r>
            <w:proofErr w:type="spellEnd"/>
            <w:r w:rsidRPr="00D107EF">
              <w:rPr>
                <w:sz w:val="20"/>
                <w:szCs w:val="20"/>
              </w:rPr>
              <w:t>.</w:t>
            </w:r>
          </w:p>
          <w:p w:rsidR="00D854F9" w:rsidRPr="00D107EF" w:rsidRDefault="00D854F9" w:rsidP="00D107E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 Badania przy kwalifi</w:t>
            </w:r>
            <w:r w:rsidR="00CB413C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kacji do leczenia </w:t>
            </w:r>
            <w:proofErr w:type="spellStart"/>
            <w:r w:rsidR="00CB413C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okrelizumabem</w:t>
            </w:r>
            <w:proofErr w:type="spellEnd"/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Badania biochemiczne w tym oceniające:</w:t>
            </w:r>
          </w:p>
          <w:p w:rsidR="00D854F9" w:rsidRPr="00D107EF" w:rsidRDefault="00D854F9" w:rsidP="003872CD">
            <w:pPr>
              <w:pStyle w:val="Akapitzlist"/>
              <w:numPr>
                <w:ilvl w:val="1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funkcje nerek, </w:t>
            </w:r>
          </w:p>
          <w:p w:rsidR="00D854F9" w:rsidRPr="00D107EF" w:rsidRDefault="00D854F9" w:rsidP="003872CD">
            <w:pPr>
              <w:pStyle w:val="Akapitzlist"/>
              <w:numPr>
                <w:ilvl w:val="1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funkcje wątroby, 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badanie ogólne moczu; 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morfologia krwi z rozmazem (dodatkowo stężenie immunoglobulin G i M w surowicy, jeśli zasadne); 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rezonans magnetyczny przed i po podaniu  kontrastu; rezonans magnetyczny wykonuje się w okresie kwalifikacji do programu. Jeżeli leczenie nie zostanie rozpoczęte w okresie 60 dni od jego wykonania to badanie powtarza się tuż przed zastosowaniem pierwszej dawki leku – w postaci rzutowo-</w:t>
            </w:r>
            <w:proofErr w:type="spellStart"/>
            <w:r w:rsidRPr="00D107EF">
              <w:rPr>
                <w:sz w:val="20"/>
                <w:szCs w:val="20"/>
              </w:rPr>
              <w:t>remisyjnej</w:t>
            </w:r>
            <w:proofErr w:type="spellEnd"/>
            <w:r w:rsidRPr="00D107EF">
              <w:rPr>
                <w:sz w:val="20"/>
                <w:szCs w:val="20"/>
              </w:rPr>
              <w:t>;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rezonans magnetyczny głowy i maksymalnie  2 odcinków rdzenia kręgowego przed i po podaniu  kontrastu; rezonans magnetyczny wykonuje się w okresie kwalifikacji do programu. Jeżeli leczenie nie zostanie rozpoczęte w okresie 12 miesięcy od jego wykonania to badanie powtarza się tuż przed zastosowaniem pierwszej dawki leku – w postaci pierwotnie postępującej;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test ciążowy u pacjentek w wieku rozrodczym;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ocena stanu  neurologicznego z określeniem EDSS;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Badania przesiewowe w kierunku ryzyka reaktywacji HBV: anty-</w:t>
            </w:r>
            <w:proofErr w:type="spellStart"/>
            <w:r w:rsidRPr="00D107EF">
              <w:rPr>
                <w:sz w:val="20"/>
                <w:szCs w:val="20"/>
              </w:rPr>
              <w:t>HBcAg</w:t>
            </w:r>
            <w:proofErr w:type="spellEnd"/>
            <w:r w:rsidRPr="00D107EF">
              <w:rPr>
                <w:sz w:val="20"/>
                <w:szCs w:val="20"/>
              </w:rPr>
              <w:t xml:space="preserve"> i </w:t>
            </w:r>
            <w:proofErr w:type="spellStart"/>
            <w:r w:rsidRPr="00D107EF">
              <w:rPr>
                <w:sz w:val="20"/>
                <w:szCs w:val="20"/>
              </w:rPr>
              <w:t>HBsAg</w:t>
            </w:r>
            <w:proofErr w:type="spellEnd"/>
            <w:r w:rsidRPr="00D107EF">
              <w:rPr>
                <w:sz w:val="20"/>
                <w:szCs w:val="20"/>
              </w:rPr>
              <w:t xml:space="preserve">  w razie potrzeby konsultacja specjalisty ds. chorób zakaźnych 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Standardowe badania przesiewowe w kierunku raka piersi zgodnie z lokalnymi wytycznymi</w:t>
            </w:r>
          </w:p>
          <w:p w:rsidR="00D854F9" w:rsidRPr="00D107EF" w:rsidRDefault="00D854F9" w:rsidP="003872CD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RTG płuc, a w razie potrzeby konsultacja  specjalisty chorób płuc </w:t>
            </w:r>
          </w:p>
          <w:p w:rsidR="00D854F9" w:rsidRPr="00D107EF" w:rsidRDefault="00D854F9" w:rsidP="00D107EF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CB413C" w:rsidRPr="00D1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Monitorowanie leczenia</w:t>
            </w:r>
          </w:p>
          <w:p w:rsidR="00E30662" w:rsidRPr="00D107EF" w:rsidRDefault="00D854F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a) Postać rzutowo-</w:t>
            </w:r>
            <w:proofErr w:type="spellStart"/>
            <w:r w:rsidRPr="00D107EF">
              <w:rPr>
                <w:rFonts w:ascii="Times New Roman" w:eastAsia="Times New Roman" w:hAnsi="Times New Roman" w:cs="Times New Roman"/>
                <w:sz w:val="20"/>
                <w:szCs w:val="20"/>
              </w:rPr>
              <w:t>remisyjna</w:t>
            </w:r>
            <w:proofErr w:type="spellEnd"/>
          </w:p>
          <w:p w:rsidR="00D854F9" w:rsidRPr="00D107EF" w:rsidRDefault="00D854F9" w:rsidP="003872CD">
            <w:pPr>
              <w:pStyle w:val="Akapitzlist"/>
              <w:widowControl w:val="0"/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Ocena stanu neurologicznego co 3 miesiące</w:t>
            </w:r>
          </w:p>
          <w:p w:rsidR="00D854F9" w:rsidRPr="00D107EF" w:rsidRDefault="00D854F9" w:rsidP="003872CD">
            <w:pPr>
              <w:pStyle w:val="Akapitzlist"/>
              <w:widowControl w:val="0"/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 xml:space="preserve">MRI (jeśli zasadne, po podaniu kontrastu) </w:t>
            </w:r>
            <w:r w:rsidR="002C6B9A" w:rsidRPr="00D107EF">
              <w:rPr>
                <w:sz w:val="20"/>
                <w:szCs w:val="20"/>
              </w:rPr>
              <w:t xml:space="preserve">po każdych 12-tu </w:t>
            </w:r>
            <w:r w:rsidRPr="00D107EF">
              <w:rPr>
                <w:sz w:val="20"/>
                <w:szCs w:val="20"/>
              </w:rPr>
              <w:t>miesiącach leczenia. Decyzję o podaniu kontrastu podejmuje specjalista neurolog.</w:t>
            </w:r>
          </w:p>
          <w:p w:rsidR="00D854F9" w:rsidRPr="00D107EF" w:rsidRDefault="00D854F9" w:rsidP="003872CD">
            <w:pPr>
              <w:pStyle w:val="Akapitzlist"/>
              <w:widowControl w:val="0"/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badania laboratoryjne, w tym: morfologia krwi z rozmazem, badania funkcji nerek, wątroby, anty-</w:t>
            </w:r>
            <w:proofErr w:type="spellStart"/>
            <w:r w:rsidRPr="00D107EF">
              <w:rPr>
                <w:sz w:val="20"/>
                <w:szCs w:val="20"/>
              </w:rPr>
              <w:t>HBcAg</w:t>
            </w:r>
            <w:proofErr w:type="spellEnd"/>
            <w:r w:rsidRPr="00D107EF">
              <w:rPr>
                <w:sz w:val="20"/>
                <w:szCs w:val="20"/>
              </w:rPr>
              <w:t>, badanie ogólne moczu, test ciążowy przed każdym podaniem leku</w:t>
            </w:r>
          </w:p>
          <w:p w:rsidR="00D854F9" w:rsidRPr="00D107EF" w:rsidRDefault="00D854F9" w:rsidP="00D107E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sz w:val="20"/>
                <w:szCs w:val="20"/>
              </w:rPr>
              <w:t>b) Postać pierwotnie postępująca</w:t>
            </w:r>
          </w:p>
          <w:p w:rsidR="00D854F9" w:rsidRPr="00D107EF" w:rsidRDefault="00D854F9" w:rsidP="003872CD">
            <w:pPr>
              <w:pStyle w:val="Akapitzlist"/>
              <w:widowControl w:val="0"/>
              <w:numPr>
                <w:ilvl w:val="0"/>
                <w:numId w:val="3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Ocena stanu neurologicznego co 3 miesiące</w:t>
            </w:r>
          </w:p>
          <w:p w:rsidR="00D854F9" w:rsidRPr="00D107EF" w:rsidRDefault="00D854F9" w:rsidP="003872CD">
            <w:pPr>
              <w:pStyle w:val="Akapitzlist"/>
              <w:widowControl w:val="0"/>
              <w:numPr>
                <w:ilvl w:val="0"/>
                <w:numId w:val="3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Badania laboratoryjne, w tym: morfologia krwi z rozmazem, badania funkcji nerek, wątroby, anty-</w:t>
            </w:r>
            <w:proofErr w:type="spellStart"/>
            <w:r w:rsidRPr="00D107EF">
              <w:rPr>
                <w:sz w:val="20"/>
                <w:szCs w:val="20"/>
              </w:rPr>
              <w:t>HBcAg</w:t>
            </w:r>
            <w:proofErr w:type="spellEnd"/>
            <w:r w:rsidRPr="00D107EF">
              <w:rPr>
                <w:sz w:val="20"/>
                <w:szCs w:val="20"/>
              </w:rPr>
              <w:t>, badanie ogólne moczu, test ciążowy przed każdym podaniem leku</w:t>
            </w:r>
          </w:p>
          <w:p w:rsidR="00153A53" w:rsidRPr="00D107EF" w:rsidRDefault="00153A53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b/>
                <w:bCs/>
                <w:sz w:val="20"/>
                <w:szCs w:val="20"/>
              </w:rPr>
              <w:t>9. Badania przy kwalifikacji do leczenia kladrybiną w tabletkach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 z rozmazem</w:t>
            </w: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uwzględnieniem</w:t>
            </w:r>
            <w:r w:rsidRPr="00D107E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liczby limfocytów </w:t>
            </w:r>
            <w:r w:rsidRPr="00D107E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przed rozpoczęciem stosowania leku;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rezonans magnetyczny z kontrastem; rezonans magnetyczny wykonuje się w okresie kwalifikacji do programu. Jeżeli leczenie nie zostanie rozpoczęte w okresie 60 dni od jego wykonania to badanie powtarza się tuż przed zastosowaniem pierwszej dawki leku; 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 ciążowy u pacjentek w wieku rozrodczym;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stanu neurologicznego z określeniem EDSS;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przesiewowe w kierunku HIV oraz HBV, HCV, TBC;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oznaczenie stężenia kreatyniny w surowicy;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1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oznaczenie poziomu przeciwciał przeciw wirusowi ospy wietrznej i półpaśca (VZV); zaleca się szczepienie pacjentów bez obecności przeciwciał VZV 4-6 tyg. przed włączeniem leczenia kladrybiną w tabletkach.</w:t>
            </w:r>
          </w:p>
          <w:p w:rsidR="00153A53" w:rsidRPr="00D107EF" w:rsidRDefault="00153A53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B522F5">
              <w:rPr>
                <w:b/>
                <w:sz w:val="20"/>
                <w:szCs w:val="20"/>
              </w:rPr>
              <w:t>10</w:t>
            </w:r>
            <w:r w:rsidRPr="00B522F5">
              <w:rPr>
                <w:b/>
                <w:bCs/>
                <w:sz w:val="20"/>
                <w:szCs w:val="20"/>
              </w:rPr>
              <w:t>.</w:t>
            </w:r>
            <w:r w:rsidRPr="00D107EF">
              <w:rPr>
                <w:b/>
                <w:bCs/>
                <w:sz w:val="20"/>
                <w:szCs w:val="20"/>
              </w:rPr>
              <w:t xml:space="preserve"> Monitorowanie l</w:t>
            </w:r>
            <w:r w:rsidR="00CB413C" w:rsidRPr="00D107EF">
              <w:rPr>
                <w:b/>
                <w:bCs/>
                <w:sz w:val="20"/>
                <w:szCs w:val="20"/>
              </w:rPr>
              <w:t>eczenia kladrybiną w tabletkach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2"/>
              </w:numPr>
              <w:spacing w:before="120" w:after="120" w:line="276" w:lineRule="auto"/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miesiące i 6 miesięcy po rozpoczęciu leczenia w każdym roku leczenia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3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morfologia krwi z rozmazem, z uwzględnieniem</w:t>
            </w:r>
            <w:r w:rsidRPr="00D107E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liczby limfocytów </w:t>
            </w:r>
            <w:r w:rsidRPr="00D107EF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przed rozpoczęciem stosowania leku</w:t>
            </w:r>
          </w:p>
          <w:p w:rsidR="00153A53" w:rsidRPr="00D107EF" w:rsidRDefault="00153A53" w:rsidP="00D107EF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Jeśli liczba limfocytów zmniejszy się do wartości 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poniżej 500 komórek/mm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należy ją aktywnie monitorować do cz</w:t>
            </w:r>
            <w:r w:rsidR="00B522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asu ponownego wzrostu wartości do wartości co najmniej 800 </w:t>
            </w:r>
            <w:r w:rsidR="00B522F5" w:rsidRPr="002B25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522F5" w:rsidRPr="002B2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komórek/mm</w:t>
            </w:r>
            <w:r w:rsidR="00B522F5" w:rsidRPr="002B2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B522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.</w:t>
            </w:r>
            <w:r w:rsidR="00B522F5"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2"/>
              </w:numPr>
              <w:spacing w:before="120" w:after="120"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kolejnym kursem leku: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4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 z rozmazem, z uwzględnieniem liczby limfocytów przed rozpoczęciem stosowania leku;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4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oznaczenie stężenia kreatyniny w surowicy; 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4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kobiet w wieku rozrodczym – test ciążowy;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4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 przesiewowe w kierunku HIV oraz HBV, HCV, TBC;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4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8679822"/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 stanu neurologicznego z określeniem EDSS</w:t>
            </w:r>
            <w:bookmarkEnd w:id="1"/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2"/>
              </w:numPr>
              <w:spacing w:before="120" w:after="120"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8679728"/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kolejnych latach: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5"/>
              </w:numPr>
              <w:spacing w:before="120" w:after="120" w:line="276" w:lineRule="auto"/>
              <w:ind w:left="7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wizyta kontrolna na rok z oceną stanu klinicznego;</w:t>
            </w:r>
          </w:p>
          <w:p w:rsidR="00153A53" w:rsidRPr="00D107EF" w:rsidRDefault="00153A53" w:rsidP="003872CD">
            <w:pPr>
              <w:pStyle w:val="Default"/>
              <w:numPr>
                <w:ilvl w:val="0"/>
                <w:numId w:val="45"/>
              </w:numPr>
              <w:spacing w:before="120" w:after="120" w:line="276" w:lineRule="auto"/>
              <w:ind w:left="7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zalecane MRI raz na rok.</w:t>
            </w:r>
            <w:bookmarkEnd w:id="2"/>
          </w:p>
          <w:p w:rsidR="00783659" w:rsidRPr="00D107EF" w:rsidRDefault="00153A53" w:rsidP="00D107EF">
            <w:pPr>
              <w:pStyle w:val="Akapitzlist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D107EF">
              <w:rPr>
                <w:rFonts w:eastAsia="Calibri"/>
                <w:b/>
                <w:sz w:val="20"/>
                <w:szCs w:val="20"/>
                <w:lang w:eastAsia="en-US"/>
              </w:rPr>
              <w:t>11</w:t>
            </w:r>
            <w:r w:rsidR="004532F0" w:rsidRPr="00D107EF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4532F0" w:rsidRPr="00D107E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B413C" w:rsidRPr="00D107EF">
              <w:rPr>
                <w:b/>
                <w:bCs/>
                <w:sz w:val="20"/>
                <w:szCs w:val="20"/>
              </w:rPr>
              <w:t>Monitorowanie programu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rPr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783659" w:rsidRPr="00D107EF" w:rsidRDefault="00783659" w:rsidP="003872C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rPr>
                <w:b/>
                <w:sz w:val="20"/>
                <w:szCs w:val="20"/>
              </w:rPr>
            </w:pPr>
            <w:r w:rsidRPr="00D107EF">
              <w:rPr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783659" w:rsidRPr="00D107EF" w:rsidRDefault="00783659" w:rsidP="00D107EF">
            <w:pPr>
              <w:spacing w:before="120" w:after="12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9E6" w:rsidRDefault="00A2210E"/>
    <w:p w:rsidR="00610CDE" w:rsidRDefault="00610CDE"/>
    <w:sectPr w:rsidR="00610CDE" w:rsidSect="0014355B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F3"/>
    <w:multiLevelType w:val="hybridMultilevel"/>
    <w:tmpl w:val="A8A66C76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B295350"/>
    <w:multiLevelType w:val="hybridMultilevel"/>
    <w:tmpl w:val="D58AA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6517B"/>
    <w:multiLevelType w:val="hybridMultilevel"/>
    <w:tmpl w:val="D6EE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02F7A"/>
    <w:multiLevelType w:val="multilevel"/>
    <w:tmpl w:val="30C2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1A38EA"/>
    <w:multiLevelType w:val="hybridMultilevel"/>
    <w:tmpl w:val="43EE92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539C"/>
    <w:multiLevelType w:val="hybridMultilevel"/>
    <w:tmpl w:val="F50A3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63A26"/>
    <w:multiLevelType w:val="hybridMultilevel"/>
    <w:tmpl w:val="99F23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7D2"/>
    <w:multiLevelType w:val="hybridMultilevel"/>
    <w:tmpl w:val="995272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753F0"/>
    <w:multiLevelType w:val="hybridMultilevel"/>
    <w:tmpl w:val="C7EAF4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20164"/>
    <w:multiLevelType w:val="hybridMultilevel"/>
    <w:tmpl w:val="793C74D0"/>
    <w:lvl w:ilvl="0" w:tplc="0520F49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218A"/>
    <w:multiLevelType w:val="hybridMultilevel"/>
    <w:tmpl w:val="B13CFC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B0106"/>
    <w:multiLevelType w:val="hybridMultilevel"/>
    <w:tmpl w:val="E748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14A78"/>
    <w:multiLevelType w:val="multilevel"/>
    <w:tmpl w:val="5B10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190F3E"/>
    <w:multiLevelType w:val="hybridMultilevel"/>
    <w:tmpl w:val="D4CAC5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D1DEB"/>
    <w:multiLevelType w:val="hybridMultilevel"/>
    <w:tmpl w:val="0E901C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94D93"/>
    <w:multiLevelType w:val="hybridMultilevel"/>
    <w:tmpl w:val="25A48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13AE9"/>
    <w:multiLevelType w:val="hybridMultilevel"/>
    <w:tmpl w:val="5D04F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E27E87"/>
    <w:multiLevelType w:val="hybridMultilevel"/>
    <w:tmpl w:val="CF0A38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1D563B"/>
    <w:multiLevelType w:val="hybridMultilevel"/>
    <w:tmpl w:val="9FF86A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55589A"/>
    <w:multiLevelType w:val="hybridMultilevel"/>
    <w:tmpl w:val="15CEF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F156A9"/>
    <w:multiLevelType w:val="hybridMultilevel"/>
    <w:tmpl w:val="90C42DD4"/>
    <w:lvl w:ilvl="0" w:tplc="991C5E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E1041D"/>
    <w:multiLevelType w:val="hybridMultilevel"/>
    <w:tmpl w:val="E7C62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F4D8A"/>
    <w:multiLevelType w:val="hybridMultilevel"/>
    <w:tmpl w:val="9FF86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A46CE"/>
    <w:multiLevelType w:val="hybridMultilevel"/>
    <w:tmpl w:val="00921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868E6"/>
    <w:multiLevelType w:val="multilevel"/>
    <w:tmpl w:val="1804C4E6"/>
    <w:lvl w:ilvl="0">
      <w:start w:val="1"/>
      <w:numFmt w:val="lowerLetter"/>
      <w:lvlText w:val="%1."/>
      <w:lvlJc w:val="left"/>
      <w:pPr>
        <w:ind w:left="0" w:firstLine="786"/>
      </w:pPr>
    </w:lvl>
    <w:lvl w:ilvl="1">
      <w:start w:val="1"/>
      <w:numFmt w:val="lowerLetter"/>
      <w:lvlText w:val="%2."/>
      <w:lvlJc w:val="left"/>
      <w:pPr>
        <w:ind w:left="720" w:firstLine="1506"/>
      </w:pPr>
    </w:lvl>
    <w:lvl w:ilvl="2">
      <w:start w:val="1"/>
      <w:numFmt w:val="lowerRoman"/>
      <w:lvlText w:val="%3."/>
      <w:lvlJc w:val="right"/>
      <w:pPr>
        <w:ind w:left="1440" w:firstLine="2406"/>
      </w:pPr>
    </w:lvl>
    <w:lvl w:ilvl="3">
      <w:start w:val="1"/>
      <w:numFmt w:val="decimal"/>
      <w:lvlText w:val="%4."/>
      <w:lvlJc w:val="left"/>
      <w:pPr>
        <w:ind w:left="2160" w:firstLine="2946"/>
      </w:pPr>
    </w:lvl>
    <w:lvl w:ilvl="4">
      <w:start w:val="1"/>
      <w:numFmt w:val="lowerLetter"/>
      <w:lvlText w:val="%5."/>
      <w:lvlJc w:val="left"/>
      <w:pPr>
        <w:ind w:left="2880" w:firstLine="3666"/>
      </w:pPr>
    </w:lvl>
    <w:lvl w:ilvl="5">
      <w:start w:val="1"/>
      <w:numFmt w:val="lowerRoman"/>
      <w:lvlText w:val="%6."/>
      <w:lvlJc w:val="right"/>
      <w:pPr>
        <w:ind w:left="3600" w:firstLine="4566"/>
      </w:pPr>
    </w:lvl>
    <w:lvl w:ilvl="6">
      <w:start w:val="1"/>
      <w:numFmt w:val="decimal"/>
      <w:lvlText w:val="%7."/>
      <w:lvlJc w:val="left"/>
      <w:pPr>
        <w:ind w:left="4320" w:firstLine="5106"/>
      </w:pPr>
    </w:lvl>
    <w:lvl w:ilvl="7">
      <w:start w:val="1"/>
      <w:numFmt w:val="lowerLetter"/>
      <w:lvlText w:val="%8."/>
      <w:lvlJc w:val="left"/>
      <w:pPr>
        <w:ind w:left="5040" w:firstLine="5826"/>
      </w:pPr>
    </w:lvl>
    <w:lvl w:ilvl="8">
      <w:start w:val="1"/>
      <w:numFmt w:val="lowerRoman"/>
      <w:lvlText w:val="%9."/>
      <w:lvlJc w:val="right"/>
      <w:pPr>
        <w:ind w:left="5760" w:firstLine="6726"/>
      </w:pPr>
    </w:lvl>
  </w:abstractNum>
  <w:abstractNum w:abstractNumId="25" w15:restartNumberingAfterBreak="0">
    <w:nsid w:val="44744B63"/>
    <w:multiLevelType w:val="multilevel"/>
    <w:tmpl w:val="A762F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8" w:hanging="1440"/>
      </w:pPr>
      <w:rPr>
        <w:rFonts w:hint="default"/>
      </w:rPr>
    </w:lvl>
  </w:abstractNum>
  <w:abstractNum w:abstractNumId="26" w15:restartNumberingAfterBreak="0">
    <w:nsid w:val="4AA72344"/>
    <w:multiLevelType w:val="hybridMultilevel"/>
    <w:tmpl w:val="33C8D730"/>
    <w:lvl w:ilvl="0" w:tplc="7FA42E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6" w:hanging="360"/>
      </w:pPr>
    </w:lvl>
    <w:lvl w:ilvl="2" w:tplc="0415001B">
      <w:start w:val="1"/>
      <w:numFmt w:val="lowerRoman"/>
      <w:lvlText w:val="%3."/>
      <w:lvlJc w:val="right"/>
      <w:pPr>
        <w:ind w:left="1826" w:hanging="180"/>
      </w:pPr>
    </w:lvl>
    <w:lvl w:ilvl="3" w:tplc="0415000F">
      <w:start w:val="1"/>
      <w:numFmt w:val="decimal"/>
      <w:lvlText w:val="%4."/>
      <w:lvlJc w:val="left"/>
      <w:pPr>
        <w:ind w:left="2546" w:hanging="360"/>
      </w:pPr>
    </w:lvl>
    <w:lvl w:ilvl="4" w:tplc="04150019">
      <w:start w:val="1"/>
      <w:numFmt w:val="lowerLetter"/>
      <w:lvlText w:val="%5."/>
      <w:lvlJc w:val="left"/>
      <w:pPr>
        <w:ind w:left="3266" w:hanging="360"/>
      </w:pPr>
    </w:lvl>
    <w:lvl w:ilvl="5" w:tplc="0415001B">
      <w:start w:val="1"/>
      <w:numFmt w:val="lowerRoman"/>
      <w:lvlText w:val="%6."/>
      <w:lvlJc w:val="right"/>
      <w:pPr>
        <w:ind w:left="3986" w:hanging="180"/>
      </w:pPr>
    </w:lvl>
    <w:lvl w:ilvl="6" w:tplc="0415000F">
      <w:start w:val="1"/>
      <w:numFmt w:val="decimal"/>
      <w:lvlText w:val="%7."/>
      <w:lvlJc w:val="left"/>
      <w:pPr>
        <w:ind w:left="4706" w:hanging="360"/>
      </w:pPr>
    </w:lvl>
    <w:lvl w:ilvl="7" w:tplc="04150019">
      <w:start w:val="1"/>
      <w:numFmt w:val="lowerLetter"/>
      <w:lvlText w:val="%8."/>
      <w:lvlJc w:val="left"/>
      <w:pPr>
        <w:ind w:left="5426" w:hanging="360"/>
      </w:pPr>
    </w:lvl>
    <w:lvl w:ilvl="8" w:tplc="0415001B">
      <w:start w:val="1"/>
      <w:numFmt w:val="lowerRoman"/>
      <w:lvlText w:val="%9."/>
      <w:lvlJc w:val="right"/>
      <w:pPr>
        <w:ind w:left="6146" w:hanging="180"/>
      </w:pPr>
    </w:lvl>
  </w:abstractNum>
  <w:abstractNum w:abstractNumId="27" w15:restartNumberingAfterBreak="0">
    <w:nsid w:val="5363320E"/>
    <w:multiLevelType w:val="hybridMultilevel"/>
    <w:tmpl w:val="6C2A01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62207"/>
    <w:multiLevelType w:val="hybridMultilevel"/>
    <w:tmpl w:val="F50A3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A07EE"/>
    <w:multiLevelType w:val="hybridMultilevel"/>
    <w:tmpl w:val="E174A7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D4279B"/>
    <w:multiLevelType w:val="hybridMultilevel"/>
    <w:tmpl w:val="58AE705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F3F4034"/>
    <w:multiLevelType w:val="hybridMultilevel"/>
    <w:tmpl w:val="E1260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F917C0"/>
    <w:multiLevelType w:val="hybridMultilevel"/>
    <w:tmpl w:val="A5961630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601F5D1C"/>
    <w:multiLevelType w:val="hybridMultilevel"/>
    <w:tmpl w:val="DF94B7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E471A"/>
    <w:multiLevelType w:val="hybridMultilevel"/>
    <w:tmpl w:val="E154FBD0"/>
    <w:lvl w:ilvl="0" w:tplc="3140E5C8">
      <w:start w:val="2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C8076B"/>
    <w:multiLevelType w:val="hybridMultilevel"/>
    <w:tmpl w:val="4BBAA710"/>
    <w:lvl w:ilvl="0" w:tplc="842E49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657F7"/>
    <w:multiLevelType w:val="hybridMultilevel"/>
    <w:tmpl w:val="DF94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2C9F"/>
    <w:multiLevelType w:val="multilevel"/>
    <w:tmpl w:val="377CFEA8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)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8" w15:restartNumberingAfterBreak="0">
    <w:nsid w:val="6B69660F"/>
    <w:multiLevelType w:val="hybridMultilevel"/>
    <w:tmpl w:val="62388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73884"/>
    <w:multiLevelType w:val="hybridMultilevel"/>
    <w:tmpl w:val="E162F2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C05663"/>
    <w:multiLevelType w:val="hybridMultilevel"/>
    <w:tmpl w:val="BF22F1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6E4096"/>
    <w:multiLevelType w:val="hybridMultilevel"/>
    <w:tmpl w:val="DF2E8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4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459BA"/>
    <w:multiLevelType w:val="multilevel"/>
    <w:tmpl w:val="1B5A928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 w15:restartNumberingAfterBreak="0">
    <w:nsid w:val="7C23282E"/>
    <w:multiLevelType w:val="hybridMultilevel"/>
    <w:tmpl w:val="90C42DD4"/>
    <w:lvl w:ilvl="0" w:tplc="991C5E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277AB8"/>
    <w:multiLevelType w:val="hybridMultilevel"/>
    <w:tmpl w:val="A5649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FC7A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26"/>
  </w:num>
  <w:num w:numId="5">
    <w:abstractNumId w:val="36"/>
  </w:num>
  <w:num w:numId="6">
    <w:abstractNumId w:val="43"/>
  </w:num>
  <w:num w:numId="7">
    <w:abstractNumId w:val="35"/>
  </w:num>
  <w:num w:numId="8">
    <w:abstractNumId w:val="34"/>
  </w:num>
  <w:num w:numId="9">
    <w:abstractNumId w:val="14"/>
  </w:num>
  <w:num w:numId="10">
    <w:abstractNumId w:val="23"/>
  </w:num>
  <w:num w:numId="11">
    <w:abstractNumId w:val="28"/>
  </w:num>
  <w:num w:numId="12">
    <w:abstractNumId w:val="19"/>
  </w:num>
  <w:num w:numId="13">
    <w:abstractNumId w:val="0"/>
  </w:num>
  <w:num w:numId="14">
    <w:abstractNumId w:val="41"/>
  </w:num>
  <w:num w:numId="15">
    <w:abstractNumId w:val="1"/>
  </w:num>
  <w:num w:numId="16">
    <w:abstractNumId w:val="29"/>
  </w:num>
  <w:num w:numId="17">
    <w:abstractNumId w:val="15"/>
  </w:num>
  <w:num w:numId="18">
    <w:abstractNumId w:val="27"/>
  </w:num>
  <w:num w:numId="19">
    <w:abstractNumId w:val="30"/>
  </w:num>
  <w:num w:numId="20">
    <w:abstractNumId w:val="44"/>
  </w:num>
  <w:num w:numId="21">
    <w:abstractNumId w:val="31"/>
  </w:num>
  <w:num w:numId="22">
    <w:abstractNumId w:val="37"/>
  </w:num>
  <w:num w:numId="23">
    <w:abstractNumId w:val="42"/>
  </w:num>
  <w:num w:numId="24">
    <w:abstractNumId w:val="24"/>
  </w:num>
  <w:num w:numId="25">
    <w:abstractNumId w:val="10"/>
  </w:num>
  <w:num w:numId="26">
    <w:abstractNumId w:val="25"/>
  </w:num>
  <w:num w:numId="27">
    <w:abstractNumId w:val="16"/>
  </w:num>
  <w:num w:numId="28">
    <w:abstractNumId w:val="11"/>
  </w:num>
  <w:num w:numId="29">
    <w:abstractNumId w:val="3"/>
  </w:num>
  <w:num w:numId="30">
    <w:abstractNumId w:val="12"/>
  </w:num>
  <w:num w:numId="31">
    <w:abstractNumId w:val="8"/>
  </w:num>
  <w:num w:numId="32">
    <w:abstractNumId w:val="40"/>
  </w:num>
  <w:num w:numId="33">
    <w:abstractNumId w:val="7"/>
  </w:num>
  <w:num w:numId="34">
    <w:abstractNumId w:val="18"/>
  </w:num>
  <w:num w:numId="35">
    <w:abstractNumId w:val="13"/>
  </w:num>
  <w:num w:numId="36">
    <w:abstractNumId w:val="39"/>
  </w:num>
  <w:num w:numId="37">
    <w:abstractNumId w:val="2"/>
  </w:num>
  <w:num w:numId="38">
    <w:abstractNumId w:val="5"/>
  </w:num>
  <w:num w:numId="39">
    <w:abstractNumId w:val="33"/>
  </w:num>
  <w:num w:numId="40">
    <w:abstractNumId w:val="20"/>
  </w:num>
  <w:num w:numId="41">
    <w:abstractNumId w:val="38"/>
  </w:num>
  <w:num w:numId="42">
    <w:abstractNumId w:val="6"/>
  </w:num>
  <w:num w:numId="43">
    <w:abstractNumId w:val="32"/>
  </w:num>
  <w:num w:numId="44">
    <w:abstractNumId w:val="4"/>
  </w:num>
  <w:num w:numId="45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59"/>
    <w:rsid w:val="000727A2"/>
    <w:rsid w:val="000D121C"/>
    <w:rsid w:val="000E5CE0"/>
    <w:rsid w:val="0010000F"/>
    <w:rsid w:val="00132362"/>
    <w:rsid w:val="001413F4"/>
    <w:rsid w:val="0014355B"/>
    <w:rsid w:val="001449D0"/>
    <w:rsid w:val="00153A53"/>
    <w:rsid w:val="001622D0"/>
    <w:rsid w:val="00165A51"/>
    <w:rsid w:val="00176D94"/>
    <w:rsid w:val="001800ED"/>
    <w:rsid w:val="0018041C"/>
    <w:rsid w:val="0019390C"/>
    <w:rsid w:val="001D2706"/>
    <w:rsid w:val="001D7BDB"/>
    <w:rsid w:val="00200F8B"/>
    <w:rsid w:val="00202951"/>
    <w:rsid w:val="002213CD"/>
    <w:rsid w:val="00242569"/>
    <w:rsid w:val="00244ED4"/>
    <w:rsid w:val="002534E2"/>
    <w:rsid w:val="002572EB"/>
    <w:rsid w:val="00286DAA"/>
    <w:rsid w:val="002B5CAE"/>
    <w:rsid w:val="002B73C4"/>
    <w:rsid w:val="002C6B9A"/>
    <w:rsid w:val="003177D7"/>
    <w:rsid w:val="0033111D"/>
    <w:rsid w:val="003445A4"/>
    <w:rsid w:val="00365CC9"/>
    <w:rsid w:val="003872CD"/>
    <w:rsid w:val="003A3447"/>
    <w:rsid w:val="003A4634"/>
    <w:rsid w:val="003B7A83"/>
    <w:rsid w:val="003D2A67"/>
    <w:rsid w:val="003E705E"/>
    <w:rsid w:val="004532F0"/>
    <w:rsid w:val="004762BF"/>
    <w:rsid w:val="00502176"/>
    <w:rsid w:val="00505839"/>
    <w:rsid w:val="00523614"/>
    <w:rsid w:val="00563191"/>
    <w:rsid w:val="00575729"/>
    <w:rsid w:val="00577443"/>
    <w:rsid w:val="005A776D"/>
    <w:rsid w:val="005C4092"/>
    <w:rsid w:val="005C6EB9"/>
    <w:rsid w:val="005E09C7"/>
    <w:rsid w:val="005F49B6"/>
    <w:rsid w:val="00601909"/>
    <w:rsid w:val="00610CDE"/>
    <w:rsid w:val="0062459A"/>
    <w:rsid w:val="006374B2"/>
    <w:rsid w:val="0068695C"/>
    <w:rsid w:val="0068771F"/>
    <w:rsid w:val="006B1409"/>
    <w:rsid w:val="00712715"/>
    <w:rsid w:val="00731EC9"/>
    <w:rsid w:val="00770CE5"/>
    <w:rsid w:val="00772B49"/>
    <w:rsid w:val="00783659"/>
    <w:rsid w:val="0078668B"/>
    <w:rsid w:val="007A2B88"/>
    <w:rsid w:val="007B0E17"/>
    <w:rsid w:val="007C1CE1"/>
    <w:rsid w:val="00815DC3"/>
    <w:rsid w:val="00833554"/>
    <w:rsid w:val="00843EFE"/>
    <w:rsid w:val="008460AF"/>
    <w:rsid w:val="00847589"/>
    <w:rsid w:val="00850012"/>
    <w:rsid w:val="00855192"/>
    <w:rsid w:val="00862ECC"/>
    <w:rsid w:val="008A351F"/>
    <w:rsid w:val="008A75D7"/>
    <w:rsid w:val="008C4F23"/>
    <w:rsid w:val="008E1B48"/>
    <w:rsid w:val="008E22DE"/>
    <w:rsid w:val="00904793"/>
    <w:rsid w:val="00917BA6"/>
    <w:rsid w:val="00920DF2"/>
    <w:rsid w:val="0094756A"/>
    <w:rsid w:val="00954594"/>
    <w:rsid w:val="0097088E"/>
    <w:rsid w:val="00974E59"/>
    <w:rsid w:val="00990186"/>
    <w:rsid w:val="00A13B16"/>
    <w:rsid w:val="00A2210E"/>
    <w:rsid w:val="00A3138A"/>
    <w:rsid w:val="00A33790"/>
    <w:rsid w:val="00A64CE2"/>
    <w:rsid w:val="00AC00D6"/>
    <w:rsid w:val="00AE5AA4"/>
    <w:rsid w:val="00B00F7F"/>
    <w:rsid w:val="00B24573"/>
    <w:rsid w:val="00B410F4"/>
    <w:rsid w:val="00B463D6"/>
    <w:rsid w:val="00B522F5"/>
    <w:rsid w:val="00B613D7"/>
    <w:rsid w:val="00B66926"/>
    <w:rsid w:val="00B77E23"/>
    <w:rsid w:val="00BB3F71"/>
    <w:rsid w:val="00BF08FD"/>
    <w:rsid w:val="00C64855"/>
    <w:rsid w:val="00CA2A82"/>
    <w:rsid w:val="00CB413C"/>
    <w:rsid w:val="00CD3C6D"/>
    <w:rsid w:val="00D107EF"/>
    <w:rsid w:val="00D17105"/>
    <w:rsid w:val="00D30232"/>
    <w:rsid w:val="00D854F9"/>
    <w:rsid w:val="00D87CA5"/>
    <w:rsid w:val="00DA014E"/>
    <w:rsid w:val="00DA16D1"/>
    <w:rsid w:val="00DB2F0B"/>
    <w:rsid w:val="00DE3121"/>
    <w:rsid w:val="00DF1285"/>
    <w:rsid w:val="00DF5898"/>
    <w:rsid w:val="00E30662"/>
    <w:rsid w:val="00E63CBF"/>
    <w:rsid w:val="00E94E8C"/>
    <w:rsid w:val="00E97993"/>
    <w:rsid w:val="00EA5A1E"/>
    <w:rsid w:val="00EC437C"/>
    <w:rsid w:val="00ED7AF3"/>
    <w:rsid w:val="00EF348A"/>
    <w:rsid w:val="00F0447E"/>
    <w:rsid w:val="00F05657"/>
    <w:rsid w:val="00F451D3"/>
    <w:rsid w:val="00F62A4D"/>
    <w:rsid w:val="00F804A9"/>
    <w:rsid w:val="00F85856"/>
    <w:rsid w:val="00FB31EB"/>
    <w:rsid w:val="00FD2BEF"/>
    <w:rsid w:val="00FE68EA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1A865-9B50-4225-9756-6FC1A2F0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659"/>
    <w:pPr>
      <w:spacing w:after="200" w:line="276" w:lineRule="auto"/>
    </w:pPr>
    <w:rPr>
      <w:rFonts w:ascii="Calibri" w:eastAsia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"/>
    <w:basedOn w:val="Normalny"/>
    <w:link w:val="AkapitzlistZnak"/>
    <w:uiPriority w:val="34"/>
    <w:qFormat/>
    <w:rsid w:val="007836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8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9D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9D0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1449D0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Cs w:val="24"/>
      <w:lang w:eastAsia="pl-PL"/>
    </w:r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DF5898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5819</Words>
  <Characters>34920</Characters>
  <Application>Microsoft Office Word</Application>
  <DocSecurity>4</DocSecurity>
  <Lines>291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Bonek Przemysław</dc:creator>
  <cp:lastModifiedBy>Bonek Przemysław</cp:lastModifiedBy>
  <cp:revision>2</cp:revision>
  <cp:lastPrinted>2018-06-28T14:17:00Z</cp:lastPrinted>
  <dcterms:created xsi:type="dcterms:W3CDTF">2019-10-17T10:04:00Z</dcterms:created>
  <dcterms:modified xsi:type="dcterms:W3CDTF">2019-10-17T10:04:00Z</dcterms:modified>
</cp:coreProperties>
</file>