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68" w:rsidRDefault="00433A38">
      <w:pPr>
        <w:pStyle w:val="Heading110"/>
        <w:keepNext/>
        <w:keepLines/>
        <w:spacing w:before="220" w:after="640"/>
      </w:pPr>
      <w:bookmarkStart w:id="0" w:name="bookmark2"/>
      <w:bookmarkStart w:id="1" w:name="_GoBack"/>
      <w:bookmarkEnd w:id="1"/>
      <w:r>
        <w:rPr>
          <w:rStyle w:val="Heading11"/>
          <w:b/>
          <w:bCs/>
        </w:rPr>
        <w:t>Petycja</w:t>
      </w:r>
      <w:bookmarkEnd w:id="0"/>
    </w:p>
    <w:p w:rsidR="00697868" w:rsidRDefault="00433A38">
      <w:pPr>
        <w:pStyle w:val="Heading110"/>
        <w:keepNext/>
        <w:keepLines/>
        <w:spacing w:before="0" w:after="1080"/>
      </w:pPr>
      <w:r>
        <w:rPr>
          <w:rStyle w:val="Heading11"/>
          <w:b/>
          <w:bCs/>
        </w:rPr>
        <w:t>Szanowny Panie Prezydencie</w:t>
      </w:r>
    </w:p>
    <w:p w:rsidR="00697868" w:rsidRDefault="00433A38">
      <w:pPr>
        <w:pStyle w:val="Bodytext10"/>
        <w:spacing w:after="400"/>
        <w:ind w:firstLine="720"/>
        <w:jc w:val="both"/>
      </w:pPr>
      <w:r>
        <w:rPr>
          <w:rStyle w:val="Bodytext1"/>
        </w:rPr>
        <w:t xml:space="preserve">Memorandum w sprawie zmiany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29 ust. 6 ustawy o ochronie osób i mienia.</w:t>
      </w:r>
    </w:p>
    <w:p w:rsidR="00697868" w:rsidRDefault="00433A38">
      <w:pPr>
        <w:pStyle w:val="Bodytext10"/>
        <w:spacing w:after="400"/>
        <w:ind w:firstLine="720"/>
        <w:jc w:val="both"/>
      </w:pPr>
      <w:r>
        <w:rPr>
          <w:rStyle w:val="Bodytext1"/>
        </w:rPr>
        <w:t xml:space="preserve">Na podstawie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63 Konstytucji Rzeczypospolitej Polskiej oraz ustawy z dnia 11 lipca 2014 r. o petycjach (Dz. U. z 2018 r. poz. 870), zwracam się do Pana Prezydenta Rzeczypospolitej Polskiej z</w:t>
      </w:r>
      <w:r w:rsidR="0090139F">
        <w:rPr>
          <w:rStyle w:val="Bodytext1"/>
        </w:rPr>
        <w:t> </w:t>
      </w:r>
      <w:r>
        <w:rPr>
          <w:rStyle w:val="Bodytext1"/>
        </w:rPr>
        <w:t xml:space="preserve">prośbą o skorzystanie z kompetencji wynikającej z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118 ust. 1 Konstytucji RP i wniesienie do Sejmu RP projektu ustawy nowelizującej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29 ust. 6 ustawy z dnia 22 sierpnia 1997 r. o ochronie osób i mienia (Dz.U. z 2025 r. poz. 532, ze zm.).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248"/>
        </w:tabs>
        <w:jc w:val="both"/>
      </w:pPr>
      <w:bookmarkStart w:id="2" w:name="bookmark5"/>
      <w:r>
        <w:rPr>
          <w:rStyle w:val="Heading21"/>
          <w:b/>
          <w:bCs/>
        </w:rPr>
        <w:t>Dane wnioskodawcy i interes publiczny sprawy</w:t>
      </w:r>
      <w:bookmarkEnd w:id="2"/>
    </w:p>
    <w:p w:rsidR="00697868" w:rsidRDefault="00433A38">
      <w:pPr>
        <w:pStyle w:val="Bodytext10"/>
        <w:ind w:firstLine="720"/>
        <w:jc w:val="both"/>
      </w:pPr>
      <w:r>
        <w:rPr>
          <w:rStyle w:val="Bodytext1"/>
        </w:rPr>
        <w:t>Od blisko 20 lat jestem związany z branżą ochrony - pracowałem w branży w trakcie studiów a</w:t>
      </w:r>
      <w:r w:rsidR="00BB0B4F">
        <w:rPr>
          <w:rStyle w:val="Bodytext1"/>
        </w:rPr>
        <w:t> </w:t>
      </w:r>
      <w:r>
        <w:rPr>
          <w:rStyle w:val="Bodytext1"/>
        </w:rPr>
        <w:t xml:space="preserve">następnie przez lata koordynowałem pracę pracowników ochrony. Posiadam wpis na listę kwalifikowanych pracowników ochrony fizycznej oraz dopuszczenie do posiadania broni. Obecnie pracuję w jednej z największych międzynarodowych firm zajmujących się bezpieczeństwem i ochroną </w:t>
      </w:r>
      <w:r w:rsidRPr="00BB0B4F">
        <w:rPr>
          <w:rStyle w:val="Bodytext1"/>
          <w:lang w:eastAsia="en-US" w:bidi="en-US"/>
        </w:rPr>
        <w:t xml:space="preserve">Securitas </w:t>
      </w:r>
      <w:r>
        <w:rPr>
          <w:rStyle w:val="Bodytext1"/>
        </w:rPr>
        <w:t>AB. Chociaż od wielu lat na stanowiskach menadżerskich a obecnie w obszarze szkoleń i</w:t>
      </w:r>
      <w:r w:rsidR="00BB0B4F">
        <w:rPr>
          <w:rStyle w:val="Bodytext1"/>
        </w:rPr>
        <w:t> </w:t>
      </w:r>
      <w:r>
        <w:rPr>
          <w:rStyle w:val="Bodytext1"/>
        </w:rPr>
        <w:t xml:space="preserve">rozwoju to bliskie pozostają mi problemy tej bardzo licznej grupy społecznej (blisko </w:t>
      </w:r>
      <w:r w:rsidR="00446DD8">
        <w:rPr>
          <w:rStyle w:val="Bodytext1"/>
        </w:rPr>
        <w:t>1</w:t>
      </w:r>
      <w:r w:rsidR="00BB0B4F">
        <w:rPr>
          <w:rStyle w:val="Bodytext1"/>
        </w:rPr>
        <w:t>00</w:t>
      </w:r>
      <w:r>
        <w:rPr>
          <w:rStyle w:val="Bodytext1"/>
        </w:rPr>
        <w:t>tys. pracowników wpisanych na listę KPOF). W związku z tym, że z wykształcenia jestem prawnikiem, problematyka branży ochrony, w tym konstytucyjne gwarancje praw osób wykonujących ten zawód, są</w:t>
      </w:r>
      <w:r w:rsidR="00BB0B4F">
        <w:rPr>
          <w:rStyle w:val="Bodytext1"/>
        </w:rPr>
        <w:t> </w:t>
      </w:r>
      <w:r>
        <w:rPr>
          <w:rStyle w:val="Bodytext1"/>
        </w:rPr>
        <w:t xml:space="preserve">mi znane zarówno z praktyki, jak i z badań naukowych - w trakcie przygotowywania rozprawy doktorskiej, zgłębiałem ten problem a także opisałem min. w artykule pt. „Konstytucyjna zasada domniemania niewinności w odniesieniu </w:t>
      </w:r>
      <w:r w:rsidRPr="00BB0B4F">
        <w:rPr>
          <w:rStyle w:val="Bodytext1"/>
          <w:lang w:eastAsia="en-US" w:bidi="en-US"/>
        </w:rPr>
        <w:t xml:space="preserve">do 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 ustawy o ochronie osób i mienia”, (opublikowanym w monografii: Prawo polskie i międzynarodowe, wyd. Archegraph 2022 r., ISBN: 978-83- 67074-80-3).</w:t>
      </w:r>
    </w:p>
    <w:p w:rsidR="00697868" w:rsidRDefault="00433A38">
      <w:pPr>
        <w:pStyle w:val="Bodytext10"/>
        <w:ind w:firstLine="720"/>
        <w:jc w:val="both"/>
      </w:pPr>
      <w:r>
        <w:rPr>
          <w:rStyle w:val="Bodytext1"/>
        </w:rPr>
        <w:t>Powołując do istnienia zawód kwalifikowanego pracownika ochrony ustawodawca miał na celu ułatwienie dostępu do profesji pracownika ochrony z uprawnieniami, określonymi w ustawie. Musiało się to wiązać ze zmianami przepisów ustawy o ochronie osób i mienia, do których zarówno branża, jak i</w:t>
      </w:r>
      <w:r w:rsidR="00BB0B4F">
        <w:rPr>
          <w:rStyle w:val="Bodytext1"/>
        </w:rPr>
        <w:t> </w:t>
      </w:r>
      <w:r>
        <w:rPr>
          <w:rStyle w:val="Bodytext1"/>
        </w:rPr>
        <w:t>pracownicy byli przyzwyczajeni od wielu lat. Jak się okazało, z perspektywy czasu, nie wszystkie rozwiązania zawarte w ustawie deregulującej okazały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się trafne. Ustawodawca bowiem, mając zdecydowanie mniejszy wpływ na proces uzyskiwania uprawnień przez pracowników ochrony - w związku z przeniesieniem szkolenia wraz z egzaminowaniem do podmiotów oświatowych realizujących zadania w zakresie kształcenia ustawicznego, określonych w</w:t>
      </w:r>
      <w:r w:rsidR="00BB0B4F">
        <w:rPr>
          <w:rStyle w:val="Bodytext1"/>
        </w:rPr>
        <w:t> </w:t>
      </w:r>
      <w:r>
        <w:rPr>
          <w:rStyle w:val="Bodytext1"/>
        </w:rPr>
        <w:t xml:space="preserve">przepisie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117 ust. 2 ustawy - Prawo oświatowe - zastosował szereg rozwiązań mających na celu zwiększenie kontroli organów państwa. Szczególnie istotną zmianę stanowi wprowadzenie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 ustawy o ochronie osób i mienia, który stanowi, że pracownika ochrony skreśla się z listy kwalifikowanych pracowników ochrony fizycznej w przypadku, gdy został on skazany prawomocnym wyrokiem sądu za popełnienie przestępstwa umyślnego lub wszczęto w stosunku do niego postępowanie karne o takie przestępstwo.</w:t>
      </w:r>
    </w:p>
    <w:p w:rsidR="00697868" w:rsidRDefault="00433A38">
      <w:pPr>
        <w:pStyle w:val="Bodytext10"/>
        <w:ind w:firstLine="700"/>
        <w:jc w:val="both"/>
      </w:pPr>
      <w:r>
        <w:rPr>
          <w:rStyle w:val="Bodytext1"/>
        </w:rPr>
        <w:t xml:space="preserve">Porównując istotę zmian należy wskazać na przepis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32 ust. 1 ustawy z dnia 22 sierpnia 1997 r. o ochronie osób i mienia sprzed deregulacji, który stanowi, że Komendant Wojewódzki Policji, w</w:t>
      </w:r>
      <w:r w:rsidR="00BB0B4F">
        <w:rPr>
          <w:rStyle w:val="Bodytext1"/>
        </w:rPr>
        <w:t> </w:t>
      </w:r>
      <w:r>
        <w:rPr>
          <w:rStyle w:val="Bodytext1"/>
        </w:rPr>
        <w:t>przypadku powzięcia wiadomości o wszczęciu postępowania karnego przeciwko pracownikowi ochrony o przestępstwo przeciwko życiu, zdrowiu i mieniu, zawiesza prawa wynikające z licencji, do</w:t>
      </w:r>
      <w:r w:rsidR="00BB0B4F">
        <w:rPr>
          <w:rStyle w:val="Bodytext1"/>
        </w:rPr>
        <w:t> </w:t>
      </w:r>
      <w:r>
        <w:rPr>
          <w:rStyle w:val="Bodytext1"/>
        </w:rPr>
        <w:t>czasu wydania prawomocnego rozstrzygnięcia w sprawie.</w:t>
      </w:r>
    </w:p>
    <w:p w:rsidR="00697868" w:rsidRDefault="00433A38">
      <w:pPr>
        <w:pStyle w:val="Bodytext10"/>
        <w:ind w:firstLine="700"/>
        <w:jc w:val="both"/>
      </w:pPr>
      <w:r>
        <w:rPr>
          <w:rStyle w:val="Bodytext1"/>
        </w:rPr>
        <w:t xml:space="preserve">Z brzmienia wskazanego przepisu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 wynika, iż ustawodawca z góry ustalił, za</w:t>
      </w:r>
      <w:r w:rsidR="00BB0B4F">
        <w:rPr>
          <w:rStyle w:val="Bodytext1"/>
        </w:rPr>
        <w:t> </w:t>
      </w:r>
      <w:r>
        <w:rPr>
          <w:rStyle w:val="Bodytext1"/>
        </w:rPr>
        <w:t>przesłankę skreślenia z listy kwalifikowanych pracowników ochrony fizycznej skazanie pracownika ochrony za popełnienie przestępstwa umyślnego lub wszczęcie w stosunku do niego postępowania karnego o takie przestępstwo. A zatem do oceny, czy w danej sprawie istnieje przesłanka do skreślenia osoby z listy kwalifikowanych pracowników ochrony fizycznej wystarczy ustalenie przez organ Policji, iż zostało przeciwko niej wszczęte postępowanie karne o popełnienie przestępstwa umyślnego.</w:t>
      </w:r>
    </w:p>
    <w:p w:rsidR="00697868" w:rsidRDefault="00433A38">
      <w:pPr>
        <w:pStyle w:val="Bodytext10"/>
        <w:ind w:firstLine="700"/>
        <w:jc w:val="both"/>
      </w:pPr>
      <w:r>
        <w:rPr>
          <w:rStyle w:val="Bodytext1"/>
        </w:rPr>
        <w:t>Kwalifikowani pracownicy ochrony ze względu na charakter wykonywanej pracy, który często wymaga od nich podejmowania trudnych decyzji, narażeni są na interakcje, nierzadko ze strony osób wykazujących tendencje auto destrukcyjne i skłonnych do agresji, co w następstwie prowadzić może do</w:t>
      </w:r>
      <w:r w:rsidR="00BB0B4F">
        <w:rPr>
          <w:rStyle w:val="Bodytext1"/>
        </w:rPr>
        <w:t> </w:t>
      </w:r>
      <w:r>
        <w:rPr>
          <w:rStyle w:val="Bodytext1"/>
        </w:rPr>
        <w:t>konfliktów. Nie generalizując, są znane i udokumentowane przypadki, w których osobą pokrzywdzoną w danej sprawie jest pracownik ochrony, nawet po oczyszczeniu z zarzutów. W powyższej kwestii do ustawodawcy zwracały się środowiska branżowe takie jak: Polska Izba Ochrony , Polski Związek Pracodawców Ochrona , a także kierowane były zapytania przez posłów na Sejm RP . Przesłanka niekaralności w zawodzie pracownika ochrony nie budzi wątpliwości. Jednak pozbawienie pracownika niejako prawa wykonywania zawodu z przyczyn często od niego niezależnych powinno budzić wątpliwości.</w:t>
      </w:r>
      <w:r>
        <w:br w:type="page"/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363"/>
        </w:tabs>
      </w:pPr>
      <w:bookmarkStart w:id="3" w:name="bookmark7"/>
      <w:r>
        <w:rPr>
          <w:rStyle w:val="Heading21"/>
          <w:b/>
          <w:bCs/>
        </w:rPr>
        <w:lastRenderedPageBreak/>
        <w:t>Teza i żądanie</w:t>
      </w:r>
      <w:bookmarkEnd w:id="3"/>
    </w:p>
    <w:p w:rsidR="00697868" w:rsidRDefault="00433A38">
      <w:pPr>
        <w:pStyle w:val="Bodytext10"/>
        <w:spacing w:after="380"/>
        <w:ind w:firstLine="720"/>
        <w:jc w:val="both"/>
      </w:pPr>
      <w:r>
        <w:rPr>
          <w:rStyle w:val="Bodytext1"/>
        </w:rPr>
        <w:t xml:space="preserve">Obowiązujący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 xml:space="preserve">1 ustawy o ochronie osób i mienia nakazuje Komendantowi Wojewódzkiemu Policji obligatoryjne skreślenie z listy kwalifikowanych pracowników ochrony osoby, wobec której wszczęto postępowanie karne o przestępstwo umyślne - niezależnie od okoliczności sprawy. Przepis ten narusza konstytucyjną zasadę domniemania niewinności </w:t>
      </w:r>
      <w:r w:rsidRPr="00BB0B4F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42 ust. 3 Konstytucji RP) i</w:t>
      </w:r>
      <w:r w:rsidR="00BB0B4F">
        <w:rPr>
          <w:rStyle w:val="Bodytext1"/>
        </w:rPr>
        <w:t> </w:t>
      </w:r>
      <w:r>
        <w:rPr>
          <w:rStyle w:val="Bodytext1"/>
        </w:rPr>
        <w:t xml:space="preserve">zasadę proporcjonalności </w:t>
      </w:r>
      <w:r w:rsidRPr="00BB0B4F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31 ust. 3 Konstytucji RP), a jego skutkiem jest praktyczne wykluczenie zawodowe często osób niewinnych. Wnoszę o przygotowanie przez Pana Prezydenta projektu ustawy, który:</w:t>
      </w:r>
    </w:p>
    <w:p w:rsidR="00697868" w:rsidRDefault="00433A38">
      <w:pPr>
        <w:pStyle w:val="Bodytext10"/>
        <w:numPr>
          <w:ilvl w:val="0"/>
          <w:numId w:val="3"/>
        </w:numPr>
        <w:tabs>
          <w:tab w:val="left" w:pos="399"/>
        </w:tabs>
        <w:spacing w:line="396" w:lineRule="auto"/>
        <w:jc w:val="both"/>
      </w:pPr>
      <w:r>
        <w:rPr>
          <w:rStyle w:val="Bodytext1"/>
        </w:rPr>
        <w:t>w miejsce automatycznego skreślenia wprowadzi mechanizm czasowego, indywidualnie uzasadnianego zawieszenia uprawnień, oraz</w:t>
      </w:r>
    </w:p>
    <w:p w:rsidR="00697868" w:rsidRDefault="00433A38">
      <w:pPr>
        <w:pStyle w:val="Bodytext10"/>
        <w:numPr>
          <w:ilvl w:val="0"/>
          <w:numId w:val="3"/>
        </w:numPr>
        <w:tabs>
          <w:tab w:val="left" w:pos="392"/>
        </w:tabs>
        <w:spacing w:line="396" w:lineRule="auto"/>
        <w:jc w:val="both"/>
      </w:pPr>
      <w:r>
        <w:rPr>
          <w:rStyle w:val="Bodytext1"/>
        </w:rPr>
        <w:t>powiąże definitywne skreślenie z listy wyłącznie z prawomocnym wyrokiem skazującym, a także</w:t>
      </w:r>
    </w:p>
    <w:p w:rsidR="00697868" w:rsidRDefault="00433A38">
      <w:pPr>
        <w:pStyle w:val="Bodytext10"/>
        <w:numPr>
          <w:ilvl w:val="0"/>
          <w:numId w:val="3"/>
        </w:numPr>
        <w:tabs>
          <w:tab w:val="left" w:pos="392"/>
        </w:tabs>
        <w:spacing w:after="380" w:line="396" w:lineRule="auto"/>
        <w:jc w:val="both"/>
      </w:pPr>
      <w:r>
        <w:rPr>
          <w:rStyle w:val="Bodytext1"/>
        </w:rPr>
        <w:t>przewidzi tryb niezwłocznego przywrócenia uprawnień po uniewinnieniu oraz podstawę dochodzenia odszkodowania.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457"/>
        </w:tabs>
        <w:jc w:val="both"/>
      </w:pPr>
      <w:bookmarkStart w:id="4" w:name="bookmark9"/>
      <w:r>
        <w:rPr>
          <w:rStyle w:val="Heading21"/>
          <w:b/>
          <w:bCs/>
        </w:rPr>
        <w:t>Stan prawny - przed i po „ustawie deregulującej” z 2013 r.</w:t>
      </w:r>
      <w:bookmarkEnd w:id="4"/>
    </w:p>
    <w:p w:rsidR="00697868" w:rsidRDefault="00433A38">
      <w:pPr>
        <w:pStyle w:val="Bodytext10"/>
        <w:ind w:firstLine="720"/>
        <w:jc w:val="both"/>
      </w:pPr>
      <w:r>
        <w:rPr>
          <w:rStyle w:val="Bodytext1"/>
        </w:rPr>
        <w:t xml:space="preserve">Przed 2013 r. ustawa przewidywała licencje I i II stopnia, a w razie wszczęcia postępowania karnego o przestępstwa z określonego katalogu - zawieszenie praw wynikających z licencji do czasu prawomocnego rozstrzygnięcia </w:t>
      </w:r>
      <w:r w:rsidRPr="00BB0B4F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32 ust. 1 - stan sprzed nowelizacji). „Ustawa deregulująca" z</w:t>
      </w:r>
      <w:r w:rsidR="00BB0B4F">
        <w:rPr>
          <w:rStyle w:val="Bodytext1"/>
        </w:rPr>
        <w:t> </w:t>
      </w:r>
      <w:r>
        <w:rPr>
          <w:rStyle w:val="Bodytext1"/>
        </w:rPr>
        <w:t>13</w:t>
      </w:r>
      <w:r w:rsidR="00BB0B4F">
        <w:rPr>
          <w:rStyle w:val="Bodytext1"/>
        </w:rPr>
        <w:t> </w:t>
      </w:r>
      <w:r>
        <w:rPr>
          <w:rStyle w:val="Bodytext1"/>
        </w:rPr>
        <w:t>czerwca 2013 r. zastąpiła licencje wpisem na listę kwalifikowanych pracowników ochrony i</w:t>
      </w:r>
      <w:r w:rsidR="00BB0B4F">
        <w:rPr>
          <w:rStyle w:val="Bodytext1"/>
        </w:rPr>
        <w:t> </w:t>
      </w:r>
      <w:r>
        <w:rPr>
          <w:rStyle w:val="Bodytext1"/>
        </w:rPr>
        <w:t xml:space="preserve">wprowadziła obecny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1, przewidujący obligatoryjne skreślenie z listy w razie wszczęcia postępowania o przestępstwo umyślne. Zmiana ta, choć miała uprościć dostęp do zawodu, w praktyce radykalnie zaostrzyła skutki procesowe dla pracowników - już na etapie podejrzenia, bez wyroku sądu i</w:t>
      </w:r>
      <w:r w:rsidR="00BB0B4F">
        <w:rPr>
          <w:rStyle w:val="Bodytext1"/>
        </w:rPr>
        <w:t> </w:t>
      </w:r>
      <w:r>
        <w:rPr>
          <w:rStyle w:val="Bodytext1"/>
        </w:rPr>
        <w:t>bez „luzu decyzyjnego” po stronie organu Policji. Fragment orzeczenia WSA:</w:t>
      </w:r>
    </w:p>
    <w:p w:rsidR="00697868" w:rsidRDefault="00433A38">
      <w:pPr>
        <w:pStyle w:val="Bodytext10"/>
        <w:spacing w:after="200"/>
        <w:ind w:firstLine="720"/>
        <w:jc w:val="both"/>
      </w:pPr>
      <w:r>
        <w:rPr>
          <w:rStyle w:val="Bodytext1"/>
        </w:rPr>
        <w:t xml:space="preserve">„Z </w:t>
      </w:r>
      <w:r>
        <w:rPr>
          <w:rStyle w:val="Bodytext1"/>
          <w:i/>
          <w:iCs/>
        </w:rPr>
        <w:t>powyższego faktu związania organów wynika w dalszej perspektywie, że w toku postępowania nie badają one żadnych innych okoliczności czy przesłanek, jak tylko wskazane w tym przepisie. Organy Policji muszą zatem jedynie ustalić, czy w stosunku do pracownika ochrony toczy się postępowanie karne o popełnienie przestępstwa umyślnego lub czy został on skazany prawomocnym wyrokiem sądu za</w:t>
      </w:r>
      <w:r w:rsidR="00BB0B4F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popełnienie przestępstwa umyślnego, przy czym są to dwie rozłączne przesłanki. Ustalenie ziszczenia się którejś z nich zawsze i bezwarunkowo obliguje Komendanta Wojewódzkiego Policji do wydania decyzji administracyjnej o określonej w tym przepisie treści.”</w:t>
      </w:r>
      <w:r>
        <w:br w:type="page"/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406"/>
        </w:tabs>
        <w:jc w:val="both"/>
      </w:pPr>
      <w:bookmarkStart w:id="5" w:name="bookmark11"/>
      <w:r w:rsidRPr="00BB0B4F">
        <w:rPr>
          <w:rStyle w:val="Heading21"/>
          <w:b/>
          <w:bCs/>
          <w:lang w:eastAsia="en-US" w:bidi="en-US"/>
        </w:rPr>
        <w:lastRenderedPageBreak/>
        <w:t xml:space="preserve">Standard </w:t>
      </w:r>
      <w:r>
        <w:rPr>
          <w:rStyle w:val="Heading21"/>
          <w:b/>
          <w:bCs/>
        </w:rPr>
        <w:t xml:space="preserve">konstytucyjny </w:t>
      </w:r>
      <w:r w:rsidRPr="00BB0B4F">
        <w:rPr>
          <w:rStyle w:val="Heading21"/>
          <w:b/>
          <w:bCs/>
          <w:lang w:eastAsia="en-US" w:bidi="en-US"/>
        </w:rPr>
        <w:t xml:space="preserve">- </w:t>
      </w:r>
      <w:r>
        <w:rPr>
          <w:rStyle w:val="Heading21"/>
          <w:b/>
          <w:bCs/>
        </w:rPr>
        <w:t>wyrok TK z 17 grudnia 2003 r., sygn. SK 15/02</w:t>
      </w:r>
      <w:bookmarkEnd w:id="5"/>
    </w:p>
    <w:p w:rsidR="00697868" w:rsidRDefault="00433A38">
      <w:pPr>
        <w:pStyle w:val="Bodytext10"/>
        <w:spacing w:line="391" w:lineRule="auto"/>
        <w:ind w:firstLine="740"/>
        <w:jc w:val="both"/>
      </w:pPr>
      <w:r>
        <w:rPr>
          <w:rStyle w:val="Bodytext1"/>
        </w:rPr>
        <w:t>Trybunał Konstytucyjny, rozpoznając skargę na wcześniejszy mechanizm zawieszenia, wskazał m.in., że:</w:t>
      </w:r>
    </w:p>
    <w:p w:rsidR="00697868" w:rsidRDefault="00433A38">
      <w:pPr>
        <w:pStyle w:val="Bodytext10"/>
        <w:spacing w:line="391" w:lineRule="auto"/>
        <w:jc w:val="both"/>
      </w:pPr>
      <w:r>
        <w:rPr>
          <w:rStyle w:val="Bodytext1"/>
          <w:i/>
          <w:iCs/>
        </w:rPr>
        <w:t>,,Konstytucyjna zasada domniemania niewinności nie może być rozumiana w taki sposób, który wykluczałby wiązanie z samym faktem toczącego się postępowania karnego jakichkolwiek konsekwencji prawnych (...). Dopuszczalność takich konsekwencji powinna być ‘ważona’ w płaszczyźnie zasady proporcjonalności”.</w:t>
      </w:r>
    </w:p>
    <w:p w:rsidR="00697868" w:rsidRDefault="00433A38">
      <w:pPr>
        <w:pStyle w:val="Bodytext10"/>
        <w:spacing w:after="380" w:line="391" w:lineRule="auto"/>
        <w:jc w:val="both"/>
      </w:pPr>
      <w:r>
        <w:rPr>
          <w:rStyle w:val="Bodytext1"/>
          <w:i/>
          <w:iCs/>
        </w:rPr>
        <w:t>Jednocześnie TK zauważył, że w szczególnych sytuacjach „ustawodawca powinien rozważyć celowość wprowadzenia podstawy dla przynajmniej częściowej kompensacji poniesionego uszczerbku majątkowego ”, gdy dolegliwości wykraczają poza zwykle następstwa toczącego s ię postępowania (pkt 7 uzasadnienia).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320"/>
        </w:tabs>
        <w:jc w:val="both"/>
      </w:pPr>
      <w:bookmarkStart w:id="6" w:name="bookmark13"/>
      <w:r>
        <w:rPr>
          <w:rStyle w:val="Heading21"/>
          <w:b/>
          <w:bCs/>
        </w:rPr>
        <w:t>Wystąpienie Rzecznika Praw Obywatelskich</w:t>
      </w:r>
      <w:bookmarkEnd w:id="6"/>
    </w:p>
    <w:p w:rsidR="00697868" w:rsidRDefault="00433A38">
      <w:pPr>
        <w:pStyle w:val="Bodytext10"/>
        <w:ind w:firstLine="740"/>
        <w:jc w:val="both"/>
      </w:pPr>
      <w:r>
        <w:rPr>
          <w:rStyle w:val="Bodytext1"/>
        </w:rPr>
        <w:t xml:space="preserve">Przykład praktyczny. Nieproporcjonalność skutków Rzecznik Praw Obywatelskich (Adam </w:t>
      </w:r>
      <w:r w:rsidRPr="00BB0B4F">
        <w:rPr>
          <w:rStyle w:val="Bodytext1"/>
          <w:lang w:eastAsia="en-US" w:bidi="en-US"/>
        </w:rPr>
        <w:t xml:space="preserve">Bodnar) </w:t>
      </w:r>
      <w:r>
        <w:rPr>
          <w:rStyle w:val="Bodytext1"/>
        </w:rPr>
        <w:t xml:space="preserve">w wystąpieniu do MSWiA (WZE7040.5.2016) opisał sytuację, w której samo wszczęcie postępowania o występek z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190 k.k. (groźba karalna) wobec pracownika ochrony, w realiach konfliktu na lotnisku z „dzikimi” przewoźnikami, skutkowało obligatoryjnym skreśleniem z listy i utratą pracy. RPO pisał m.in.:</w:t>
      </w:r>
    </w:p>
    <w:p w:rsidR="00697868" w:rsidRDefault="00433A38">
      <w:pPr>
        <w:pStyle w:val="Bodytext10"/>
        <w:spacing w:after="380"/>
        <w:jc w:val="both"/>
      </w:pPr>
      <w:r>
        <w:rPr>
          <w:rStyle w:val="Bodytext1"/>
          <w:i/>
          <w:iCs/>
        </w:rPr>
        <w:t>„Samo wszczęcie postępowania karnego o przestępstwo umyślne wobec kwalifikowanego pracownika ochrony, nakłada na właściwy organ Policji obowiązek skreślenia go z listy (...). Rezultatem utraty uprawnień - koniecznych do wykonywania pracy na zajmowanym stanowisku - może być zwolnienie z</w:t>
      </w:r>
      <w:r w:rsidR="00BB0B4F">
        <w:rPr>
          <w:rStyle w:val="Bodytext1"/>
          <w:i/>
          <w:iCs/>
        </w:rPr>
        <w:t> </w:t>
      </w:r>
      <w:r>
        <w:rPr>
          <w:rStyle w:val="Bodytext1"/>
          <w:i/>
          <w:iCs/>
        </w:rPr>
        <w:t>pracy. Nawet po umorzeniu postępowania karnego lub uniewinnieniu, skarżący nie może odzyskać utraconych uprawnień automatycznie (...). Tymczasem zwolnienie z pracy może okazać się nieodwracalne. ”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450"/>
        </w:tabs>
        <w:jc w:val="both"/>
      </w:pPr>
      <w:bookmarkStart w:id="7" w:name="bookmark15"/>
      <w:r>
        <w:rPr>
          <w:rStyle w:val="Heading21"/>
          <w:b/>
          <w:bCs/>
        </w:rPr>
        <w:t>Opinia Rady Legislacyjnej z 13 marca 2020 r. (dr hab. P. Szymańca, RL-033-8/20)</w:t>
      </w:r>
      <w:bookmarkEnd w:id="7"/>
    </w:p>
    <w:p w:rsidR="00697868" w:rsidRDefault="00433A38">
      <w:pPr>
        <w:pStyle w:val="Bodytext10"/>
        <w:spacing w:after="200"/>
        <w:ind w:firstLine="740"/>
        <w:jc w:val="both"/>
      </w:pPr>
      <w:r>
        <w:rPr>
          <w:rStyle w:val="Bodytext1"/>
        </w:rPr>
        <w:t xml:space="preserve">Rada Legislacyjna wskazała, że obecne brzmienie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29 ust. 6 i 7 budzi wątpliwości w zakresie skutków prawnych związanych ze wszczęciem postępowania, gdyż „obligatoryjne skreślenie (...) w</w:t>
      </w:r>
      <w:r w:rsidR="00BB0B4F">
        <w:rPr>
          <w:rStyle w:val="Bodytext1"/>
        </w:rPr>
        <w:t> </w:t>
      </w:r>
      <w:r>
        <w:rPr>
          <w:rStyle w:val="Bodytext1"/>
        </w:rPr>
        <w:t xml:space="preserve">przypadku wszczęcia (...) jest bardzo daleko idącą konsekwencją prawną”, a właściwym kierunkiem jest wprowadzenie instytucji zawieszenia prawa wykonywania zawodu na wzór rozwiązań funkcjonujących w ustawach korporacyjnych np. ustawie o Izbach Lekarskich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77 ust. 1 oraz w</w:t>
      </w:r>
      <w:r w:rsidR="00BB0B4F">
        <w:rPr>
          <w:rStyle w:val="Bodytext1"/>
        </w:rPr>
        <w:t> </w:t>
      </w:r>
      <w:r>
        <w:rPr>
          <w:rStyle w:val="Bodytext1"/>
        </w:rPr>
        <w:t xml:space="preserve">ustawie o Policji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39 ust. 1-3.</w:t>
      </w:r>
      <w:r>
        <w:br w:type="page"/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543"/>
        </w:tabs>
        <w:jc w:val="both"/>
      </w:pPr>
      <w:bookmarkStart w:id="8" w:name="bookmark17"/>
      <w:r>
        <w:rPr>
          <w:rStyle w:val="Heading21"/>
          <w:b/>
          <w:bCs/>
        </w:rPr>
        <w:lastRenderedPageBreak/>
        <w:t>Interpelacje poselskie i stanowisko MSWiA- potrzeba korekty</w:t>
      </w:r>
      <w:bookmarkEnd w:id="8"/>
    </w:p>
    <w:p w:rsidR="00697868" w:rsidRDefault="00433A38">
      <w:pPr>
        <w:pStyle w:val="Bodytext10"/>
        <w:ind w:firstLine="720"/>
        <w:jc w:val="both"/>
      </w:pPr>
      <w:r>
        <w:rPr>
          <w:rStyle w:val="Bodytext1"/>
        </w:rPr>
        <w:t>W odpowiedziach na interpelacje z 2014 r. i decyzji o odmowie podjęcia działań wskazywano m.in. na „rangę zawodu” i uprawnienia do użycia środków przymusu bezpośredniego, porównując kwalifikowanych pracowników ochrony do funkcjonariuszy służb państwowych. Tymczasem - jak wykazałem w artykule - kwalifikowany pracownik ochrony nie ma z mocy samego wpisu na listę kwalifikowanych pracowników ochrony dostępu do broni; dopuszczenie do posiadania broni wymaga odrębnego egzaminu i wydania decyzji przez właściwy WPA KWP.</w:t>
      </w:r>
    </w:p>
    <w:p w:rsidR="00697868" w:rsidRDefault="00433A38">
      <w:pPr>
        <w:pStyle w:val="Bodytext10"/>
        <w:spacing w:after="380"/>
        <w:jc w:val="both"/>
      </w:pPr>
      <w:r>
        <w:rPr>
          <w:rStyle w:val="Bodytext1"/>
        </w:rPr>
        <w:t>Ustawodawca rozdzielił wpis od dopuszczenia do broni - rozdzielić należy więc również tryb cofania uprawnień, zastępując automatyczne „skreślenie” czasowym „zawieszeniem” i indywidualną oceną ryzyka.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637"/>
        </w:tabs>
        <w:jc w:val="both"/>
      </w:pPr>
      <w:bookmarkStart w:id="9" w:name="bookmark19"/>
      <w:r>
        <w:rPr>
          <w:rStyle w:val="Heading21"/>
          <w:b/>
          <w:bCs/>
        </w:rPr>
        <w:t>Skala zjawiska i skutki społeczne</w:t>
      </w:r>
      <w:bookmarkEnd w:id="9"/>
    </w:p>
    <w:p w:rsidR="00697868" w:rsidRDefault="00433A38">
      <w:pPr>
        <w:pStyle w:val="Bodytext10"/>
        <w:ind w:firstLine="720"/>
        <w:jc w:val="both"/>
      </w:pPr>
      <w:r>
        <w:rPr>
          <w:rStyle w:val="Bodytext1"/>
        </w:rPr>
        <w:t>Według danych KGP (Biuro Prewencji) liczba osób wpisanych na listę kwalifikowanych pracowników ochrony sięgała blisko 100 tysięcy (stan na 2020 r.).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Każde wszczęcie postępowania karnego o przestępstwo umyślne (także prywatnoskargowe) uruchamia mechanizm natychmiastowej utraty uprawnień i dochodów. W praktyce prowadzi to do wykluczenia zawodowego oraz negatywnych konsekwencji dla rodzin, pomimo możliwego późniejszego umorzenia lub uniewinnienia.</w:t>
      </w:r>
    </w:p>
    <w:p w:rsidR="00697868" w:rsidRDefault="00433A38">
      <w:pPr>
        <w:pStyle w:val="Bodytext10"/>
        <w:spacing w:after="380"/>
        <w:jc w:val="both"/>
      </w:pPr>
      <w:r>
        <w:rPr>
          <w:rStyle w:val="Bodytext1"/>
        </w:rPr>
        <w:t>Mechanizm nie spełnia niejako „testu” proporcjonalności - istnieją łagodniejsze środki, które zabezpieczają interes publiczny (zawieszenie i kontrola ryzyka).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442"/>
        </w:tabs>
        <w:jc w:val="both"/>
      </w:pPr>
      <w:bookmarkStart w:id="10" w:name="bookmark21"/>
      <w:r>
        <w:rPr>
          <w:rStyle w:val="Heading21"/>
          <w:b/>
          <w:bCs/>
        </w:rPr>
        <w:t>Proponowane brzmienie przepisu (rdzeń rozwiązania)</w:t>
      </w:r>
      <w:bookmarkEnd w:id="10"/>
    </w:p>
    <w:p w:rsidR="00697868" w:rsidRDefault="00433A38">
      <w:pPr>
        <w:pStyle w:val="Bodytext10"/>
        <w:numPr>
          <w:ilvl w:val="0"/>
          <w:numId w:val="4"/>
        </w:numPr>
        <w:tabs>
          <w:tab w:val="left" w:pos="998"/>
        </w:tabs>
        <w:ind w:firstLine="700"/>
        <w:jc w:val="both"/>
      </w:pPr>
      <w:r>
        <w:rPr>
          <w:rStyle w:val="Bodytext1"/>
        </w:rPr>
        <w:t xml:space="preserve">Art. 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1 - nadanie nowego brzmienia: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„1) wobec którego zostało wszczęte postępowanie karne o popełnienie umyślnego przestępstwa ściganego z oskarżenia publicznego — może zostać zawieszony w uprawnieniach na czas trwania postępowania, jeżeli przemawiają za tym względy bezpieczeństwa publicznego lub istnieje wysokie prawdopodobieństwo popełnienia zarzucanego czynu, wykazane w uzasadnieniu decyzji.”</w:t>
      </w:r>
    </w:p>
    <w:p w:rsidR="00697868" w:rsidRDefault="00433A38">
      <w:pPr>
        <w:pStyle w:val="Bodytext10"/>
        <w:numPr>
          <w:ilvl w:val="0"/>
          <w:numId w:val="4"/>
        </w:numPr>
        <w:tabs>
          <w:tab w:val="left" w:pos="320"/>
        </w:tabs>
        <w:jc w:val="both"/>
      </w:pPr>
      <w:r>
        <w:rPr>
          <w:rStyle w:val="Bodytext1"/>
        </w:rPr>
        <w:t>Dodanie ust. 6a-6e:</w:t>
      </w:r>
    </w:p>
    <w:p w:rsidR="00697868" w:rsidRDefault="00433A38">
      <w:pPr>
        <w:pStyle w:val="Bodytext10"/>
        <w:spacing w:after="200"/>
        <w:jc w:val="both"/>
      </w:pPr>
      <w:r>
        <w:rPr>
          <w:rStyle w:val="Bodytext1"/>
        </w:rPr>
        <w:t xml:space="preserve">„6a. Zawieszenie, o którym mowa w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1, następuje w drodze decyzji, po uprzednim umożliwieniu stronie zajęcia stanowiska, z rygorem natychmiastowej wykonalności w uzasadnionych przypadkach. Organ dokonuje przeglądu zasadności zawieszenia co 3 miesiące.</w:t>
      </w:r>
      <w:r>
        <w:br w:type="page"/>
      </w:r>
    </w:p>
    <w:p w:rsidR="00697868" w:rsidRDefault="00433A38">
      <w:pPr>
        <w:pStyle w:val="Bodytext10"/>
        <w:jc w:val="both"/>
      </w:pPr>
      <w:r>
        <w:rPr>
          <w:rStyle w:val="Bodytext1"/>
        </w:rPr>
        <w:lastRenderedPageBreak/>
        <w:t>6b. W razie umorzenia postępowania karnego z przyczyn innych niż warunkowe umorzenie, albo w razie uniewinnienia — organ niezwłocznie, nie później niż w terminie 7 dni od uprawomocnienia się orzeczenia, uchyla decyzję o zawieszeniu i przywraca wpis z mocą wsteczną.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6c. W razie prawomocnego wyroku skazującego za przestępstwo umyślne — organ skreśla z listy kwalifikowanych pracowników ochrony.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6d. Osobie, wobec której decyzja o zawieszeniu lub skreśleniu okazała się nieuzasadniona w świetle prawomocnego wyroku uniewinniającego albo umorzenia z powodu braku znamion czynu zabronionego, przysługuje roszczenie o naprawienie szkody i krzywdy wyrządzonej decyzją, na zasadach określonych w Kodeksie cywilnym, przy czym Skarb Państwa ponosi odpowiedzialność solidarną z organem, który wydał decyzję.</w:t>
      </w:r>
    </w:p>
    <w:p w:rsidR="00697868" w:rsidRDefault="00433A38">
      <w:pPr>
        <w:pStyle w:val="Bodytext10"/>
        <w:spacing w:after="380"/>
        <w:jc w:val="both"/>
      </w:pPr>
      <w:r>
        <w:rPr>
          <w:rStyle w:val="Bodytext1"/>
        </w:rPr>
        <w:t>6e. Minister właściwy do spraw wewnętrznych określi, w drodze rozporządzenia, standardy oceny ryzyka na potrzeby stosowania zawieszenia.”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356"/>
        </w:tabs>
        <w:jc w:val="both"/>
      </w:pPr>
      <w:bookmarkStart w:id="11" w:name="bookmark23"/>
      <w:r>
        <w:rPr>
          <w:rStyle w:val="Heading21"/>
          <w:b/>
          <w:bCs/>
        </w:rPr>
        <w:t>Wzorce ustawowe - rozwiązania analogiczne</w:t>
      </w:r>
      <w:bookmarkEnd w:id="11"/>
    </w:p>
    <w:p w:rsidR="00697868" w:rsidRDefault="00433A38">
      <w:pPr>
        <w:pStyle w:val="Bodytext10"/>
        <w:numPr>
          <w:ilvl w:val="0"/>
          <w:numId w:val="5"/>
        </w:numPr>
        <w:tabs>
          <w:tab w:val="left" w:pos="262"/>
        </w:tabs>
        <w:jc w:val="both"/>
      </w:pPr>
      <w:r>
        <w:rPr>
          <w:rStyle w:val="Bodytext1"/>
        </w:rPr>
        <w:t xml:space="preserve">Ustawa o izbach lekarskich </w:t>
      </w:r>
      <w:r w:rsidRPr="00BB0B4F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77 ust. 1): tymczasowe zawieszenie prawa wykonywania zawodu, gdy istnieje duże prawdopodobieństwo ciężkiego przewinienia i zagrożenie dla pacjentów.</w:t>
      </w:r>
    </w:p>
    <w:p w:rsidR="00697868" w:rsidRDefault="00433A38">
      <w:pPr>
        <w:pStyle w:val="Bodytext10"/>
        <w:numPr>
          <w:ilvl w:val="0"/>
          <w:numId w:val="5"/>
        </w:numPr>
        <w:tabs>
          <w:tab w:val="left" w:pos="270"/>
        </w:tabs>
        <w:jc w:val="both"/>
      </w:pPr>
      <w:r>
        <w:rPr>
          <w:rStyle w:val="Bodytext1"/>
        </w:rPr>
        <w:t xml:space="preserve">Ustawa o Policji </w:t>
      </w:r>
      <w:r w:rsidRPr="00BB0B4F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>39 ust. 1-3): zawieszenie policjanta w czynnościach służbowych w razie wszczęcia postępowania o przestępstwo umyślne z oskarżenia publicznego, z określonym limitem czasu.</w:t>
      </w:r>
    </w:p>
    <w:p w:rsidR="00697868" w:rsidRDefault="00433A38">
      <w:pPr>
        <w:pStyle w:val="Bodytext10"/>
        <w:spacing w:after="380"/>
        <w:jc w:val="both"/>
      </w:pPr>
      <w:r>
        <w:rPr>
          <w:rStyle w:val="Bodytext1"/>
        </w:rPr>
        <w:t>Te konstrukcje pokazują, że proporcjonalne, tymczasowe środki są standardem w zawodach o</w:t>
      </w:r>
      <w:r w:rsidR="00BB0B4F">
        <w:rPr>
          <w:rStyle w:val="Bodytext1"/>
        </w:rPr>
        <w:t> </w:t>
      </w:r>
      <w:r>
        <w:rPr>
          <w:rStyle w:val="Bodytext1"/>
        </w:rPr>
        <w:t>podwyższonym zaufaniu i ryzyku - bez potrzeby automatycznej utraty uprawnień na etapie podejrzenia. Podobne mechanizmy funkcjonują m.in. w Niemczech, Francji i Hiszpanii, gdzie zawieszenie uprawnień stosuje się zamiast ich obligatoryjnego cofania, zapewniając ochronę praw jednostki do czasu prawomocnego skazania.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450"/>
        </w:tabs>
        <w:jc w:val="both"/>
      </w:pPr>
      <w:bookmarkStart w:id="12" w:name="bookmark25"/>
      <w:r>
        <w:rPr>
          <w:rStyle w:val="Heading21"/>
          <w:b/>
          <w:bCs/>
        </w:rPr>
        <w:t>Ocena skutków regulacji (zwięźle)</w:t>
      </w:r>
      <w:bookmarkEnd w:id="12"/>
    </w:p>
    <w:p w:rsidR="00697868" w:rsidRDefault="00433A38">
      <w:pPr>
        <w:pStyle w:val="Bodytext10"/>
        <w:spacing w:line="391" w:lineRule="auto"/>
        <w:ind w:firstLine="700"/>
        <w:jc w:val="both"/>
      </w:pPr>
      <w:r>
        <w:rPr>
          <w:rStyle w:val="Bodytext1"/>
          <w:u w:val="single"/>
        </w:rPr>
        <w:t>Skutki prawne</w:t>
      </w:r>
      <w:r>
        <w:rPr>
          <w:rStyle w:val="Bodytext1"/>
        </w:rPr>
        <w:t>: wprowadzenie fakultatywnego zawieszenia (z oceną ryzyka) i związanie definitywnego skreślenia z wyrokiem skazującym.</w:t>
      </w:r>
    </w:p>
    <w:p w:rsidR="00697868" w:rsidRDefault="00433A38">
      <w:pPr>
        <w:pStyle w:val="Bodytext10"/>
        <w:spacing w:line="391" w:lineRule="auto"/>
        <w:ind w:firstLine="700"/>
        <w:jc w:val="both"/>
      </w:pPr>
      <w:r>
        <w:rPr>
          <w:rStyle w:val="Bodytext1"/>
          <w:u w:val="single"/>
        </w:rPr>
        <w:t>Skutki społeczne</w:t>
      </w:r>
      <w:r>
        <w:rPr>
          <w:rStyle w:val="Bodytext1"/>
        </w:rPr>
        <w:t>: ochrona praw jednostki i zaufania do państwa; ograniczenie nieodwracalnych szkód (utrata pracy) przy np. pomówieniach. Fakt, że pracownik skreślony z listy kwalifikowanych pracowników ochrony może (w trakcie postępowania, przed wydaniem prawomocnego wyroku w</w:t>
      </w:r>
      <w:r w:rsidR="00BB0B4F">
        <w:rPr>
          <w:rStyle w:val="Bodytext1"/>
        </w:rPr>
        <w:t> </w:t>
      </w:r>
      <w:r>
        <w:rPr>
          <w:rStyle w:val="Bodytext1"/>
        </w:rPr>
        <w:t>sprawie) wykonywać pracę w branży nie wymagającą wpisu,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nie powinien być usprawiedliwieniem co do odmowy zmiany zapisów Ustawy. W branży ochrony wpis na listę pozwala - jak już wcześniej wspomniano - na stosowanie środków przymusu bezpośredniego, a</w:t>
      </w:r>
      <w:r w:rsidR="00BB0B4F">
        <w:rPr>
          <w:rStyle w:val="Bodytext1"/>
        </w:rPr>
        <w:t> </w:t>
      </w:r>
      <w:r>
        <w:rPr>
          <w:rStyle w:val="Bodytext1"/>
        </w:rPr>
        <w:t>także broni palnej (po uzyskaniu legitymacji osoby dopuszczonej do posiadania broni), a także pełnienie funkcji dowódcy zmiany, szefa ochrony itp. co ma znaczący wpływ na wysokość wynagrodzenia.</w:t>
      </w:r>
    </w:p>
    <w:p w:rsidR="00697868" w:rsidRDefault="00433A38">
      <w:pPr>
        <w:pStyle w:val="Bodytext10"/>
        <w:ind w:firstLine="700"/>
        <w:jc w:val="both"/>
      </w:pPr>
      <w:r>
        <w:rPr>
          <w:rStyle w:val="Bodytext1"/>
          <w:u w:val="single"/>
        </w:rPr>
        <w:t>Skutki finansowe</w:t>
      </w:r>
      <w:r>
        <w:rPr>
          <w:rStyle w:val="Bodytext1"/>
        </w:rPr>
        <w:t>: neutralne dla budżetu (postępowania i tak prowadzą Wydziały Postępowań Administracyjnych KWP); odszkodowania będą wyjątkiem i działaniem dyscyplinującym do stosowania zawieszeń tylko tam, gdzie to konieczne.</w:t>
      </w:r>
    </w:p>
    <w:p w:rsidR="00697868" w:rsidRDefault="00433A38">
      <w:pPr>
        <w:pStyle w:val="Bodytext10"/>
        <w:spacing w:after="400"/>
        <w:ind w:firstLine="700"/>
        <w:jc w:val="both"/>
      </w:pPr>
      <w:r>
        <w:rPr>
          <w:rStyle w:val="Bodytext1"/>
          <w:u w:val="single"/>
        </w:rPr>
        <w:t>Wejście w życie</w:t>
      </w:r>
      <w:r>
        <w:rPr>
          <w:rStyle w:val="Bodytext1"/>
        </w:rPr>
        <w:t xml:space="preserve">: 30 dni od ogłoszenia; stosowanie do spraw w toku - przywrócenie wpisu </w:t>
      </w:r>
      <w:r w:rsidRPr="00BB0B4F">
        <w:rPr>
          <w:rStyle w:val="Bodytext1"/>
          <w:lang w:eastAsia="en-US" w:bidi="en-US"/>
        </w:rPr>
        <w:t>ex</w:t>
      </w:r>
      <w:r w:rsidR="00BB0B4F">
        <w:rPr>
          <w:rStyle w:val="Bodytext1"/>
          <w:lang w:eastAsia="en-US" w:bidi="en-US"/>
        </w:rPr>
        <w:t> </w:t>
      </w:r>
      <w:r>
        <w:rPr>
          <w:rStyle w:val="Bodytext1"/>
        </w:rPr>
        <w:t>lege po uniewinnieniu. Przepisy stosuje się również do spraw wszczętych i niezakończonych prawomocnie w</w:t>
      </w:r>
      <w:r w:rsidR="00BB0B4F">
        <w:rPr>
          <w:rStyle w:val="Bodytext1"/>
        </w:rPr>
        <w:t> </w:t>
      </w:r>
      <w:r>
        <w:rPr>
          <w:rStyle w:val="Bodytext1"/>
        </w:rPr>
        <w:t>dniu wejścia w życie ustawy.</w:t>
      </w:r>
    </w:p>
    <w:p w:rsidR="00697868" w:rsidRDefault="00433A38">
      <w:pPr>
        <w:pStyle w:val="Heading210"/>
        <w:keepNext/>
        <w:keepLines/>
        <w:numPr>
          <w:ilvl w:val="0"/>
          <w:numId w:val="2"/>
        </w:numPr>
        <w:tabs>
          <w:tab w:val="left" w:pos="566"/>
        </w:tabs>
      </w:pPr>
      <w:bookmarkStart w:id="13" w:name="bookmark27"/>
      <w:r>
        <w:rPr>
          <w:rStyle w:val="Heading21"/>
          <w:b/>
          <w:bCs/>
        </w:rPr>
        <w:t>Wniosek i gotowość do współpracy</w:t>
      </w:r>
      <w:bookmarkEnd w:id="13"/>
    </w:p>
    <w:p w:rsidR="00697868" w:rsidRDefault="00433A38">
      <w:pPr>
        <w:pStyle w:val="Bodytext10"/>
        <w:spacing w:after="400"/>
        <w:ind w:firstLine="700"/>
        <w:jc w:val="both"/>
      </w:pPr>
      <w:r>
        <w:rPr>
          <w:rStyle w:val="Bodytext1"/>
        </w:rPr>
        <w:t>Proszę o skorzystanie przez Pana Prezydenta z inicjatywy ustawodawczej i skierowanie do Sejmu RP projektu nowelizacji, którego rdzeń przedstawiono powyżej. Deklaruję gotowość udziału w pracach koncepcyjnych i konsultacjach (z udziałem KPRP, MSWiA, Policji, RPO, Rady Legislacyjnej oraz przedstawicieli branży). Wierzę, że wprowadzenie proponowanych rozwiązań przywróci równowagę między bezpieczeństwem publicznym a konstytucyjną ochroną praw jednostki.</w:t>
      </w:r>
    </w:p>
    <w:p w:rsidR="00697868" w:rsidRDefault="00433A38">
      <w:pPr>
        <w:pStyle w:val="Bodytext10"/>
        <w:spacing w:after="400"/>
      </w:pPr>
      <w:r>
        <w:rPr>
          <w:rStyle w:val="Bodytext1"/>
        </w:rPr>
        <w:t>Z wyrazami głębokiego szacunku,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Wnioskodawca:</w:t>
      </w:r>
    </w:p>
    <w:p w:rsidR="00697868" w:rsidRDefault="00697868">
      <w:pPr>
        <w:pStyle w:val="Bodytext10"/>
        <w:spacing w:after="520"/>
        <w:jc w:val="both"/>
      </w:pPr>
    </w:p>
    <w:p w:rsidR="00697868" w:rsidRDefault="00433A38">
      <w:pPr>
        <w:framePr w:w="893" w:h="1116" w:hSpace="1562" w:wrap="notBeside" w:vAnchor="text" w:hAnchor="text" w:x="3363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67055" cy="70739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868" w:rsidRDefault="00433A3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134870" distR="3058795" simplePos="0" relativeHeight="125829378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59690</wp:posOffset>
                </wp:positionV>
                <wp:extent cx="635635" cy="958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868" w:rsidRDefault="00433A38">
                            <w:pPr>
                              <w:pStyle w:val="Picturecaption10"/>
                              <w:pBdr>
                                <w:top w:val="single" w:sz="0" w:space="0" w:color="404040"/>
                                <w:left w:val="single" w:sz="0" w:space="0" w:color="404040"/>
                                <w:bottom w:val="single" w:sz="0" w:space="0" w:color="404040"/>
                                <w:right w:val="single" w:sz="0" w:space="0" w:color="404040"/>
                              </w:pBdr>
                              <w:shd w:val="clear" w:color="auto" w:fill="404040"/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PODPIS ZAUFANY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0.65000000000001pt;margin-top:4.7000000000000002pt;width:50.050000000000004pt;height:7.5499999999999998pt;z-index:-125829375;mso-wrap-distance-left:168.09999999999999pt;mso-wrap-distance-right:240.84999999999999pt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404040"/>
                          <w:left w:val="single" w:sz="0" w:space="0" w:color="404040"/>
                          <w:bottom w:val="single" w:sz="0" w:space="0" w:color="404040"/>
                          <w:right w:val="single" w:sz="0" w:space="0" w:color="404040"/>
                        </w:pBdr>
                        <w:shd w:val="clear" w:color="auto" w:fill="404040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14"/>
                          <w:b/>
                          <w:bCs/>
                          <w:color w:val="FFFFFF"/>
                          <w:sz w:val="10"/>
                          <w:szCs w:val="10"/>
                        </w:rPr>
                        <w:t>PODPIS ZAUFANY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134870" distR="2748280" simplePos="0" relativeHeight="12582938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210185</wp:posOffset>
                </wp:positionV>
                <wp:extent cx="946150" cy="4572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868" w:rsidRDefault="00697868">
                            <w:pPr>
                              <w:pStyle w:val="Picturecaption10"/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697868" w:rsidRDefault="00697868">
                            <w:pPr>
                              <w:pStyle w:val="Picturecaption10"/>
                              <w:spacing w:after="0" w:line="23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697868" w:rsidRDefault="00433A38">
                            <w:pPr>
                              <w:pStyle w:val="Picturecaption10"/>
                              <w:spacing w:after="6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12.08.2025 06:01:36 [GMT+2]</w:t>
                            </w:r>
                          </w:p>
                          <w:p w:rsidR="00697868" w:rsidRDefault="00433A38">
                            <w:pPr>
                              <w:pStyle w:val="Picturecaption10"/>
                              <w:spacing w:after="4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Dokument podpisany elektronicznie podpisem zaufanym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16.35pt;margin-top:16.55pt;width:74.5pt;height:36pt;z-index:125829380;visibility:visible;mso-wrap-style:square;mso-wrap-distance-left:168.1pt;mso-wrap-distance-top:0;mso-wrap-distance-right:216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JfgQEAAAIDAAAOAAAAZHJzL2Uyb0RvYy54bWysUlFLwzAQfhf8DyHvrtvYqpa1AxkTQVSY&#10;/oAsTdZAkwtJXLt/7yVbN9E38SW93F2/+77vslj2uiV74bwCU9LJaEyJMBxqZXYl/Xhf39xR4gMz&#10;NWvBiJIehKfL6vpq0dlCTKGBthaOIIjxRWdL2oRgiyzzvBGa+RFYYbAowWkW8Op2We1Yh+i6zabj&#10;cZ514GrrgAvvMbs6FmmV8KUUPLxK6UUgbUmRW0inS+c2nlm1YMXOMdsofqLB/sBCM2Vw6BlqxQIj&#10;n079gtKKO/Agw4iDzkBKxUXSgGom4x9qNg2zImlBc7w92+T/D5a/7N8cUXVJc0oM07iiNJXk0ZrO&#10;+gI7NhZ7Qv8APa54yHtMRsW9dDp+UQvBOpp8OBsr+kA4Ju9n+WSOFY6l2fwWFxdRssvP1vnwKECT&#10;GJTU4d6SnWz/7MOxdWiJswysVdvGfGR4ZBKj0G/7JObMcgv1Acm3TwZNiw9gCNwQbE/BgIZGJ2qn&#10;RxE3+f2eZl6ebvUFAAD//wMAUEsDBBQABgAIAAAAIQAuMcVo4AAAAAoBAAAPAAAAZHJzL2Rvd25y&#10;ZXYueG1sTI/BTsMwDIbvSLxDZCRuLOnKxtY1nSYEJyS0rhw4pk3WRmuc0mRbeXvMCY62P/3+/nw7&#10;uZ5dzBisRwnJTAAz2HhtsZXwUb0+rICFqFCr3qOR8G0CbIvbm1xl2l+xNJdDbBmFYMiUhC7GIeM8&#10;NJ1xKsz8YJBuRz86FWkcW65HdaVw1/O5EEvulEX60KnBPHemOR3OTsLuE8sX+/Ve78tjaatqLfBt&#10;eZLy/m7abYBFM8U/GH71SR0Kcqr9GXVgvYTHdP5EqIQ0TYARsFgltKiJFIsEeJHz/xWKHwAAAP//&#10;AwBQSwECLQAUAAYACAAAACEAtoM4kv4AAADhAQAAEwAAAAAAAAAAAAAAAAAAAAAAW0NvbnRlbnRf&#10;VHlwZXNdLnhtbFBLAQItABQABgAIAAAAIQA4/SH/1gAAAJQBAAALAAAAAAAAAAAAAAAAAC8BAABf&#10;cmVscy8ucmVsc1BLAQItABQABgAIAAAAIQCW4GJfgQEAAAIDAAAOAAAAAAAAAAAAAAAAAC4CAABk&#10;cnMvZTJvRG9jLnhtbFBLAQItABQABgAIAAAAIQAuMcVo4AAAAAoBAAAPAAAAAAAAAAAAAAAAANsD&#10;AABkcnMvZG93bnJldi54bWxQSwUGAAAAAAQABADzAAAA6AQAAAAA&#10;" filled="f" stroked="f">
                <v:textbox inset="0,0,0,0">
                  <w:txbxContent>
                    <w:p w:rsidR="00697868" w:rsidRDefault="00697868">
                      <w:pPr>
                        <w:pStyle w:val="Picturecaption10"/>
                        <w:spacing w:after="0"/>
                        <w:rPr>
                          <w:sz w:val="13"/>
                          <w:szCs w:val="13"/>
                        </w:rPr>
                      </w:pPr>
                    </w:p>
                    <w:p w:rsidR="00697868" w:rsidRDefault="00697868">
                      <w:pPr>
                        <w:pStyle w:val="Picturecaption10"/>
                        <w:spacing w:after="0" w:line="230" w:lineRule="auto"/>
                        <w:rPr>
                          <w:sz w:val="15"/>
                          <w:szCs w:val="15"/>
                        </w:rPr>
                      </w:pPr>
                    </w:p>
                    <w:p w:rsidR="00697868" w:rsidRDefault="00433A38">
                      <w:pPr>
                        <w:pStyle w:val="Picturecaption10"/>
                        <w:spacing w:after="6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12.08.2025 06:01:36 [GMT+2]</w:t>
                      </w:r>
                    </w:p>
                    <w:p w:rsidR="00697868" w:rsidRDefault="00433A38">
                      <w:pPr>
                        <w:pStyle w:val="Picturecaption10"/>
                        <w:spacing w:after="4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Dokument podpisany elektronicznie podpisem zaufanym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97868" w:rsidRDefault="00433A38">
      <w:pPr>
        <w:pStyle w:val="Bodytext10"/>
        <w:spacing w:after="400" w:line="240" w:lineRule="auto"/>
        <w:jc w:val="center"/>
        <w:rPr>
          <w:sz w:val="20"/>
          <w:szCs w:val="20"/>
        </w:rPr>
      </w:pPr>
      <w:r>
        <w:rPr>
          <w:rStyle w:val="Bodytext1"/>
          <w:sz w:val="20"/>
          <w:szCs w:val="20"/>
        </w:rPr>
        <w:t>podpis wnioskodawcy</w:t>
      </w:r>
      <w:r>
        <w:br w:type="page"/>
      </w:r>
    </w:p>
    <w:p w:rsidR="00697868" w:rsidRDefault="00433A38">
      <w:pPr>
        <w:pStyle w:val="Bodytext10"/>
      </w:pPr>
      <w:r>
        <w:rPr>
          <w:rStyle w:val="Bodytext1"/>
        </w:rPr>
        <w:lastRenderedPageBreak/>
        <w:t>SPIS ZAŁĄCZNIKÓW</w:t>
      </w:r>
    </w:p>
    <w:p w:rsidR="00697868" w:rsidRDefault="00433A38">
      <w:pPr>
        <w:pStyle w:val="Bodytext10"/>
        <w:numPr>
          <w:ilvl w:val="0"/>
          <w:numId w:val="6"/>
        </w:numPr>
        <w:tabs>
          <w:tab w:val="left" w:pos="351"/>
        </w:tabs>
      </w:pPr>
      <w:r>
        <w:rPr>
          <w:rStyle w:val="Bodytext1"/>
        </w:rPr>
        <w:t>Projekt ustawy o zmianie ustawy o ochronie osób i mienia (oddzielny plik).</w:t>
      </w:r>
    </w:p>
    <w:p w:rsidR="00697868" w:rsidRDefault="00BB0B4F">
      <w:pPr>
        <w:pStyle w:val="Bodytext10"/>
        <w:numPr>
          <w:ilvl w:val="0"/>
          <w:numId w:val="6"/>
        </w:numPr>
        <w:tabs>
          <w:tab w:val="left" w:pos="380"/>
        </w:tabs>
      </w:pPr>
      <w:r>
        <w:rPr>
          <w:rStyle w:val="Bodytext1"/>
        </w:rPr>
        <w:t xml:space="preserve">                       </w:t>
      </w:r>
      <w:r w:rsidR="00433A38">
        <w:rPr>
          <w:rStyle w:val="Bodytext1"/>
        </w:rPr>
        <w:t xml:space="preserve">., „Konstytucyjna zasada domniemania niewinności w odniesieniu </w:t>
      </w:r>
      <w:r w:rsidR="00433A38" w:rsidRPr="00BB0B4F">
        <w:rPr>
          <w:rStyle w:val="Bodytext1"/>
          <w:lang w:eastAsia="en-US" w:bidi="en-US"/>
        </w:rPr>
        <w:t xml:space="preserve">do art. </w:t>
      </w:r>
      <w:r w:rsidR="00433A38">
        <w:rPr>
          <w:rStyle w:val="Bodytext1"/>
        </w:rPr>
        <w:t xml:space="preserve">29 ust. 6 </w:t>
      </w:r>
      <w:r w:rsidR="00433A38" w:rsidRPr="00BB0B4F">
        <w:rPr>
          <w:rStyle w:val="Bodytext1"/>
          <w:lang w:eastAsia="en-US" w:bidi="en-US"/>
        </w:rPr>
        <w:t xml:space="preserve">pkt </w:t>
      </w:r>
      <w:r w:rsidR="00433A38">
        <w:rPr>
          <w:rStyle w:val="Bodytext1"/>
        </w:rPr>
        <w:t xml:space="preserve">1 ustawy o ochronie osób i mienia”, w: Prawo polskie i międzynarodowe, Archegraph 2022 (link: </w:t>
      </w:r>
      <w:hyperlink r:id="rId8" w:history="1">
        <w:r w:rsidR="00433A38" w:rsidRPr="00BB0B4F">
          <w:rPr>
            <w:rStyle w:val="Bodytext1"/>
            <w:lang w:eastAsia="en-US" w:bidi="en-US"/>
          </w:rPr>
          <w:t>https://www.archaegraph.pl/lib/123</w:t>
        </w:r>
      </w:hyperlink>
      <w:r w:rsidR="00433A38" w:rsidRPr="00BB0B4F">
        <w:rPr>
          <w:rStyle w:val="Bodytext1"/>
          <w:lang w:eastAsia="en-US" w:bidi="en-US"/>
        </w:rPr>
        <w:t xml:space="preserve"> </w:t>
      </w:r>
      <w:r w:rsidR="00433A38">
        <w:rPr>
          <w:rStyle w:val="Bodytext1"/>
        </w:rPr>
        <w:t>lbv/Prawo-Polskie-i-miedzynarodowe-18nkmjis.pdf).</w:t>
      </w:r>
    </w:p>
    <w:p w:rsidR="00697868" w:rsidRDefault="00433A38">
      <w:pPr>
        <w:pStyle w:val="Bodytext10"/>
        <w:numPr>
          <w:ilvl w:val="0"/>
          <w:numId w:val="6"/>
        </w:numPr>
        <w:tabs>
          <w:tab w:val="left" w:pos="380"/>
        </w:tabs>
      </w:pPr>
      <w:r>
        <w:rPr>
          <w:rStyle w:val="Bodytext1"/>
        </w:rPr>
        <w:t>Opinia Rady Legislacyjnej z 13 marca 2020 r., RL-033-8/20 (dr hab. P. Szymaniec) -</w:t>
      </w:r>
      <w:hyperlink r:id="rId9" w:history="1">
        <w:r>
          <w:rPr>
            <w:rStyle w:val="Bodytext1"/>
          </w:rPr>
          <w:t xml:space="preserve"> </w:t>
        </w:r>
        <w:r w:rsidRPr="00BB0B4F">
          <w:rPr>
            <w:rStyle w:val="Bodytext1"/>
            <w:lang w:eastAsia="en-US" w:bidi="en-US"/>
          </w:rPr>
          <w:t xml:space="preserve">https://www.gov.pl/web/radalegislacyjna/opinia-Z-13-marca-2020-r-o-projekcie-ustawy-o- </w:t>
        </w:r>
        <w:r>
          <w:rPr>
            <w:rStyle w:val="Bodytext1"/>
          </w:rPr>
          <w:t>zmianie-ustawy-o-ochronie-osob-i-mienia-oraz-niektorych-innych-ustaw</w:t>
        </w:r>
      </w:hyperlink>
      <w:r>
        <w:rPr>
          <w:rStyle w:val="Bodytext1"/>
        </w:rPr>
        <w:t>.</w:t>
      </w:r>
    </w:p>
    <w:p w:rsidR="00697868" w:rsidRPr="00BB0B4F" w:rsidRDefault="00433A38">
      <w:pPr>
        <w:pStyle w:val="Bodytext10"/>
        <w:numPr>
          <w:ilvl w:val="0"/>
          <w:numId w:val="6"/>
        </w:numPr>
        <w:tabs>
          <w:tab w:val="left" w:pos="380"/>
        </w:tabs>
        <w:rPr>
          <w:lang w:val="en-US"/>
        </w:rPr>
      </w:pPr>
      <w:r>
        <w:rPr>
          <w:rStyle w:val="Bodytext1"/>
        </w:rPr>
        <w:t xml:space="preserve">Wyrok Trybunału Konstytucyjnego z 17 grudnia 2003 r., sygn. </w:t>
      </w:r>
      <w:r w:rsidRPr="00BB0B4F">
        <w:rPr>
          <w:rStyle w:val="Bodytext1"/>
          <w:lang w:val="en-US"/>
        </w:rPr>
        <w:t xml:space="preserve">SK 15/02 - ISAP: </w:t>
      </w:r>
      <w:hyperlink r:id="rId10" w:history="1">
        <w:r>
          <w:rPr>
            <w:rStyle w:val="Bodytext1"/>
            <w:lang w:val="en-US" w:eastAsia="en-US" w:bidi="en-US"/>
          </w:rPr>
          <w:t>https://isap.sejm.gov.p1/isap.nsf/download.xsp/WDU20032202191/T/D20032191TK.pdf</w:t>
        </w:r>
      </w:hyperlink>
      <w:r>
        <w:rPr>
          <w:rStyle w:val="Bodytext1"/>
          <w:lang w:val="en-US" w:eastAsia="en-US" w:bidi="en-US"/>
        </w:rPr>
        <w:t>.</w:t>
      </w:r>
    </w:p>
    <w:p w:rsidR="00697868" w:rsidRDefault="00433A38">
      <w:pPr>
        <w:pStyle w:val="Bodytext10"/>
        <w:numPr>
          <w:ilvl w:val="0"/>
          <w:numId w:val="6"/>
        </w:numPr>
        <w:tabs>
          <w:tab w:val="left" w:pos="380"/>
        </w:tabs>
      </w:pPr>
      <w:r>
        <w:rPr>
          <w:rStyle w:val="Bodytext1"/>
        </w:rPr>
        <w:t>Wystąpienie RPO Adama Bodnara do MSWiA (WZF.7040.5.2016, 24 czerwca 2016 r.) -</w:t>
      </w:r>
      <w:hyperlink r:id="rId11" w:history="1">
        <w:r>
          <w:rPr>
            <w:rStyle w:val="Bodytext1"/>
          </w:rPr>
          <w:t xml:space="preserve"> </w:t>
        </w:r>
        <w:r w:rsidRPr="00BB0B4F">
          <w:rPr>
            <w:rStyle w:val="Bodytext1"/>
            <w:lang w:eastAsia="en-US" w:bidi="en-US"/>
          </w:rPr>
          <w:t>https://www.rpo.gov.pl</w:t>
        </w:r>
      </w:hyperlink>
      <w:r w:rsidRPr="00BB0B4F">
        <w:rPr>
          <w:rStyle w:val="Bodytext1"/>
          <w:lang w:eastAsia="en-US" w:bidi="en-US"/>
        </w:rPr>
        <w:t xml:space="preserve"> </w:t>
      </w:r>
      <w:r>
        <w:rPr>
          <w:rStyle w:val="Bodytext1"/>
        </w:rPr>
        <w:t>(adres zasobu w archiwum RPO).</w:t>
      </w:r>
    </w:p>
    <w:p w:rsidR="00697868" w:rsidRDefault="00433A38">
      <w:pPr>
        <w:pStyle w:val="Bodytext10"/>
        <w:numPr>
          <w:ilvl w:val="0"/>
          <w:numId w:val="6"/>
        </w:numPr>
        <w:tabs>
          <w:tab w:val="left" w:pos="380"/>
        </w:tabs>
        <w:spacing w:after="400"/>
      </w:pPr>
      <w:r>
        <w:rPr>
          <w:rStyle w:val="Bodytext1"/>
        </w:rPr>
        <w:t xml:space="preserve">Interpelacja poselska i odpowiedź MSW z 2014 r. </w:t>
      </w:r>
      <w:r w:rsidRPr="00BB0B4F">
        <w:rPr>
          <w:rStyle w:val="Bodytext1"/>
          <w:lang w:eastAsia="en-US" w:bidi="en-US"/>
        </w:rPr>
        <w:t xml:space="preserve">(dot. art. </w:t>
      </w:r>
      <w:r>
        <w:rPr>
          <w:rStyle w:val="Bodytext1"/>
        </w:rPr>
        <w:t>29 ust. 6) -</w:t>
      </w:r>
      <w:hyperlink r:id="rId12" w:history="1">
        <w:r>
          <w:rPr>
            <w:rStyle w:val="Bodytext1"/>
          </w:rPr>
          <w:t xml:space="preserve"> </w:t>
        </w:r>
        <w:r w:rsidRPr="00BB0B4F">
          <w:rPr>
            <w:rStyle w:val="Bodytext1"/>
            <w:lang w:eastAsia="en-US" w:bidi="en-US"/>
          </w:rPr>
          <w:t>https://www.sejm.gov.pl/Sejm7.nsf/InterpelacjaTresc.</w:t>
        </w:r>
        <w:r>
          <w:rPr>
            <w:rStyle w:val="Bodytext1"/>
          </w:rPr>
          <w:t>xsp?key=6BF24333&amp;view=2</w:t>
        </w:r>
      </w:hyperlink>
      <w:r>
        <w:rPr>
          <w:rStyle w:val="Bodytext1"/>
        </w:rPr>
        <w:t>.</w:t>
      </w:r>
    </w:p>
    <w:p w:rsidR="00697868" w:rsidRDefault="00433A38">
      <w:pPr>
        <w:pStyle w:val="Bodytext10"/>
        <w:spacing w:line="396" w:lineRule="auto"/>
      </w:pPr>
      <w:r>
        <w:rPr>
          <w:rStyle w:val="Bodytext1"/>
        </w:rPr>
        <w:t>PRZYPISY I BIBLIOGRAFIA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>Konstytucja Rzeczypospolitej Polskiej z 2 kwietnia 1997 r., Dz.U. Nr 78, poz. 483,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>Ustawa z 22 sierpnia 1997 r. o ochronie osób i mienia, Dz.U. z 2023 r. poz. 2005, ze zm.,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52"/>
        </w:tabs>
        <w:spacing w:line="396" w:lineRule="auto"/>
      </w:pPr>
      <w:r>
        <w:rPr>
          <w:rStyle w:val="Bodytext1"/>
        </w:rPr>
        <w:t>Ustawa z 13 czerwca 2013 r. o zmianie ustaw regulujących wykonywanie niektórych zawodów, Dz.U. 2013 poz. 829,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 xml:space="preserve">Wyrok TK z 17 grudnia 2003 r., SK 15/02, </w:t>
      </w:r>
      <w:r w:rsidRPr="00BB0B4F">
        <w:rPr>
          <w:rStyle w:val="Bodytext1"/>
          <w:lang w:eastAsia="en-US" w:bidi="en-US"/>
        </w:rPr>
        <w:t xml:space="preserve">ISAP: </w:t>
      </w:r>
      <w:r>
        <w:rPr>
          <w:rStyle w:val="Bodytext1"/>
        </w:rPr>
        <w:t>D20032191TK,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>RPO, Wystąpienie do MSWiA, WZF.7040.5.2016, 24.06.2016,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>Rada Legislacyjna, opinia RL-033-8/20, 13.03.2020 (dr hab. P. Szymańca),</w:t>
      </w:r>
    </w:p>
    <w:p w:rsidR="00697868" w:rsidRDefault="00BB0B4F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 xml:space="preserve">                </w:t>
      </w:r>
      <w:r w:rsidR="00433A38">
        <w:rPr>
          <w:rStyle w:val="Bodytext1"/>
        </w:rPr>
        <w:t>, „Konstytucyjna zasada domniemania niewinności...”, Archegraph 2022,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 xml:space="preserve">Ustawa o izbach lekarskich, Dz.U. 2009 Nr 219, poz. 1708 -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77,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438"/>
        </w:tabs>
        <w:spacing w:line="396" w:lineRule="auto"/>
      </w:pPr>
      <w:r>
        <w:rPr>
          <w:rStyle w:val="Bodytext1"/>
        </w:rPr>
        <w:t xml:space="preserve">Ustawa o Policji, Dz.U. 1990 Nr 30, poz. 179 -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39,</w:t>
      </w:r>
    </w:p>
    <w:p w:rsidR="00697868" w:rsidRDefault="00433A38">
      <w:pPr>
        <w:pStyle w:val="Bodytext10"/>
        <w:numPr>
          <w:ilvl w:val="0"/>
          <w:numId w:val="7"/>
        </w:numPr>
        <w:tabs>
          <w:tab w:val="left" w:pos="560"/>
        </w:tabs>
        <w:spacing w:line="396" w:lineRule="auto"/>
      </w:pPr>
      <w:r>
        <w:rPr>
          <w:rStyle w:val="Bodytext1"/>
        </w:rPr>
        <w:t xml:space="preserve">Orzecznictwo WSA/NSA </w:t>
      </w:r>
      <w:r w:rsidRPr="00BB0B4F">
        <w:rPr>
          <w:rStyle w:val="Bodytext1"/>
          <w:lang w:eastAsia="en-US" w:bidi="en-US"/>
        </w:rPr>
        <w:t xml:space="preserve">dot. art. </w:t>
      </w:r>
      <w:r>
        <w:rPr>
          <w:rStyle w:val="Bodytext1"/>
        </w:rPr>
        <w:t>29 ust. 6 (m.in. VI SA/Wa 3271/15; VI SA/Wa 1389/17;</w:t>
      </w:r>
    </w:p>
    <w:p w:rsidR="00697868" w:rsidRDefault="00433A38">
      <w:pPr>
        <w:pStyle w:val="Bodytext10"/>
        <w:spacing w:line="396" w:lineRule="auto"/>
      </w:pPr>
      <w:r>
        <w:rPr>
          <w:rStyle w:val="Bodytext1"/>
        </w:rPr>
        <w:t>VI SA/Wa 1376/20; II GSK 5434/16).</w:t>
      </w:r>
      <w:r>
        <w:br w:type="page"/>
      </w:r>
    </w:p>
    <w:p w:rsidR="00697868" w:rsidRDefault="00433A38">
      <w:pPr>
        <w:pStyle w:val="Bodytext10"/>
        <w:pBdr>
          <w:bottom w:val="single" w:sz="4" w:space="0" w:color="auto"/>
        </w:pBdr>
        <w:spacing w:after="1020" w:line="240" w:lineRule="auto"/>
      </w:pPr>
      <w:r>
        <w:rPr>
          <w:rStyle w:val="Bodytext1"/>
        </w:rPr>
        <w:lastRenderedPageBreak/>
        <w:t>ZAŁĄCZNIK: PROJEKT USTAWY</w:t>
      </w:r>
    </w:p>
    <w:p w:rsidR="00697868" w:rsidRDefault="00433A38">
      <w:pPr>
        <w:pStyle w:val="Bodytext10"/>
        <w:spacing w:after="200"/>
      </w:pPr>
      <w:r>
        <w:rPr>
          <w:rStyle w:val="Bodytext1"/>
        </w:rPr>
        <w:t>Kancelaria Sejmu - data wpływu:</w:t>
      </w:r>
    </w:p>
    <w:p w:rsidR="00697868" w:rsidRDefault="00433A38">
      <w:pPr>
        <w:pStyle w:val="Bodytext10"/>
        <w:tabs>
          <w:tab w:val="left" w:leader="underscore" w:pos="3758"/>
        </w:tabs>
      </w:pPr>
      <w:r>
        <w:rPr>
          <w:rStyle w:val="Bodytext1"/>
        </w:rPr>
        <w:t>Nr druku:</w:t>
      </w:r>
      <w:r>
        <w:rPr>
          <w:rStyle w:val="Bodytext1"/>
        </w:rPr>
        <w:tab/>
      </w:r>
    </w:p>
    <w:p w:rsidR="00697868" w:rsidRDefault="00433A38">
      <w:pPr>
        <w:pStyle w:val="Bodytext10"/>
        <w:tabs>
          <w:tab w:val="left" w:leader="underscore" w:pos="4745"/>
        </w:tabs>
        <w:spacing w:after="400"/>
      </w:pPr>
      <w:r>
        <w:rPr>
          <w:rStyle w:val="Bodytext1"/>
        </w:rPr>
        <w:t>Oznaczenie sprawy:</w:t>
      </w:r>
      <w:r>
        <w:rPr>
          <w:rStyle w:val="Bodytext1"/>
        </w:rPr>
        <w:tab/>
      </w:r>
    </w:p>
    <w:p w:rsidR="00697868" w:rsidRDefault="00433A38">
      <w:pPr>
        <w:pStyle w:val="Bodytext10"/>
      </w:pPr>
      <w:r>
        <w:rPr>
          <w:rStyle w:val="Bodytext1"/>
        </w:rPr>
        <w:t>PROJEKT</w:t>
      </w:r>
    </w:p>
    <w:p w:rsidR="00697868" w:rsidRDefault="00433A38">
      <w:pPr>
        <w:pStyle w:val="Bodytext10"/>
      </w:pPr>
      <w:r>
        <w:rPr>
          <w:rStyle w:val="Bodytext1"/>
        </w:rPr>
        <w:t>USTAWA</w:t>
      </w:r>
    </w:p>
    <w:p w:rsidR="00697868" w:rsidRDefault="00433A38">
      <w:pPr>
        <w:pStyle w:val="Bodytext10"/>
        <w:tabs>
          <w:tab w:val="left" w:leader="dot" w:pos="1699"/>
        </w:tabs>
      </w:pPr>
      <w:r>
        <w:rPr>
          <w:rStyle w:val="Bodytext1"/>
        </w:rPr>
        <w:t>z dnia</w:t>
      </w:r>
      <w:r>
        <w:rPr>
          <w:rStyle w:val="Bodytext1"/>
        </w:rPr>
        <w:tab/>
        <w:t xml:space="preserve"> 2025 r.</w:t>
      </w:r>
    </w:p>
    <w:p w:rsidR="00697868" w:rsidRDefault="00433A38">
      <w:pPr>
        <w:pStyle w:val="Bodytext10"/>
      </w:pPr>
      <w:r>
        <w:rPr>
          <w:rStyle w:val="Bodytext1"/>
        </w:rPr>
        <w:t>o zmianie ustawy o ochronie osób i mienia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Art. 1.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 xml:space="preserve">W ustawie z dnia 22 sierpnia 1997 r. o ochronie osób i mienia (Dz.U. z 2025 r. poz. 532, ze zm.) w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29 ust. 6 wprowadza się następujące zmiany:</w:t>
      </w:r>
    </w:p>
    <w:p w:rsidR="00697868" w:rsidRDefault="00433A38">
      <w:pPr>
        <w:pStyle w:val="Bodytext10"/>
        <w:numPr>
          <w:ilvl w:val="0"/>
          <w:numId w:val="8"/>
        </w:numPr>
        <w:tabs>
          <w:tab w:val="left" w:pos="351"/>
        </w:tabs>
        <w:jc w:val="both"/>
      </w:pP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>1 otrzymuje brzmienie: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„1) wobec którego zostało wszczęte postępowanie karne o popełnienie umyślnego przestępstwa ściganego z oskarżenia publicznego — może zostać zawieszony we wszystkich uprawnieniach wynikających z wpisu, w tym w zakresie dopuszczenia do posiadania broni na czas trwania postępowania, jeżeli przemawiają za tym względy bezpieczeństwa publicznego lub wysokie prawdopodobieństwo popełnienia zarzucanego czynu, rozumiane jako istotne i konkretne dowody potwierdzające podejrzenie, w szczególności postanowienie o przedstawieniu zarzutów poparte materiałem dowodowym,”;</w:t>
      </w:r>
    </w:p>
    <w:p w:rsidR="00697868" w:rsidRDefault="00433A38">
      <w:pPr>
        <w:pStyle w:val="Bodytext10"/>
        <w:numPr>
          <w:ilvl w:val="0"/>
          <w:numId w:val="8"/>
        </w:numPr>
        <w:tabs>
          <w:tab w:val="left" w:pos="380"/>
        </w:tabs>
        <w:jc w:val="both"/>
      </w:pPr>
      <w:r>
        <w:rPr>
          <w:rStyle w:val="Bodytext1"/>
        </w:rPr>
        <w:t>po pkt 2 dodaje się pkt 3 w brzmieniu:</w:t>
      </w:r>
    </w:p>
    <w:p w:rsidR="00697868" w:rsidRDefault="00433A38">
      <w:pPr>
        <w:pStyle w:val="Bodytext10"/>
        <w:spacing w:after="400"/>
        <w:jc w:val="both"/>
      </w:pPr>
      <w:r>
        <w:rPr>
          <w:rStyle w:val="Bodytext1"/>
        </w:rPr>
        <w:t>„3) wobec którego zapadł prawomocny wyrok skazujący za przestępstwo umyślne — podlega skreśleniu z listy kwalifikowanych pracowników ochrony.”.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Art. 2.</w:t>
      </w:r>
    </w:p>
    <w:p w:rsidR="00697868" w:rsidRDefault="00433A38">
      <w:pPr>
        <w:pStyle w:val="Bodytext10"/>
        <w:spacing w:after="820"/>
      </w:pPr>
      <w:r>
        <w:rPr>
          <w:rStyle w:val="Bodytext1"/>
        </w:rPr>
        <w:t>Ustawa wchodzi w życie po upływie 30 dni od dnia ogłoszenia.</w:t>
      </w:r>
    </w:p>
    <w:p w:rsidR="00697868" w:rsidRDefault="00433A38">
      <w:pPr>
        <w:pStyle w:val="Bodytext10"/>
        <w:spacing w:line="240" w:lineRule="auto"/>
      </w:pPr>
      <w:r>
        <w:rPr>
          <w:rStyle w:val="Bodytext1"/>
        </w:rPr>
        <w:t>Podpis przedstawiciela wnioskodawcy</w:t>
      </w:r>
      <w:r>
        <w:br w:type="page"/>
      </w:r>
    </w:p>
    <w:p w:rsidR="00697868" w:rsidRDefault="00433A38">
      <w:pPr>
        <w:pStyle w:val="Bodytext10"/>
        <w:spacing w:after="560" w:line="240" w:lineRule="auto"/>
        <w:jc w:val="both"/>
      </w:pPr>
      <w:r>
        <w:rPr>
          <w:rStyle w:val="Bodytext1"/>
        </w:rPr>
        <w:lastRenderedPageBreak/>
        <w:t>Data i podpis Marszałka Sejmu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>UZASADNIENIE</w:t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295"/>
        </w:tabs>
        <w:jc w:val="both"/>
      </w:pPr>
      <w:r>
        <w:rPr>
          <w:rStyle w:val="Bodytext1"/>
        </w:rPr>
        <w:t>Potrzeba i cel wydania ustawy: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 xml:space="preserve">Celem nowelizacji jest przywrócenie zgodności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29 ust. 6 ustawy o ochronie osób i mienia z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42 ust. 3 Konstytucji RP (zasada domniemania niewinności). Obecny mechanizm obligatoryjnego skreślenia z listy kwalifikowanych pracowników ochrony po wszczęciu postępowania karnego godzi w prawa jednostki.</w:t>
      </w:r>
    </w:p>
    <w:p w:rsidR="00697868" w:rsidRDefault="00433A38">
      <w:pPr>
        <w:pStyle w:val="Bodytext10"/>
        <w:spacing w:after="400"/>
        <w:jc w:val="both"/>
      </w:pPr>
      <w:r>
        <w:rPr>
          <w:rStyle w:val="Bodytext1"/>
        </w:rPr>
        <w:t xml:space="preserve">Jak podkreślił Rzecznik Praw Obywatelskich Adam </w:t>
      </w:r>
      <w:r w:rsidRPr="00BB0B4F">
        <w:rPr>
          <w:rStyle w:val="Bodytext1"/>
          <w:lang w:eastAsia="en-US" w:bidi="en-US"/>
        </w:rPr>
        <w:t xml:space="preserve">Bodnar, </w:t>
      </w:r>
      <w:r>
        <w:rPr>
          <w:rStyle w:val="Bodytext1"/>
        </w:rPr>
        <w:t>„praktyka ta prowadzi do sytuacji, w której osoby niewinne są faktycznie wykluczane z zawodu na wiele lat, bez realnej możliwości obrony”.</w:t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331"/>
        </w:tabs>
        <w:jc w:val="both"/>
      </w:pPr>
      <w:r>
        <w:rPr>
          <w:rStyle w:val="Bodytext1"/>
        </w:rPr>
        <w:t>Rzeczywisty stan prawny i problem:</w:t>
      </w:r>
    </w:p>
    <w:p w:rsidR="00697868" w:rsidRDefault="00433A38">
      <w:pPr>
        <w:pStyle w:val="Bodytext10"/>
        <w:jc w:val="both"/>
      </w:pPr>
      <w:r>
        <w:rPr>
          <w:rStyle w:val="Bodytext1"/>
        </w:rPr>
        <w:t xml:space="preserve">W artykule „Konstytucyjna zasada domniemania niewinności w odniesieniu </w:t>
      </w:r>
      <w:r w:rsidRPr="00BB0B4F">
        <w:rPr>
          <w:rStyle w:val="Bodytext1"/>
          <w:lang w:eastAsia="en-US" w:bidi="en-US"/>
        </w:rPr>
        <w:t xml:space="preserve">do art. </w:t>
      </w:r>
      <w:r>
        <w:rPr>
          <w:rStyle w:val="Bodytext1"/>
        </w:rPr>
        <w:t xml:space="preserve">29 ust. 6 </w:t>
      </w:r>
      <w:r w:rsidRPr="00BB0B4F">
        <w:rPr>
          <w:rStyle w:val="Bodytext1"/>
          <w:lang w:eastAsia="en-US" w:bidi="en-US"/>
        </w:rPr>
        <w:t xml:space="preserve">pkt </w:t>
      </w:r>
      <w:r>
        <w:rPr>
          <w:rStyle w:val="Bodytext1"/>
        </w:rPr>
        <w:t>1 ustawy o ochronie osób i mienia” (w: Studia nad prawem..., Archegraph 2022) wskazano, że „ustalenie ziszczenia się którejś z przesłanek określonych w tym przepisie zawsze i bezwarunkowo obliguje komendanta wojewódzkiego policji do wydania decyzji administracyjnej o określonej treści”.</w:t>
      </w:r>
    </w:p>
    <w:p w:rsidR="00697868" w:rsidRDefault="00433A38">
      <w:pPr>
        <w:pStyle w:val="Bodytext10"/>
        <w:spacing w:after="400"/>
        <w:jc w:val="both"/>
      </w:pPr>
      <w:r>
        <w:rPr>
          <w:rStyle w:val="Bodytext1"/>
        </w:rPr>
        <w:t>Opinia dr hab. Piotra Szymańca (Rada Legislacyjna, 13.03.2020 r.) potwierdza, że obecne brzmienie przepisu jest nieproporcjonalne i powinno zostać zmienione na mechanizm zawieszenia uprawnień do czasu prawomocnego skazania.</w:t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316"/>
        </w:tabs>
        <w:spacing w:line="389" w:lineRule="auto"/>
        <w:jc w:val="both"/>
      </w:pPr>
      <w:r>
        <w:rPr>
          <w:rStyle w:val="Bodytext1"/>
        </w:rPr>
        <w:t>Przewidywane skutki prawne:</w:t>
      </w:r>
    </w:p>
    <w:p w:rsidR="00697868" w:rsidRDefault="00433A38">
      <w:pPr>
        <w:pStyle w:val="Bodytext10"/>
        <w:spacing w:after="400" w:line="389" w:lineRule="auto"/>
        <w:jc w:val="both"/>
      </w:pPr>
      <w:r>
        <w:rPr>
          <w:rStyle w:val="Bodytext1"/>
        </w:rPr>
        <w:t>Zmiana pozwoli na zawieszanie uprawnień w uzasadnionych przypadkach, przy jednoczesnym zapewnieniu, że trwała utrata następuje tylko po prawomocnym skazaniu.</w:t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323"/>
        </w:tabs>
        <w:spacing w:line="389" w:lineRule="auto"/>
        <w:jc w:val="both"/>
      </w:pPr>
      <w:r>
        <w:rPr>
          <w:rStyle w:val="Bodytext1"/>
        </w:rPr>
        <w:t>Skutki społeczne i gospodarcze:</w:t>
      </w:r>
    </w:p>
    <w:p w:rsidR="00697868" w:rsidRDefault="00433A38">
      <w:pPr>
        <w:pStyle w:val="Bodytext10"/>
        <w:spacing w:after="400" w:line="389" w:lineRule="auto"/>
        <w:jc w:val="both"/>
      </w:pPr>
      <w:r>
        <w:rPr>
          <w:rStyle w:val="Bodytext1"/>
        </w:rPr>
        <w:t>Ochrona pracowników przed utratą źródła utrzymania w wyniku pomówień lub błędów w toku przebiegu śledztwa. Według danych KGP branża ochrony to blisko sto tysięcy osób, dla których obecny przepis jest realnym zagrożeniem bytu.</w:t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316"/>
        </w:tabs>
        <w:jc w:val="both"/>
      </w:pPr>
      <w:r>
        <w:rPr>
          <w:rStyle w:val="Bodytext1"/>
        </w:rPr>
        <w:t>Zgodność z prawem UE:</w:t>
      </w:r>
    </w:p>
    <w:p w:rsidR="00697868" w:rsidRDefault="00433A38">
      <w:pPr>
        <w:pStyle w:val="Bodytext10"/>
        <w:spacing w:after="400"/>
        <w:jc w:val="both"/>
      </w:pPr>
      <w:r>
        <w:rPr>
          <w:rStyle w:val="Bodytext1"/>
        </w:rPr>
        <w:t>Projekt nie jest objęty prawem Unii Europejskiej.</w:t>
      </w:r>
      <w:r>
        <w:br w:type="page"/>
      </w:r>
    </w:p>
    <w:p w:rsidR="00697868" w:rsidRDefault="00433A38">
      <w:pPr>
        <w:pStyle w:val="Bodytext10"/>
        <w:numPr>
          <w:ilvl w:val="0"/>
          <w:numId w:val="9"/>
        </w:numPr>
        <w:tabs>
          <w:tab w:val="left" w:pos="344"/>
        </w:tabs>
        <w:spacing w:after="140" w:line="240" w:lineRule="auto"/>
      </w:pPr>
      <w:r>
        <w:rPr>
          <w:rStyle w:val="Bodytext1"/>
        </w:rPr>
        <w:lastRenderedPageBreak/>
        <w:t>Spis załączników:</w:t>
      </w:r>
    </w:p>
    <w:p w:rsidR="00697868" w:rsidRDefault="00433A38">
      <w:pPr>
        <w:pStyle w:val="Bodytext10"/>
        <w:numPr>
          <w:ilvl w:val="0"/>
          <w:numId w:val="10"/>
        </w:numPr>
        <w:tabs>
          <w:tab w:val="left" w:pos="351"/>
        </w:tabs>
        <w:spacing w:after="140" w:line="240" w:lineRule="auto"/>
      </w:pPr>
      <w:r>
        <w:rPr>
          <w:rStyle w:val="Bodytext1"/>
        </w:rPr>
        <w:t xml:space="preserve">Artykuł </w:t>
      </w:r>
      <w:r w:rsidR="00BB0B4F">
        <w:rPr>
          <w:rStyle w:val="Bodytext1"/>
        </w:rPr>
        <w:t xml:space="preserve">                          </w:t>
      </w:r>
      <w:r>
        <w:rPr>
          <w:rStyle w:val="Bodytext1"/>
        </w:rPr>
        <w:t xml:space="preserve"> (Archegraph 2022)</w:t>
      </w:r>
    </w:p>
    <w:p w:rsidR="00697868" w:rsidRDefault="00433A38">
      <w:pPr>
        <w:pStyle w:val="Bodytext10"/>
        <w:numPr>
          <w:ilvl w:val="0"/>
          <w:numId w:val="10"/>
        </w:numPr>
        <w:tabs>
          <w:tab w:val="left" w:pos="380"/>
        </w:tabs>
        <w:spacing w:after="140" w:line="240" w:lineRule="auto"/>
      </w:pPr>
      <w:r>
        <w:rPr>
          <w:rStyle w:val="Bodytext1"/>
        </w:rPr>
        <w:t>Opinia dr hab. Piotra Szymańca (RL-033-8/20, 13.03.2020)</w:t>
      </w:r>
    </w:p>
    <w:p w:rsidR="00697868" w:rsidRDefault="00433A38">
      <w:pPr>
        <w:pStyle w:val="Bodytext10"/>
        <w:numPr>
          <w:ilvl w:val="0"/>
          <w:numId w:val="10"/>
        </w:numPr>
        <w:tabs>
          <w:tab w:val="left" w:pos="373"/>
        </w:tabs>
        <w:spacing w:after="140" w:line="240" w:lineRule="auto"/>
      </w:pPr>
      <w:r>
        <w:rPr>
          <w:rStyle w:val="Bodytext1"/>
        </w:rPr>
        <w:t>Wyrok TK z 17 grudnia 2013 r., sygn. SK 15/02</w:t>
      </w:r>
    </w:p>
    <w:p w:rsidR="00697868" w:rsidRDefault="00433A38">
      <w:pPr>
        <w:pStyle w:val="Bodytext10"/>
        <w:numPr>
          <w:ilvl w:val="0"/>
          <w:numId w:val="10"/>
        </w:numPr>
        <w:tabs>
          <w:tab w:val="left" w:pos="380"/>
        </w:tabs>
        <w:spacing w:after="140" w:line="240" w:lineRule="auto"/>
      </w:pPr>
      <w:r>
        <w:rPr>
          <w:rStyle w:val="Bodytext1"/>
        </w:rPr>
        <w:t xml:space="preserve">Wybrane interpelacje poselskie w sprawie </w:t>
      </w:r>
      <w:r w:rsidRPr="00BB0B4F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29 ust. 6 ustawy o ochronie osób i mienia.</w:t>
      </w:r>
    </w:p>
    <w:p w:rsidR="00697868" w:rsidRDefault="00433A38">
      <w:pPr>
        <w:pStyle w:val="Bodytext10"/>
        <w:numPr>
          <w:ilvl w:val="0"/>
          <w:numId w:val="10"/>
        </w:numPr>
        <w:tabs>
          <w:tab w:val="left" w:pos="373"/>
        </w:tabs>
        <w:spacing w:after="140" w:line="240" w:lineRule="auto"/>
      </w:pPr>
      <w:r>
        <w:rPr>
          <w:rStyle w:val="Bodytext1"/>
        </w:rPr>
        <w:t>Inne wyroki zwłaszcza WSA.</w:t>
      </w:r>
    </w:p>
    <w:sectPr w:rsidR="00697868" w:rsidSect="00DB5C0F">
      <w:footerReference w:type="default" r:id="rId13"/>
      <w:pgSz w:w="11900" w:h="16840"/>
      <w:pgMar w:top="1210" w:right="1359" w:bottom="1310" w:left="1361" w:header="782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65" w:rsidRDefault="006F0965">
      <w:r>
        <w:separator/>
      </w:r>
    </w:p>
  </w:endnote>
  <w:endnote w:type="continuationSeparator" w:id="0">
    <w:p w:rsidR="006F0965" w:rsidRDefault="006F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68" w:rsidRDefault="00433A3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9924415</wp:posOffset>
              </wp:positionV>
              <wp:extent cx="22860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7868" w:rsidRDefault="00433A38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6201" w:rsidRPr="000C6201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87.8pt;margin-top:781.45pt;width:18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WbkgEAACEDAAAOAAAAZHJzL2Uyb0RvYy54bWysUsFOwzAMvSPxD1HurF0PMFXrJhACISFA&#10;Aj4gS5M1UhNHcVi7v8fJuoHghri4ju0+Pz97uR5tz3YqoAHX8Pms5Ew5Ca1x24a/v91dLDjDKFwr&#10;enCq4XuFfL06P1sOvlYVdNC3KjACcVgPvuFdjL4uCpSdsgJn4JWjpIZgRaRn2BZtEAOh276oyvKy&#10;GCC0PoBUiBS9PST5KuNrrWR81hpVZH3DiVvMNmS7SbZYLUW9DcJ3Rk40xB9YWGEcNT1B3Yoo2Ecw&#10;v6CskQEQdJxJsAVobaTKM9A08/LHNK+d8CrPQuKgP8mE/wcrn3YvgZmWdseZE5ZWlLuyeZJm8FhT&#10;xaunmjjewJjKpjhSME086mDTl2ZhlCeR9ydh1RiZpGBVLS5LykhKzatFdZWFL75+9gHjvQLLktPw&#10;QHvLcordI0ZqSKXHktTLwZ3p+xRPDA9MkhfHzTjR20C7J9YDrbbhjm6Ps/7BkXLpCo5OODqbyUng&#10;6K8/IjXIfRPqAWpqRnvIdKabSYv+/s5VX5e9+gQAAP//AwBQSwMEFAAGAAgAAAAhAMnMD5TfAAAA&#10;DQEAAA8AAABkcnMvZG93bnJldi54bWxMj81OwzAQhO9IvIO1SNyok6KkIY1ToUpcuFEQEjc33sZR&#10;/RPZbpq8PdsTHHfm0+xMs5utYROGOHgnIF9lwNB1Xg2uF/D1+fZUAYtJOiWNdyhgwQi79v6ukbXy&#10;V/eB0yH1jEJcrKUAndJYcx47jVbGlR/RkXfywcpEZ+i5CvJK4dbwdZaV3MrB0QctR9xr7M6HixWw&#10;mb89jhH3+HOauqCHpTLvixCPD/PrFljCOf3BcKtP1aGlTkd/cSoyI6DYFCWhZBTl+gUYIWWek3S8&#10;SdVzDrxt+P8V7S8AAAD//wMAUEsBAi0AFAAGAAgAAAAhALaDOJL+AAAA4QEAABMAAAAAAAAAAAAA&#10;AAAAAAAAAFtDb250ZW50X1R5cGVzXS54bWxQSwECLQAUAAYACAAAACEAOP0h/9YAAACUAQAACwAA&#10;AAAAAAAAAAAAAAAvAQAAX3JlbHMvLnJlbHNQSwECLQAUAAYACAAAACEATrcVm5IBAAAhAwAADgAA&#10;AAAAAAAAAAAAAAAuAgAAZHJzL2Uyb0RvYy54bWxQSwECLQAUAAYACAAAACEAycwPlN8AAAANAQAA&#10;DwAAAAAAAAAAAAAAAADsAwAAZHJzL2Rvd25yZXYueG1sUEsFBgAAAAAEAAQA8wAAAPgEAAAAAA==&#10;" filled="f" stroked="f">
              <v:textbox style="mso-fit-shape-to-text:t" inset="0,0,0,0">
                <w:txbxContent>
                  <w:p w:rsidR="00697868" w:rsidRDefault="00433A38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[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6201" w:rsidRPr="000C6201">
                      <w:rPr>
                        <w:rStyle w:val="Headerorfooter2"/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65" w:rsidRDefault="006F0965"/>
  </w:footnote>
  <w:footnote w:type="continuationSeparator" w:id="0">
    <w:p w:rsidR="006F0965" w:rsidRDefault="006F0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04BB"/>
    <w:multiLevelType w:val="multilevel"/>
    <w:tmpl w:val="5ECAC1C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E6A00"/>
    <w:multiLevelType w:val="multilevel"/>
    <w:tmpl w:val="C2FE2A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962E7"/>
    <w:multiLevelType w:val="multilevel"/>
    <w:tmpl w:val="E5A80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E45A97"/>
    <w:multiLevelType w:val="multilevel"/>
    <w:tmpl w:val="37924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4A69B1"/>
    <w:multiLevelType w:val="multilevel"/>
    <w:tmpl w:val="CEA41558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8D04BF"/>
    <w:multiLevelType w:val="multilevel"/>
    <w:tmpl w:val="7CEA9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AD4E48"/>
    <w:multiLevelType w:val="multilevel"/>
    <w:tmpl w:val="C9987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247854"/>
    <w:multiLevelType w:val="multilevel"/>
    <w:tmpl w:val="EDF0C9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43773"/>
    <w:multiLevelType w:val="multilevel"/>
    <w:tmpl w:val="E8FA863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52654A"/>
    <w:multiLevelType w:val="multilevel"/>
    <w:tmpl w:val="3F805D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68"/>
    <w:rsid w:val="000C6201"/>
    <w:rsid w:val="00433A38"/>
    <w:rsid w:val="00446DD8"/>
    <w:rsid w:val="00697868"/>
    <w:rsid w:val="006F0965"/>
    <w:rsid w:val="0090139F"/>
    <w:rsid w:val="00BB0B4F"/>
    <w:rsid w:val="00DB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D4322-0AF7-4FEC-A44B-4908AAFF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u w:val="singl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Heading110">
    <w:name w:val="Heading #1|1"/>
    <w:basedOn w:val="Normalny"/>
    <w:link w:val="Heading11"/>
    <w:pPr>
      <w:spacing w:before="110" w:after="660"/>
      <w:jc w:val="center"/>
      <w:outlineLvl w:val="0"/>
    </w:pPr>
    <w:rPr>
      <w:b/>
      <w:bCs/>
      <w:sz w:val="28"/>
      <w:szCs w:val="28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line="394" w:lineRule="auto"/>
    </w:pPr>
    <w:rPr>
      <w:sz w:val="22"/>
      <w:szCs w:val="22"/>
    </w:rPr>
  </w:style>
  <w:style w:type="paragraph" w:customStyle="1" w:styleId="Heading210">
    <w:name w:val="Heading #2|1"/>
    <w:basedOn w:val="Normalny"/>
    <w:link w:val="Heading21"/>
    <w:pPr>
      <w:spacing w:line="360" w:lineRule="auto"/>
      <w:outlineLvl w:val="1"/>
    </w:pPr>
    <w:rPr>
      <w:b/>
      <w:bCs/>
      <w:u w:val="single"/>
    </w:rPr>
  </w:style>
  <w:style w:type="paragraph" w:customStyle="1" w:styleId="Picturecaption10">
    <w:name w:val="Picture caption|1"/>
    <w:basedOn w:val="Normalny"/>
    <w:link w:val="Picturecaption1"/>
    <w:pPr>
      <w:spacing w:after="20"/>
    </w:pPr>
    <w:rPr>
      <w:rFonts w:ascii="Arial" w:eastAsia="Arial" w:hAnsi="Arial" w:cs="Arial"/>
      <w:b/>
      <w:bCs/>
      <w:sz w:val="8"/>
      <w:szCs w:val="8"/>
    </w:rPr>
  </w:style>
  <w:style w:type="paragraph" w:styleId="Nagwek">
    <w:name w:val="header"/>
    <w:basedOn w:val="Normalny"/>
    <w:link w:val="NagwekZnak"/>
    <w:uiPriority w:val="99"/>
    <w:unhideWhenUsed/>
    <w:rsid w:val="00BB0B4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B4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0B4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B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aegraph.pl/lib/12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ejm.gov.pl/Sejm7.nsf/InterpelacjaTresc.xsp?key=6BF24333&amp;view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po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1/isap.nsf/download.xsp/WDU20032202191/T/D20032191T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adalegislacyjna/opinia-Z-13-marca-2020-r-o-projekcie-ustawy-o-zmianie-ustawy-o-ochronie-osob-i-mienia-oraz-niektorych-innych-ust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2984</Words>
  <Characters>17905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2025-12-30T14:04:00Z</dcterms:created>
  <dcterms:modified xsi:type="dcterms:W3CDTF">2025-12-30T14:04:00Z</dcterms:modified>
</cp:coreProperties>
</file>