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0BA8" w:rsidRPr="00AE785C" w:rsidRDefault="00AD0BA8" w:rsidP="00AD0BA8">
      <w:pPr>
        <w:jc w:val="both"/>
        <w:rPr>
          <w:rFonts w:ascii="Times New Roman" w:hAnsi="Times New Roman"/>
        </w:rPr>
      </w:pPr>
      <w:bookmarkStart w:id="0" w:name="_GoBack"/>
      <w:bookmarkEnd w:id="0"/>
    </w:p>
    <w:p w:rsidR="00546E54" w:rsidRPr="003516B4" w:rsidRDefault="00546E54" w:rsidP="00546E54">
      <w:pPr>
        <w:jc w:val="center"/>
        <w:rPr>
          <w:rFonts w:asciiTheme="minorHAnsi" w:eastAsia="Times New Roman" w:hAnsiTheme="minorHAnsi"/>
          <w:b/>
          <w:u w:val="single"/>
          <w:lang w:eastAsia="pl-PL"/>
        </w:rPr>
      </w:pPr>
      <w:r w:rsidRPr="003516B4">
        <w:rPr>
          <w:rFonts w:asciiTheme="minorHAnsi" w:hAnsiTheme="minorHAnsi"/>
          <w:b/>
          <w:u w:val="single"/>
        </w:rPr>
        <w:t>TRANSFERY FINANSOWE POMIĘDZY POLSKĄ A BUDŻETEM UE WEDŁUG STANU NA DZIEŃ</w:t>
      </w:r>
    </w:p>
    <w:p w:rsidR="00546E54" w:rsidRPr="003516B4" w:rsidRDefault="00546E54" w:rsidP="00546E54">
      <w:pPr>
        <w:pStyle w:val="Tekstpodstawowy"/>
        <w:tabs>
          <w:tab w:val="left" w:pos="357"/>
        </w:tabs>
        <w:spacing w:line="264" w:lineRule="auto"/>
        <w:jc w:val="center"/>
        <w:rPr>
          <w:rFonts w:asciiTheme="minorHAnsi" w:hAnsiTheme="minorHAnsi"/>
          <w:b/>
          <w:szCs w:val="24"/>
          <w:u w:val="single"/>
        </w:rPr>
      </w:pPr>
      <w:r>
        <w:rPr>
          <w:rFonts w:asciiTheme="minorHAnsi" w:hAnsiTheme="minorHAnsi"/>
          <w:b/>
          <w:szCs w:val="24"/>
          <w:u w:val="single"/>
        </w:rPr>
        <w:t>31 PAŹDZIERNIKA</w:t>
      </w:r>
      <w:r w:rsidRPr="003516B4">
        <w:rPr>
          <w:rFonts w:asciiTheme="minorHAnsi" w:hAnsiTheme="minorHAnsi"/>
          <w:b/>
          <w:szCs w:val="24"/>
          <w:u w:val="single"/>
        </w:rPr>
        <w:t xml:space="preserve"> 2019 R.</w:t>
      </w:r>
    </w:p>
    <w:p w:rsidR="00546E54" w:rsidRPr="003516B4" w:rsidRDefault="00546E54" w:rsidP="00546E54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:rsidR="00546E54" w:rsidRPr="00AE785C" w:rsidRDefault="00546E54" w:rsidP="00546E54">
      <w:pPr>
        <w:jc w:val="both"/>
        <w:rPr>
          <w:rFonts w:ascii="Times New Roman" w:hAnsi="Times New Roman"/>
        </w:rPr>
      </w:pPr>
    </w:p>
    <w:p w:rsidR="00546E54" w:rsidRPr="003516B4" w:rsidRDefault="00546E54" w:rsidP="00546E54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  <w:r w:rsidRPr="003516B4">
        <w:rPr>
          <w:rFonts w:asciiTheme="minorHAnsi" w:hAnsiTheme="minorHAnsi"/>
          <w:b/>
          <w:szCs w:val="24"/>
          <w:u w:val="single"/>
        </w:rPr>
        <w:t>I.</w:t>
      </w:r>
      <w:r w:rsidRPr="003516B4">
        <w:rPr>
          <w:rFonts w:asciiTheme="minorHAnsi" w:hAnsiTheme="minorHAnsi"/>
          <w:b/>
          <w:szCs w:val="24"/>
          <w:u w:val="single"/>
        </w:rPr>
        <w:tab/>
        <w:t>ROZLICZENIA POLSKI Z UE</w:t>
      </w: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b/>
          <w:sz w:val="20"/>
          <w:szCs w:val="20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b/>
          <w:sz w:val="20"/>
          <w:szCs w:val="20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b/>
          <w:sz w:val="10"/>
          <w:szCs w:val="10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3516B4">
        <w:rPr>
          <w:rFonts w:asciiTheme="minorHAnsi" w:hAnsiTheme="minorHAnsi"/>
          <w:b/>
          <w:u w:val="single"/>
        </w:rPr>
        <w:t>I.1</w:t>
      </w:r>
      <w:r w:rsidRPr="003516B4">
        <w:rPr>
          <w:rFonts w:asciiTheme="minorHAnsi" w:hAnsiTheme="minorHAnsi"/>
          <w:b/>
          <w:u w:val="single"/>
        </w:rPr>
        <w:tab/>
        <w:t>Roz</w:t>
      </w:r>
      <w:r>
        <w:rPr>
          <w:rFonts w:asciiTheme="minorHAnsi" w:hAnsiTheme="minorHAnsi"/>
          <w:b/>
          <w:u w:val="single"/>
        </w:rPr>
        <w:t>l</w:t>
      </w:r>
      <w:r w:rsidR="00636659">
        <w:rPr>
          <w:rFonts w:asciiTheme="minorHAnsi" w:hAnsiTheme="minorHAnsi"/>
          <w:b/>
          <w:u w:val="single"/>
        </w:rPr>
        <w:t xml:space="preserve">iczenia Polski z budżetem UE w październiku </w:t>
      </w:r>
      <w:r w:rsidRPr="003516B4">
        <w:rPr>
          <w:rFonts w:asciiTheme="minorHAnsi" w:hAnsiTheme="minorHAnsi"/>
          <w:b/>
          <w:u w:val="single"/>
        </w:rPr>
        <w:t xml:space="preserve">2019 r. </w:t>
      </w:r>
    </w:p>
    <w:p w:rsidR="00546E54" w:rsidRPr="003516B4" w:rsidRDefault="00555E5A" w:rsidP="00546E54">
      <w:pPr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</w:t>
      </w:r>
      <w:r w:rsidR="00546E54">
        <w:rPr>
          <w:rFonts w:asciiTheme="minorHAnsi" w:hAnsiTheme="minorHAnsi"/>
        </w:rPr>
        <w:t xml:space="preserve"> </w:t>
      </w:r>
      <w:r w:rsidR="00636659">
        <w:rPr>
          <w:rFonts w:asciiTheme="minorHAnsi" w:hAnsiTheme="minorHAnsi"/>
        </w:rPr>
        <w:t>październiku</w:t>
      </w:r>
      <w:r w:rsidR="00546E54" w:rsidRPr="003516B4">
        <w:rPr>
          <w:rFonts w:asciiTheme="minorHAnsi" w:hAnsiTheme="minorHAnsi"/>
        </w:rPr>
        <w:t xml:space="preserve"> z budżetu UE do Polski w formie transferów finansowych wpłynęło </w:t>
      </w:r>
      <w:r w:rsidR="00636659">
        <w:rPr>
          <w:rFonts w:asciiTheme="minorHAnsi" w:hAnsiTheme="minorHAnsi"/>
          <w:b/>
        </w:rPr>
        <w:t>1,59 mld</w:t>
      </w:r>
      <w:r w:rsidR="00546E54" w:rsidRPr="003516B4">
        <w:rPr>
          <w:rFonts w:asciiTheme="minorHAnsi" w:hAnsiTheme="minorHAnsi"/>
          <w:b/>
        </w:rPr>
        <w:t> EUR</w:t>
      </w:r>
      <w:r w:rsidR="00546E54" w:rsidRPr="003516B4">
        <w:rPr>
          <w:rFonts w:asciiTheme="minorHAnsi" w:hAnsiTheme="minorHAnsi"/>
        </w:rPr>
        <w:t xml:space="preserve">. </w:t>
      </w: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sz w:val="16"/>
          <w:szCs w:val="16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</w:rPr>
      </w:pPr>
      <w:r w:rsidRPr="003516B4">
        <w:rPr>
          <w:rFonts w:asciiTheme="minorHAnsi" w:hAnsiTheme="minorHAnsi"/>
          <w:u w:val="single"/>
        </w:rPr>
        <w:t xml:space="preserve">Polityka spójności </w:t>
      </w: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</w:rPr>
      </w:pPr>
      <w:r w:rsidRPr="003516B4">
        <w:rPr>
          <w:rFonts w:asciiTheme="minorHAnsi" w:hAnsiTheme="minorHAnsi"/>
        </w:rPr>
        <w:t>W ramach polityki spójności Polska otrzymała</w:t>
      </w:r>
      <w:r w:rsidRPr="003516B4">
        <w:rPr>
          <w:rFonts w:asciiTheme="minorHAnsi" w:hAnsiTheme="minorHAnsi"/>
          <w:b/>
        </w:rPr>
        <w:t xml:space="preserve"> </w:t>
      </w:r>
      <w:r w:rsidR="00636659">
        <w:rPr>
          <w:rFonts w:asciiTheme="minorHAnsi" w:hAnsiTheme="minorHAnsi"/>
          <w:b/>
        </w:rPr>
        <w:t>1,51 mld</w:t>
      </w:r>
      <w:r w:rsidRPr="003516B4">
        <w:rPr>
          <w:rFonts w:asciiTheme="minorHAnsi" w:hAnsiTheme="minorHAnsi"/>
          <w:b/>
        </w:rPr>
        <w:t xml:space="preserve"> EUR,</w:t>
      </w:r>
      <w:r w:rsidRPr="003516B4">
        <w:rPr>
          <w:rFonts w:asciiTheme="minorHAnsi" w:hAnsiTheme="minorHAnsi"/>
        </w:rPr>
        <w:t xml:space="preserve"> w tym:</w:t>
      </w:r>
    </w:p>
    <w:p w:rsidR="00546E54" w:rsidRDefault="00636659" w:rsidP="00546E54">
      <w:pPr>
        <w:numPr>
          <w:ilvl w:val="0"/>
          <w:numId w:val="1"/>
        </w:numPr>
        <w:tabs>
          <w:tab w:val="clear" w:pos="360"/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83</w:t>
      </w:r>
      <w:r w:rsidR="00555E5A">
        <w:rPr>
          <w:rFonts w:asciiTheme="minorHAnsi" w:hAnsiTheme="minorHAnsi"/>
          <w:b/>
        </w:rPr>
        <w:t>2</w:t>
      </w:r>
      <w:r w:rsidR="00546E54" w:rsidRPr="003516B4">
        <w:rPr>
          <w:rFonts w:asciiTheme="minorHAnsi" w:hAnsiTheme="minorHAnsi"/>
          <w:b/>
        </w:rPr>
        <w:t xml:space="preserve"> mln EUR</w:t>
      </w:r>
      <w:r w:rsidR="00546E54" w:rsidRPr="003516B4">
        <w:rPr>
          <w:rFonts w:asciiTheme="minorHAnsi" w:hAnsiTheme="minorHAnsi"/>
        </w:rPr>
        <w:t xml:space="preserve"> z Europejskiego Funduszu Rozwoju Regionalnego,</w:t>
      </w:r>
    </w:p>
    <w:p w:rsidR="00636659" w:rsidRPr="00636659" w:rsidRDefault="00636659" w:rsidP="00636659">
      <w:pPr>
        <w:numPr>
          <w:ilvl w:val="0"/>
          <w:numId w:val="1"/>
        </w:numPr>
        <w:tabs>
          <w:tab w:val="clear" w:pos="360"/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46</w:t>
      </w:r>
      <w:r w:rsidR="00555E5A">
        <w:rPr>
          <w:rFonts w:asciiTheme="minorHAnsi" w:hAnsiTheme="minorHAnsi"/>
          <w:b/>
        </w:rPr>
        <w:t>5</w:t>
      </w:r>
      <w:r w:rsidRPr="003516B4">
        <w:rPr>
          <w:rFonts w:asciiTheme="minorHAnsi" w:hAnsiTheme="minorHAnsi"/>
          <w:b/>
        </w:rPr>
        <w:t xml:space="preserve"> mln EUR</w:t>
      </w:r>
      <w:r>
        <w:rPr>
          <w:rFonts w:asciiTheme="minorHAnsi" w:hAnsiTheme="minorHAnsi"/>
        </w:rPr>
        <w:t xml:space="preserve"> z Funduszu Spójności,</w:t>
      </w:r>
    </w:p>
    <w:p w:rsidR="00546E54" w:rsidRPr="003516B4" w:rsidRDefault="00636659" w:rsidP="00546E54">
      <w:pPr>
        <w:numPr>
          <w:ilvl w:val="0"/>
          <w:numId w:val="1"/>
        </w:numPr>
        <w:tabs>
          <w:tab w:val="clear" w:pos="360"/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  <w:b/>
        </w:rPr>
        <w:t>217</w:t>
      </w:r>
      <w:r w:rsidR="00546E54" w:rsidRPr="003516B4">
        <w:rPr>
          <w:rFonts w:asciiTheme="minorHAnsi" w:hAnsiTheme="minorHAnsi"/>
          <w:b/>
        </w:rPr>
        <w:t xml:space="preserve"> mln EUR</w:t>
      </w:r>
      <w:r w:rsidR="00546E54" w:rsidRPr="003516B4">
        <w:rPr>
          <w:rFonts w:asciiTheme="minorHAnsi" w:hAnsiTheme="minorHAnsi"/>
        </w:rPr>
        <w:t xml:space="preserve"> z Eur</w:t>
      </w:r>
      <w:r>
        <w:rPr>
          <w:rFonts w:asciiTheme="minorHAnsi" w:hAnsiTheme="minorHAnsi"/>
        </w:rPr>
        <w:t>opejskiego Funduszu Społecznego.</w:t>
      </w:r>
    </w:p>
    <w:p w:rsidR="00546E54" w:rsidRPr="003516B4" w:rsidRDefault="00546E54" w:rsidP="00546E54">
      <w:pPr>
        <w:tabs>
          <w:tab w:val="left" w:pos="709"/>
        </w:tabs>
        <w:spacing w:line="264" w:lineRule="auto"/>
        <w:ind w:left="340"/>
        <w:jc w:val="both"/>
        <w:rPr>
          <w:rFonts w:asciiTheme="minorHAnsi" w:hAnsiTheme="minorHAnsi"/>
          <w:sz w:val="16"/>
          <w:szCs w:val="16"/>
          <w:u w:val="single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u w:val="single"/>
        </w:rPr>
      </w:pPr>
      <w:r w:rsidRPr="003516B4">
        <w:rPr>
          <w:rFonts w:asciiTheme="minorHAnsi" w:hAnsiTheme="minorHAnsi"/>
          <w:u w:val="single"/>
        </w:rPr>
        <w:t>Wspólna polityka rolna</w:t>
      </w:r>
    </w:p>
    <w:p w:rsidR="00546E54" w:rsidRPr="00DB6B9D" w:rsidRDefault="00546E54" w:rsidP="00636659">
      <w:pPr>
        <w:spacing w:line="264" w:lineRule="auto"/>
        <w:jc w:val="both"/>
        <w:rPr>
          <w:rFonts w:asciiTheme="minorHAnsi" w:hAnsiTheme="minorHAnsi"/>
        </w:rPr>
      </w:pPr>
      <w:r w:rsidRPr="003516B4">
        <w:rPr>
          <w:rFonts w:asciiTheme="minorHAnsi" w:hAnsiTheme="minorHAnsi"/>
        </w:rPr>
        <w:t>W ramach wspólnej polityki rolnej do Polski wpłynęło</w:t>
      </w:r>
      <w:r w:rsidRPr="003516B4">
        <w:rPr>
          <w:rFonts w:asciiTheme="minorHAnsi" w:hAnsiTheme="minorHAnsi"/>
          <w:b/>
        </w:rPr>
        <w:t xml:space="preserve"> </w:t>
      </w:r>
      <w:r w:rsidR="00636659">
        <w:rPr>
          <w:rFonts w:asciiTheme="minorHAnsi" w:hAnsiTheme="minorHAnsi"/>
          <w:b/>
        </w:rPr>
        <w:t>445 tys.</w:t>
      </w:r>
      <w:r w:rsidRPr="003516B4">
        <w:rPr>
          <w:rFonts w:asciiTheme="minorHAnsi" w:hAnsiTheme="minorHAnsi"/>
          <w:b/>
        </w:rPr>
        <w:t xml:space="preserve"> EUR</w:t>
      </w:r>
      <w:r w:rsidR="00636659">
        <w:rPr>
          <w:rFonts w:asciiTheme="minorHAnsi" w:hAnsiTheme="minorHAnsi"/>
        </w:rPr>
        <w:t xml:space="preserve"> </w:t>
      </w:r>
      <w:r w:rsidRPr="003516B4">
        <w:rPr>
          <w:rFonts w:asciiTheme="minorHAnsi" w:hAnsiTheme="minorHAnsi"/>
        </w:rPr>
        <w:t xml:space="preserve">z tytułu działań realizowanych przez ARiMR (płatności </w:t>
      </w:r>
      <w:r w:rsidR="00636659">
        <w:rPr>
          <w:rFonts w:asciiTheme="minorHAnsi" w:hAnsiTheme="minorHAnsi"/>
        </w:rPr>
        <w:t>bezpośrednie).</w:t>
      </w:r>
    </w:p>
    <w:p w:rsidR="00546E54" w:rsidRPr="00636659" w:rsidRDefault="00546E54" w:rsidP="00546E54">
      <w:pPr>
        <w:spacing w:line="264" w:lineRule="auto"/>
        <w:jc w:val="both"/>
        <w:rPr>
          <w:rFonts w:asciiTheme="minorHAnsi" w:hAnsiTheme="minorHAnsi"/>
        </w:rPr>
      </w:pPr>
    </w:p>
    <w:p w:rsidR="00636659" w:rsidRPr="00636659" w:rsidRDefault="00636659" w:rsidP="00546E54">
      <w:pPr>
        <w:spacing w:line="264" w:lineRule="auto"/>
        <w:jc w:val="both"/>
        <w:rPr>
          <w:rFonts w:asciiTheme="minorHAnsi" w:hAnsiTheme="minorHAnsi"/>
        </w:rPr>
      </w:pPr>
      <w:r w:rsidRPr="00636659">
        <w:rPr>
          <w:rFonts w:asciiTheme="minorHAnsi" w:hAnsiTheme="minorHAnsi"/>
        </w:rPr>
        <w:t>Do Polski napłynęły także środki z Instrument</w:t>
      </w:r>
      <w:r>
        <w:rPr>
          <w:rFonts w:asciiTheme="minorHAnsi" w:hAnsiTheme="minorHAnsi"/>
        </w:rPr>
        <w:t>u</w:t>
      </w:r>
      <w:r w:rsidRPr="00636659">
        <w:rPr>
          <w:rFonts w:asciiTheme="minorHAnsi" w:hAnsiTheme="minorHAnsi"/>
        </w:rPr>
        <w:t xml:space="preserve"> "Łącząc Europę" (CEF)</w:t>
      </w:r>
      <w:r>
        <w:rPr>
          <w:rFonts w:asciiTheme="minorHAnsi" w:hAnsiTheme="minorHAnsi"/>
        </w:rPr>
        <w:t xml:space="preserve"> w wysokości </w:t>
      </w:r>
      <w:r w:rsidRPr="00636659">
        <w:rPr>
          <w:rFonts w:asciiTheme="minorHAnsi" w:hAnsiTheme="minorHAnsi"/>
          <w:b/>
        </w:rPr>
        <w:t>78 mln EUR</w:t>
      </w:r>
      <w:r>
        <w:rPr>
          <w:rFonts w:asciiTheme="minorHAnsi" w:hAnsiTheme="minorHAnsi"/>
        </w:rPr>
        <w:t>.</w:t>
      </w:r>
    </w:p>
    <w:p w:rsidR="00636659" w:rsidRDefault="00636659" w:rsidP="00546E54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:rsidR="00636659" w:rsidRPr="003516B4" w:rsidRDefault="00636659" w:rsidP="00546E54">
      <w:pPr>
        <w:spacing w:line="264" w:lineRule="auto"/>
        <w:jc w:val="both"/>
        <w:rPr>
          <w:rFonts w:asciiTheme="minorHAnsi" w:hAnsiTheme="minorHAnsi"/>
          <w:sz w:val="20"/>
          <w:szCs w:val="20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u w:val="single"/>
        </w:rPr>
      </w:pPr>
      <w:r w:rsidRPr="003516B4">
        <w:rPr>
          <w:rFonts w:asciiTheme="minorHAnsi" w:hAnsiTheme="minorHAnsi"/>
          <w:u w:val="single"/>
        </w:rPr>
        <w:t>Wpłaty do budżetu ogólnego UE</w:t>
      </w: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</w:rPr>
      </w:pPr>
      <w:r w:rsidRPr="003516B4">
        <w:rPr>
          <w:rFonts w:asciiTheme="minorHAnsi" w:hAnsiTheme="minorHAnsi"/>
        </w:rPr>
        <w:t>Składka przekazana przez Polskę do budżetu ogólnego UE wyniosła</w:t>
      </w:r>
      <w:r w:rsidRPr="003516B4">
        <w:rPr>
          <w:rFonts w:asciiTheme="minorHAnsi" w:hAnsiTheme="minorHAnsi"/>
          <w:b/>
        </w:rPr>
        <w:t xml:space="preserve"> </w:t>
      </w:r>
      <w:r w:rsidR="00636659">
        <w:rPr>
          <w:rFonts w:asciiTheme="minorHAnsi" w:hAnsiTheme="minorHAnsi"/>
          <w:b/>
        </w:rPr>
        <w:t>422</w:t>
      </w:r>
      <w:r>
        <w:rPr>
          <w:rFonts w:asciiTheme="minorHAnsi" w:hAnsiTheme="minorHAnsi"/>
          <w:b/>
        </w:rPr>
        <w:t xml:space="preserve"> </w:t>
      </w:r>
      <w:r w:rsidRPr="003516B4">
        <w:rPr>
          <w:rFonts w:asciiTheme="minorHAnsi" w:hAnsiTheme="minorHAnsi"/>
          <w:b/>
        </w:rPr>
        <w:t>mln EUR</w:t>
      </w:r>
      <w:r w:rsidRPr="003516B4">
        <w:rPr>
          <w:rFonts w:asciiTheme="minorHAnsi" w:hAnsiTheme="minorHAnsi"/>
        </w:rPr>
        <w:t>.</w:t>
      </w: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u w:val="single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3516B4">
        <w:rPr>
          <w:rFonts w:asciiTheme="minorHAnsi" w:hAnsiTheme="minorHAnsi"/>
          <w:b/>
          <w:u w:val="single"/>
        </w:rPr>
        <w:t>Podsumowanie</w:t>
      </w:r>
    </w:p>
    <w:p w:rsidR="00546E54" w:rsidRPr="003516B4" w:rsidRDefault="00546E54" w:rsidP="00546E54">
      <w:pPr>
        <w:pStyle w:val="Tekstpodstawowy"/>
        <w:tabs>
          <w:tab w:val="left" w:pos="284"/>
        </w:tabs>
        <w:spacing w:line="264" w:lineRule="auto"/>
        <w:rPr>
          <w:rFonts w:asciiTheme="minorHAnsi" w:hAnsiTheme="minorHAnsi"/>
          <w:szCs w:val="24"/>
        </w:rPr>
      </w:pPr>
      <w:r w:rsidRPr="003516B4">
        <w:rPr>
          <w:rFonts w:asciiTheme="minorHAnsi" w:hAnsiTheme="minorHAnsi"/>
          <w:szCs w:val="24"/>
        </w:rPr>
        <w:t>W</w:t>
      </w:r>
      <w:r w:rsidR="00636659">
        <w:rPr>
          <w:rFonts w:asciiTheme="minorHAnsi" w:hAnsiTheme="minorHAnsi"/>
          <w:szCs w:val="24"/>
        </w:rPr>
        <w:t xml:space="preserve"> październiku </w:t>
      </w:r>
      <w:r w:rsidRPr="003516B4">
        <w:rPr>
          <w:rFonts w:asciiTheme="minorHAnsi" w:hAnsiTheme="minorHAnsi"/>
          <w:szCs w:val="24"/>
        </w:rPr>
        <w:t>saldo rozliczeń pomiędzy Polską a budżetem UE wyniosło</w:t>
      </w:r>
      <w:r>
        <w:rPr>
          <w:rFonts w:asciiTheme="minorHAnsi" w:hAnsiTheme="minorHAnsi"/>
          <w:b/>
          <w:szCs w:val="24"/>
        </w:rPr>
        <w:t xml:space="preserve">: </w:t>
      </w:r>
      <w:r w:rsidR="00636659">
        <w:rPr>
          <w:rFonts w:asciiTheme="minorHAnsi" w:hAnsiTheme="minorHAnsi"/>
          <w:b/>
          <w:szCs w:val="24"/>
        </w:rPr>
        <w:t>+ 1,17</w:t>
      </w:r>
      <w:r>
        <w:rPr>
          <w:rFonts w:asciiTheme="minorHAnsi" w:hAnsiTheme="minorHAnsi"/>
          <w:b/>
          <w:szCs w:val="24"/>
        </w:rPr>
        <w:t> </w:t>
      </w:r>
      <w:r w:rsidR="00636659">
        <w:rPr>
          <w:rFonts w:asciiTheme="minorHAnsi" w:hAnsiTheme="minorHAnsi"/>
          <w:b/>
          <w:szCs w:val="24"/>
        </w:rPr>
        <w:t>mld</w:t>
      </w:r>
      <w:r>
        <w:rPr>
          <w:rFonts w:asciiTheme="minorHAnsi" w:hAnsiTheme="minorHAnsi"/>
          <w:b/>
          <w:szCs w:val="24"/>
        </w:rPr>
        <w:t> </w:t>
      </w:r>
      <w:r w:rsidRPr="003516B4">
        <w:rPr>
          <w:rFonts w:asciiTheme="minorHAnsi" w:hAnsiTheme="minorHAnsi"/>
          <w:b/>
          <w:szCs w:val="24"/>
        </w:rPr>
        <w:t>EUR</w:t>
      </w:r>
      <w:r w:rsidRPr="003516B4">
        <w:rPr>
          <w:rFonts w:asciiTheme="minorHAnsi" w:hAnsiTheme="minorHAnsi"/>
          <w:szCs w:val="24"/>
        </w:rPr>
        <w:t>.</w:t>
      </w:r>
    </w:p>
    <w:p w:rsidR="00546E54" w:rsidRPr="003516B4" w:rsidRDefault="00546E54" w:rsidP="00546E54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i/>
          <w:sz w:val="20"/>
        </w:rPr>
      </w:pPr>
    </w:p>
    <w:p w:rsidR="00546E54" w:rsidRPr="003516B4" w:rsidRDefault="00546E54" w:rsidP="00546E54">
      <w:pPr>
        <w:pStyle w:val="Tekstpodstawowy"/>
        <w:tabs>
          <w:tab w:val="left" w:pos="709"/>
        </w:tabs>
        <w:spacing w:line="264" w:lineRule="auto"/>
        <w:rPr>
          <w:rFonts w:asciiTheme="minorHAnsi" w:hAnsiTheme="minorHAnsi"/>
          <w:i/>
          <w:szCs w:val="24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  <w:b/>
          <w:u w:val="single"/>
        </w:rPr>
      </w:pPr>
      <w:r w:rsidRPr="003516B4">
        <w:rPr>
          <w:rFonts w:asciiTheme="minorHAnsi" w:hAnsiTheme="minorHAnsi"/>
          <w:b/>
          <w:u w:val="single"/>
        </w:rPr>
        <w:t>I.2</w:t>
      </w:r>
      <w:r w:rsidRPr="003516B4">
        <w:rPr>
          <w:rFonts w:asciiTheme="minorHAnsi" w:hAnsiTheme="minorHAnsi"/>
          <w:b/>
          <w:u w:val="single"/>
        </w:rPr>
        <w:tab/>
        <w:t xml:space="preserve">Rozliczenia Polski z budżetem UE od początku członkostwa Polski w UE </w:t>
      </w: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</w:rPr>
      </w:pPr>
      <w:r w:rsidRPr="003516B4">
        <w:rPr>
          <w:rFonts w:asciiTheme="minorHAnsi" w:hAnsiTheme="minorHAnsi"/>
        </w:rPr>
        <w:t>W</w:t>
      </w:r>
      <w:r w:rsidR="00636659">
        <w:rPr>
          <w:rFonts w:asciiTheme="minorHAnsi" w:hAnsiTheme="minorHAnsi"/>
        </w:rPr>
        <w:t xml:space="preserve"> październiku </w:t>
      </w:r>
      <w:r w:rsidRPr="003516B4">
        <w:rPr>
          <w:rFonts w:asciiTheme="minorHAnsi" w:hAnsiTheme="minorHAnsi"/>
        </w:rPr>
        <w:t xml:space="preserve">saldo rozliczeń pomiędzy Polską a budżetem UE osiągnęło </w:t>
      </w:r>
      <w:r w:rsidR="00636659">
        <w:rPr>
          <w:rFonts w:asciiTheme="minorHAnsi" w:hAnsiTheme="minorHAnsi"/>
          <w:b/>
        </w:rPr>
        <w:t>+ 115</w:t>
      </w:r>
      <w:r w:rsidRPr="003516B4">
        <w:rPr>
          <w:rFonts w:asciiTheme="minorHAnsi" w:hAnsiTheme="minorHAnsi"/>
          <w:b/>
        </w:rPr>
        <w:t>,</w:t>
      </w:r>
      <w:r w:rsidR="00636659">
        <w:rPr>
          <w:rFonts w:asciiTheme="minorHAnsi" w:hAnsiTheme="minorHAnsi"/>
          <w:b/>
        </w:rPr>
        <w:t>8</w:t>
      </w:r>
      <w:r w:rsidRPr="003516B4">
        <w:rPr>
          <w:rFonts w:asciiTheme="minorHAnsi" w:hAnsiTheme="minorHAnsi"/>
        </w:rPr>
        <w:t xml:space="preserve"> </w:t>
      </w:r>
      <w:r w:rsidRPr="003516B4">
        <w:rPr>
          <w:rFonts w:asciiTheme="minorHAnsi" w:hAnsiTheme="minorHAnsi"/>
          <w:b/>
        </w:rPr>
        <w:t>mld EUR</w:t>
      </w:r>
      <w:r w:rsidRPr="003516B4">
        <w:rPr>
          <w:rFonts w:asciiTheme="minorHAnsi" w:hAnsiTheme="minorHAnsi"/>
        </w:rPr>
        <w:t xml:space="preserve">. Całkowita wartość transferów z budżetu UE do Polski wyniosła </w:t>
      </w:r>
      <w:r w:rsidR="00636659">
        <w:rPr>
          <w:rFonts w:asciiTheme="minorHAnsi" w:hAnsiTheme="minorHAnsi"/>
          <w:b/>
        </w:rPr>
        <w:t>172,4</w:t>
      </w:r>
      <w:r w:rsidRPr="003516B4">
        <w:rPr>
          <w:rFonts w:asciiTheme="minorHAnsi" w:hAnsiTheme="minorHAnsi"/>
        </w:rPr>
        <w:t xml:space="preserve"> </w:t>
      </w:r>
      <w:r w:rsidRPr="003516B4">
        <w:rPr>
          <w:rFonts w:asciiTheme="minorHAnsi" w:hAnsiTheme="minorHAnsi"/>
          <w:b/>
        </w:rPr>
        <w:t>mld EUR</w:t>
      </w:r>
      <w:r w:rsidRPr="003516B4">
        <w:rPr>
          <w:rFonts w:asciiTheme="minorHAnsi" w:hAnsiTheme="minorHAnsi"/>
        </w:rPr>
        <w:t>. Składka odprowadzona do budżetu UE osiągnęła</w:t>
      </w:r>
      <w:r w:rsidR="00636659">
        <w:rPr>
          <w:rFonts w:asciiTheme="minorHAnsi" w:hAnsiTheme="minorHAnsi"/>
          <w:b/>
        </w:rPr>
        <w:t xml:space="preserve"> 56,4</w:t>
      </w:r>
      <w:r w:rsidRPr="003516B4">
        <w:rPr>
          <w:rFonts w:asciiTheme="minorHAnsi" w:hAnsiTheme="minorHAnsi"/>
          <w:b/>
        </w:rPr>
        <w:t xml:space="preserve"> mld EUR</w:t>
      </w:r>
      <w:r w:rsidRPr="003516B4">
        <w:rPr>
          <w:rFonts w:asciiTheme="minorHAnsi" w:hAnsiTheme="minorHAnsi"/>
        </w:rPr>
        <w:t xml:space="preserve">, natomiast kwota zwrócona do budżetu UE wyniosła </w:t>
      </w:r>
      <w:r w:rsidRPr="003516B4">
        <w:rPr>
          <w:rFonts w:asciiTheme="minorHAnsi" w:hAnsiTheme="minorHAnsi"/>
          <w:b/>
        </w:rPr>
        <w:t>170 mln EUR</w:t>
      </w:r>
      <w:r w:rsidRPr="003516B4">
        <w:rPr>
          <w:rFonts w:asciiTheme="minorHAnsi" w:hAnsiTheme="minorHAnsi"/>
        </w:rPr>
        <w:t xml:space="preserve">. </w:t>
      </w: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</w:rPr>
      </w:pPr>
    </w:p>
    <w:p w:rsidR="00546E54" w:rsidRDefault="00546E54" w:rsidP="00546E54">
      <w:pPr>
        <w:spacing w:line="264" w:lineRule="auto"/>
        <w:jc w:val="both"/>
        <w:rPr>
          <w:rFonts w:asciiTheme="minorHAnsi" w:hAnsiTheme="minorHAnsi"/>
        </w:rPr>
      </w:pPr>
    </w:p>
    <w:p w:rsidR="00546E54" w:rsidRDefault="00546E54" w:rsidP="00546E54">
      <w:pPr>
        <w:spacing w:line="264" w:lineRule="auto"/>
        <w:jc w:val="both"/>
        <w:rPr>
          <w:rFonts w:asciiTheme="minorHAnsi" w:hAnsiTheme="minorHAnsi"/>
        </w:rPr>
      </w:pPr>
    </w:p>
    <w:p w:rsidR="00546E54" w:rsidRDefault="00546E54" w:rsidP="00546E54">
      <w:pPr>
        <w:spacing w:line="264" w:lineRule="auto"/>
        <w:jc w:val="both"/>
        <w:rPr>
          <w:rFonts w:asciiTheme="minorHAnsi" w:hAnsiTheme="minorHAnsi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</w:rPr>
      </w:pPr>
    </w:p>
    <w:p w:rsidR="00546E54" w:rsidRPr="003516B4" w:rsidRDefault="00546E54" w:rsidP="00546E54">
      <w:pPr>
        <w:spacing w:line="264" w:lineRule="auto"/>
        <w:jc w:val="both"/>
        <w:rPr>
          <w:rFonts w:asciiTheme="minorHAnsi" w:hAnsiTheme="minorHAnsi"/>
        </w:rPr>
      </w:pPr>
    </w:p>
    <w:p w:rsidR="00546E54" w:rsidRPr="00D44BB8" w:rsidRDefault="00546E54" w:rsidP="00546E54">
      <w:pPr>
        <w:pStyle w:val="Tekstpodstawowy"/>
        <w:spacing w:line="264" w:lineRule="auto"/>
        <w:ind w:left="709" w:hanging="709"/>
        <w:rPr>
          <w:rFonts w:asciiTheme="minorHAnsi" w:hAnsiTheme="minorHAnsi"/>
          <w:b/>
          <w:szCs w:val="24"/>
          <w:u w:val="single"/>
        </w:rPr>
      </w:pPr>
      <w:r w:rsidRPr="003516B4">
        <w:rPr>
          <w:rFonts w:asciiTheme="minorHAnsi" w:hAnsiTheme="minorHAnsi"/>
          <w:b/>
          <w:szCs w:val="24"/>
          <w:u w:val="single"/>
        </w:rPr>
        <w:lastRenderedPageBreak/>
        <w:t>II.</w:t>
      </w:r>
      <w:r w:rsidRPr="003516B4">
        <w:rPr>
          <w:rFonts w:asciiTheme="minorHAnsi" w:hAnsiTheme="minorHAnsi"/>
          <w:b/>
          <w:szCs w:val="24"/>
          <w:u w:val="single"/>
        </w:rPr>
        <w:tab/>
      </w:r>
      <w:r w:rsidRPr="00D44BB8">
        <w:rPr>
          <w:rFonts w:asciiTheme="minorHAnsi" w:hAnsiTheme="minorHAnsi"/>
          <w:b/>
          <w:szCs w:val="24"/>
          <w:u w:val="single"/>
        </w:rPr>
        <w:t>ZAGADNIENIA ZWIĄZANE Z BUDŻETEM UNII EUROPEJSKIEJ, TRANSFERY  FINANSOWE BUDŻET UE – PAŃSTWA CZŁONKOWSKIE</w:t>
      </w:r>
    </w:p>
    <w:p w:rsidR="00546E54" w:rsidRPr="00D44BB8" w:rsidRDefault="00546E54" w:rsidP="00546E54">
      <w:pPr>
        <w:tabs>
          <w:tab w:val="left" w:pos="567"/>
        </w:tabs>
        <w:spacing w:line="264" w:lineRule="auto"/>
        <w:ind w:left="567" w:hanging="567"/>
        <w:rPr>
          <w:rFonts w:asciiTheme="minorHAnsi" w:hAnsiTheme="minorHAnsi"/>
          <w:b/>
          <w:u w:val="single"/>
        </w:rPr>
      </w:pPr>
    </w:p>
    <w:p w:rsidR="00505ED8" w:rsidRDefault="00505ED8" w:rsidP="00505ED8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:rsidR="00505ED8" w:rsidRPr="00D44BB8" w:rsidRDefault="00505ED8" w:rsidP="00505ED8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p w:rsidR="00505ED8" w:rsidRPr="00D44BB8" w:rsidRDefault="00505ED8" w:rsidP="00505ED8">
      <w:pPr>
        <w:jc w:val="both"/>
        <w:rPr>
          <w:rFonts w:asciiTheme="minorHAnsi" w:hAnsiTheme="minorHAnsi"/>
        </w:rPr>
      </w:pPr>
    </w:p>
    <w:p w:rsidR="00505ED8" w:rsidRPr="00D44BB8" w:rsidRDefault="00505ED8" w:rsidP="00505ED8">
      <w:pPr>
        <w:tabs>
          <w:tab w:val="left" w:pos="357"/>
          <w:tab w:val="left" w:pos="709"/>
        </w:tabs>
        <w:jc w:val="both"/>
        <w:rPr>
          <w:rFonts w:asciiTheme="minorHAnsi" w:eastAsia="Times New Roman" w:hAnsiTheme="minorHAnsi"/>
          <w:color w:val="000000"/>
          <w:lang w:eastAsia="de-DE"/>
        </w:rPr>
      </w:pPr>
      <w:r w:rsidRPr="00D44BB8">
        <w:rPr>
          <w:rFonts w:asciiTheme="minorHAnsi" w:eastAsia="Times New Roman" w:hAnsiTheme="minorHAnsi"/>
          <w:b/>
          <w:u w:val="single"/>
          <w:lang w:eastAsia="pl-PL"/>
        </w:rPr>
        <w:t xml:space="preserve">II.1   </w:t>
      </w:r>
      <w:r w:rsidRPr="00D44BB8">
        <w:rPr>
          <w:rFonts w:asciiTheme="minorHAnsi" w:eastAsia="Times New Roman" w:hAnsiTheme="minorHAnsi"/>
          <w:b/>
          <w:u w:val="single"/>
          <w:lang w:eastAsia="pl-PL"/>
        </w:rPr>
        <w:tab/>
        <w:t>Przyjęcie budżetu ogólnego UE na rok 2020</w:t>
      </w:r>
    </w:p>
    <w:p w:rsidR="00505ED8" w:rsidRPr="00D44BB8" w:rsidRDefault="00505ED8" w:rsidP="00505ED8">
      <w:pPr>
        <w:jc w:val="both"/>
        <w:rPr>
          <w:rFonts w:asciiTheme="minorHAnsi" w:hAnsiTheme="minorHAnsi"/>
        </w:rPr>
      </w:pPr>
    </w:p>
    <w:p w:rsidR="00505ED8" w:rsidRPr="00D44BB8" w:rsidRDefault="00505ED8" w:rsidP="00505ED8">
      <w:pPr>
        <w:spacing w:line="264" w:lineRule="auto"/>
        <w:jc w:val="both"/>
        <w:rPr>
          <w:rFonts w:ascii="Calibri" w:hAnsi="Calibri"/>
        </w:rPr>
      </w:pPr>
      <w:r w:rsidRPr="00D44BB8">
        <w:rPr>
          <w:rFonts w:ascii="Calibri" w:hAnsi="Calibri"/>
        </w:rPr>
        <w:t xml:space="preserve">18 listopada zakończyły się negocjacje </w:t>
      </w:r>
      <w:r>
        <w:rPr>
          <w:rFonts w:ascii="Calibri" w:hAnsi="Calibri"/>
        </w:rPr>
        <w:t>po</w:t>
      </w:r>
      <w:r w:rsidRPr="00D44BB8">
        <w:rPr>
          <w:rFonts w:ascii="Calibri" w:hAnsi="Calibri"/>
        </w:rPr>
        <w:t>między Radą UE (w fo</w:t>
      </w:r>
      <w:r>
        <w:rPr>
          <w:rFonts w:ascii="Calibri" w:hAnsi="Calibri"/>
        </w:rPr>
        <w:t>rmacie Rady ECOFIN) a </w:t>
      </w:r>
      <w:r w:rsidRPr="00D44BB8">
        <w:rPr>
          <w:rFonts w:ascii="Calibri" w:hAnsi="Calibri"/>
        </w:rPr>
        <w:t xml:space="preserve">Parlamentem Europejskim (PE) ws. przyjęcia budżetu UE na rok 2020.  Środki na zobowiązania wyniosą </w:t>
      </w:r>
      <w:r w:rsidRPr="00555296">
        <w:rPr>
          <w:rFonts w:ascii="Calibri" w:hAnsi="Calibri"/>
          <w:b/>
        </w:rPr>
        <w:t>168,7 mld EUR</w:t>
      </w:r>
      <w:r>
        <w:rPr>
          <w:rFonts w:ascii="Calibri" w:hAnsi="Calibri"/>
        </w:rPr>
        <w:t xml:space="preserve"> -</w:t>
      </w:r>
      <w:r w:rsidRPr="00D44BB8">
        <w:rPr>
          <w:rFonts w:ascii="Calibri" w:hAnsi="Calibri"/>
        </w:rPr>
        <w:t xml:space="preserve"> jest to wzrost o 1,5% w porównaniu do </w:t>
      </w:r>
      <w:r>
        <w:rPr>
          <w:rFonts w:ascii="Calibri" w:hAnsi="Calibri"/>
        </w:rPr>
        <w:t>roku 2019</w:t>
      </w:r>
      <w:r w:rsidRPr="00D44BB8">
        <w:rPr>
          <w:rFonts w:ascii="Calibri" w:hAnsi="Calibri"/>
        </w:rPr>
        <w:t xml:space="preserve">. </w:t>
      </w:r>
      <w:r>
        <w:rPr>
          <w:rFonts w:ascii="Calibri" w:hAnsi="Calibri"/>
        </w:rPr>
        <w:t>Margines w </w:t>
      </w:r>
      <w:r w:rsidRPr="00D44BB8">
        <w:rPr>
          <w:rFonts w:ascii="Calibri" w:hAnsi="Calibri"/>
        </w:rPr>
        <w:t xml:space="preserve">zobowiązaniach (różnica między zaplanowanymi wydatkami w budżecie UE, a maksymalnym pułapem środków ustalonym w rozporządzeniu o wieloletnich ramach finansowych UE (WRF) na lata 2014-2020) ustalony został na 1,5 mld EUR. Środki na płatności mają wynieść </w:t>
      </w:r>
      <w:r w:rsidRPr="00555296">
        <w:rPr>
          <w:rFonts w:ascii="Calibri" w:hAnsi="Calibri"/>
          <w:b/>
        </w:rPr>
        <w:t>153,6 mld EUR</w:t>
      </w:r>
      <w:r w:rsidR="001853B1">
        <w:rPr>
          <w:rFonts w:ascii="Calibri" w:hAnsi="Calibri"/>
        </w:rPr>
        <w:t xml:space="preserve"> </w:t>
      </w:r>
      <w:r w:rsidR="001853B1" w:rsidRPr="001853B1">
        <w:rPr>
          <w:rFonts w:ascii="Calibri" w:hAnsi="Calibri"/>
        </w:rPr>
        <w:t>-</w:t>
      </w:r>
      <w:r w:rsidRPr="001853B1">
        <w:rPr>
          <w:rFonts w:ascii="Calibri" w:hAnsi="Calibri"/>
        </w:rPr>
        <w:t xml:space="preserve"> </w:t>
      </w:r>
      <w:r w:rsidRPr="00D44BB8">
        <w:rPr>
          <w:rFonts w:ascii="Calibri" w:hAnsi="Calibri"/>
        </w:rPr>
        <w:t>stanowi to wzrost o 3,4% w porównaniu do bieżącego roku.</w:t>
      </w:r>
    </w:p>
    <w:p w:rsidR="00505ED8" w:rsidRPr="00D44BB8" w:rsidRDefault="00505ED8" w:rsidP="00505ED8">
      <w:pPr>
        <w:spacing w:line="264" w:lineRule="auto"/>
        <w:jc w:val="both"/>
        <w:rPr>
          <w:rFonts w:ascii="Calibri" w:hAnsi="Calibri"/>
        </w:rPr>
      </w:pPr>
      <w:r>
        <w:rPr>
          <w:rFonts w:ascii="Calibri" w:hAnsi="Calibri"/>
        </w:rPr>
        <w:t>Blisko połowa funduszy (</w:t>
      </w:r>
      <w:r w:rsidRPr="00D44BB8">
        <w:rPr>
          <w:rFonts w:ascii="Calibri" w:hAnsi="Calibri"/>
        </w:rPr>
        <w:t>83,9 mld EUR w zobowiązaniach</w:t>
      </w:r>
      <w:r>
        <w:rPr>
          <w:rFonts w:ascii="Calibri" w:hAnsi="Calibri"/>
        </w:rPr>
        <w:t>)</w:t>
      </w:r>
      <w:r w:rsidRPr="00D44BB8">
        <w:rPr>
          <w:rFonts w:ascii="Calibri" w:hAnsi="Calibri"/>
        </w:rPr>
        <w:t xml:space="preserve"> pomoże zwiększyć konkurencyjność unijnej gospodarki, a ponad 35 mld EUR wesprze działania związane ze zmianami klimatu. Przyszłoroczny budżet UE będzie też wspierać ważne dla Polski priorytety, czyli np. wymianę młodzieży i studentów (program Erasmus+) oraz rozwój transgranicznych sieci energetycznych (środki na ten cel </w:t>
      </w:r>
      <w:r>
        <w:rPr>
          <w:rFonts w:ascii="Calibri" w:hAnsi="Calibri"/>
        </w:rPr>
        <w:t>zwiększono o prawie 100 mln EUR</w:t>
      </w:r>
      <w:r w:rsidRPr="00D44BB8">
        <w:rPr>
          <w:rFonts w:ascii="Calibri" w:hAnsi="Calibri"/>
        </w:rPr>
        <w:t xml:space="preserve">). </w:t>
      </w:r>
    </w:p>
    <w:p w:rsidR="00505ED8" w:rsidRPr="00D44BB8" w:rsidRDefault="00505ED8" w:rsidP="00505ED8">
      <w:pPr>
        <w:spacing w:line="264" w:lineRule="auto"/>
        <w:jc w:val="both"/>
        <w:rPr>
          <w:rFonts w:ascii="Calibri" w:hAnsi="Calibri"/>
        </w:rPr>
      </w:pPr>
      <w:r w:rsidRPr="00D44BB8">
        <w:rPr>
          <w:rFonts w:ascii="Calibri" w:hAnsi="Calibri"/>
        </w:rPr>
        <w:t>Polskim sukcesem w negocjacjach było zapewnienie finansowania polityki spójności i Wspólnej Polityki Rolnej (tj. działów budżetowych 1B oraz 2, o szczególnym znaczeniu dla Polski)</w:t>
      </w:r>
      <w:r>
        <w:rPr>
          <w:rFonts w:ascii="Calibri" w:hAnsi="Calibri"/>
        </w:rPr>
        <w:t>, w </w:t>
      </w:r>
      <w:r w:rsidRPr="00D44BB8">
        <w:rPr>
          <w:rFonts w:ascii="Calibri" w:hAnsi="Calibri"/>
        </w:rPr>
        <w:t>sposób, który umożliwi ich skuteczną realizację bez potrzeby zmian w propozycji Komisji Europejskiej (KE). Finansowanie to będzie zapewnione zarówno na poz</w:t>
      </w:r>
      <w:r>
        <w:rPr>
          <w:rFonts w:ascii="Calibri" w:hAnsi="Calibri"/>
        </w:rPr>
        <w:t>iomie obecnych prognoz Polski i </w:t>
      </w:r>
      <w:r w:rsidRPr="00D44BB8">
        <w:rPr>
          <w:rFonts w:ascii="Calibri" w:hAnsi="Calibri"/>
        </w:rPr>
        <w:t>pozostałych państw członkowskich, jak też w przypadku spodziewanego przyspieszenia realizacji projektów. Ten ostatni cel udało się osiągnąć dzięki doprowadzeniu do przyjęcia specjalnej deklaracji o płatnościach z</w:t>
      </w:r>
      <w:r>
        <w:rPr>
          <w:rFonts w:ascii="Calibri" w:hAnsi="Calibri"/>
        </w:rPr>
        <w:t xml:space="preserve"> </w:t>
      </w:r>
      <w:r w:rsidRPr="00D44BB8">
        <w:rPr>
          <w:rFonts w:ascii="Calibri" w:hAnsi="Calibri"/>
        </w:rPr>
        <w:t>budżetu UE</w:t>
      </w:r>
      <w:r>
        <w:rPr>
          <w:rFonts w:ascii="Calibri" w:hAnsi="Calibri"/>
        </w:rPr>
        <w:t xml:space="preserve"> (wzmocnionej w porównaniu do deklaracji dot. roku 2019)</w:t>
      </w:r>
      <w:r w:rsidRPr="00D44BB8">
        <w:rPr>
          <w:rFonts w:ascii="Calibri" w:hAnsi="Calibri"/>
        </w:rPr>
        <w:t>, podpisanej wspólnie przez Radę UE, PE i KE. Mówi ona o tym, że w przypadku dalszego przyspieszenia reali</w:t>
      </w:r>
      <w:r>
        <w:rPr>
          <w:rFonts w:ascii="Calibri" w:hAnsi="Calibri"/>
        </w:rPr>
        <w:t>zacji projektów finansowanych z </w:t>
      </w:r>
      <w:r w:rsidRPr="00D44BB8">
        <w:rPr>
          <w:rFonts w:ascii="Calibri" w:hAnsi="Calibri"/>
        </w:rPr>
        <w:t>budżetu UE, w ciągu 2020 r. zostaną przyjęte zmiany finansowe na poziomie budżetu UE. Zapewnią one spłacanie wszystkich wniosków o refundacje, jakie trafią do KE z państw członkowskich.</w:t>
      </w:r>
    </w:p>
    <w:p w:rsidR="00505ED8" w:rsidRDefault="00505ED8" w:rsidP="00505ED8">
      <w:pPr>
        <w:spacing w:line="264" w:lineRule="auto"/>
        <w:jc w:val="both"/>
        <w:rPr>
          <w:rFonts w:ascii="Calibri" w:hAnsi="Calibri"/>
        </w:rPr>
      </w:pPr>
      <w:r w:rsidRPr="00D44BB8">
        <w:rPr>
          <w:rFonts w:ascii="Calibri" w:hAnsi="Calibri"/>
        </w:rPr>
        <w:t xml:space="preserve">Transfery w 2020 r. z budżetu UE do Polski szacowane są na ponad </w:t>
      </w:r>
      <w:r w:rsidRPr="00AD0BA8">
        <w:rPr>
          <w:rFonts w:ascii="Calibri" w:hAnsi="Calibri"/>
          <w:b/>
        </w:rPr>
        <w:t>70 mld zł</w:t>
      </w:r>
      <w:r w:rsidRPr="00D44BB8">
        <w:rPr>
          <w:rFonts w:ascii="Calibri" w:hAnsi="Calibri"/>
        </w:rPr>
        <w:t xml:space="preserve">, przy składce ponad 23 mld zł. </w:t>
      </w:r>
    </w:p>
    <w:p w:rsidR="00505ED8" w:rsidRPr="00D44BB8" w:rsidRDefault="00505ED8" w:rsidP="00505ED8">
      <w:pPr>
        <w:spacing w:line="264" w:lineRule="auto"/>
        <w:jc w:val="both"/>
        <w:rPr>
          <w:rFonts w:ascii="Calibri" w:hAnsi="Calibri"/>
        </w:rPr>
      </w:pPr>
      <w:r w:rsidRPr="00D44BB8">
        <w:rPr>
          <w:rFonts w:ascii="Calibri" w:hAnsi="Calibri"/>
        </w:rPr>
        <w:t>Budżet UE na rok 2020 będzie ostatnim, 7. budżetem w obecnych WRF UE na lata 2014 - 2020. Oparto go na założeniu, że Wielka Brytania będzi</w:t>
      </w:r>
      <w:r>
        <w:rPr>
          <w:rFonts w:ascii="Calibri" w:hAnsi="Calibri"/>
        </w:rPr>
        <w:t>e uczestniczyć w finansowaniu i korzystaniu z </w:t>
      </w:r>
      <w:r w:rsidRPr="00D44BB8">
        <w:rPr>
          <w:rFonts w:ascii="Calibri" w:hAnsi="Calibri"/>
        </w:rPr>
        <w:t>budżetu UE w przyszłym roku.</w:t>
      </w:r>
    </w:p>
    <w:p w:rsidR="006D1AD0" w:rsidRDefault="00505ED8" w:rsidP="00505ED8">
      <w:pPr>
        <w:spacing w:line="264" w:lineRule="auto"/>
        <w:jc w:val="both"/>
        <w:rPr>
          <w:rFonts w:ascii="Calibri" w:hAnsi="Calibri"/>
        </w:rPr>
      </w:pPr>
      <w:r w:rsidRPr="00D44BB8">
        <w:rPr>
          <w:rFonts w:ascii="Calibri" w:hAnsi="Calibri"/>
        </w:rPr>
        <w:t xml:space="preserve">Po pozytywnym zakończeniu procedury pojednawczej, Rada UE i </w:t>
      </w:r>
      <w:r w:rsidR="00BB01C6">
        <w:rPr>
          <w:rFonts w:ascii="Calibri" w:hAnsi="Calibri"/>
        </w:rPr>
        <w:t>PE</w:t>
      </w:r>
      <w:r>
        <w:rPr>
          <w:rFonts w:ascii="Calibri" w:hAnsi="Calibri"/>
        </w:rPr>
        <w:t xml:space="preserve"> miały 14 </w:t>
      </w:r>
      <w:r w:rsidRPr="00D44BB8">
        <w:rPr>
          <w:rFonts w:ascii="Calibri" w:hAnsi="Calibri"/>
        </w:rPr>
        <w:t xml:space="preserve">dni na formalne przyjęcie budżetu UE. </w:t>
      </w:r>
    </w:p>
    <w:p w:rsidR="00505ED8" w:rsidRPr="00D44BB8" w:rsidRDefault="00505ED8" w:rsidP="00505ED8">
      <w:pPr>
        <w:spacing w:line="264" w:lineRule="auto"/>
        <w:jc w:val="both"/>
        <w:rPr>
          <w:rFonts w:ascii="Calibri" w:hAnsi="Calibri"/>
        </w:rPr>
      </w:pPr>
      <w:r w:rsidRPr="00D44BB8">
        <w:rPr>
          <w:rFonts w:ascii="Calibri" w:hAnsi="Calibri"/>
        </w:rPr>
        <w:t xml:space="preserve">Został on przyjęty przez Radę </w:t>
      </w:r>
      <w:r w:rsidR="006D1AD0">
        <w:rPr>
          <w:rFonts w:ascii="Calibri" w:hAnsi="Calibri"/>
        </w:rPr>
        <w:t xml:space="preserve">UE </w:t>
      </w:r>
      <w:r w:rsidRPr="00D44BB8">
        <w:rPr>
          <w:rFonts w:ascii="Calibri" w:hAnsi="Calibri"/>
        </w:rPr>
        <w:t>w dniu 25 listopada</w:t>
      </w:r>
      <w:r>
        <w:rPr>
          <w:rFonts w:ascii="Calibri" w:hAnsi="Calibri"/>
        </w:rPr>
        <w:t>, a </w:t>
      </w:r>
      <w:r w:rsidRPr="00D44BB8">
        <w:rPr>
          <w:rFonts w:ascii="Calibri" w:hAnsi="Calibri"/>
        </w:rPr>
        <w:t>przez PE na posiedzeniu plenarnym w dniu 27 listopada.</w:t>
      </w:r>
    </w:p>
    <w:p w:rsidR="00505ED8" w:rsidRDefault="00505ED8" w:rsidP="00505ED8">
      <w:pPr>
        <w:spacing w:line="264" w:lineRule="auto"/>
        <w:jc w:val="both"/>
        <w:rPr>
          <w:rFonts w:ascii="Times New Roman" w:hAnsi="Times New Roman"/>
        </w:rPr>
      </w:pPr>
    </w:p>
    <w:p w:rsidR="00BB01C6" w:rsidRDefault="00BB01C6" w:rsidP="00505ED8">
      <w:pPr>
        <w:spacing w:line="264" w:lineRule="auto"/>
        <w:jc w:val="both"/>
        <w:rPr>
          <w:rFonts w:asciiTheme="minorHAnsi" w:hAnsiTheme="minorHAnsi"/>
        </w:rPr>
      </w:pPr>
    </w:p>
    <w:p w:rsidR="00505ED8" w:rsidRDefault="00505ED8" w:rsidP="00505ED8">
      <w:pPr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lastRenderedPageBreak/>
        <w:t xml:space="preserve">Tabela </w:t>
      </w:r>
      <w:r w:rsidRPr="00DA6362">
        <w:rPr>
          <w:rFonts w:asciiTheme="minorHAnsi" w:hAnsiTheme="minorHAnsi"/>
        </w:rPr>
        <w:t xml:space="preserve">przedstawia </w:t>
      </w:r>
      <w:r w:rsidRPr="008E6F69">
        <w:rPr>
          <w:rFonts w:asciiTheme="minorHAnsi" w:hAnsiTheme="minorHAnsi"/>
        </w:rPr>
        <w:t xml:space="preserve">kwoty uzgodnionego kompromisu na rok 2020 (w mln EUR). </w:t>
      </w:r>
    </w:p>
    <w:p w:rsidR="00BB01C6" w:rsidRPr="008E6F69" w:rsidRDefault="00BB01C6" w:rsidP="00505ED8">
      <w:pPr>
        <w:spacing w:line="264" w:lineRule="auto"/>
        <w:jc w:val="both"/>
        <w:rPr>
          <w:rFonts w:asciiTheme="minorHAnsi" w:hAnsiTheme="minorHAnsi"/>
        </w:rPr>
      </w:pPr>
    </w:p>
    <w:tbl>
      <w:tblPr>
        <w:tblW w:w="86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24"/>
        <w:gridCol w:w="1559"/>
        <w:gridCol w:w="1559"/>
      </w:tblGrid>
      <w:tr w:rsidR="00505ED8" w:rsidRPr="008E6F69" w:rsidTr="00BB01C6">
        <w:trPr>
          <w:trHeight w:val="397"/>
        </w:trPr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0E0"/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Cs/>
                <w:lang w:eastAsia="pl-PL"/>
              </w:rPr>
              <w:t>Działy budżetu UE</w:t>
            </w:r>
          </w:p>
        </w:tc>
        <w:tc>
          <w:tcPr>
            <w:tcW w:w="31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0E0E0"/>
            <w:vAlign w:val="center"/>
            <w:hideMark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  <w:t xml:space="preserve">Przyjęty </w:t>
            </w:r>
          </w:p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  <w:t>kompromis</w:t>
            </w:r>
          </w:p>
        </w:tc>
      </w:tr>
      <w:tr w:rsidR="00505ED8" w:rsidRPr="008E6F69" w:rsidTr="00BB01C6">
        <w:trPr>
          <w:trHeight w:val="293"/>
        </w:trPr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sz w:val="18"/>
                <w:szCs w:val="18"/>
                <w:lang w:eastAsia="pl-PL"/>
              </w:rPr>
            </w:pPr>
          </w:p>
        </w:tc>
        <w:tc>
          <w:tcPr>
            <w:tcW w:w="31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</w:pPr>
          </w:p>
        </w:tc>
      </w:tr>
      <w:tr w:rsidR="00505ED8" w:rsidRPr="008E6F69" w:rsidTr="00BB01C6">
        <w:trPr>
          <w:trHeight w:val="336"/>
        </w:trPr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sz w:val="18"/>
                <w:szCs w:val="18"/>
                <w:lang w:eastAsia="pl-P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0E0"/>
            <w:vAlign w:val="center"/>
            <w:hideMark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  <w:t>CA*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0E0E0"/>
            <w:vAlign w:val="center"/>
            <w:hideMark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/>
                <w:bCs/>
                <w:sz w:val="22"/>
                <w:szCs w:val="22"/>
                <w:lang w:eastAsia="pl-PL"/>
              </w:rPr>
              <w:t>PA*</w:t>
            </w:r>
          </w:p>
        </w:tc>
      </w:tr>
      <w:tr w:rsidR="00505ED8" w:rsidRPr="008E6F69" w:rsidTr="00BB01C6">
        <w:trPr>
          <w:trHeight w:hRule="exact" w:val="51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bCs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Cs/>
                <w:lang w:eastAsia="pl-PL"/>
              </w:rPr>
              <w:t>1A. Konkurencyjność na rzecz wzrostu i zatrudnienia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25 285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22 308</w:t>
            </w:r>
          </w:p>
        </w:tc>
      </w:tr>
      <w:tr w:rsidR="00505ED8" w:rsidRPr="008E6F69" w:rsidTr="00BB01C6">
        <w:trPr>
          <w:trHeight w:hRule="exact" w:val="51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bCs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Cs/>
                <w:lang w:eastAsia="pl-PL"/>
              </w:rPr>
              <w:t>1B. Spójność gospodarcza, społeczna i terytorialna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58 646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50 046</w:t>
            </w:r>
          </w:p>
        </w:tc>
      </w:tr>
      <w:tr w:rsidR="00505ED8" w:rsidRPr="008E6F69" w:rsidTr="00BB01C6">
        <w:trPr>
          <w:trHeight w:hRule="exact" w:val="51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bCs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Cs/>
                <w:lang w:eastAsia="pl-PL"/>
              </w:rPr>
              <w:t>2. Trwały wzrost gospodarczy: zasoby naturalne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59 907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57 905</w:t>
            </w:r>
          </w:p>
        </w:tc>
      </w:tr>
      <w:tr w:rsidR="00505ED8" w:rsidRPr="008E6F69" w:rsidTr="00BB01C6">
        <w:trPr>
          <w:trHeight w:hRule="exact" w:val="510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bCs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Cs/>
                <w:lang w:eastAsia="pl-PL"/>
              </w:rPr>
              <w:t>3. Bezpieczeństwo i obywatelstwo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3 729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3 685</w:t>
            </w:r>
          </w:p>
        </w:tc>
      </w:tr>
      <w:tr w:rsidR="00505ED8" w:rsidRPr="008E6F69" w:rsidTr="00BB01C6">
        <w:trPr>
          <w:trHeight w:hRule="exact" w:val="39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ED8" w:rsidRPr="00BB01C6" w:rsidRDefault="00505ED8" w:rsidP="00BB01C6">
            <w:pPr>
              <w:rPr>
                <w:rFonts w:asciiTheme="minorHAnsi" w:eastAsia="Times New Roman" w:hAnsiTheme="minorHAnsi"/>
                <w:bCs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Cs/>
                <w:lang w:eastAsia="pl-PL"/>
              </w:rPr>
              <w:t>4. Globalny wymiar Europy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10 262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8 929</w:t>
            </w:r>
          </w:p>
        </w:tc>
      </w:tr>
      <w:tr w:rsidR="00505ED8" w:rsidRPr="008E6F69" w:rsidTr="00BB01C6">
        <w:trPr>
          <w:trHeight w:hRule="exact" w:val="39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ED8" w:rsidRPr="00BB01C6" w:rsidRDefault="00505ED8" w:rsidP="00BB01C6">
            <w:pPr>
              <w:jc w:val="both"/>
              <w:rPr>
                <w:rFonts w:asciiTheme="minorHAnsi" w:eastAsia="Times New Roman" w:hAnsiTheme="minorHAnsi"/>
                <w:bCs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Cs/>
                <w:lang w:eastAsia="pl-PL"/>
              </w:rPr>
              <w:t>5. Administracja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10 272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lang w:eastAsia="pl-PL"/>
              </w:rPr>
              <w:t>10 275</w:t>
            </w:r>
          </w:p>
        </w:tc>
      </w:tr>
      <w:tr w:rsidR="00505ED8" w:rsidRPr="008E6F69" w:rsidTr="00BB01C6">
        <w:trPr>
          <w:trHeight w:hRule="exact" w:val="397"/>
        </w:trPr>
        <w:tc>
          <w:tcPr>
            <w:tcW w:w="5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ED8" w:rsidRPr="00BB01C6" w:rsidRDefault="00505ED8" w:rsidP="00BB01C6">
            <w:pPr>
              <w:jc w:val="both"/>
              <w:rPr>
                <w:rFonts w:asciiTheme="minorHAnsi" w:eastAsia="Times New Roman" w:hAnsiTheme="minorHAnsi"/>
                <w:bCs/>
                <w:i/>
                <w:iCs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Cs/>
                <w:i/>
                <w:iCs/>
                <w:lang w:eastAsia="pl-PL"/>
              </w:rPr>
              <w:t>Instrumenty Specjalne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i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i/>
                <w:lang w:eastAsia="pl-PL"/>
              </w:rPr>
              <w:t>588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i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i/>
                <w:lang w:eastAsia="pl-PL"/>
              </w:rPr>
              <w:t>419</w:t>
            </w:r>
          </w:p>
        </w:tc>
      </w:tr>
      <w:tr w:rsidR="00505ED8" w:rsidRPr="008E6F69" w:rsidTr="00BB01C6">
        <w:trPr>
          <w:trHeight w:hRule="exact" w:val="397"/>
        </w:trPr>
        <w:tc>
          <w:tcPr>
            <w:tcW w:w="5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5ED8" w:rsidRPr="00BB01C6" w:rsidRDefault="00505ED8" w:rsidP="00BB01C6">
            <w:pPr>
              <w:jc w:val="both"/>
              <w:rPr>
                <w:rFonts w:asciiTheme="minorHAnsi" w:eastAsia="Times New Roman" w:hAnsiTheme="minorHAnsi"/>
                <w:b/>
                <w:bCs/>
                <w:lang w:eastAsia="pl-PL"/>
              </w:rPr>
            </w:pPr>
            <w:r w:rsidRPr="00BB01C6">
              <w:rPr>
                <w:rFonts w:asciiTheme="minorHAnsi" w:eastAsia="Times New Roman" w:hAnsiTheme="minorHAnsi"/>
                <w:b/>
                <w:bCs/>
                <w:iCs/>
                <w:lang w:eastAsia="pl-PL"/>
              </w:rPr>
              <w:t>RAZEM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b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b/>
                <w:lang w:eastAsia="pl-PL"/>
              </w:rPr>
              <w:t>168 688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5ED8" w:rsidRPr="00BB01C6" w:rsidRDefault="00505ED8" w:rsidP="00BB01C6">
            <w:pPr>
              <w:jc w:val="center"/>
              <w:rPr>
                <w:rFonts w:asciiTheme="minorHAnsi" w:eastAsia="Times New Roman" w:hAnsiTheme="minorHAnsi" w:cs="Open Sans"/>
                <w:b/>
                <w:lang w:eastAsia="pl-PL"/>
              </w:rPr>
            </w:pPr>
            <w:r w:rsidRPr="00BB01C6">
              <w:rPr>
                <w:rFonts w:asciiTheme="minorHAnsi" w:eastAsia="Times New Roman" w:hAnsiTheme="minorHAnsi" w:cs="Open Sans"/>
                <w:b/>
                <w:lang w:eastAsia="pl-PL"/>
              </w:rPr>
              <w:t>153 566</w:t>
            </w:r>
          </w:p>
        </w:tc>
      </w:tr>
    </w:tbl>
    <w:p w:rsidR="00BB01C6" w:rsidRPr="00BB01C6" w:rsidRDefault="00BB01C6" w:rsidP="00505ED8">
      <w:pPr>
        <w:jc w:val="both"/>
        <w:rPr>
          <w:rFonts w:asciiTheme="minorHAnsi" w:hAnsiTheme="minorHAnsi"/>
          <w:i/>
          <w:sz w:val="10"/>
          <w:szCs w:val="10"/>
        </w:rPr>
      </w:pPr>
    </w:p>
    <w:p w:rsidR="00505ED8" w:rsidRPr="008E6F69" w:rsidRDefault="00505ED8" w:rsidP="00505ED8">
      <w:pPr>
        <w:jc w:val="both"/>
        <w:rPr>
          <w:rFonts w:asciiTheme="minorHAnsi" w:hAnsiTheme="minorHAnsi"/>
          <w:i/>
          <w:sz w:val="20"/>
          <w:szCs w:val="20"/>
        </w:rPr>
      </w:pPr>
      <w:r w:rsidRPr="008E6F69">
        <w:rPr>
          <w:rFonts w:asciiTheme="minorHAnsi" w:hAnsiTheme="minorHAnsi"/>
          <w:i/>
          <w:sz w:val="20"/>
          <w:szCs w:val="20"/>
        </w:rPr>
        <w:t xml:space="preserve">* CA (commitment appropriations) - środki na zobowiązania,   </w:t>
      </w:r>
      <w:r w:rsidR="000D68B1">
        <w:rPr>
          <w:rFonts w:asciiTheme="minorHAnsi" w:hAnsiTheme="minorHAnsi"/>
          <w:i/>
          <w:sz w:val="20"/>
          <w:szCs w:val="20"/>
        </w:rPr>
        <w:t>PA (payment appropriations) -</w:t>
      </w:r>
      <w:r w:rsidRPr="008E6F69">
        <w:rPr>
          <w:rFonts w:asciiTheme="minorHAnsi" w:hAnsiTheme="minorHAnsi"/>
          <w:i/>
          <w:sz w:val="20"/>
          <w:szCs w:val="20"/>
        </w:rPr>
        <w:t xml:space="preserve"> środki na płatności</w:t>
      </w:r>
      <w:r w:rsidR="00BB01C6">
        <w:rPr>
          <w:rFonts w:asciiTheme="minorHAnsi" w:hAnsiTheme="minorHAnsi"/>
          <w:i/>
          <w:sz w:val="20"/>
          <w:szCs w:val="20"/>
        </w:rPr>
        <w:t>.</w:t>
      </w:r>
    </w:p>
    <w:p w:rsidR="00505ED8" w:rsidRPr="008E6F69" w:rsidRDefault="00505ED8" w:rsidP="00505ED8">
      <w:pPr>
        <w:jc w:val="both"/>
        <w:rPr>
          <w:rFonts w:asciiTheme="minorHAnsi" w:hAnsiTheme="minorHAnsi"/>
          <w:i/>
          <w:sz w:val="20"/>
          <w:szCs w:val="20"/>
        </w:rPr>
      </w:pPr>
    </w:p>
    <w:p w:rsidR="00505ED8" w:rsidRPr="008E6F69" w:rsidRDefault="00505ED8" w:rsidP="00505ED8">
      <w:pPr>
        <w:jc w:val="both"/>
        <w:rPr>
          <w:rFonts w:asciiTheme="minorHAnsi" w:hAnsiTheme="minorHAnsi"/>
        </w:rPr>
      </w:pPr>
    </w:p>
    <w:p w:rsidR="00505ED8" w:rsidRDefault="00505ED8" w:rsidP="00505ED8">
      <w:pPr>
        <w:jc w:val="both"/>
        <w:rPr>
          <w:rFonts w:ascii="Times New Roman" w:hAnsi="Times New Roman"/>
        </w:rPr>
      </w:pPr>
    </w:p>
    <w:p w:rsidR="00505ED8" w:rsidRPr="003358EA" w:rsidRDefault="00505ED8" w:rsidP="003261A9">
      <w:pPr>
        <w:tabs>
          <w:tab w:val="left" w:pos="284"/>
          <w:tab w:val="left" w:pos="709"/>
        </w:tabs>
        <w:jc w:val="both"/>
        <w:rPr>
          <w:rFonts w:asciiTheme="minorHAnsi" w:eastAsia="Times New Roman" w:hAnsiTheme="minorHAnsi"/>
          <w:color w:val="000000"/>
          <w:lang w:eastAsia="de-DE"/>
        </w:rPr>
      </w:pPr>
      <w:r w:rsidRPr="00D44BB8">
        <w:rPr>
          <w:rFonts w:asciiTheme="minorHAnsi" w:eastAsia="Times New Roman" w:hAnsiTheme="minorHAnsi"/>
          <w:b/>
          <w:u w:val="single"/>
          <w:lang w:eastAsia="pl-PL"/>
        </w:rPr>
        <w:t>II</w:t>
      </w:r>
      <w:r>
        <w:rPr>
          <w:rFonts w:asciiTheme="minorHAnsi" w:eastAsia="Times New Roman" w:hAnsiTheme="minorHAnsi"/>
          <w:b/>
          <w:u w:val="single"/>
          <w:lang w:eastAsia="pl-PL"/>
        </w:rPr>
        <w:t xml:space="preserve">.2  </w:t>
      </w:r>
      <w:r>
        <w:rPr>
          <w:rFonts w:asciiTheme="minorHAnsi" w:eastAsia="Times New Roman" w:hAnsiTheme="minorHAnsi"/>
          <w:b/>
          <w:u w:val="single"/>
          <w:lang w:eastAsia="pl-PL"/>
        </w:rPr>
        <w:tab/>
      </w:r>
      <w:r w:rsidRPr="009826DC">
        <w:rPr>
          <w:rFonts w:asciiTheme="minorHAnsi" w:hAnsiTheme="minorHAnsi"/>
          <w:b/>
          <w:bCs/>
          <w:u w:val="single"/>
        </w:rPr>
        <w:t xml:space="preserve">Raport finansowy </w:t>
      </w:r>
      <w:r>
        <w:rPr>
          <w:rFonts w:asciiTheme="minorHAnsi" w:hAnsiTheme="minorHAnsi"/>
          <w:b/>
          <w:bCs/>
          <w:u w:val="single"/>
        </w:rPr>
        <w:t>Komisji Europejskiej za rok 2018</w:t>
      </w:r>
    </w:p>
    <w:p w:rsidR="00505ED8" w:rsidRPr="009826DC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  <w:b/>
          <w:bCs/>
          <w:u w:val="single"/>
        </w:rPr>
      </w:pPr>
    </w:p>
    <w:p w:rsidR="00505ED8" w:rsidRPr="009826DC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W</w:t>
      </w:r>
      <w:r w:rsidRPr="009826DC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>październiku</w:t>
      </w:r>
      <w:r w:rsidRPr="009826DC">
        <w:rPr>
          <w:rFonts w:asciiTheme="minorHAnsi" w:hAnsiTheme="minorHAnsi"/>
        </w:rPr>
        <w:t xml:space="preserve"> Komisja Europejska (KE) opublikowała raport finansowy nt. wykonania budżetu UE w roku 201</w:t>
      </w:r>
      <w:r>
        <w:rPr>
          <w:rFonts w:asciiTheme="minorHAnsi" w:hAnsiTheme="minorHAnsi"/>
        </w:rPr>
        <w:t>8</w:t>
      </w:r>
      <w:r w:rsidRPr="009826DC">
        <w:rPr>
          <w:rFonts w:asciiTheme="minorHAnsi" w:hAnsiTheme="minorHAnsi"/>
        </w:rPr>
        <w:t xml:space="preserve"> - cykliczny dokument przedstawiający finansową stronę działania UE. Budżet UE na rok 201</w:t>
      </w:r>
      <w:r>
        <w:rPr>
          <w:rFonts w:asciiTheme="minorHAnsi" w:hAnsiTheme="minorHAnsi"/>
        </w:rPr>
        <w:t>8</w:t>
      </w:r>
      <w:r w:rsidRPr="009826DC">
        <w:rPr>
          <w:rFonts w:asciiTheme="minorHAnsi" w:hAnsiTheme="minorHAnsi"/>
        </w:rPr>
        <w:t xml:space="preserve"> przyjęty został ze środkami na zobowiązania (CA) w kwocie </w:t>
      </w:r>
      <w:r>
        <w:rPr>
          <w:rFonts w:asciiTheme="minorHAnsi" w:hAnsiTheme="minorHAnsi"/>
          <w:b/>
        </w:rPr>
        <w:t>159,5</w:t>
      </w:r>
      <w:r w:rsidRPr="009826DC">
        <w:rPr>
          <w:rFonts w:asciiTheme="minorHAnsi" w:hAnsiTheme="minorHAnsi"/>
          <w:b/>
        </w:rPr>
        <w:t xml:space="preserve"> mld EUR</w:t>
      </w:r>
      <w:r w:rsidRPr="009826DC">
        <w:rPr>
          <w:rFonts w:asciiTheme="minorHAnsi" w:hAnsiTheme="minorHAnsi"/>
        </w:rPr>
        <w:t xml:space="preserve">, oraz ze środkami na płatności (PA) w kwocie </w:t>
      </w:r>
      <w:r>
        <w:rPr>
          <w:rFonts w:asciiTheme="minorHAnsi" w:hAnsiTheme="minorHAnsi"/>
          <w:b/>
        </w:rPr>
        <w:t>144,3</w:t>
      </w:r>
      <w:r w:rsidRPr="009826DC">
        <w:rPr>
          <w:rFonts w:asciiTheme="minorHAnsi" w:hAnsiTheme="minorHAnsi"/>
          <w:b/>
        </w:rPr>
        <w:t xml:space="preserve"> mld EUR</w:t>
      </w:r>
      <w:r w:rsidRPr="009826DC">
        <w:rPr>
          <w:rFonts w:asciiTheme="minorHAnsi" w:hAnsiTheme="minorHAnsi"/>
        </w:rPr>
        <w:t xml:space="preserve">. W trakcie wykonywania ww. budżetu przyjętych zostało 6 budżetów korygujących, co skutkowało zwiększeniem CA o </w:t>
      </w:r>
      <w:r>
        <w:rPr>
          <w:rFonts w:asciiTheme="minorHAnsi" w:hAnsiTheme="minorHAnsi"/>
        </w:rPr>
        <w:t>580 mln</w:t>
      </w:r>
      <w:r w:rsidRPr="009826DC">
        <w:rPr>
          <w:rFonts w:asciiTheme="minorHAnsi" w:hAnsiTheme="minorHAnsi"/>
        </w:rPr>
        <w:t xml:space="preserve"> EUR oraz </w:t>
      </w:r>
      <w:r>
        <w:rPr>
          <w:rFonts w:asciiTheme="minorHAnsi" w:hAnsiTheme="minorHAnsi"/>
        </w:rPr>
        <w:t xml:space="preserve">PA o 87 mln EUR. </w:t>
      </w:r>
      <w:r w:rsidRPr="009826DC">
        <w:rPr>
          <w:rFonts w:asciiTheme="minorHAnsi" w:hAnsiTheme="minorHAnsi"/>
        </w:rPr>
        <w:t>Uwzględniając ww. budżety korygujące, prz</w:t>
      </w:r>
      <w:r>
        <w:rPr>
          <w:rFonts w:asciiTheme="minorHAnsi" w:hAnsiTheme="minorHAnsi"/>
        </w:rPr>
        <w:t>eniesienie niewykorzystanych 1,97 mld EUR z roku 2017</w:t>
      </w:r>
      <w:r w:rsidRPr="009826DC">
        <w:rPr>
          <w:rFonts w:asciiTheme="minorHAnsi" w:hAnsiTheme="minorHAnsi"/>
        </w:rPr>
        <w:t xml:space="preserve"> oraz wpływy do budżetu UE przeznaczone na określony cel </w:t>
      </w:r>
      <w:r>
        <w:rPr>
          <w:rFonts w:asciiTheme="minorHAnsi" w:hAnsiTheme="minorHAnsi"/>
        </w:rPr>
        <w:t xml:space="preserve">(tzw. </w:t>
      </w:r>
      <w:r w:rsidRPr="009826DC">
        <w:rPr>
          <w:rFonts w:asciiTheme="minorHAnsi" w:hAnsiTheme="minorHAnsi"/>
        </w:rPr>
        <w:t>ass</w:t>
      </w:r>
      <w:r>
        <w:rPr>
          <w:rFonts w:asciiTheme="minorHAnsi" w:hAnsiTheme="minorHAnsi"/>
        </w:rPr>
        <w:t>igned revenue) w wysokości 19,6</w:t>
      </w:r>
      <w:r w:rsidRPr="009826DC">
        <w:rPr>
          <w:rFonts w:asciiTheme="minorHAnsi" w:hAnsiTheme="minorHAnsi"/>
        </w:rPr>
        <w:t xml:space="preserve"> mld EUR</w:t>
      </w:r>
      <w:r>
        <w:rPr>
          <w:rFonts w:asciiTheme="minorHAnsi" w:hAnsiTheme="minorHAnsi"/>
        </w:rPr>
        <w:t>,</w:t>
      </w:r>
      <w:r w:rsidRPr="009826DC">
        <w:rPr>
          <w:rFonts w:asciiTheme="minorHAnsi" w:hAnsiTheme="minorHAnsi"/>
        </w:rPr>
        <w:t xml:space="preserve"> łączna kwota </w:t>
      </w:r>
      <w:r>
        <w:rPr>
          <w:rFonts w:asciiTheme="minorHAnsi" w:hAnsiTheme="minorHAnsi"/>
        </w:rPr>
        <w:t>dostępnych PA w </w:t>
      </w:r>
      <w:r w:rsidRPr="009826DC">
        <w:rPr>
          <w:rFonts w:asciiTheme="minorHAnsi" w:hAnsiTheme="minorHAnsi"/>
        </w:rPr>
        <w:t>budżecie UE na rok 201</w:t>
      </w:r>
      <w:r>
        <w:rPr>
          <w:rFonts w:asciiTheme="minorHAnsi" w:hAnsiTheme="minorHAnsi"/>
        </w:rPr>
        <w:t>8</w:t>
      </w:r>
      <w:r w:rsidRPr="009826DC">
        <w:rPr>
          <w:rFonts w:asciiTheme="minorHAnsi" w:hAnsiTheme="minorHAnsi"/>
        </w:rPr>
        <w:t xml:space="preserve"> wyniosła </w:t>
      </w:r>
      <w:r>
        <w:rPr>
          <w:rFonts w:asciiTheme="minorHAnsi" w:hAnsiTheme="minorHAnsi"/>
          <w:b/>
        </w:rPr>
        <w:t>166,3</w:t>
      </w:r>
      <w:r w:rsidRPr="009826DC">
        <w:rPr>
          <w:rFonts w:asciiTheme="minorHAnsi" w:hAnsiTheme="minorHAnsi"/>
          <w:b/>
        </w:rPr>
        <w:t xml:space="preserve"> mld EUR</w:t>
      </w:r>
      <w:r w:rsidRPr="009826DC">
        <w:rPr>
          <w:rFonts w:asciiTheme="minorHAnsi" w:hAnsiTheme="minorHAnsi"/>
        </w:rPr>
        <w:t xml:space="preserve">. </w:t>
      </w:r>
    </w:p>
    <w:p w:rsidR="00505ED8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</w:rPr>
      </w:pPr>
    </w:p>
    <w:p w:rsidR="00505ED8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233F21">
        <w:rPr>
          <w:rFonts w:asciiTheme="minorHAnsi" w:hAnsiTheme="minorHAnsi"/>
          <w:b/>
        </w:rPr>
        <w:t>Poniższy wykres obrazuje wykonanie kolejnych budżetów rocznych UE w latach 2000-2018</w:t>
      </w:r>
      <w:r>
        <w:rPr>
          <w:rFonts w:asciiTheme="minorHAnsi" w:hAnsiTheme="minorHAnsi"/>
        </w:rPr>
        <w:t xml:space="preserve"> (w mld EUR).</w:t>
      </w:r>
    </w:p>
    <w:p w:rsidR="00505ED8" w:rsidRPr="006D293C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  <w:sz w:val="6"/>
          <w:szCs w:val="6"/>
        </w:rPr>
      </w:pPr>
    </w:p>
    <w:p w:rsidR="00505ED8" w:rsidRDefault="00505ED8" w:rsidP="00505ED8">
      <w:pPr>
        <w:tabs>
          <w:tab w:val="left" w:pos="357"/>
          <w:tab w:val="left" w:pos="709"/>
        </w:tabs>
        <w:spacing w:line="264" w:lineRule="auto"/>
        <w:ind w:hanging="426"/>
        <w:jc w:val="both"/>
        <w:rPr>
          <w:rFonts w:asciiTheme="minorHAnsi" w:hAnsiTheme="minorHAnsi"/>
          <w:noProof/>
          <w:lang w:eastAsia="pl-PL"/>
        </w:rPr>
      </w:pPr>
    </w:p>
    <w:p w:rsidR="00505ED8" w:rsidRDefault="00505ED8" w:rsidP="00505ED8">
      <w:pPr>
        <w:tabs>
          <w:tab w:val="left" w:pos="357"/>
          <w:tab w:val="left" w:pos="709"/>
        </w:tabs>
        <w:spacing w:line="264" w:lineRule="auto"/>
        <w:ind w:left="-426"/>
        <w:jc w:val="both"/>
        <w:rPr>
          <w:rFonts w:asciiTheme="minorHAnsi" w:hAnsiTheme="minorHAnsi"/>
          <w:noProof/>
          <w:lang w:eastAsia="pl-PL"/>
        </w:rPr>
      </w:pPr>
      <w:r>
        <w:rPr>
          <w:rFonts w:asciiTheme="minorHAnsi" w:hAnsiTheme="minorHAnsi"/>
          <w:noProof/>
          <w:lang w:eastAsia="pl-PL"/>
        </w:rPr>
        <w:lastRenderedPageBreak/>
        <w:drawing>
          <wp:inline distT="0" distB="0" distL="0" distR="0" wp14:anchorId="493C9728" wp14:editId="347FB339">
            <wp:extent cx="6358270" cy="2752448"/>
            <wp:effectExtent l="0" t="0" r="4445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ys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3849" cy="276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Pr="009826DC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  <w:sz w:val="6"/>
          <w:szCs w:val="6"/>
        </w:rPr>
      </w:pPr>
    </w:p>
    <w:p w:rsidR="00505ED8" w:rsidRPr="009826DC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  <w:sz w:val="6"/>
          <w:szCs w:val="6"/>
        </w:rPr>
      </w:pPr>
    </w:p>
    <w:p w:rsidR="00505ED8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Głównym źródłem finansowania budżetu UE są wpłaty państw c</w:t>
      </w:r>
      <w:r w:rsidR="006D5E79">
        <w:rPr>
          <w:rFonts w:asciiTheme="minorHAnsi" w:hAnsiTheme="minorHAnsi"/>
        </w:rPr>
        <w:t>złonkowskich (P.Cz.) oraz tzw. </w:t>
      </w:r>
      <w:r>
        <w:rPr>
          <w:rFonts w:asciiTheme="minorHAnsi" w:hAnsiTheme="minorHAnsi"/>
        </w:rPr>
        <w:t xml:space="preserve">tradycyjne zasoby własne UE (tzw. TOR). W 2018 r. wpłaty P.Cz. wyniosły </w:t>
      </w:r>
      <w:r>
        <w:rPr>
          <w:rFonts w:asciiTheme="minorHAnsi" w:hAnsiTheme="minorHAnsi"/>
          <w:b/>
        </w:rPr>
        <w:t xml:space="preserve">122,1 mld EUR </w:t>
      </w:r>
      <w:r w:rsidRPr="005824D5">
        <w:rPr>
          <w:rFonts w:asciiTheme="minorHAnsi" w:hAnsiTheme="minorHAnsi"/>
        </w:rPr>
        <w:t>(</w:t>
      </w:r>
      <w:r w:rsidR="006D5E79">
        <w:rPr>
          <w:rFonts w:asciiTheme="minorHAnsi" w:hAnsiTheme="minorHAnsi"/>
        </w:rPr>
        <w:t>z </w:t>
      </w:r>
      <w:r w:rsidRPr="005824D5">
        <w:rPr>
          <w:rFonts w:asciiTheme="minorHAnsi" w:hAnsiTheme="minorHAnsi"/>
        </w:rPr>
        <w:t xml:space="preserve">czego </w:t>
      </w:r>
      <w:r>
        <w:rPr>
          <w:rFonts w:asciiTheme="minorHAnsi" w:hAnsiTheme="minorHAnsi"/>
        </w:rPr>
        <w:t>najważniejszym elementem</w:t>
      </w:r>
      <w:r w:rsidRPr="005824D5">
        <w:rPr>
          <w:rFonts w:asciiTheme="minorHAnsi" w:hAnsiTheme="minorHAnsi"/>
        </w:rPr>
        <w:t xml:space="preserve"> były wpłaty oparte o dochód narodowy brutto w łącznej wysokości 104,5 mld EUR), a wpływy</w:t>
      </w:r>
      <w:r w:rsidRPr="00534B2F">
        <w:rPr>
          <w:rFonts w:asciiTheme="minorHAnsi" w:hAnsiTheme="minorHAnsi"/>
        </w:rPr>
        <w:t xml:space="preserve"> </w:t>
      </w:r>
      <w:r w:rsidR="00D547F6">
        <w:rPr>
          <w:rFonts w:asciiTheme="minorHAnsi" w:hAnsiTheme="minorHAnsi"/>
        </w:rPr>
        <w:t xml:space="preserve">przekazywane przez państwa członkowskie </w:t>
      </w:r>
      <w:r w:rsidRPr="00534B2F">
        <w:rPr>
          <w:rFonts w:asciiTheme="minorHAnsi" w:hAnsiTheme="minorHAnsi"/>
        </w:rPr>
        <w:t>z TOR</w:t>
      </w:r>
      <w:r>
        <w:rPr>
          <w:rFonts w:asciiTheme="minorHAnsi" w:hAnsiTheme="minorHAnsi"/>
        </w:rPr>
        <w:t xml:space="preserve"> wyniosły</w:t>
      </w:r>
      <w:r w:rsidRPr="00534B2F">
        <w:rPr>
          <w:rFonts w:asciiTheme="minorHAnsi" w:hAnsiTheme="minorHAnsi"/>
        </w:rPr>
        <w:t xml:space="preserve"> </w:t>
      </w:r>
      <w:r w:rsidRPr="00534B2F">
        <w:rPr>
          <w:rFonts w:asciiTheme="minorHAnsi" w:hAnsiTheme="minorHAnsi"/>
          <w:b/>
        </w:rPr>
        <w:t>22,2 mld EUR</w:t>
      </w:r>
      <w:r>
        <w:rPr>
          <w:rFonts w:asciiTheme="minorHAnsi" w:hAnsiTheme="minorHAnsi"/>
        </w:rPr>
        <w:t xml:space="preserve">. Do budżetu UE trafiły także wpłaty z innych źródeł, takich jak wpłaty państw spoza UE z tytułu uczestniczenia w unijnych programach, odsetki, należności z tytułu nałożonych kar. W 2018 ich łączna wysokość wyniosła </w:t>
      </w:r>
      <w:r w:rsidRPr="00534B2F">
        <w:rPr>
          <w:rFonts w:asciiTheme="minorHAnsi" w:hAnsiTheme="minorHAnsi"/>
          <w:b/>
        </w:rPr>
        <w:t>15,7 mld EUR.</w:t>
      </w:r>
    </w:p>
    <w:p w:rsidR="00505ED8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</w:rPr>
      </w:pPr>
      <w:r w:rsidRPr="003358EA">
        <w:rPr>
          <w:rFonts w:asciiTheme="minorHAnsi" w:hAnsiTheme="minorHAnsi"/>
        </w:rPr>
        <w:t xml:space="preserve">Najwyższe udziały </w:t>
      </w:r>
      <w:r>
        <w:rPr>
          <w:rFonts w:asciiTheme="minorHAnsi" w:hAnsiTheme="minorHAnsi"/>
        </w:rPr>
        <w:t>we</w:t>
      </w:r>
      <w:r w:rsidRPr="009826DC">
        <w:rPr>
          <w:rFonts w:asciiTheme="minorHAnsi" w:hAnsiTheme="minorHAnsi"/>
        </w:rPr>
        <w:t xml:space="preserve"> wpłat</w:t>
      </w:r>
      <w:r>
        <w:rPr>
          <w:rFonts w:asciiTheme="minorHAnsi" w:hAnsiTheme="minorHAnsi"/>
        </w:rPr>
        <w:t>ach</w:t>
      </w:r>
      <w:r w:rsidRPr="009826DC">
        <w:rPr>
          <w:rFonts w:asciiTheme="minorHAnsi" w:hAnsiTheme="minorHAnsi"/>
        </w:rPr>
        <w:t xml:space="preserve"> do budżetu UE w 201</w:t>
      </w:r>
      <w:r>
        <w:rPr>
          <w:rFonts w:asciiTheme="minorHAnsi" w:hAnsiTheme="minorHAnsi"/>
        </w:rPr>
        <w:t xml:space="preserve">8 </w:t>
      </w:r>
      <w:r w:rsidRPr="009826DC">
        <w:rPr>
          <w:rFonts w:asciiTheme="minorHAnsi" w:hAnsiTheme="minorHAnsi"/>
        </w:rPr>
        <w:t>roku</w:t>
      </w:r>
      <w:r>
        <w:rPr>
          <w:rFonts w:asciiTheme="minorHAnsi" w:hAnsiTheme="minorHAnsi"/>
        </w:rPr>
        <w:t xml:space="preserve"> (włącznie z TOR) miały: Niemcy (21%, </w:t>
      </w:r>
      <w:r w:rsidRPr="009826DC">
        <w:rPr>
          <w:rFonts w:asciiTheme="minorHAnsi" w:hAnsiTheme="minorHAnsi"/>
        </w:rPr>
        <w:t xml:space="preserve">tj. </w:t>
      </w:r>
      <w:r>
        <w:rPr>
          <w:rFonts w:asciiTheme="minorHAnsi" w:hAnsiTheme="minorHAnsi"/>
        </w:rPr>
        <w:t>29,3 mld EUR), Francja (16</w:t>
      </w:r>
      <w:r w:rsidRPr="009826DC">
        <w:rPr>
          <w:rFonts w:asciiTheme="minorHAnsi" w:hAnsiTheme="minorHAnsi"/>
        </w:rPr>
        <w:t xml:space="preserve">%, tj. </w:t>
      </w:r>
      <w:r>
        <w:rPr>
          <w:rFonts w:asciiTheme="minorHAnsi" w:hAnsiTheme="minorHAnsi"/>
        </w:rPr>
        <w:t>22,2</w:t>
      </w:r>
      <w:r w:rsidRPr="009826DC">
        <w:rPr>
          <w:rFonts w:asciiTheme="minorHAnsi" w:hAnsiTheme="minorHAnsi"/>
        </w:rPr>
        <w:t xml:space="preserve"> mld E</w:t>
      </w:r>
      <w:r>
        <w:rPr>
          <w:rFonts w:asciiTheme="minorHAnsi" w:hAnsiTheme="minorHAnsi"/>
        </w:rPr>
        <w:t>UR), Włochy (12</w:t>
      </w:r>
      <w:r w:rsidRPr="009826DC">
        <w:rPr>
          <w:rFonts w:asciiTheme="minorHAnsi" w:hAnsiTheme="minorHAnsi"/>
        </w:rPr>
        <w:t xml:space="preserve">%, </w:t>
      </w:r>
      <w:r>
        <w:rPr>
          <w:rFonts w:asciiTheme="minorHAnsi" w:hAnsiTheme="minorHAnsi"/>
        </w:rPr>
        <w:t>tj. 17 mld</w:t>
      </w:r>
      <w:r w:rsidRPr="009826DC">
        <w:rPr>
          <w:rFonts w:asciiTheme="minorHAnsi" w:hAnsiTheme="minorHAnsi"/>
        </w:rPr>
        <w:t xml:space="preserve"> EUR)</w:t>
      </w:r>
      <w:r>
        <w:rPr>
          <w:rFonts w:asciiTheme="minorHAnsi" w:hAnsiTheme="minorHAnsi"/>
        </w:rPr>
        <w:t xml:space="preserve"> oraz Wielka Brytania (11%, tj. 16,4</w:t>
      </w:r>
      <w:r w:rsidRPr="009826DC">
        <w:rPr>
          <w:rFonts w:asciiTheme="minorHAnsi" w:hAnsiTheme="minorHAnsi"/>
        </w:rPr>
        <w:t xml:space="preserve"> mld EUR). Kwota wpłacona przez Polskę do budżetu UE w roku 201</w:t>
      </w:r>
      <w:r>
        <w:rPr>
          <w:rFonts w:asciiTheme="minorHAnsi" w:hAnsiTheme="minorHAnsi"/>
        </w:rPr>
        <w:t>8</w:t>
      </w:r>
      <w:r w:rsidRPr="009826DC">
        <w:rPr>
          <w:rFonts w:asciiTheme="minorHAnsi" w:hAnsiTheme="minorHAnsi"/>
        </w:rPr>
        <w:t xml:space="preserve"> wyniosła </w:t>
      </w:r>
      <w:r>
        <w:rPr>
          <w:rFonts w:asciiTheme="minorHAnsi" w:hAnsiTheme="minorHAnsi"/>
          <w:b/>
        </w:rPr>
        <w:t>4,7 mld </w:t>
      </w:r>
      <w:r w:rsidRPr="009826DC">
        <w:rPr>
          <w:rFonts w:asciiTheme="minorHAnsi" w:hAnsiTheme="minorHAnsi"/>
          <w:b/>
        </w:rPr>
        <w:t>EUR</w:t>
      </w:r>
      <w:r w:rsidRPr="009826DC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i </w:t>
      </w:r>
      <w:r w:rsidRPr="009826DC">
        <w:rPr>
          <w:rFonts w:asciiTheme="minorHAnsi" w:hAnsiTheme="minorHAnsi"/>
        </w:rPr>
        <w:t>była ós</w:t>
      </w:r>
      <w:r>
        <w:rPr>
          <w:rFonts w:asciiTheme="minorHAnsi" w:hAnsiTheme="minorHAnsi"/>
        </w:rPr>
        <w:t>mą co do wielkości wśród P.Cz. Była ona wyższa o 1 mld EUR niż w roku 2017</w:t>
      </w:r>
      <w:r w:rsidRPr="009826DC">
        <w:rPr>
          <w:rFonts w:asciiTheme="minorHAnsi" w:hAnsiTheme="minorHAnsi"/>
        </w:rPr>
        <w:t>.</w:t>
      </w:r>
      <w:r>
        <w:rPr>
          <w:rFonts w:asciiTheme="minorHAnsi" w:hAnsiTheme="minorHAnsi"/>
        </w:rPr>
        <w:t xml:space="preserve"> </w:t>
      </w:r>
      <w:r w:rsidRPr="009826DC">
        <w:rPr>
          <w:rFonts w:asciiTheme="minorHAnsi" w:hAnsiTheme="minorHAnsi"/>
          <w:b/>
        </w:rPr>
        <w:t>Udział składki Polski w całości składek wp</w:t>
      </w:r>
      <w:r>
        <w:rPr>
          <w:rFonts w:asciiTheme="minorHAnsi" w:hAnsiTheme="minorHAnsi"/>
          <w:b/>
        </w:rPr>
        <w:t>łaconych przez P.Cz. wyniósł 3,3</w:t>
      </w:r>
      <w:r w:rsidRPr="009826DC">
        <w:rPr>
          <w:rFonts w:asciiTheme="minorHAnsi" w:hAnsiTheme="minorHAnsi"/>
          <w:b/>
        </w:rPr>
        <w:t xml:space="preserve">% </w:t>
      </w:r>
      <w:r>
        <w:rPr>
          <w:rFonts w:asciiTheme="minorHAnsi" w:hAnsiTheme="minorHAnsi"/>
        </w:rPr>
        <w:t>i u</w:t>
      </w:r>
      <w:r w:rsidRPr="009826DC">
        <w:rPr>
          <w:rFonts w:asciiTheme="minorHAnsi" w:hAnsiTheme="minorHAnsi"/>
        </w:rPr>
        <w:t>trzym</w:t>
      </w:r>
      <w:r>
        <w:rPr>
          <w:rFonts w:asciiTheme="minorHAnsi" w:hAnsiTheme="minorHAnsi"/>
        </w:rPr>
        <w:t>ał</w:t>
      </w:r>
      <w:r w:rsidRPr="009826DC">
        <w:rPr>
          <w:rFonts w:asciiTheme="minorHAnsi" w:hAnsiTheme="minorHAnsi"/>
        </w:rPr>
        <w:t xml:space="preserve"> się n</w:t>
      </w:r>
      <w:r>
        <w:rPr>
          <w:rFonts w:asciiTheme="minorHAnsi" w:hAnsiTheme="minorHAnsi"/>
        </w:rPr>
        <w:t>a poziomie podobnym do roku 2017 (3,2</w:t>
      </w:r>
      <w:r w:rsidRPr="009826DC">
        <w:rPr>
          <w:rFonts w:asciiTheme="minorHAnsi" w:hAnsiTheme="minorHAnsi"/>
        </w:rPr>
        <w:t xml:space="preserve">%). </w:t>
      </w:r>
    </w:p>
    <w:p w:rsidR="00505ED8" w:rsidRPr="009826DC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</w:rPr>
      </w:pPr>
    </w:p>
    <w:p w:rsidR="00505ED8" w:rsidRPr="009826DC" w:rsidRDefault="00505ED8" w:rsidP="00505ED8">
      <w:pPr>
        <w:tabs>
          <w:tab w:val="left" w:pos="357"/>
          <w:tab w:val="left" w:pos="709"/>
          <w:tab w:val="left" w:pos="6521"/>
        </w:tabs>
        <w:spacing w:line="264" w:lineRule="auto"/>
        <w:jc w:val="both"/>
        <w:rPr>
          <w:rFonts w:asciiTheme="minorHAnsi" w:hAnsiTheme="minorHAnsi"/>
        </w:rPr>
      </w:pPr>
      <w:r w:rsidRPr="009826DC">
        <w:rPr>
          <w:rFonts w:asciiTheme="minorHAnsi" w:hAnsiTheme="minorHAnsi"/>
        </w:rPr>
        <w:t>Kwota rabatu brytyjskiego w roku 201</w:t>
      </w:r>
      <w:r>
        <w:rPr>
          <w:rFonts w:asciiTheme="minorHAnsi" w:hAnsiTheme="minorHAnsi"/>
        </w:rPr>
        <w:t>8</w:t>
      </w:r>
      <w:r w:rsidRPr="009826DC">
        <w:rPr>
          <w:rFonts w:asciiTheme="minorHAnsi" w:hAnsiTheme="minorHAnsi"/>
        </w:rPr>
        <w:t xml:space="preserve"> wyniosła </w:t>
      </w:r>
      <w:r>
        <w:rPr>
          <w:rFonts w:asciiTheme="minorHAnsi" w:hAnsiTheme="minorHAnsi"/>
          <w:b/>
        </w:rPr>
        <w:t>5</w:t>
      </w:r>
      <w:r w:rsidRPr="009826DC">
        <w:rPr>
          <w:rFonts w:asciiTheme="minorHAnsi" w:hAnsiTheme="minorHAnsi"/>
          <w:b/>
        </w:rPr>
        <w:t xml:space="preserve"> mld EUR</w:t>
      </w:r>
      <w:r w:rsidRPr="009826DC">
        <w:rPr>
          <w:rFonts w:asciiTheme="minorHAnsi" w:hAnsiTheme="minorHAnsi"/>
        </w:rPr>
        <w:t xml:space="preserve">. Największe udziały </w:t>
      </w:r>
      <w:r w:rsidRPr="009826DC">
        <w:rPr>
          <w:rFonts w:asciiTheme="minorHAnsi" w:hAnsiTheme="minorHAnsi"/>
        </w:rPr>
        <w:br/>
        <w:t xml:space="preserve">w finansowaniu ww. rabatu miały: Francja (1,3 mld EUR), Włochy </w:t>
      </w:r>
      <w:r>
        <w:rPr>
          <w:rFonts w:asciiTheme="minorHAnsi" w:hAnsiTheme="minorHAnsi"/>
        </w:rPr>
        <w:t>(0,96</w:t>
      </w:r>
      <w:r w:rsidRPr="009826DC">
        <w:rPr>
          <w:rFonts w:asciiTheme="minorHAnsi" w:hAnsiTheme="minorHAnsi"/>
        </w:rPr>
        <w:t xml:space="preserve"> mld EUR) oraz Hiszpania (0,6 mld EUR). Udział Polski </w:t>
      </w:r>
      <w:r>
        <w:rPr>
          <w:rFonts w:asciiTheme="minorHAnsi" w:hAnsiTheme="minorHAnsi"/>
        </w:rPr>
        <w:t>w finansowaniu rabatu brytyjskiego wyniósł 256 mln </w:t>
      </w:r>
      <w:r w:rsidRPr="009826DC">
        <w:rPr>
          <w:rFonts w:asciiTheme="minorHAnsi" w:hAnsiTheme="minorHAnsi"/>
        </w:rPr>
        <w:t>EUR.</w:t>
      </w:r>
    </w:p>
    <w:p w:rsidR="00505ED8" w:rsidRPr="00233F21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  <w:b/>
        </w:rPr>
      </w:pPr>
      <w:r w:rsidRPr="00233F21">
        <w:rPr>
          <w:rFonts w:asciiTheme="minorHAnsi" w:hAnsiTheme="minorHAnsi"/>
          <w:b/>
        </w:rPr>
        <w:t xml:space="preserve">Poniższy wykres przedstawia wielkości składek wpłacanych przez P.Cz. </w:t>
      </w:r>
      <w:r w:rsidRPr="00233F21">
        <w:rPr>
          <w:rFonts w:asciiTheme="minorHAnsi" w:hAnsiTheme="minorHAnsi"/>
          <w:b/>
        </w:rPr>
        <w:br/>
        <w:t>w latach 2016 – 2018.</w:t>
      </w:r>
    </w:p>
    <w:p w:rsidR="00505ED8" w:rsidRDefault="00505ED8" w:rsidP="00505ED8">
      <w:pPr>
        <w:tabs>
          <w:tab w:val="left" w:pos="357"/>
          <w:tab w:val="left" w:pos="709"/>
        </w:tabs>
        <w:spacing w:line="264" w:lineRule="auto"/>
        <w:jc w:val="both"/>
        <w:rPr>
          <w:rFonts w:asciiTheme="minorHAnsi" w:hAnsiTheme="minorHAnsi"/>
          <w:b/>
        </w:rPr>
      </w:pPr>
    </w:p>
    <w:p w:rsidR="00505ED8" w:rsidRDefault="00505ED8" w:rsidP="00505ED8">
      <w:pPr>
        <w:tabs>
          <w:tab w:val="left" w:pos="357"/>
          <w:tab w:val="left" w:pos="709"/>
        </w:tabs>
        <w:spacing w:line="264" w:lineRule="auto"/>
        <w:ind w:left="-567" w:right="-426"/>
        <w:jc w:val="both"/>
        <w:rPr>
          <w:rFonts w:asciiTheme="minorHAnsi" w:hAnsiTheme="minorHAnsi"/>
          <w:b/>
        </w:rPr>
      </w:pPr>
      <w:r w:rsidRPr="001F6C5B">
        <w:rPr>
          <w:noProof/>
          <w:sz w:val="20"/>
          <w:szCs w:val="20"/>
          <w:lang w:eastAsia="pl-PL"/>
        </w:rPr>
        <w:lastRenderedPageBreak/>
        <w:drawing>
          <wp:inline distT="0" distB="0" distL="0" distR="0" wp14:anchorId="220B5572" wp14:editId="27D9B1AF">
            <wp:extent cx="6358270" cy="4454525"/>
            <wp:effectExtent l="0" t="0" r="4445" b="3175"/>
            <wp:docPr id="10" name="Wykres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505ED8" w:rsidRPr="009826DC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lang w:val="pl-PL"/>
        </w:rPr>
      </w:pPr>
    </w:p>
    <w:p w:rsidR="00505ED8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lang w:val="pl-PL" w:eastAsia="pl-PL"/>
        </w:rPr>
      </w:pPr>
      <w:r w:rsidRPr="009826DC">
        <w:rPr>
          <w:rFonts w:asciiTheme="minorHAnsi" w:hAnsiTheme="minorHAnsi"/>
          <w:lang w:val="pl-PL"/>
        </w:rPr>
        <w:t>W roku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</w:t>
      </w:r>
      <w:r w:rsidRPr="009826DC">
        <w:rPr>
          <w:rFonts w:asciiTheme="minorHAnsi" w:hAnsiTheme="minorHAnsi"/>
          <w:lang w:val="pl-PL" w:eastAsia="pl-PL"/>
        </w:rPr>
        <w:t xml:space="preserve">najwyższe łączne </w:t>
      </w:r>
      <w:r w:rsidRPr="009826DC">
        <w:rPr>
          <w:rFonts w:asciiTheme="minorHAnsi" w:hAnsiTheme="minorHAnsi"/>
          <w:lang w:val="pl-PL"/>
        </w:rPr>
        <w:t>transfery</w:t>
      </w:r>
      <w:r w:rsidRPr="009826DC">
        <w:rPr>
          <w:rFonts w:asciiTheme="minorHAnsi" w:hAnsiTheme="minorHAnsi"/>
          <w:lang w:val="pl-PL" w:eastAsia="pl-PL"/>
        </w:rPr>
        <w:t xml:space="preserve"> z budżetu UE trafiły do:</w:t>
      </w:r>
    </w:p>
    <w:p w:rsidR="00505ED8" w:rsidRDefault="00505ED8" w:rsidP="00505ED8">
      <w:pPr>
        <w:pStyle w:val="Text1"/>
        <w:numPr>
          <w:ilvl w:val="0"/>
          <w:numId w:val="2"/>
        </w:numPr>
        <w:tabs>
          <w:tab w:val="left" w:pos="3570"/>
        </w:tabs>
        <w:spacing w:before="0" w:after="0" w:line="264" w:lineRule="auto"/>
        <w:ind w:left="284" w:hanging="284"/>
        <w:rPr>
          <w:rFonts w:asciiTheme="minorHAnsi" w:hAnsiTheme="minorHAnsi"/>
          <w:lang w:val="pl-PL" w:eastAsia="pl-PL"/>
        </w:rPr>
      </w:pPr>
      <w:r>
        <w:rPr>
          <w:rFonts w:asciiTheme="minorHAnsi" w:hAnsiTheme="minorHAnsi"/>
          <w:lang w:val="pl-PL" w:eastAsia="pl-PL"/>
        </w:rPr>
        <w:t xml:space="preserve">Polski (16,4 mld EUR, tj. 12,5% </w:t>
      </w:r>
      <w:r w:rsidRPr="009826DC">
        <w:rPr>
          <w:rFonts w:asciiTheme="minorHAnsi" w:hAnsiTheme="minorHAnsi"/>
          <w:lang w:val="pl-PL" w:eastAsia="pl-PL"/>
        </w:rPr>
        <w:t>całkowitej kwoty transferów do P.Cz</w:t>
      </w:r>
      <w:r w:rsidR="003261A9">
        <w:rPr>
          <w:rFonts w:asciiTheme="minorHAnsi" w:hAnsiTheme="minorHAnsi"/>
          <w:lang w:val="pl-PL" w:eastAsia="pl-PL"/>
        </w:rPr>
        <w:t>.</w:t>
      </w:r>
      <w:r>
        <w:rPr>
          <w:rFonts w:asciiTheme="minorHAnsi" w:hAnsiTheme="minorHAnsi"/>
          <w:lang w:val="pl-PL" w:eastAsia="pl-PL"/>
        </w:rPr>
        <w:t>),</w:t>
      </w:r>
    </w:p>
    <w:p w:rsidR="00505ED8" w:rsidRDefault="00505ED8" w:rsidP="00505ED8">
      <w:pPr>
        <w:pStyle w:val="Text1"/>
        <w:numPr>
          <w:ilvl w:val="0"/>
          <w:numId w:val="2"/>
        </w:numPr>
        <w:tabs>
          <w:tab w:val="left" w:pos="3570"/>
        </w:tabs>
        <w:spacing w:before="0" w:after="0" w:line="264" w:lineRule="auto"/>
        <w:ind w:left="284" w:hanging="284"/>
        <w:rPr>
          <w:rFonts w:asciiTheme="minorHAnsi" w:hAnsiTheme="minorHAnsi"/>
          <w:lang w:val="pl-PL" w:eastAsia="pl-PL"/>
        </w:rPr>
      </w:pPr>
      <w:r>
        <w:rPr>
          <w:rFonts w:asciiTheme="minorHAnsi" w:hAnsiTheme="minorHAnsi"/>
          <w:lang w:val="pl-PL" w:eastAsia="pl-PL"/>
        </w:rPr>
        <w:t>Francji (14,8</w:t>
      </w:r>
      <w:r w:rsidRPr="009826DC">
        <w:rPr>
          <w:rFonts w:asciiTheme="minorHAnsi" w:hAnsiTheme="minorHAnsi"/>
          <w:lang w:val="pl-PL" w:eastAsia="pl-PL"/>
        </w:rPr>
        <w:t xml:space="preserve"> mld EUR</w:t>
      </w:r>
      <w:r>
        <w:rPr>
          <w:rFonts w:asciiTheme="minorHAnsi" w:hAnsiTheme="minorHAnsi"/>
          <w:lang w:val="pl-PL" w:eastAsia="pl-PL"/>
        </w:rPr>
        <w:t>, 11,3%</w:t>
      </w:r>
      <w:r w:rsidRPr="009826DC">
        <w:rPr>
          <w:rFonts w:asciiTheme="minorHAnsi" w:hAnsiTheme="minorHAnsi"/>
          <w:lang w:val="pl-PL" w:eastAsia="pl-PL"/>
        </w:rPr>
        <w:t>),</w:t>
      </w:r>
      <w:r>
        <w:rPr>
          <w:rFonts w:asciiTheme="minorHAnsi" w:hAnsiTheme="minorHAnsi"/>
          <w:lang w:val="pl-PL" w:eastAsia="pl-PL"/>
        </w:rPr>
        <w:t xml:space="preserve"> w większości z tytułu WPR, </w:t>
      </w:r>
    </w:p>
    <w:p w:rsidR="00505ED8" w:rsidRPr="00227F10" w:rsidRDefault="00505ED8" w:rsidP="00505ED8">
      <w:pPr>
        <w:pStyle w:val="Text1"/>
        <w:numPr>
          <w:ilvl w:val="0"/>
          <w:numId w:val="2"/>
        </w:numPr>
        <w:tabs>
          <w:tab w:val="left" w:pos="3570"/>
        </w:tabs>
        <w:spacing w:before="0" w:after="0" w:line="264" w:lineRule="auto"/>
        <w:ind w:left="284" w:hanging="284"/>
        <w:rPr>
          <w:rFonts w:asciiTheme="minorHAnsi" w:hAnsiTheme="minorHAnsi"/>
          <w:lang w:val="pl-PL" w:eastAsia="pl-PL"/>
        </w:rPr>
      </w:pPr>
      <w:r>
        <w:rPr>
          <w:rFonts w:asciiTheme="minorHAnsi" w:hAnsiTheme="minorHAnsi"/>
          <w:lang w:val="pl-PL" w:eastAsia="pl-PL"/>
        </w:rPr>
        <w:t>Hiszpanii (12,3 mld EUR, 9,4%),</w:t>
      </w:r>
      <w:r w:rsidRPr="009826DC">
        <w:rPr>
          <w:rFonts w:asciiTheme="minorHAnsi" w:hAnsiTheme="minorHAnsi"/>
          <w:lang w:val="pl-PL" w:eastAsia="pl-PL"/>
        </w:rPr>
        <w:t xml:space="preserve"> </w:t>
      </w:r>
    </w:p>
    <w:p w:rsidR="00505ED8" w:rsidRDefault="00505ED8" w:rsidP="00505ED8">
      <w:pPr>
        <w:pStyle w:val="Text1"/>
        <w:numPr>
          <w:ilvl w:val="0"/>
          <w:numId w:val="2"/>
        </w:numPr>
        <w:tabs>
          <w:tab w:val="left" w:pos="3570"/>
        </w:tabs>
        <w:spacing w:before="0" w:after="0" w:line="264" w:lineRule="auto"/>
        <w:ind w:left="284" w:hanging="284"/>
        <w:rPr>
          <w:rFonts w:asciiTheme="minorHAnsi" w:hAnsiTheme="minorHAnsi"/>
          <w:lang w:val="pl-PL" w:eastAsia="pl-PL"/>
        </w:rPr>
      </w:pPr>
      <w:r>
        <w:rPr>
          <w:rFonts w:asciiTheme="minorHAnsi" w:hAnsiTheme="minorHAnsi"/>
          <w:lang w:val="pl-PL" w:eastAsia="pl-PL"/>
        </w:rPr>
        <w:t xml:space="preserve">Niemiec (12,1 mld EUR, 9,2%) </w:t>
      </w:r>
      <w:r w:rsidRPr="009826DC">
        <w:rPr>
          <w:rFonts w:asciiTheme="minorHAnsi" w:hAnsiTheme="minorHAnsi"/>
          <w:lang w:val="pl-PL" w:eastAsia="pl-PL"/>
        </w:rPr>
        <w:t>oraz</w:t>
      </w:r>
    </w:p>
    <w:p w:rsidR="00505ED8" w:rsidRDefault="00505ED8" w:rsidP="00505ED8">
      <w:pPr>
        <w:pStyle w:val="Text1"/>
        <w:numPr>
          <w:ilvl w:val="0"/>
          <w:numId w:val="2"/>
        </w:numPr>
        <w:tabs>
          <w:tab w:val="left" w:pos="3570"/>
        </w:tabs>
        <w:spacing w:before="0" w:after="0" w:line="264" w:lineRule="auto"/>
        <w:ind w:left="284" w:hanging="284"/>
        <w:rPr>
          <w:rFonts w:asciiTheme="minorHAnsi" w:hAnsiTheme="minorHAnsi"/>
          <w:lang w:val="pl-PL" w:eastAsia="pl-PL"/>
        </w:rPr>
      </w:pPr>
      <w:r>
        <w:rPr>
          <w:rFonts w:asciiTheme="minorHAnsi" w:hAnsiTheme="minorHAnsi"/>
          <w:lang w:val="pl-PL" w:eastAsia="pl-PL"/>
        </w:rPr>
        <w:t>Włoch (10,3 mld EUR, 7,9</w:t>
      </w:r>
      <w:r w:rsidRPr="009826DC">
        <w:rPr>
          <w:rFonts w:asciiTheme="minorHAnsi" w:hAnsiTheme="minorHAnsi"/>
          <w:lang w:val="pl-PL" w:eastAsia="pl-PL"/>
        </w:rPr>
        <w:t>%)</w:t>
      </w:r>
      <w:r>
        <w:rPr>
          <w:rFonts w:asciiTheme="minorHAnsi" w:hAnsiTheme="minorHAnsi"/>
          <w:lang w:val="pl-PL" w:eastAsia="pl-PL"/>
        </w:rPr>
        <w:t>.</w:t>
      </w:r>
      <w:r w:rsidRPr="009826DC">
        <w:rPr>
          <w:rFonts w:asciiTheme="minorHAnsi" w:hAnsiTheme="minorHAnsi"/>
          <w:lang w:val="pl-PL" w:eastAsia="pl-PL"/>
        </w:rPr>
        <w:t xml:space="preserve"> </w:t>
      </w:r>
    </w:p>
    <w:p w:rsidR="00505ED8" w:rsidRPr="001D236E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sz w:val="20"/>
          <w:szCs w:val="20"/>
          <w:lang w:val="pl-PL" w:eastAsia="pl-PL"/>
        </w:rPr>
      </w:pPr>
    </w:p>
    <w:p w:rsidR="00505ED8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lang w:val="pl-PL" w:eastAsia="pl-PL"/>
        </w:rPr>
      </w:pPr>
      <w:r>
        <w:rPr>
          <w:rFonts w:asciiTheme="minorHAnsi" w:hAnsiTheme="minorHAnsi"/>
          <w:lang w:val="pl-PL" w:eastAsia="pl-PL"/>
        </w:rPr>
        <w:t>W porównaniu do roku 2017 t</w:t>
      </w:r>
      <w:r w:rsidRPr="009826DC">
        <w:rPr>
          <w:rFonts w:asciiTheme="minorHAnsi" w:hAnsiTheme="minorHAnsi"/>
          <w:lang w:val="pl-PL" w:eastAsia="pl-PL"/>
        </w:rPr>
        <w:t>ransfery do Po</w:t>
      </w:r>
      <w:r>
        <w:rPr>
          <w:rFonts w:asciiTheme="minorHAnsi" w:hAnsiTheme="minorHAnsi"/>
          <w:lang w:val="pl-PL" w:eastAsia="pl-PL"/>
        </w:rPr>
        <w:t xml:space="preserve">lski wzrosły o 4,4 mld EUR (tj. aż o 37%) </w:t>
      </w:r>
      <w:r w:rsidRPr="009826DC">
        <w:rPr>
          <w:rFonts w:asciiTheme="minorHAnsi" w:hAnsiTheme="minorHAnsi"/>
          <w:lang w:val="pl-PL" w:eastAsia="pl-PL"/>
        </w:rPr>
        <w:t>co spowodowane było p</w:t>
      </w:r>
      <w:r>
        <w:rPr>
          <w:rFonts w:asciiTheme="minorHAnsi" w:hAnsiTheme="minorHAnsi"/>
          <w:lang w:val="pl-PL" w:eastAsia="pl-PL"/>
        </w:rPr>
        <w:t xml:space="preserve">rzyspieszeniem napływu środków </w:t>
      </w:r>
      <w:r w:rsidRPr="009826DC">
        <w:rPr>
          <w:rFonts w:asciiTheme="minorHAnsi" w:hAnsiTheme="minorHAnsi"/>
          <w:lang w:val="pl-PL" w:eastAsia="pl-PL"/>
        </w:rPr>
        <w:t>polityki spójności</w:t>
      </w:r>
      <w:r>
        <w:rPr>
          <w:rFonts w:asciiTheme="minorHAnsi" w:hAnsiTheme="minorHAnsi"/>
          <w:lang w:val="pl-PL" w:eastAsia="pl-PL"/>
        </w:rPr>
        <w:t xml:space="preserve"> z tytułu refundacji projektów realizowanych z okresu programowania 2014-2020</w:t>
      </w:r>
      <w:r w:rsidRPr="009826DC">
        <w:rPr>
          <w:rFonts w:asciiTheme="minorHAnsi" w:hAnsiTheme="minorHAnsi"/>
          <w:lang w:val="pl-PL" w:eastAsia="pl-PL"/>
        </w:rPr>
        <w:t xml:space="preserve">. Największe wzrosty </w:t>
      </w:r>
      <w:r>
        <w:rPr>
          <w:rFonts w:asciiTheme="minorHAnsi" w:hAnsiTheme="minorHAnsi"/>
          <w:lang w:val="pl-PL" w:eastAsia="pl-PL"/>
        </w:rPr>
        <w:t>transferów w </w:t>
      </w:r>
      <w:r w:rsidRPr="009826DC">
        <w:rPr>
          <w:rFonts w:asciiTheme="minorHAnsi" w:hAnsiTheme="minorHAnsi"/>
          <w:lang w:val="pl-PL" w:eastAsia="pl-PL"/>
        </w:rPr>
        <w:t>porównaniu do roku 201</w:t>
      </w:r>
      <w:r>
        <w:rPr>
          <w:rFonts w:asciiTheme="minorHAnsi" w:hAnsiTheme="minorHAnsi"/>
          <w:lang w:val="pl-PL" w:eastAsia="pl-PL"/>
        </w:rPr>
        <w:t>7</w:t>
      </w:r>
      <w:r w:rsidRPr="009826DC">
        <w:rPr>
          <w:rFonts w:asciiTheme="minorHAnsi" w:hAnsiTheme="minorHAnsi"/>
          <w:lang w:val="pl-PL" w:eastAsia="pl-PL"/>
        </w:rPr>
        <w:t xml:space="preserve"> oprócz Polski odnotowały: </w:t>
      </w:r>
      <w:r>
        <w:rPr>
          <w:rFonts w:asciiTheme="minorHAnsi" w:hAnsiTheme="minorHAnsi"/>
          <w:lang w:val="pl-PL" w:eastAsia="pl-PL"/>
        </w:rPr>
        <w:t>Hisz</w:t>
      </w:r>
      <w:r w:rsidR="006D5E79">
        <w:rPr>
          <w:rFonts w:asciiTheme="minorHAnsi" w:hAnsiTheme="minorHAnsi"/>
          <w:lang w:val="pl-PL" w:eastAsia="pl-PL"/>
        </w:rPr>
        <w:t>pania (2,6 mld EUR), Węgry (2,2 </w:t>
      </w:r>
      <w:r>
        <w:rPr>
          <w:rFonts w:asciiTheme="minorHAnsi" w:hAnsiTheme="minorHAnsi"/>
          <w:lang w:val="pl-PL" w:eastAsia="pl-PL"/>
        </w:rPr>
        <w:t xml:space="preserve">mld EUR) oraz Francja (1,3 mld EUR). </w:t>
      </w:r>
    </w:p>
    <w:p w:rsidR="006D5E79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lang w:val="pl-PL" w:eastAsia="pl-PL"/>
        </w:rPr>
      </w:pPr>
      <w:r>
        <w:rPr>
          <w:rFonts w:asciiTheme="minorHAnsi" w:hAnsiTheme="minorHAnsi"/>
          <w:lang w:val="pl-PL" w:eastAsia="pl-PL"/>
        </w:rPr>
        <w:t>S</w:t>
      </w:r>
      <w:r w:rsidRPr="009826DC">
        <w:rPr>
          <w:rFonts w:asciiTheme="minorHAnsi" w:hAnsiTheme="minorHAnsi"/>
          <w:lang w:val="pl-PL" w:eastAsia="pl-PL"/>
        </w:rPr>
        <w:t>padki kwot tran</w:t>
      </w:r>
      <w:r>
        <w:rPr>
          <w:rFonts w:asciiTheme="minorHAnsi" w:hAnsiTheme="minorHAnsi"/>
          <w:lang w:val="pl-PL" w:eastAsia="pl-PL"/>
        </w:rPr>
        <w:t>sferów w porównaniu do roku 2017</w:t>
      </w:r>
      <w:r w:rsidRPr="009826DC">
        <w:rPr>
          <w:rFonts w:asciiTheme="minorHAnsi" w:hAnsiTheme="minorHAnsi"/>
          <w:lang w:val="pl-PL" w:eastAsia="pl-PL"/>
        </w:rPr>
        <w:t xml:space="preserve"> odnotowały: </w:t>
      </w:r>
      <w:r>
        <w:rPr>
          <w:rFonts w:asciiTheme="minorHAnsi" w:hAnsiTheme="minorHAnsi"/>
          <w:lang w:val="pl-PL" w:eastAsia="pl-PL"/>
        </w:rPr>
        <w:t xml:space="preserve">Grecja (-260 mln EUR, głównie ze względu na spadek płatności dla Programu Rozwoju Obszarów Wiejskich), </w:t>
      </w:r>
      <w:r w:rsidR="006D5E79">
        <w:rPr>
          <w:rFonts w:asciiTheme="minorHAnsi" w:hAnsiTheme="minorHAnsi"/>
          <w:lang w:val="pl-PL" w:eastAsia="pl-PL"/>
        </w:rPr>
        <w:t xml:space="preserve">Dania </w:t>
      </w:r>
    </w:p>
    <w:p w:rsidR="00505ED8" w:rsidRDefault="006D5E79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lang w:val="pl-PL" w:eastAsia="pl-PL"/>
        </w:rPr>
      </w:pPr>
      <w:r>
        <w:rPr>
          <w:rFonts w:asciiTheme="minorHAnsi" w:hAnsiTheme="minorHAnsi"/>
          <w:lang w:val="pl-PL" w:eastAsia="pl-PL"/>
        </w:rPr>
        <w:t>(- 48 </w:t>
      </w:r>
      <w:r w:rsidR="00505ED8">
        <w:rPr>
          <w:rFonts w:asciiTheme="minorHAnsi" w:hAnsiTheme="minorHAnsi"/>
          <w:lang w:val="pl-PL" w:eastAsia="pl-PL"/>
        </w:rPr>
        <w:t>mln EUR), Malta (-45 mln EUR) i Finlandia (-23 mln EUR).</w:t>
      </w:r>
    </w:p>
    <w:p w:rsidR="00505ED8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lang w:val="pl-PL" w:eastAsia="pl-PL"/>
        </w:rPr>
      </w:pPr>
    </w:p>
    <w:p w:rsidR="00505ED8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 xml:space="preserve">Wykres </w:t>
      </w:r>
      <w:r>
        <w:rPr>
          <w:rFonts w:asciiTheme="minorHAnsi" w:hAnsiTheme="minorHAnsi"/>
          <w:lang w:val="pl-PL"/>
        </w:rPr>
        <w:t xml:space="preserve">poniżej </w:t>
      </w:r>
      <w:r w:rsidRPr="009826DC">
        <w:rPr>
          <w:rFonts w:asciiTheme="minorHAnsi" w:hAnsiTheme="minorHAnsi"/>
          <w:lang w:val="pl-PL"/>
        </w:rPr>
        <w:t xml:space="preserve">przedstawia </w:t>
      </w:r>
      <w:r w:rsidRPr="009826DC">
        <w:rPr>
          <w:rFonts w:asciiTheme="minorHAnsi" w:hAnsiTheme="minorHAnsi"/>
          <w:b/>
          <w:lang w:val="pl-PL"/>
        </w:rPr>
        <w:t>kwoty całkowitych transferów finansowych z bu</w:t>
      </w:r>
      <w:r>
        <w:rPr>
          <w:rFonts w:asciiTheme="minorHAnsi" w:hAnsiTheme="minorHAnsi"/>
          <w:b/>
          <w:lang w:val="pl-PL"/>
        </w:rPr>
        <w:t>dżetu UE do P.Cz. w latach 2016 – 2018</w:t>
      </w:r>
      <w:r w:rsidRPr="009826DC">
        <w:rPr>
          <w:rFonts w:asciiTheme="minorHAnsi" w:hAnsiTheme="minorHAnsi"/>
          <w:b/>
          <w:lang w:val="pl-PL"/>
        </w:rPr>
        <w:t>.</w:t>
      </w:r>
      <w:r w:rsidRPr="009826DC">
        <w:rPr>
          <w:rFonts w:asciiTheme="minorHAnsi" w:hAnsiTheme="minorHAnsi"/>
          <w:lang w:val="pl-PL"/>
        </w:rPr>
        <w:t xml:space="preserve"> </w:t>
      </w:r>
    </w:p>
    <w:p w:rsidR="00505ED8" w:rsidRPr="007C33A7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sz w:val="6"/>
          <w:szCs w:val="6"/>
          <w:lang w:val="pl-PL"/>
        </w:rPr>
      </w:pPr>
    </w:p>
    <w:p w:rsidR="00505ED8" w:rsidRDefault="00505ED8" w:rsidP="00505ED8">
      <w:pPr>
        <w:pStyle w:val="Text1"/>
        <w:tabs>
          <w:tab w:val="left" w:pos="3570"/>
        </w:tabs>
        <w:spacing w:before="0" w:after="0" w:line="264" w:lineRule="auto"/>
        <w:ind w:left="-567"/>
        <w:rPr>
          <w:rFonts w:asciiTheme="minorHAnsi" w:hAnsiTheme="minorHAnsi"/>
          <w:lang w:val="pl-PL"/>
        </w:rPr>
      </w:pPr>
      <w:r>
        <w:rPr>
          <w:rFonts w:asciiTheme="minorHAnsi" w:hAnsiTheme="minorHAnsi"/>
          <w:noProof/>
          <w:lang w:val="pl-PL" w:eastAsia="pl-PL"/>
        </w:rPr>
        <w:lastRenderedPageBreak/>
        <w:drawing>
          <wp:inline distT="0" distB="0" distL="0" distR="0" wp14:anchorId="6582540C" wp14:editId="53DF4984">
            <wp:extent cx="6494940" cy="3965575"/>
            <wp:effectExtent l="0" t="0" r="1270" b="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wykres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30417" cy="3987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Pr="003358EA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sz w:val="16"/>
          <w:szCs w:val="16"/>
          <w:lang w:val="pl-PL"/>
        </w:rPr>
      </w:pPr>
    </w:p>
    <w:p w:rsidR="00505ED8" w:rsidRDefault="00505ED8" w:rsidP="00505ED8">
      <w:pPr>
        <w:pStyle w:val="Text1"/>
        <w:tabs>
          <w:tab w:val="left" w:pos="3570"/>
        </w:tabs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 xml:space="preserve">Wykres poniżej przedstawia </w:t>
      </w:r>
      <w:r w:rsidRPr="009826DC">
        <w:rPr>
          <w:rFonts w:asciiTheme="minorHAnsi" w:hAnsiTheme="minorHAnsi"/>
          <w:b/>
          <w:lang w:val="pl-PL"/>
        </w:rPr>
        <w:t>procentowy udział P.Cz. w łącznej kwocie trans</w:t>
      </w:r>
      <w:r>
        <w:rPr>
          <w:rFonts w:asciiTheme="minorHAnsi" w:hAnsiTheme="minorHAnsi"/>
          <w:b/>
          <w:lang w:val="pl-PL"/>
        </w:rPr>
        <w:t>ferów z budżetu UE w 3-letnim okresie 2016 - 2018</w:t>
      </w:r>
      <w:r w:rsidRPr="009826DC">
        <w:rPr>
          <w:rFonts w:asciiTheme="minorHAnsi" w:hAnsiTheme="minorHAnsi"/>
          <w:lang w:val="pl-PL"/>
        </w:rPr>
        <w:t>. Prawie 50% wszystkich transferów z budżetu UE trafiło do pięciu państw, z czego 10</w:t>
      </w:r>
      <w:r>
        <w:rPr>
          <w:rFonts w:asciiTheme="minorHAnsi" w:hAnsiTheme="minorHAnsi"/>
          <w:lang w:val="pl-PL"/>
        </w:rPr>
        <w:t>,8</w:t>
      </w:r>
      <w:r w:rsidRPr="009826DC">
        <w:rPr>
          <w:rFonts w:asciiTheme="minorHAnsi" w:hAnsiTheme="minorHAnsi"/>
          <w:lang w:val="pl-PL"/>
        </w:rPr>
        <w:t xml:space="preserve">% do Polski. </w:t>
      </w:r>
    </w:p>
    <w:p w:rsidR="00505ED8" w:rsidRPr="003358EA" w:rsidRDefault="00505ED8" w:rsidP="00505ED8">
      <w:pPr>
        <w:pStyle w:val="Text1"/>
        <w:tabs>
          <w:tab w:val="left" w:pos="3570"/>
        </w:tabs>
        <w:spacing w:before="0" w:after="0" w:line="264" w:lineRule="auto"/>
        <w:ind w:left="0"/>
        <w:rPr>
          <w:rFonts w:asciiTheme="minorHAnsi" w:hAnsiTheme="minorHAnsi"/>
          <w:sz w:val="6"/>
          <w:szCs w:val="6"/>
          <w:lang w:val="pl-PL"/>
        </w:rPr>
      </w:pPr>
    </w:p>
    <w:p w:rsidR="00505ED8" w:rsidRDefault="00505ED8" w:rsidP="00505ED8">
      <w:pPr>
        <w:pStyle w:val="Text1"/>
        <w:tabs>
          <w:tab w:val="left" w:pos="3570"/>
        </w:tabs>
        <w:spacing w:before="0" w:after="0" w:line="264" w:lineRule="auto"/>
        <w:ind w:left="-426"/>
        <w:rPr>
          <w:rFonts w:asciiTheme="minorHAnsi" w:hAnsiTheme="minorHAnsi"/>
          <w:lang w:val="pl-PL"/>
        </w:rPr>
      </w:pPr>
      <w:r>
        <w:rPr>
          <w:rFonts w:asciiTheme="minorHAnsi" w:hAnsiTheme="minorHAnsi"/>
          <w:noProof/>
          <w:lang w:val="pl-PL" w:eastAsia="pl-PL"/>
        </w:rPr>
        <w:drawing>
          <wp:inline distT="0" distB="0" distL="0" distR="0" wp14:anchorId="38144224" wp14:editId="7C3A3C36">
            <wp:extent cx="6378471" cy="3779520"/>
            <wp:effectExtent l="0" t="0" r="381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ykres kołowy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4190" cy="3794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>
        <w:rPr>
          <w:rFonts w:asciiTheme="minorHAnsi" w:hAnsiTheme="minorHAnsi"/>
          <w:lang w:val="pl-PL"/>
        </w:rPr>
        <w:lastRenderedPageBreak/>
        <w:t xml:space="preserve">Wykres poniżej </w:t>
      </w:r>
      <w:r w:rsidRPr="009826DC">
        <w:rPr>
          <w:rFonts w:asciiTheme="minorHAnsi" w:hAnsiTheme="minorHAnsi"/>
          <w:lang w:val="pl-PL"/>
        </w:rPr>
        <w:t xml:space="preserve">przedstawia </w:t>
      </w:r>
      <w:r w:rsidRPr="009826DC">
        <w:rPr>
          <w:rFonts w:asciiTheme="minorHAnsi" w:hAnsiTheme="minorHAnsi"/>
          <w:b/>
          <w:lang w:val="pl-PL"/>
        </w:rPr>
        <w:t>całkowite transfery finansowe z budżetu UE do P.Cz w 201</w:t>
      </w:r>
      <w:r>
        <w:rPr>
          <w:rFonts w:asciiTheme="minorHAnsi" w:hAnsiTheme="minorHAnsi"/>
          <w:b/>
          <w:lang w:val="pl-PL"/>
        </w:rPr>
        <w:t>8 r. w </w:t>
      </w:r>
      <w:r w:rsidRPr="009826DC">
        <w:rPr>
          <w:rFonts w:asciiTheme="minorHAnsi" w:hAnsiTheme="minorHAnsi"/>
          <w:b/>
          <w:lang w:val="pl-PL"/>
        </w:rPr>
        <w:t>rozbiciu na poszczególne działy budżetu UE</w:t>
      </w:r>
      <w:r w:rsidRPr="009826DC">
        <w:rPr>
          <w:rFonts w:asciiTheme="minorHAnsi" w:hAnsiTheme="minorHAnsi"/>
          <w:lang w:val="pl-PL"/>
        </w:rPr>
        <w:t>.  Transfery z działów 1B i 2 (</w:t>
      </w:r>
      <w:r>
        <w:rPr>
          <w:rFonts w:asciiTheme="minorHAnsi" w:hAnsiTheme="minorHAnsi"/>
          <w:lang w:val="pl-PL"/>
        </w:rPr>
        <w:t>polityka spójności i Wspólna Polityka R</w:t>
      </w:r>
      <w:r w:rsidRPr="009826DC">
        <w:rPr>
          <w:rFonts w:asciiTheme="minorHAnsi" w:hAnsiTheme="minorHAnsi"/>
          <w:lang w:val="pl-PL"/>
        </w:rPr>
        <w:t xml:space="preserve">olna) stanowią </w:t>
      </w:r>
      <w:r>
        <w:rPr>
          <w:rFonts w:asciiTheme="minorHAnsi" w:hAnsiTheme="minorHAnsi"/>
          <w:b/>
          <w:lang w:val="pl-PL"/>
        </w:rPr>
        <w:t>78</w:t>
      </w:r>
      <w:r w:rsidRPr="007F6932">
        <w:rPr>
          <w:rFonts w:asciiTheme="minorHAnsi" w:hAnsiTheme="minorHAnsi"/>
          <w:b/>
          <w:lang w:val="pl-PL"/>
        </w:rPr>
        <w:t>%</w:t>
      </w:r>
      <w:r w:rsidRPr="009826DC">
        <w:rPr>
          <w:rFonts w:asciiTheme="minorHAnsi" w:hAnsiTheme="minorHAnsi"/>
          <w:lang w:val="pl-PL"/>
        </w:rPr>
        <w:t xml:space="preserve"> całkowitej kwoty transferów z budżetu UE do P.Cz. (w 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 xml:space="preserve"> było to 7</w:t>
      </w:r>
      <w:r>
        <w:rPr>
          <w:rFonts w:asciiTheme="minorHAnsi" w:hAnsiTheme="minorHAnsi"/>
          <w:lang w:val="pl-PL"/>
        </w:rPr>
        <w:t>5</w:t>
      </w:r>
      <w:r w:rsidRPr="009826DC">
        <w:rPr>
          <w:rFonts w:asciiTheme="minorHAnsi" w:hAnsiTheme="minorHAnsi"/>
          <w:lang w:val="pl-PL"/>
        </w:rPr>
        <w:t xml:space="preserve">%). W przypadku 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P.Cz. tj.: </w:t>
      </w:r>
      <w:r>
        <w:rPr>
          <w:rFonts w:asciiTheme="minorHAnsi" w:hAnsiTheme="minorHAnsi"/>
          <w:lang w:val="pl-PL"/>
        </w:rPr>
        <w:t>Polski (70</w:t>
      </w:r>
      <w:r w:rsidRPr="009826DC">
        <w:rPr>
          <w:rFonts w:asciiTheme="minorHAnsi" w:hAnsiTheme="minorHAnsi"/>
          <w:lang w:val="pl-PL"/>
        </w:rPr>
        <w:t>%),</w:t>
      </w:r>
      <w:r w:rsidRPr="00986F74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Węgier (70</w:t>
      </w:r>
      <w:r w:rsidRPr="009826DC">
        <w:rPr>
          <w:rFonts w:asciiTheme="minorHAnsi" w:hAnsiTheme="minorHAnsi"/>
          <w:lang w:val="pl-PL"/>
        </w:rPr>
        <w:t>%)</w:t>
      </w:r>
      <w:r>
        <w:rPr>
          <w:rFonts w:asciiTheme="minorHAnsi" w:hAnsiTheme="minorHAnsi"/>
          <w:lang w:val="pl-PL"/>
        </w:rPr>
        <w:t>,</w:t>
      </w:r>
      <w:r w:rsidRPr="00986F74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Czech (67</w:t>
      </w:r>
      <w:r w:rsidRPr="009826DC">
        <w:rPr>
          <w:rFonts w:asciiTheme="minorHAnsi" w:hAnsiTheme="minorHAnsi"/>
          <w:lang w:val="pl-PL"/>
        </w:rPr>
        <w:t>%),</w:t>
      </w:r>
      <w:r w:rsidRPr="00986F74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Portugalii (66</w:t>
      </w:r>
      <w:r w:rsidRPr="009826DC">
        <w:rPr>
          <w:rFonts w:asciiTheme="minorHAnsi" w:hAnsiTheme="minorHAnsi"/>
          <w:lang w:val="pl-PL"/>
        </w:rPr>
        <w:t>%),</w:t>
      </w:r>
      <w:r>
        <w:rPr>
          <w:rFonts w:asciiTheme="minorHAnsi" w:hAnsiTheme="minorHAnsi"/>
          <w:lang w:val="pl-PL"/>
        </w:rPr>
        <w:t xml:space="preserve"> Słowacji (66%), Słowenii (59%), Litwy (57%) oraz Łotwy (54%) </w:t>
      </w:r>
      <w:r w:rsidRPr="009826DC">
        <w:rPr>
          <w:rFonts w:asciiTheme="minorHAnsi" w:hAnsiTheme="minorHAnsi"/>
          <w:lang w:val="pl-PL"/>
        </w:rPr>
        <w:t xml:space="preserve">środki z działu 1B stanowiły ponad połowę całkowitej kwoty transferów do tych państw. 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>
        <w:rPr>
          <w:rFonts w:asciiTheme="minorHAnsi" w:hAnsiTheme="minorHAnsi"/>
          <w:lang w:val="pl-PL"/>
        </w:rPr>
        <w:t>Transfery z działu 2 (Wspólna Polityka R</w:t>
      </w:r>
      <w:r w:rsidRPr="009826DC">
        <w:rPr>
          <w:rFonts w:asciiTheme="minorHAnsi" w:hAnsiTheme="minorHAnsi"/>
          <w:lang w:val="pl-PL"/>
        </w:rPr>
        <w:t>olna) dom</w:t>
      </w:r>
      <w:r>
        <w:rPr>
          <w:rFonts w:asciiTheme="minorHAnsi" w:hAnsiTheme="minorHAnsi"/>
          <w:lang w:val="pl-PL"/>
        </w:rPr>
        <w:t>inowały w przypadku 11 P.Cz.: Irlandii (76%), Danii (67</w:t>
      </w:r>
      <w:r w:rsidRPr="009826DC">
        <w:rPr>
          <w:rFonts w:asciiTheme="minorHAnsi" w:hAnsiTheme="minorHAnsi"/>
          <w:lang w:val="pl-PL"/>
        </w:rPr>
        <w:t xml:space="preserve">%), </w:t>
      </w:r>
      <w:r>
        <w:rPr>
          <w:rFonts w:asciiTheme="minorHAnsi" w:hAnsiTheme="minorHAnsi"/>
          <w:lang w:val="pl-PL"/>
        </w:rPr>
        <w:t>Francji (64</w:t>
      </w:r>
      <w:r w:rsidRPr="009826DC">
        <w:rPr>
          <w:rFonts w:asciiTheme="minorHAnsi" w:hAnsiTheme="minorHAnsi"/>
          <w:lang w:val="pl-PL"/>
        </w:rPr>
        <w:t>%),</w:t>
      </w:r>
      <w:r w:rsidRPr="005D2E59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Austrii (63</w:t>
      </w:r>
      <w:r w:rsidRPr="009826DC">
        <w:rPr>
          <w:rFonts w:asciiTheme="minorHAnsi" w:hAnsiTheme="minorHAnsi"/>
          <w:lang w:val="pl-PL"/>
        </w:rPr>
        <w:t>%),</w:t>
      </w:r>
      <w:r w:rsidRPr="005D2E59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Finlandii (62</w:t>
      </w:r>
      <w:r w:rsidRPr="009826DC">
        <w:rPr>
          <w:rFonts w:asciiTheme="minorHAnsi" w:hAnsiTheme="minorHAnsi"/>
          <w:lang w:val="pl-PL"/>
        </w:rPr>
        <w:t>%),</w:t>
      </w:r>
      <w:r w:rsidRPr="005D2E59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Rumunii (61</w:t>
      </w:r>
      <w:r w:rsidRPr="009826DC">
        <w:rPr>
          <w:rFonts w:asciiTheme="minorHAnsi" w:hAnsiTheme="minorHAnsi"/>
          <w:lang w:val="pl-PL"/>
        </w:rPr>
        <w:t>%),</w:t>
      </w:r>
      <w:r w:rsidRPr="005D2E59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Grecji (</w:t>
      </w:r>
      <w:r w:rsidRPr="009826DC">
        <w:rPr>
          <w:rFonts w:asciiTheme="minorHAnsi" w:hAnsiTheme="minorHAnsi"/>
          <w:lang w:val="pl-PL"/>
        </w:rPr>
        <w:t>56%),</w:t>
      </w:r>
      <w:r w:rsidRPr="005D2E59">
        <w:rPr>
          <w:rFonts w:asciiTheme="minorHAnsi" w:hAnsiTheme="minorHAnsi"/>
          <w:lang w:val="pl-PL"/>
        </w:rPr>
        <w:t xml:space="preserve"> </w:t>
      </w:r>
      <w:r w:rsidRPr="009826DC">
        <w:rPr>
          <w:rFonts w:asciiTheme="minorHAnsi" w:hAnsiTheme="minorHAnsi"/>
          <w:lang w:val="pl-PL"/>
        </w:rPr>
        <w:t>W</w:t>
      </w:r>
      <w:r>
        <w:rPr>
          <w:rFonts w:asciiTheme="minorHAnsi" w:hAnsiTheme="minorHAnsi"/>
          <w:lang w:val="pl-PL"/>
        </w:rPr>
        <w:t>lk. Brytanii (54</w:t>
      </w:r>
      <w:r w:rsidRPr="009826DC">
        <w:rPr>
          <w:rFonts w:asciiTheme="minorHAnsi" w:hAnsiTheme="minorHAnsi"/>
          <w:lang w:val="pl-PL"/>
        </w:rPr>
        <w:t>%),</w:t>
      </w:r>
      <w:r>
        <w:rPr>
          <w:rFonts w:asciiTheme="minorHAnsi" w:hAnsiTheme="minorHAnsi"/>
          <w:lang w:val="pl-PL"/>
        </w:rPr>
        <w:t xml:space="preserve"> Hiszpanii (51</w:t>
      </w:r>
      <w:r w:rsidRPr="009826DC">
        <w:rPr>
          <w:rFonts w:asciiTheme="minorHAnsi" w:hAnsiTheme="minorHAnsi"/>
          <w:lang w:val="pl-PL"/>
        </w:rPr>
        <w:t>%),</w:t>
      </w:r>
      <w:r>
        <w:rPr>
          <w:rFonts w:asciiTheme="minorHAnsi" w:hAnsiTheme="minorHAnsi"/>
          <w:lang w:val="pl-PL"/>
        </w:rPr>
        <w:t xml:space="preserve"> Niemiec oraz Szwecji (po 50%).</w:t>
      </w:r>
      <w:r w:rsidRPr="009826DC">
        <w:rPr>
          <w:rFonts w:asciiTheme="minorHAnsi" w:hAnsiTheme="minorHAnsi"/>
          <w:lang w:val="pl-PL"/>
        </w:rPr>
        <w:t xml:space="preserve"> </w:t>
      </w:r>
    </w:p>
    <w:p w:rsidR="00505ED8" w:rsidRPr="006D00E5" w:rsidRDefault="00505ED8" w:rsidP="00505ED8">
      <w:pPr>
        <w:pStyle w:val="Text1"/>
        <w:spacing w:before="0" w:after="0"/>
        <w:ind w:left="0"/>
        <w:rPr>
          <w:rFonts w:asciiTheme="minorHAnsi" w:hAnsiTheme="minorHAnsi"/>
          <w:sz w:val="10"/>
          <w:szCs w:val="10"/>
          <w:lang w:val="pl-PL"/>
        </w:rPr>
      </w:pPr>
    </w:p>
    <w:p w:rsidR="00505ED8" w:rsidRDefault="00505ED8" w:rsidP="00505ED8">
      <w:pPr>
        <w:pStyle w:val="Text1"/>
        <w:spacing w:before="0" w:after="0"/>
        <w:ind w:left="-426"/>
        <w:rPr>
          <w:rFonts w:asciiTheme="minorHAnsi" w:hAnsiTheme="minorHAnsi"/>
          <w:lang w:val="pl-PL"/>
        </w:rPr>
      </w:pPr>
      <w:r>
        <w:rPr>
          <w:rFonts w:asciiTheme="minorHAnsi" w:hAnsiTheme="minorHAnsi"/>
          <w:noProof/>
          <w:lang w:val="pl-PL" w:eastAsia="pl-PL"/>
        </w:rPr>
        <w:drawing>
          <wp:inline distT="0" distB="0" distL="0" distR="0" wp14:anchorId="6124DB5A" wp14:editId="5DFFEFB9">
            <wp:extent cx="6464595" cy="3381227"/>
            <wp:effectExtent l="0" t="0" r="0" b="0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ykres 2 działy razem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5538" cy="3386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P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sz w:val="10"/>
          <w:szCs w:val="10"/>
          <w:lang w:val="pl-PL"/>
        </w:rPr>
      </w:pPr>
    </w:p>
    <w:p w:rsidR="00505ED8" w:rsidRDefault="00505ED8" w:rsidP="00505ED8">
      <w:pPr>
        <w:pStyle w:val="Text1"/>
        <w:spacing w:before="0" w:after="0" w:line="264" w:lineRule="auto"/>
        <w:ind w:left="-426"/>
        <w:rPr>
          <w:rFonts w:asciiTheme="minorHAnsi" w:hAnsiTheme="minorHAnsi"/>
          <w:lang w:val="pl-PL"/>
        </w:rPr>
      </w:pPr>
      <w:r>
        <w:rPr>
          <w:rFonts w:asciiTheme="minorHAnsi" w:hAnsiTheme="minorHAnsi"/>
          <w:noProof/>
          <w:lang w:val="pl-PL" w:eastAsia="pl-PL"/>
        </w:rPr>
        <w:drawing>
          <wp:inline distT="0" distB="0" distL="0" distR="0" wp14:anchorId="3E9C78DA" wp14:editId="13D52B93">
            <wp:extent cx="6464300" cy="1939161"/>
            <wp:effectExtent l="0" t="0" r="0" b="4445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Wykres jako dnb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3546" cy="1944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D820C6">
        <w:rPr>
          <w:rFonts w:asciiTheme="minorHAnsi" w:hAnsiTheme="minorHAnsi"/>
          <w:lang w:val="pl-PL"/>
        </w:rPr>
        <w:t xml:space="preserve">Powyższy wykres przedstawia relację </w:t>
      </w:r>
      <w:r w:rsidRPr="00D820C6">
        <w:rPr>
          <w:rFonts w:asciiTheme="minorHAnsi" w:hAnsiTheme="minorHAnsi"/>
          <w:b/>
          <w:lang w:val="pl-PL"/>
        </w:rPr>
        <w:t>transferów z budżetu UE do dochodu narodowego brutto (DNB) poszczególnych P.Cz. w roku 2018.</w:t>
      </w:r>
      <w:r w:rsidRPr="00D820C6">
        <w:rPr>
          <w:rFonts w:asciiTheme="minorHAnsi" w:hAnsiTheme="minorHAnsi"/>
          <w:lang w:val="pl-PL"/>
        </w:rPr>
        <w:t xml:space="preserve"> Najwyższe transfery wyrażone jako odsetek swego DNB odnotowały: Węgry (5%), Luksemburg (4,9%), Litwa (4,8%), </w:t>
      </w:r>
      <w:r>
        <w:rPr>
          <w:rFonts w:asciiTheme="minorHAnsi" w:hAnsiTheme="minorHAnsi"/>
          <w:lang w:val="pl-PL"/>
        </w:rPr>
        <w:t>Łotwa (4,1%), Bułgaria (3,9</w:t>
      </w:r>
      <w:r w:rsidRPr="00D820C6">
        <w:rPr>
          <w:rFonts w:asciiTheme="minorHAnsi" w:hAnsiTheme="minorHAnsi"/>
          <w:lang w:val="pl-PL"/>
        </w:rPr>
        <w:t xml:space="preserve">%) </w:t>
      </w:r>
      <w:r>
        <w:rPr>
          <w:rFonts w:asciiTheme="minorHAnsi" w:hAnsiTheme="minorHAnsi"/>
          <w:lang w:val="pl-PL"/>
        </w:rPr>
        <w:t xml:space="preserve">oraz Polska (3,4%). Podobnie </w:t>
      </w:r>
      <w:r w:rsidR="001D236E">
        <w:rPr>
          <w:rFonts w:asciiTheme="minorHAnsi" w:hAnsiTheme="minorHAnsi"/>
          <w:lang w:val="pl-PL"/>
        </w:rPr>
        <w:t xml:space="preserve">było </w:t>
      </w:r>
      <w:r>
        <w:rPr>
          <w:rFonts w:asciiTheme="minorHAnsi" w:hAnsiTheme="minorHAnsi"/>
          <w:lang w:val="pl-PL"/>
        </w:rPr>
        <w:t>w roku 2017 - n</w:t>
      </w:r>
      <w:r w:rsidRPr="009F3D52">
        <w:rPr>
          <w:rFonts w:asciiTheme="minorHAnsi" w:hAnsiTheme="minorHAnsi"/>
          <w:lang w:val="pl-PL"/>
        </w:rPr>
        <w:t xml:space="preserve">ajwyższe transfery odnotowały: Luksemburg (5%), Litwa (3,9%), Bułgaria (3,8%) oraz Węgry (3,4%). </w:t>
      </w:r>
      <w:r>
        <w:rPr>
          <w:rFonts w:asciiTheme="minorHAnsi" w:hAnsiTheme="minorHAnsi"/>
          <w:lang w:val="pl-PL"/>
        </w:rPr>
        <w:t xml:space="preserve"> </w:t>
      </w:r>
      <w:r w:rsidRPr="00D820C6">
        <w:rPr>
          <w:rFonts w:asciiTheme="minorHAnsi" w:hAnsiTheme="minorHAnsi"/>
          <w:lang w:val="pl-PL"/>
        </w:rPr>
        <w:t>Najniższą relację transferów do poziomu swego DNB</w:t>
      </w:r>
      <w:r>
        <w:rPr>
          <w:rFonts w:asciiTheme="minorHAnsi" w:hAnsiTheme="minorHAnsi"/>
          <w:lang w:val="pl-PL"/>
        </w:rPr>
        <w:t xml:space="preserve"> (podobnie jak w roku 2017) odnotowały: Wlk. Brytania,</w:t>
      </w:r>
      <w:r w:rsidRPr="00D820C6">
        <w:rPr>
          <w:rFonts w:asciiTheme="minorHAnsi" w:hAnsiTheme="minorHAnsi"/>
          <w:lang w:val="pl-PL"/>
        </w:rPr>
        <w:t xml:space="preserve"> Holandia</w:t>
      </w:r>
      <w:r w:rsidR="006D5E79">
        <w:rPr>
          <w:rFonts w:asciiTheme="minorHAnsi" w:hAnsiTheme="minorHAnsi"/>
          <w:lang w:val="pl-PL"/>
        </w:rPr>
        <w:t xml:space="preserve"> i </w:t>
      </w:r>
      <w:r>
        <w:rPr>
          <w:rFonts w:asciiTheme="minorHAnsi" w:hAnsiTheme="minorHAnsi"/>
          <w:lang w:val="pl-PL"/>
        </w:rPr>
        <w:t>Niemcy (po 0,3</w:t>
      </w:r>
      <w:r w:rsidRPr="00D820C6">
        <w:rPr>
          <w:rFonts w:asciiTheme="minorHAnsi" w:hAnsiTheme="minorHAnsi"/>
          <w:lang w:val="pl-PL"/>
        </w:rPr>
        <w:t>%).</w:t>
      </w:r>
      <w:r>
        <w:rPr>
          <w:rFonts w:asciiTheme="minorHAnsi" w:hAnsiTheme="minorHAnsi"/>
          <w:lang w:val="pl-PL"/>
        </w:rPr>
        <w:t xml:space="preserve"> </w:t>
      </w:r>
    </w:p>
    <w:p w:rsidR="00505ED8" w:rsidRPr="009826DC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b/>
          <w:u w:val="single"/>
          <w:lang w:val="pl-PL"/>
        </w:rPr>
        <w:t>Dział 1A budżetu UE</w:t>
      </w:r>
      <w:r w:rsidRPr="009826DC">
        <w:rPr>
          <w:rFonts w:asciiTheme="minorHAnsi" w:hAnsiTheme="minorHAnsi"/>
          <w:u w:val="single"/>
          <w:lang w:val="pl-PL"/>
        </w:rPr>
        <w:t xml:space="preserve"> - Konkurencyjność na rzecz wzrostu i zatrudnienia</w:t>
      </w:r>
    </w:p>
    <w:p w:rsidR="00505ED8" w:rsidRPr="00DF18D9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sz w:val="20"/>
          <w:szCs w:val="20"/>
          <w:lang w:val="pl-PL"/>
        </w:rPr>
      </w:pP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>W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roku transfery z działu 1A do P.Cz. osiągnęły </w:t>
      </w:r>
      <w:r>
        <w:rPr>
          <w:rFonts w:asciiTheme="minorHAnsi" w:hAnsiTheme="minorHAnsi"/>
          <w:b/>
          <w:lang w:val="pl-PL"/>
        </w:rPr>
        <w:t>16,3</w:t>
      </w:r>
      <w:r w:rsidRPr="009826DC">
        <w:rPr>
          <w:rFonts w:asciiTheme="minorHAnsi" w:hAnsiTheme="minorHAnsi"/>
          <w:b/>
          <w:lang w:val="pl-PL"/>
        </w:rPr>
        <w:t xml:space="preserve"> mld EUR</w:t>
      </w:r>
      <w:r>
        <w:rPr>
          <w:rFonts w:asciiTheme="minorHAnsi" w:hAnsiTheme="minorHAnsi"/>
          <w:lang w:val="pl-PL"/>
        </w:rPr>
        <w:t xml:space="preserve"> (wzrost</w:t>
      </w:r>
      <w:r>
        <w:rPr>
          <w:rFonts w:asciiTheme="minorHAnsi" w:hAnsiTheme="minorHAnsi"/>
          <w:lang w:val="pl-PL"/>
        </w:rPr>
        <w:br/>
        <w:t>o 0,7</w:t>
      </w:r>
      <w:r w:rsidRPr="009826DC">
        <w:rPr>
          <w:rFonts w:asciiTheme="minorHAnsi" w:hAnsiTheme="minorHAnsi"/>
          <w:lang w:val="pl-PL"/>
        </w:rPr>
        <w:t xml:space="preserve"> mld EUR w </w:t>
      </w:r>
      <w:r>
        <w:rPr>
          <w:rFonts w:asciiTheme="minorHAnsi" w:hAnsiTheme="minorHAnsi"/>
          <w:lang w:val="pl-PL"/>
        </w:rPr>
        <w:t>porównaniu do roku 2017</w:t>
      </w:r>
      <w:r w:rsidRPr="009826DC">
        <w:rPr>
          <w:rFonts w:asciiTheme="minorHAnsi" w:hAnsiTheme="minorHAnsi"/>
          <w:lang w:val="pl-PL"/>
        </w:rPr>
        <w:t>). Większość wydatków w tym dziale dotyczyła programu Horyzont 2020, który finansuje badania naukowe i innow</w:t>
      </w:r>
      <w:r>
        <w:rPr>
          <w:rFonts w:asciiTheme="minorHAnsi" w:hAnsiTheme="minorHAnsi"/>
          <w:lang w:val="pl-PL"/>
        </w:rPr>
        <w:t>acje. Na program ten przeznaczono 11,3</w:t>
      </w:r>
      <w:r w:rsidRPr="009826DC">
        <w:rPr>
          <w:rFonts w:asciiTheme="minorHAnsi" w:hAnsiTheme="minorHAnsi"/>
          <w:lang w:val="pl-PL"/>
        </w:rPr>
        <w:t xml:space="preserve"> mld EUR, z czego </w:t>
      </w:r>
      <w:r>
        <w:rPr>
          <w:rFonts w:asciiTheme="minorHAnsi" w:hAnsiTheme="minorHAnsi"/>
          <w:lang w:val="pl-PL"/>
        </w:rPr>
        <w:t>9,3</w:t>
      </w:r>
      <w:r w:rsidRPr="009826DC">
        <w:rPr>
          <w:rFonts w:asciiTheme="minorHAnsi" w:hAnsiTheme="minorHAnsi"/>
          <w:lang w:val="pl-PL"/>
        </w:rPr>
        <w:t xml:space="preserve"> mld</w:t>
      </w:r>
      <w:r>
        <w:rPr>
          <w:rFonts w:asciiTheme="minorHAnsi" w:hAnsiTheme="minorHAnsi"/>
          <w:lang w:val="pl-PL"/>
        </w:rPr>
        <w:t xml:space="preserve"> EUR w ramach P.Cz. Z programu Horyzont 2020</w:t>
      </w:r>
      <w:r w:rsidRPr="009826DC">
        <w:rPr>
          <w:rFonts w:asciiTheme="minorHAnsi" w:hAnsiTheme="minorHAnsi"/>
          <w:lang w:val="pl-PL"/>
        </w:rPr>
        <w:t xml:space="preserve"> do Polski trafiło</w:t>
      </w:r>
      <w:r>
        <w:rPr>
          <w:rFonts w:asciiTheme="minorHAnsi" w:hAnsiTheme="minorHAnsi"/>
          <w:lang w:val="pl-PL"/>
        </w:rPr>
        <w:t xml:space="preserve"> </w:t>
      </w:r>
      <w:r w:rsidRPr="00967AA6">
        <w:rPr>
          <w:rFonts w:asciiTheme="minorHAnsi" w:hAnsiTheme="minorHAnsi"/>
          <w:b/>
          <w:lang w:val="pl-PL"/>
        </w:rPr>
        <w:t>78 mln EUR</w:t>
      </w:r>
      <w:r w:rsidRPr="009826DC">
        <w:rPr>
          <w:rFonts w:asciiTheme="minorHAnsi" w:hAnsiTheme="minorHAnsi"/>
          <w:lang w:val="pl-PL"/>
        </w:rPr>
        <w:t xml:space="preserve"> (w 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 xml:space="preserve"> było to </w:t>
      </w:r>
      <w:r>
        <w:rPr>
          <w:rFonts w:asciiTheme="minorHAnsi" w:hAnsiTheme="minorHAnsi"/>
          <w:lang w:val="pl-PL"/>
        </w:rPr>
        <w:t>74 mln EUR), czyli 0,84% środków tego programu w roku 2018. Oznacza to 15</w:t>
      </w:r>
      <w:r w:rsidRPr="009826DC">
        <w:rPr>
          <w:rFonts w:asciiTheme="minorHAnsi" w:hAnsiTheme="minorHAnsi"/>
          <w:lang w:val="pl-PL"/>
        </w:rPr>
        <w:t>. miejsce wśród P.Cz. UE28 (</w:t>
      </w:r>
      <w:r>
        <w:rPr>
          <w:rFonts w:asciiTheme="minorHAnsi" w:hAnsiTheme="minorHAnsi"/>
          <w:lang w:val="pl-PL"/>
        </w:rPr>
        <w:t xml:space="preserve">poprawa </w:t>
      </w:r>
      <w:r w:rsidRPr="009826DC">
        <w:rPr>
          <w:rFonts w:asciiTheme="minorHAnsi" w:hAnsiTheme="minorHAnsi"/>
          <w:lang w:val="pl-PL"/>
        </w:rPr>
        <w:t>o 2 miejsca w porównaniu do 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 xml:space="preserve">). 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 xml:space="preserve">Oprócz programu Horyzont 2020 głównym źródłem transferów do Polski z działu 1A </w:t>
      </w:r>
      <w:r>
        <w:rPr>
          <w:rFonts w:asciiTheme="minorHAnsi" w:hAnsiTheme="minorHAnsi"/>
          <w:lang w:val="pl-PL"/>
        </w:rPr>
        <w:t xml:space="preserve">był </w:t>
      </w:r>
      <w:r w:rsidRPr="009826DC">
        <w:rPr>
          <w:rFonts w:asciiTheme="minorHAnsi" w:hAnsiTheme="minorHAnsi"/>
          <w:lang w:val="pl-PL"/>
        </w:rPr>
        <w:t>program Erasmus</w:t>
      </w:r>
      <w:r w:rsidR="001D236E">
        <w:rPr>
          <w:rFonts w:asciiTheme="minorHAnsi" w:hAnsiTheme="minorHAnsi"/>
          <w:lang w:val="pl-PL"/>
        </w:rPr>
        <w:t>+</w:t>
      </w:r>
      <w:r>
        <w:rPr>
          <w:rStyle w:val="Odwoanieprzypisudolnego"/>
          <w:rFonts w:asciiTheme="minorHAnsi" w:hAnsiTheme="minorHAnsi"/>
          <w:lang w:val="pl-PL"/>
        </w:rPr>
        <w:footnoteReference w:id="1"/>
      </w:r>
      <w:r w:rsidRPr="009826DC">
        <w:rPr>
          <w:rFonts w:asciiTheme="minorHAnsi" w:hAnsiTheme="minorHAnsi"/>
          <w:lang w:val="pl-PL"/>
        </w:rPr>
        <w:t>. W ramach tego programu w 201</w:t>
      </w:r>
      <w:r>
        <w:rPr>
          <w:rFonts w:asciiTheme="minorHAnsi" w:hAnsiTheme="minorHAnsi"/>
          <w:lang w:val="pl-PL"/>
        </w:rPr>
        <w:t>8 r. do Polski trafiło 142</w:t>
      </w:r>
      <w:r w:rsidRPr="009826DC">
        <w:rPr>
          <w:rFonts w:asciiTheme="minorHAnsi" w:hAnsiTheme="minorHAnsi"/>
          <w:lang w:val="pl-PL"/>
        </w:rPr>
        <w:t xml:space="preserve"> mln EUR </w:t>
      </w:r>
      <w:r>
        <w:rPr>
          <w:rFonts w:asciiTheme="minorHAnsi" w:hAnsiTheme="minorHAnsi"/>
          <w:lang w:val="pl-PL"/>
        </w:rPr>
        <w:t>(7. miejsce wśród P.Cz.</w:t>
      </w:r>
      <w:r w:rsidRPr="009826DC">
        <w:rPr>
          <w:rFonts w:asciiTheme="minorHAnsi" w:hAnsiTheme="minorHAnsi"/>
          <w:lang w:val="pl-PL"/>
        </w:rPr>
        <w:t>).</w:t>
      </w:r>
      <w:r>
        <w:rPr>
          <w:rFonts w:asciiTheme="minorHAnsi" w:hAnsiTheme="minorHAnsi"/>
          <w:lang w:val="pl-PL"/>
        </w:rPr>
        <w:t xml:space="preserve"> </w:t>
      </w:r>
      <w:r w:rsidRPr="009826DC">
        <w:rPr>
          <w:rFonts w:asciiTheme="minorHAnsi" w:hAnsiTheme="minorHAnsi"/>
          <w:lang w:val="pl-PL"/>
        </w:rPr>
        <w:t>Zaznaczyć należy, że w dziale 1A środki nie są z góry alokowane dla P.Cz., lecz przydzielane w ramach konkursów rozstrzyganych p</w:t>
      </w:r>
      <w:r>
        <w:rPr>
          <w:rFonts w:asciiTheme="minorHAnsi" w:hAnsiTheme="minorHAnsi"/>
          <w:lang w:val="pl-PL"/>
        </w:rPr>
        <w:t>rzez KE lub agencje wspólnotowe</w:t>
      </w:r>
      <w:r w:rsidRPr="009826DC">
        <w:rPr>
          <w:rFonts w:asciiTheme="minorHAnsi" w:hAnsiTheme="minorHAnsi"/>
          <w:lang w:val="pl-PL"/>
        </w:rPr>
        <w:t xml:space="preserve">. </w:t>
      </w:r>
      <w:r>
        <w:rPr>
          <w:rFonts w:asciiTheme="minorHAnsi" w:hAnsiTheme="minorHAnsi"/>
          <w:lang w:val="pl-PL"/>
        </w:rPr>
        <w:t>Oczywiście znaczenie ma także wielkość państwa (np. w programie Eras</w:t>
      </w:r>
      <w:r w:rsidR="009A4DEA">
        <w:rPr>
          <w:rFonts w:asciiTheme="minorHAnsi" w:hAnsiTheme="minorHAnsi"/>
          <w:lang w:val="pl-PL"/>
        </w:rPr>
        <w:t>mus+ środki są powiązane z liczbą</w:t>
      </w:r>
      <w:r>
        <w:rPr>
          <w:rFonts w:asciiTheme="minorHAnsi" w:hAnsiTheme="minorHAnsi"/>
          <w:lang w:val="pl-PL"/>
        </w:rPr>
        <w:t xml:space="preserve"> studentów).</w:t>
      </w:r>
    </w:p>
    <w:p w:rsidR="00505ED8" w:rsidRPr="00AE64F2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 xml:space="preserve">Poniżej przedstawiono </w:t>
      </w:r>
      <w:r w:rsidRPr="009826DC">
        <w:rPr>
          <w:rFonts w:asciiTheme="minorHAnsi" w:hAnsiTheme="minorHAnsi"/>
          <w:b/>
          <w:lang w:val="pl-PL"/>
        </w:rPr>
        <w:t>transfery w ramach całego działu 1A w</w:t>
      </w:r>
      <w:r>
        <w:rPr>
          <w:rFonts w:asciiTheme="minorHAnsi" w:hAnsiTheme="minorHAnsi"/>
          <w:b/>
          <w:lang w:val="pl-PL"/>
        </w:rPr>
        <w:t xml:space="preserve"> rozbiciu na P.Cz. w latach 2017 – 2018 </w:t>
      </w:r>
      <w:r w:rsidRPr="00E637E7">
        <w:rPr>
          <w:rFonts w:asciiTheme="minorHAnsi" w:hAnsiTheme="minorHAnsi"/>
          <w:lang w:val="pl-PL"/>
        </w:rPr>
        <w:t xml:space="preserve">(kolejność </w:t>
      </w:r>
      <w:r>
        <w:rPr>
          <w:rFonts w:asciiTheme="minorHAnsi" w:hAnsiTheme="minorHAnsi"/>
          <w:lang w:val="pl-PL"/>
        </w:rPr>
        <w:t xml:space="preserve">P.Cz. wg sumy transferów w tych dwóch </w:t>
      </w:r>
      <w:r w:rsidRPr="00E637E7">
        <w:rPr>
          <w:rFonts w:asciiTheme="minorHAnsi" w:hAnsiTheme="minorHAnsi"/>
          <w:lang w:val="pl-PL"/>
        </w:rPr>
        <w:t>l</w:t>
      </w:r>
      <w:r>
        <w:rPr>
          <w:rFonts w:asciiTheme="minorHAnsi" w:hAnsiTheme="minorHAnsi"/>
          <w:lang w:val="pl-PL"/>
        </w:rPr>
        <w:t>at</w:t>
      </w:r>
      <w:r w:rsidRPr="00E637E7">
        <w:rPr>
          <w:rFonts w:asciiTheme="minorHAnsi" w:hAnsiTheme="minorHAnsi"/>
          <w:lang w:val="pl-PL"/>
        </w:rPr>
        <w:t>ach).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>W roku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b/>
          <w:lang w:val="pl-PL"/>
        </w:rPr>
        <w:t xml:space="preserve"> </w:t>
      </w:r>
      <w:r>
        <w:rPr>
          <w:rFonts w:asciiTheme="minorHAnsi" w:hAnsiTheme="minorHAnsi"/>
          <w:lang w:val="pl-PL"/>
        </w:rPr>
        <w:t>do Polski trafiło 1,6</w:t>
      </w:r>
      <w:r w:rsidRPr="009826DC">
        <w:rPr>
          <w:rFonts w:asciiTheme="minorHAnsi" w:hAnsiTheme="minorHAnsi"/>
          <w:lang w:val="pl-PL"/>
        </w:rPr>
        <w:t xml:space="preserve">% całkowitej kwoty transferów z tego działu, czyli </w:t>
      </w:r>
      <w:r w:rsidRPr="009826DC">
        <w:rPr>
          <w:rFonts w:asciiTheme="minorHAnsi" w:hAnsiTheme="minorHAnsi"/>
          <w:lang w:val="pl-PL"/>
        </w:rPr>
        <w:br/>
      </w:r>
      <w:r>
        <w:rPr>
          <w:rFonts w:asciiTheme="minorHAnsi" w:hAnsiTheme="minorHAnsi"/>
          <w:b/>
          <w:lang w:val="pl-PL"/>
        </w:rPr>
        <w:t>264</w:t>
      </w:r>
      <w:r w:rsidRPr="009826DC">
        <w:rPr>
          <w:rFonts w:asciiTheme="minorHAnsi" w:hAnsiTheme="minorHAnsi"/>
          <w:b/>
          <w:lang w:val="pl-PL"/>
        </w:rPr>
        <w:t xml:space="preserve"> mln EUR</w:t>
      </w:r>
      <w:bookmarkStart w:id="1" w:name="OLE_LINK8"/>
      <w:r w:rsidRPr="009826DC">
        <w:rPr>
          <w:rFonts w:asciiTheme="minorHAnsi" w:hAnsiTheme="minorHAnsi"/>
          <w:lang w:val="pl-PL"/>
        </w:rPr>
        <w:t xml:space="preserve"> (</w:t>
      </w:r>
      <w:r>
        <w:rPr>
          <w:rFonts w:asciiTheme="minorHAnsi" w:hAnsiTheme="minorHAnsi"/>
          <w:lang w:val="pl-PL"/>
        </w:rPr>
        <w:t>wzrost o 49</w:t>
      </w:r>
      <w:r w:rsidRPr="009826DC">
        <w:rPr>
          <w:rFonts w:asciiTheme="minorHAnsi" w:hAnsiTheme="minorHAnsi"/>
          <w:lang w:val="pl-PL"/>
        </w:rPr>
        <w:t xml:space="preserve"> mln EUR w porównaniu do </w:t>
      </w:r>
      <w:r>
        <w:rPr>
          <w:rFonts w:asciiTheme="minorHAnsi" w:hAnsiTheme="minorHAnsi"/>
          <w:lang w:val="pl-PL"/>
        </w:rPr>
        <w:t xml:space="preserve">roku 2017). Najwyższe transfery </w:t>
      </w:r>
      <w:r w:rsidRPr="009826DC">
        <w:rPr>
          <w:rFonts w:asciiTheme="minorHAnsi" w:hAnsiTheme="minorHAnsi"/>
          <w:lang w:val="pl-PL"/>
        </w:rPr>
        <w:t>z działu 1A w roku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odnotowały: </w:t>
      </w:r>
      <w:r>
        <w:rPr>
          <w:rFonts w:asciiTheme="minorHAnsi" w:hAnsiTheme="minorHAnsi"/>
          <w:lang w:val="pl-PL"/>
        </w:rPr>
        <w:t xml:space="preserve">Niemcy (2,6 mld EUR), </w:t>
      </w:r>
      <w:r w:rsidRPr="009826DC">
        <w:rPr>
          <w:rFonts w:asciiTheme="minorHAnsi" w:hAnsiTheme="minorHAnsi"/>
          <w:lang w:val="pl-PL"/>
        </w:rPr>
        <w:t>Francja (2,</w:t>
      </w:r>
      <w:r>
        <w:rPr>
          <w:rFonts w:asciiTheme="minorHAnsi" w:hAnsiTheme="minorHAnsi"/>
          <w:lang w:val="pl-PL"/>
        </w:rPr>
        <w:t xml:space="preserve">5 mld EUR) </w:t>
      </w:r>
      <w:r w:rsidRPr="009826DC">
        <w:rPr>
          <w:rFonts w:asciiTheme="minorHAnsi" w:hAnsiTheme="minorHAnsi"/>
          <w:lang w:val="pl-PL"/>
        </w:rPr>
        <w:t xml:space="preserve">i </w:t>
      </w:r>
      <w:r>
        <w:rPr>
          <w:rFonts w:asciiTheme="minorHAnsi" w:hAnsiTheme="minorHAnsi"/>
          <w:lang w:val="pl-PL"/>
        </w:rPr>
        <w:t>Belgia (1,7</w:t>
      </w:r>
      <w:r w:rsidRPr="009826DC">
        <w:rPr>
          <w:rFonts w:asciiTheme="minorHAnsi" w:hAnsiTheme="minorHAnsi"/>
          <w:lang w:val="pl-PL"/>
        </w:rPr>
        <w:t xml:space="preserve"> mld EUR)</w:t>
      </w:r>
      <w:bookmarkEnd w:id="1"/>
      <w:r w:rsidRPr="009826DC">
        <w:rPr>
          <w:rFonts w:asciiTheme="minorHAnsi" w:hAnsiTheme="minorHAnsi"/>
          <w:lang w:val="pl-PL"/>
        </w:rPr>
        <w:t>.</w:t>
      </w:r>
    </w:p>
    <w:p w:rsidR="00505ED8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lang w:val="pl-PL"/>
        </w:rPr>
      </w:pPr>
    </w:p>
    <w:p w:rsidR="00505ED8" w:rsidRDefault="00505ED8" w:rsidP="00505ED8">
      <w:pPr>
        <w:pStyle w:val="Text1"/>
        <w:spacing w:before="0" w:after="0" w:line="264" w:lineRule="auto"/>
        <w:ind w:left="-284"/>
        <w:rPr>
          <w:rFonts w:asciiTheme="minorHAnsi" w:hAnsiTheme="minorHAnsi"/>
          <w:lang w:val="pl-PL"/>
        </w:rPr>
      </w:pPr>
      <w:r>
        <w:rPr>
          <w:noProof/>
          <w:lang w:val="pl-PL" w:eastAsia="pl-PL"/>
        </w:rPr>
        <w:drawing>
          <wp:inline distT="0" distB="0" distL="0" distR="0" wp14:anchorId="73F55AD9" wp14:editId="26AB3CBB">
            <wp:extent cx="6251944" cy="3888740"/>
            <wp:effectExtent l="0" t="0" r="0" b="0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279966" cy="3906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lang w:val="pl-PL"/>
        </w:rPr>
      </w:pPr>
    </w:p>
    <w:p w:rsidR="00505ED8" w:rsidRPr="009826DC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u w:val="single"/>
          <w:lang w:val="pl-PL"/>
        </w:rPr>
      </w:pPr>
      <w:r w:rsidRPr="009826DC">
        <w:rPr>
          <w:rFonts w:asciiTheme="minorHAnsi" w:hAnsiTheme="minorHAnsi"/>
          <w:b/>
          <w:u w:val="single"/>
          <w:lang w:val="pl-PL"/>
        </w:rPr>
        <w:t xml:space="preserve">Dział 1B budżetu UE </w:t>
      </w:r>
      <w:r w:rsidRPr="009826DC">
        <w:rPr>
          <w:rFonts w:asciiTheme="minorHAnsi" w:hAnsiTheme="minorHAnsi"/>
          <w:u w:val="single"/>
          <w:lang w:val="pl-PL"/>
        </w:rPr>
        <w:t>- Spójność gospodarcza, społeczna i terytorialna</w:t>
      </w:r>
    </w:p>
    <w:p w:rsidR="00505ED8" w:rsidRPr="008E72EB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u w:val="single"/>
          <w:lang w:val="pl-PL"/>
        </w:rPr>
      </w:pPr>
    </w:p>
    <w:p w:rsidR="00505ED8" w:rsidRPr="00E24929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lang w:val="pl-PL"/>
        </w:rPr>
      </w:pPr>
      <w:r>
        <w:rPr>
          <w:rFonts w:asciiTheme="minorHAnsi" w:hAnsiTheme="minorHAnsi"/>
          <w:lang w:val="pl-PL"/>
        </w:rPr>
        <w:lastRenderedPageBreak/>
        <w:t>W 2018</w:t>
      </w:r>
      <w:r w:rsidRPr="009826DC">
        <w:rPr>
          <w:rFonts w:asciiTheme="minorHAnsi" w:hAnsiTheme="minorHAnsi"/>
          <w:lang w:val="pl-PL"/>
        </w:rPr>
        <w:t xml:space="preserve"> roku transfery z działu 1B (polityka spójności) do P.Cz. osiągnęły </w:t>
      </w:r>
      <w:r>
        <w:rPr>
          <w:rFonts w:asciiTheme="minorHAnsi" w:hAnsiTheme="minorHAnsi"/>
          <w:b/>
          <w:lang w:val="pl-PL"/>
        </w:rPr>
        <w:t>46,4</w:t>
      </w:r>
      <w:r w:rsidRPr="009826DC">
        <w:rPr>
          <w:rFonts w:asciiTheme="minorHAnsi" w:hAnsiTheme="minorHAnsi"/>
          <w:b/>
          <w:lang w:val="pl-PL"/>
        </w:rPr>
        <w:t xml:space="preserve"> mld EUR</w:t>
      </w:r>
      <w:r w:rsidRPr="009826DC">
        <w:rPr>
          <w:rFonts w:asciiTheme="minorHAnsi" w:hAnsiTheme="minorHAnsi"/>
          <w:lang w:val="pl-PL"/>
        </w:rPr>
        <w:t xml:space="preserve"> (</w:t>
      </w:r>
      <w:r>
        <w:rPr>
          <w:rFonts w:asciiTheme="minorHAnsi" w:hAnsiTheme="minorHAnsi"/>
          <w:lang w:val="pl-PL"/>
        </w:rPr>
        <w:t>wzrost aż o 16,8</w:t>
      </w:r>
      <w:r w:rsidRPr="009826DC">
        <w:rPr>
          <w:rFonts w:asciiTheme="minorHAnsi" w:hAnsiTheme="minorHAnsi"/>
          <w:lang w:val="pl-PL"/>
        </w:rPr>
        <w:t xml:space="preserve"> mld EUR w porównaniu do 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 xml:space="preserve">). Poniżej przedstawiono transfery </w:t>
      </w:r>
      <w:r w:rsidRPr="009826DC">
        <w:rPr>
          <w:rFonts w:asciiTheme="minorHAnsi" w:hAnsiTheme="minorHAnsi"/>
          <w:lang w:val="pl-PL"/>
        </w:rPr>
        <w:br/>
        <w:t>w ramach tego działu w rozbiciu na państwa członkowskie w latach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 xml:space="preserve"> – 201</w:t>
      </w:r>
      <w:r>
        <w:rPr>
          <w:rFonts w:asciiTheme="minorHAnsi" w:hAnsiTheme="minorHAnsi"/>
          <w:lang w:val="pl-PL"/>
        </w:rPr>
        <w:t>8</w:t>
      </w:r>
      <w:r w:rsidRPr="00E24929">
        <w:rPr>
          <w:rFonts w:asciiTheme="minorHAnsi" w:hAnsiTheme="minorHAnsi"/>
          <w:lang w:val="pl-PL"/>
        </w:rPr>
        <w:t xml:space="preserve">. </w:t>
      </w:r>
    </w:p>
    <w:p w:rsidR="00505ED8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>W roku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b/>
          <w:lang w:val="pl-PL"/>
        </w:rPr>
        <w:t xml:space="preserve"> </w:t>
      </w:r>
      <w:r w:rsidRPr="009826DC">
        <w:rPr>
          <w:rFonts w:asciiTheme="minorHAnsi" w:hAnsiTheme="minorHAnsi"/>
          <w:lang w:val="pl-PL"/>
        </w:rPr>
        <w:t xml:space="preserve">do Polski z tego działu trafiło najwięcej środków, tj. </w:t>
      </w:r>
      <w:r>
        <w:rPr>
          <w:rFonts w:asciiTheme="minorHAnsi" w:hAnsiTheme="minorHAnsi"/>
          <w:b/>
          <w:lang w:val="pl-PL"/>
        </w:rPr>
        <w:t>11,5</w:t>
      </w:r>
      <w:r w:rsidRPr="009826DC">
        <w:rPr>
          <w:rFonts w:asciiTheme="minorHAnsi" w:hAnsiTheme="minorHAnsi"/>
          <w:b/>
          <w:lang w:val="pl-PL"/>
        </w:rPr>
        <w:t xml:space="preserve"> mld EUR</w:t>
      </w:r>
      <w:r w:rsidRPr="009826DC">
        <w:rPr>
          <w:rFonts w:asciiTheme="minorHAnsi" w:hAnsiTheme="minorHAnsi"/>
          <w:lang w:val="pl-PL"/>
        </w:rPr>
        <w:t xml:space="preserve"> (wzrost o </w:t>
      </w:r>
      <w:r>
        <w:rPr>
          <w:rFonts w:asciiTheme="minorHAnsi" w:hAnsiTheme="minorHAnsi"/>
          <w:lang w:val="pl-PL"/>
        </w:rPr>
        <w:t>3,97</w:t>
      </w:r>
      <w:r w:rsidRPr="009826DC">
        <w:rPr>
          <w:rFonts w:asciiTheme="minorHAnsi" w:hAnsiTheme="minorHAnsi"/>
          <w:lang w:val="pl-PL"/>
        </w:rPr>
        <w:t xml:space="preserve"> mld EUR w porównaniu do 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>). K</w:t>
      </w:r>
      <w:r>
        <w:rPr>
          <w:rFonts w:asciiTheme="minorHAnsi" w:hAnsiTheme="minorHAnsi"/>
          <w:lang w:val="pl-PL"/>
        </w:rPr>
        <w:t>wota ta stanowi równowartość 2,4</w:t>
      </w:r>
      <w:r w:rsidRPr="009826DC">
        <w:rPr>
          <w:rFonts w:asciiTheme="minorHAnsi" w:hAnsiTheme="minorHAnsi"/>
          <w:lang w:val="pl-PL"/>
        </w:rPr>
        <w:t>% polskiego DNB</w:t>
      </w:r>
      <w:r>
        <w:rPr>
          <w:rStyle w:val="Odwoanieprzypisudolnego"/>
          <w:rFonts w:asciiTheme="minorHAnsi" w:hAnsiTheme="minorHAnsi"/>
          <w:lang w:val="pl-PL"/>
        </w:rPr>
        <w:footnoteReference w:id="2"/>
      </w:r>
      <w:r w:rsidRPr="009826DC">
        <w:rPr>
          <w:rFonts w:asciiTheme="minorHAnsi" w:hAnsiTheme="minorHAnsi"/>
          <w:lang w:val="pl-PL"/>
        </w:rPr>
        <w:t>. Transfery do Polski stanowiły aż 25% całkowitej kwoty transferów z działu 1B do wszystkich P.Cz. Do grupy państw, które otrzymały najwyższe transfery w roku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z tego działu należą także: </w:t>
      </w:r>
      <w:r>
        <w:rPr>
          <w:rFonts w:asciiTheme="minorHAnsi" w:hAnsiTheme="minorHAnsi"/>
          <w:lang w:val="pl-PL"/>
        </w:rPr>
        <w:t>Węgry (4,4</w:t>
      </w:r>
      <w:r w:rsidRPr="009826DC">
        <w:rPr>
          <w:rFonts w:asciiTheme="minorHAnsi" w:hAnsiTheme="minorHAnsi"/>
          <w:lang w:val="pl-PL"/>
        </w:rPr>
        <w:t xml:space="preserve"> mld EUR), </w:t>
      </w:r>
      <w:r>
        <w:rPr>
          <w:rFonts w:asciiTheme="minorHAnsi" w:hAnsiTheme="minorHAnsi"/>
          <w:lang w:val="pl-PL"/>
        </w:rPr>
        <w:t>Hiszpania (4,3 mld EUR)</w:t>
      </w:r>
      <w:r w:rsidRPr="009826DC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i</w:t>
      </w:r>
      <w:r w:rsidRPr="009826DC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Portugalia (3,3</w:t>
      </w:r>
      <w:r w:rsidRPr="009826DC">
        <w:rPr>
          <w:rFonts w:asciiTheme="minorHAnsi" w:hAnsiTheme="minorHAnsi"/>
          <w:lang w:val="pl-PL"/>
        </w:rPr>
        <w:t xml:space="preserve"> mld EUR)</w:t>
      </w:r>
      <w:r>
        <w:rPr>
          <w:rFonts w:asciiTheme="minorHAnsi" w:hAnsiTheme="minorHAnsi"/>
          <w:lang w:val="pl-PL"/>
        </w:rPr>
        <w:t>.</w:t>
      </w:r>
      <w:r w:rsidRPr="009826DC">
        <w:rPr>
          <w:rFonts w:asciiTheme="minorHAnsi" w:hAnsiTheme="minorHAnsi"/>
          <w:lang w:val="pl-PL"/>
        </w:rPr>
        <w:t xml:space="preserve"> </w:t>
      </w:r>
    </w:p>
    <w:p w:rsidR="00505ED8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lang w:val="pl-PL"/>
        </w:rPr>
      </w:pPr>
      <w:r>
        <w:rPr>
          <w:rFonts w:asciiTheme="minorHAnsi" w:hAnsiTheme="minorHAnsi"/>
          <w:lang w:val="pl-PL"/>
        </w:rPr>
        <w:t xml:space="preserve">W roku 2018 nastąpiło znaczne przyspieszenie wdrażania programów polityki spójności, czego  skutkiem były znacznie wyższe kwoty płatności przekazane do P.Cz. </w:t>
      </w:r>
      <w:r w:rsidRPr="009826DC">
        <w:rPr>
          <w:rFonts w:asciiTheme="minorHAnsi" w:hAnsiTheme="minorHAnsi"/>
          <w:lang w:val="pl-PL"/>
        </w:rPr>
        <w:t>W porównaniu do roku 201</w:t>
      </w:r>
      <w:r>
        <w:rPr>
          <w:rFonts w:asciiTheme="minorHAnsi" w:hAnsiTheme="minorHAnsi"/>
          <w:lang w:val="pl-PL"/>
        </w:rPr>
        <w:t xml:space="preserve">7 większość P.Cz. odnotowała więc wzrosty transferów z </w:t>
      </w:r>
      <w:r w:rsidRPr="009826DC">
        <w:rPr>
          <w:rFonts w:asciiTheme="minorHAnsi" w:hAnsiTheme="minorHAnsi"/>
          <w:lang w:val="pl-PL"/>
        </w:rPr>
        <w:t>działu</w:t>
      </w:r>
      <w:r>
        <w:rPr>
          <w:rFonts w:asciiTheme="minorHAnsi" w:hAnsiTheme="minorHAnsi"/>
          <w:lang w:val="pl-PL"/>
        </w:rPr>
        <w:t xml:space="preserve"> 1B. S</w:t>
      </w:r>
      <w:r w:rsidRPr="009826DC">
        <w:rPr>
          <w:rFonts w:asciiTheme="minorHAnsi" w:hAnsiTheme="minorHAnsi"/>
          <w:lang w:val="pl-PL"/>
        </w:rPr>
        <w:t>padki odnotowały</w:t>
      </w:r>
      <w:r>
        <w:rPr>
          <w:rFonts w:asciiTheme="minorHAnsi" w:hAnsiTheme="minorHAnsi"/>
          <w:lang w:val="pl-PL"/>
        </w:rPr>
        <w:t xml:space="preserve"> tylko</w:t>
      </w:r>
      <w:r w:rsidRPr="009826DC">
        <w:rPr>
          <w:rFonts w:asciiTheme="minorHAnsi" w:hAnsiTheme="minorHAnsi"/>
          <w:lang w:val="pl-PL"/>
        </w:rPr>
        <w:t xml:space="preserve">: </w:t>
      </w:r>
      <w:r>
        <w:rPr>
          <w:rFonts w:asciiTheme="minorHAnsi" w:hAnsiTheme="minorHAnsi"/>
          <w:lang w:val="pl-PL"/>
        </w:rPr>
        <w:t>Grecja (-126 mln EUR), Finlandia (-46 mln EUR), Malta (-35 mln EUR), Holandia (-20 mln EUR) oraz Dania (-9 mln EUR).</w:t>
      </w:r>
    </w:p>
    <w:p w:rsidR="00505ED8" w:rsidRDefault="00505ED8" w:rsidP="00505ED8">
      <w:pPr>
        <w:pStyle w:val="Text1"/>
        <w:spacing w:before="0" w:after="0" w:line="264" w:lineRule="auto"/>
        <w:ind w:left="0"/>
        <w:rPr>
          <w:rFonts w:asciiTheme="minorHAnsi" w:hAnsiTheme="minorHAnsi"/>
          <w:lang w:val="pl-PL"/>
        </w:rPr>
      </w:pPr>
      <w:r>
        <w:rPr>
          <w:rFonts w:asciiTheme="minorHAnsi" w:hAnsiTheme="minorHAnsi"/>
          <w:lang w:val="pl-PL"/>
        </w:rPr>
        <w:t xml:space="preserve"> </w:t>
      </w:r>
    </w:p>
    <w:p w:rsidR="00505ED8" w:rsidRDefault="00505ED8" w:rsidP="00505ED8">
      <w:pPr>
        <w:pStyle w:val="Text1"/>
        <w:spacing w:before="0" w:after="0" w:line="264" w:lineRule="auto"/>
        <w:ind w:left="-284"/>
        <w:rPr>
          <w:rFonts w:asciiTheme="minorHAnsi" w:hAnsiTheme="minorHAnsi"/>
          <w:noProof/>
          <w:lang w:val="pl-PL" w:eastAsia="pl-PL"/>
        </w:rPr>
      </w:pPr>
      <w:r>
        <w:rPr>
          <w:noProof/>
          <w:lang w:val="pl-PL" w:eastAsia="pl-PL"/>
        </w:rPr>
        <w:drawing>
          <wp:inline distT="0" distB="0" distL="0" distR="0" wp14:anchorId="12459C31" wp14:editId="1385B781">
            <wp:extent cx="6314996" cy="4146698"/>
            <wp:effectExtent l="0" t="0" r="0" b="635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324930" cy="41532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Default="00505ED8" w:rsidP="00505ED8">
      <w:pPr>
        <w:pStyle w:val="Text1"/>
        <w:spacing w:before="0" w:after="0" w:line="264" w:lineRule="auto"/>
        <w:ind w:left="0" w:hanging="567"/>
        <w:rPr>
          <w:rFonts w:asciiTheme="minorHAnsi" w:hAnsiTheme="minorHAnsi"/>
          <w:noProof/>
          <w:lang w:val="pl-PL" w:eastAsia="pl-PL"/>
        </w:rPr>
      </w:pPr>
    </w:p>
    <w:p w:rsidR="00505ED8" w:rsidRDefault="00505ED8" w:rsidP="00505ED8">
      <w:pPr>
        <w:pStyle w:val="Text1"/>
        <w:spacing w:before="0" w:after="0" w:line="264" w:lineRule="auto"/>
        <w:ind w:left="0" w:hanging="567"/>
        <w:rPr>
          <w:rFonts w:asciiTheme="minorHAnsi" w:hAnsiTheme="minorHAnsi"/>
          <w:noProof/>
          <w:lang w:val="pl-PL" w:eastAsia="pl-PL"/>
        </w:rPr>
      </w:pPr>
    </w:p>
    <w:p w:rsidR="00505ED8" w:rsidRDefault="00505ED8" w:rsidP="00505ED8">
      <w:pPr>
        <w:pStyle w:val="Text1"/>
        <w:spacing w:before="0" w:after="0" w:line="264" w:lineRule="auto"/>
        <w:ind w:left="0" w:hanging="567"/>
        <w:rPr>
          <w:rFonts w:asciiTheme="minorHAnsi" w:hAnsiTheme="minorHAnsi"/>
          <w:noProof/>
          <w:lang w:val="pl-PL" w:eastAsia="pl-PL"/>
        </w:rPr>
      </w:pPr>
    </w:p>
    <w:p w:rsidR="00505ED8" w:rsidRPr="009826DC" w:rsidRDefault="00505ED8" w:rsidP="00505ED8">
      <w:pPr>
        <w:autoSpaceDE w:val="0"/>
        <w:autoSpaceDN w:val="0"/>
        <w:adjustRightInd w:val="0"/>
        <w:jc w:val="both"/>
        <w:rPr>
          <w:rFonts w:asciiTheme="minorHAnsi" w:eastAsia="Times New Roman" w:hAnsiTheme="minorHAnsi"/>
          <w:u w:val="single"/>
          <w:lang w:eastAsia="de-DE"/>
        </w:rPr>
      </w:pPr>
      <w:r w:rsidRPr="009826DC">
        <w:rPr>
          <w:rFonts w:asciiTheme="minorHAnsi" w:hAnsiTheme="minorHAnsi"/>
          <w:b/>
          <w:u w:val="single"/>
        </w:rPr>
        <w:t xml:space="preserve">Dział 2 budżetu UE </w:t>
      </w:r>
      <w:r w:rsidRPr="009826DC">
        <w:rPr>
          <w:rFonts w:asciiTheme="minorHAnsi" w:hAnsiTheme="minorHAnsi"/>
          <w:u w:val="single"/>
        </w:rPr>
        <w:t>-</w:t>
      </w:r>
      <w:r w:rsidRPr="009826DC">
        <w:rPr>
          <w:rFonts w:asciiTheme="minorHAnsi" w:eastAsia="Times New Roman" w:hAnsiTheme="minorHAnsi"/>
          <w:u w:val="single"/>
          <w:lang w:eastAsia="de-DE"/>
        </w:rPr>
        <w:t xml:space="preserve"> Trwały wzrost gospodarczy: zasoby naturalne </w:t>
      </w:r>
    </w:p>
    <w:p w:rsidR="00505ED8" w:rsidRPr="00DF18D9" w:rsidRDefault="00505ED8" w:rsidP="00505ED8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  <w:u w:val="single"/>
        </w:rPr>
      </w:pPr>
    </w:p>
    <w:p w:rsidR="00D547F6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lastRenderedPageBreak/>
        <w:t xml:space="preserve">Kolejny wykres przedstawia wysokości </w:t>
      </w:r>
      <w:r w:rsidRPr="009826DC">
        <w:rPr>
          <w:rFonts w:asciiTheme="minorHAnsi" w:hAnsiTheme="minorHAnsi"/>
          <w:b/>
          <w:lang w:val="pl-PL"/>
        </w:rPr>
        <w:t xml:space="preserve">transferów z budżetu UE do P.Cz. </w:t>
      </w:r>
      <w:r w:rsidRPr="009826DC">
        <w:rPr>
          <w:rFonts w:asciiTheme="minorHAnsi" w:hAnsiTheme="minorHAnsi"/>
          <w:b/>
          <w:lang w:val="pl-PL"/>
        </w:rPr>
        <w:br/>
        <w:t xml:space="preserve">w ramach działu 2 </w:t>
      </w:r>
      <w:r>
        <w:rPr>
          <w:rFonts w:asciiTheme="minorHAnsi" w:hAnsiTheme="minorHAnsi"/>
          <w:lang w:val="pl-PL"/>
        </w:rPr>
        <w:t>(głównie Wspólna Polityka R</w:t>
      </w:r>
      <w:r w:rsidRPr="009826DC">
        <w:rPr>
          <w:rFonts w:asciiTheme="minorHAnsi" w:hAnsiTheme="minorHAnsi"/>
          <w:lang w:val="pl-PL"/>
        </w:rPr>
        <w:t>olna)</w:t>
      </w:r>
      <w:r w:rsidRPr="009826DC">
        <w:rPr>
          <w:rFonts w:asciiTheme="minorHAnsi" w:hAnsiTheme="minorHAnsi"/>
          <w:b/>
          <w:lang w:val="pl-PL"/>
        </w:rPr>
        <w:t xml:space="preserve"> w latach 201</w:t>
      </w:r>
      <w:r>
        <w:rPr>
          <w:rFonts w:asciiTheme="minorHAnsi" w:hAnsiTheme="minorHAnsi"/>
          <w:b/>
          <w:lang w:val="pl-PL"/>
        </w:rPr>
        <w:t>7</w:t>
      </w:r>
      <w:r w:rsidRPr="009826DC">
        <w:rPr>
          <w:rFonts w:asciiTheme="minorHAnsi" w:hAnsiTheme="minorHAnsi"/>
          <w:b/>
          <w:lang w:val="pl-PL"/>
        </w:rPr>
        <w:t xml:space="preserve"> – 201</w:t>
      </w:r>
      <w:r>
        <w:rPr>
          <w:rFonts w:asciiTheme="minorHAnsi" w:hAnsiTheme="minorHAnsi"/>
          <w:b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. 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>W roku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transfery do P.Cz. </w:t>
      </w:r>
      <w:r>
        <w:rPr>
          <w:rFonts w:asciiTheme="minorHAnsi" w:hAnsiTheme="minorHAnsi"/>
          <w:lang w:val="pl-PL"/>
        </w:rPr>
        <w:t>z</w:t>
      </w:r>
      <w:r w:rsidRPr="009826DC">
        <w:rPr>
          <w:rFonts w:asciiTheme="minorHAnsi" w:hAnsiTheme="minorHAnsi"/>
          <w:lang w:val="pl-PL"/>
        </w:rPr>
        <w:t xml:space="preserve"> działu 2 osiągnęły </w:t>
      </w:r>
      <w:r>
        <w:rPr>
          <w:rFonts w:asciiTheme="minorHAnsi" w:hAnsiTheme="minorHAnsi"/>
          <w:b/>
          <w:lang w:val="pl-PL"/>
        </w:rPr>
        <w:t>56,1</w:t>
      </w:r>
      <w:r w:rsidRPr="009826DC">
        <w:rPr>
          <w:rFonts w:asciiTheme="minorHAnsi" w:hAnsiTheme="minorHAnsi"/>
          <w:b/>
          <w:lang w:val="pl-PL"/>
        </w:rPr>
        <w:t xml:space="preserve"> mld EUR </w:t>
      </w:r>
      <w:r w:rsidRPr="009826DC">
        <w:rPr>
          <w:rFonts w:asciiTheme="minorHAnsi" w:hAnsiTheme="minorHAnsi"/>
          <w:lang w:val="pl-PL"/>
        </w:rPr>
        <w:t>(</w:t>
      </w:r>
      <w:r>
        <w:rPr>
          <w:rFonts w:asciiTheme="minorHAnsi" w:hAnsiTheme="minorHAnsi"/>
          <w:lang w:val="pl-PL"/>
        </w:rPr>
        <w:t xml:space="preserve">wzrost </w:t>
      </w:r>
      <w:r w:rsidRPr="009826DC">
        <w:rPr>
          <w:rFonts w:asciiTheme="minorHAnsi" w:hAnsiTheme="minorHAnsi"/>
          <w:lang w:val="pl-PL"/>
        </w:rPr>
        <w:t>o 1</w:t>
      </w:r>
      <w:r>
        <w:rPr>
          <w:rFonts w:asciiTheme="minorHAnsi" w:hAnsiTheme="minorHAnsi"/>
          <w:lang w:val="pl-PL"/>
        </w:rPr>
        <w:t>,7 mld EUR w porównaniu do roku 2017), z czego 40</w:t>
      </w:r>
      <w:r w:rsidRPr="009826DC">
        <w:rPr>
          <w:rFonts w:asciiTheme="minorHAnsi" w:hAnsiTheme="minorHAnsi"/>
          <w:lang w:val="pl-PL"/>
        </w:rPr>
        <w:t>,7 mld EUR wypłacone zostało z tytułu ro</w:t>
      </w:r>
      <w:r w:rsidR="009A7650">
        <w:rPr>
          <w:rFonts w:asciiTheme="minorHAnsi" w:hAnsiTheme="minorHAnsi"/>
          <w:lang w:val="pl-PL"/>
        </w:rPr>
        <w:t>lnych dopłat bezpośrednich, a </w:t>
      </w:r>
      <w:r>
        <w:rPr>
          <w:rFonts w:asciiTheme="minorHAnsi" w:hAnsiTheme="minorHAnsi"/>
          <w:lang w:val="pl-PL"/>
        </w:rPr>
        <w:t>12</w:t>
      </w:r>
      <w:r w:rsidRPr="009826DC">
        <w:rPr>
          <w:rFonts w:asciiTheme="minorHAnsi" w:hAnsiTheme="minorHAnsi"/>
          <w:lang w:val="pl-PL"/>
        </w:rPr>
        <w:t xml:space="preserve"> mld EUR z tytułu Progra</w:t>
      </w:r>
      <w:r w:rsidR="009A4DEA">
        <w:rPr>
          <w:rFonts w:asciiTheme="minorHAnsi" w:hAnsiTheme="minorHAnsi"/>
          <w:lang w:val="pl-PL"/>
        </w:rPr>
        <w:t>mów Rozwoju Obszarów Wiejskich</w:t>
      </w:r>
      <w:r w:rsidRPr="009826DC">
        <w:rPr>
          <w:rFonts w:asciiTheme="minorHAnsi" w:hAnsiTheme="minorHAnsi"/>
          <w:lang w:val="pl-PL"/>
        </w:rPr>
        <w:t xml:space="preserve">. </w:t>
      </w:r>
    </w:p>
    <w:p w:rsidR="00505ED8" w:rsidRPr="009E48C8" w:rsidRDefault="00505ED8" w:rsidP="00505ED8">
      <w:pPr>
        <w:pStyle w:val="Text1"/>
        <w:spacing w:before="0" w:after="0"/>
        <w:ind w:left="0"/>
        <w:rPr>
          <w:rFonts w:asciiTheme="minorHAnsi" w:hAnsiTheme="minorHAnsi"/>
          <w:noProof/>
          <w:sz w:val="16"/>
          <w:szCs w:val="16"/>
          <w:lang w:val="pl-PL" w:eastAsia="pl-PL"/>
        </w:rPr>
      </w:pPr>
    </w:p>
    <w:p w:rsidR="00505ED8" w:rsidRDefault="00505ED8" w:rsidP="00505ED8">
      <w:pPr>
        <w:pStyle w:val="Text1"/>
        <w:spacing w:before="0" w:after="0"/>
        <w:ind w:left="-284"/>
        <w:rPr>
          <w:rFonts w:asciiTheme="minorHAnsi" w:hAnsiTheme="minorHAnsi"/>
          <w:noProof/>
          <w:lang w:val="pl-PL" w:eastAsia="pl-PL"/>
        </w:rPr>
      </w:pPr>
      <w:r>
        <w:rPr>
          <w:noProof/>
          <w:lang w:val="pl-PL" w:eastAsia="pl-PL"/>
        </w:rPr>
        <w:drawing>
          <wp:inline distT="0" distB="0" distL="0" distR="0" wp14:anchorId="0BDD9015" wp14:editId="4DED1C4B">
            <wp:extent cx="6368902" cy="3795395"/>
            <wp:effectExtent l="0" t="0" r="0" b="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388128" cy="3806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Pr="009E48C8" w:rsidRDefault="00505ED8" w:rsidP="00505ED8">
      <w:pPr>
        <w:pStyle w:val="Text1"/>
        <w:spacing w:before="0" w:after="0"/>
        <w:ind w:left="0"/>
        <w:rPr>
          <w:rFonts w:asciiTheme="minorHAnsi" w:hAnsiTheme="minorHAnsi"/>
          <w:noProof/>
          <w:sz w:val="16"/>
          <w:szCs w:val="16"/>
          <w:lang w:val="pl-PL" w:eastAsia="pl-PL"/>
        </w:rPr>
      </w:pP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>W roku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do Polski z tego działu napłynęło </w:t>
      </w:r>
      <w:r>
        <w:rPr>
          <w:rFonts w:asciiTheme="minorHAnsi" w:hAnsiTheme="minorHAnsi"/>
          <w:b/>
          <w:lang w:val="pl-PL"/>
        </w:rPr>
        <w:t>4,5</w:t>
      </w:r>
      <w:r w:rsidRPr="009826DC">
        <w:rPr>
          <w:rFonts w:asciiTheme="minorHAnsi" w:hAnsiTheme="minorHAnsi"/>
          <w:b/>
          <w:lang w:val="pl-PL"/>
        </w:rPr>
        <w:t xml:space="preserve"> mld EUR</w:t>
      </w:r>
      <w:r>
        <w:rPr>
          <w:rFonts w:asciiTheme="minorHAnsi" w:hAnsiTheme="minorHAnsi"/>
          <w:b/>
          <w:lang w:val="pl-PL"/>
        </w:rPr>
        <w:t xml:space="preserve"> </w:t>
      </w:r>
      <w:r w:rsidRPr="00DF18D9">
        <w:rPr>
          <w:rFonts w:asciiTheme="minorHAnsi" w:hAnsiTheme="minorHAnsi"/>
          <w:lang w:val="pl-PL"/>
        </w:rPr>
        <w:t xml:space="preserve">(z czego 3,36 mld EUR jako dopłaty </w:t>
      </w:r>
      <w:r w:rsidR="004D4B84">
        <w:rPr>
          <w:rFonts w:asciiTheme="minorHAnsi" w:hAnsiTheme="minorHAnsi"/>
          <w:lang w:val="pl-PL"/>
        </w:rPr>
        <w:t xml:space="preserve">bezpośrednie </w:t>
      </w:r>
      <w:r w:rsidRPr="00DF18D9">
        <w:rPr>
          <w:rFonts w:asciiTheme="minorHAnsi" w:hAnsiTheme="minorHAnsi"/>
          <w:lang w:val="pl-PL"/>
        </w:rPr>
        <w:t>dla rolników i 945 mln EUR jako płatności dla Programu Rozwoju Obszarów Wiejskich),</w:t>
      </w:r>
      <w:r w:rsidR="009A7650">
        <w:rPr>
          <w:rFonts w:asciiTheme="minorHAnsi" w:hAnsiTheme="minorHAnsi"/>
          <w:lang w:val="pl-PL"/>
        </w:rPr>
        <w:t xml:space="preserve"> czyli o </w:t>
      </w:r>
      <w:r>
        <w:rPr>
          <w:rFonts w:asciiTheme="minorHAnsi" w:hAnsiTheme="minorHAnsi"/>
          <w:lang w:val="pl-PL"/>
        </w:rPr>
        <w:t>0,4</w:t>
      </w:r>
      <w:r w:rsidRPr="009826DC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 xml:space="preserve">mld </w:t>
      </w:r>
      <w:r w:rsidRPr="009826DC">
        <w:rPr>
          <w:rFonts w:asciiTheme="minorHAnsi" w:hAnsiTheme="minorHAnsi"/>
          <w:lang w:val="pl-PL"/>
        </w:rPr>
        <w:t xml:space="preserve">EUR </w:t>
      </w:r>
      <w:r>
        <w:rPr>
          <w:rFonts w:asciiTheme="minorHAnsi" w:hAnsiTheme="minorHAnsi"/>
          <w:lang w:val="pl-PL"/>
        </w:rPr>
        <w:t>więcej niż w </w:t>
      </w:r>
      <w:r w:rsidRPr="009826DC">
        <w:rPr>
          <w:rFonts w:asciiTheme="minorHAnsi" w:hAnsiTheme="minorHAnsi"/>
          <w:lang w:val="pl-PL"/>
        </w:rPr>
        <w:t>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>. Stanowiło to 0,9% polskiego DNB. W porównaniu do 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 xml:space="preserve"> większość P.Cz. odnotowała </w:t>
      </w:r>
      <w:r>
        <w:rPr>
          <w:rFonts w:asciiTheme="minorHAnsi" w:hAnsiTheme="minorHAnsi"/>
          <w:lang w:val="pl-PL"/>
        </w:rPr>
        <w:t>wzrosty</w:t>
      </w:r>
      <w:r w:rsidRPr="009826DC">
        <w:rPr>
          <w:rFonts w:asciiTheme="minorHAnsi" w:hAnsiTheme="minorHAnsi"/>
          <w:lang w:val="pl-PL"/>
        </w:rPr>
        <w:t xml:space="preserve"> transferów z tego działu (podobnie jak w dziale 1B). </w:t>
      </w:r>
      <w:r>
        <w:rPr>
          <w:rFonts w:asciiTheme="minorHAnsi" w:hAnsiTheme="minorHAnsi"/>
          <w:lang w:val="pl-PL"/>
        </w:rPr>
        <w:t>Jedyne</w:t>
      </w:r>
      <w:r w:rsidRPr="009826DC">
        <w:rPr>
          <w:rFonts w:asciiTheme="minorHAnsi" w:hAnsiTheme="minorHAnsi"/>
          <w:lang w:val="pl-PL"/>
        </w:rPr>
        <w:t xml:space="preserve"> spadki dotyczyły </w:t>
      </w:r>
      <w:r>
        <w:rPr>
          <w:rFonts w:asciiTheme="minorHAnsi" w:hAnsiTheme="minorHAnsi"/>
          <w:lang w:val="pl-PL"/>
        </w:rPr>
        <w:t>Rumunii (-354 mln EUR), Grecji (-141 mln EUR), Danii (-96 mln EUR), Wlk. Brytanii (-76 mln EUR) oraz Holandii (-24 mln EUR).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>Największe wzrosty trans</w:t>
      </w:r>
      <w:r>
        <w:rPr>
          <w:rFonts w:asciiTheme="minorHAnsi" w:hAnsiTheme="minorHAnsi"/>
          <w:lang w:val="pl-PL"/>
        </w:rPr>
        <w:t>ferów w tym dziale oprócz Polski odnotowały Hiszpania (+407 mln EUR) oraz Francja (+354</w:t>
      </w:r>
      <w:r w:rsidRPr="009826DC">
        <w:rPr>
          <w:rFonts w:asciiTheme="minorHAnsi" w:hAnsiTheme="minorHAnsi"/>
          <w:lang w:val="pl-PL"/>
        </w:rPr>
        <w:t xml:space="preserve"> mln EUR).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noProof/>
          <w:lang w:val="pl-PL" w:eastAsia="pl-PL"/>
        </w:rPr>
      </w:pP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u w:val="single"/>
          <w:lang w:val="pl-PL"/>
        </w:rPr>
      </w:pPr>
      <w:r w:rsidRPr="009826DC">
        <w:rPr>
          <w:rFonts w:asciiTheme="minorHAnsi" w:hAnsiTheme="minorHAnsi"/>
          <w:b/>
          <w:u w:val="single"/>
          <w:lang w:val="pl-PL"/>
        </w:rPr>
        <w:t xml:space="preserve">Dział 3 budżetu UE </w:t>
      </w:r>
      <w:r w:rsidRPr="00AE64F2">
        <w:rPr>
          <w:rFonts w:asciiTheme="minorHAnsi" w:hAnsiTheme="minorHAnsi"/>
          <w:u w:val="single"/>
          <w:lang w:val="pl-PL"/>
        </w:rPr>
        <w:t xml:space="preserve"> –</w:t>
      </w:r>
      <w:r w:rsidRPr="009826DC">
        <w:rPr>
          <w:rFonts w:asciiTheme="minorHAnsi" w:hAnsiTheme="minorHAnsi"/>
          <w:b/>
          <w:u w:val="single"/>
          <w:lang w:val="pl-PL"/>
        </w:rPr>
        <w:t xml:space="preserve"> </w:t>
      </w:r>
      <w:r w:rsidRPr="009826DC">
        <w:rPr>
          <w:rFonts w:asciiTheme="minorHAnsi" w:hAnsiTheme="minorHAnsi"/>
          <w:u w:val="single"/>
          <w:lang w:val="pl-PL"/>
        </w:rPr>
        <w:t>Bezpieczeństwo i obywatelstwo</w:t>
      </w:r>
    </w:p>
    <w:p w:rsidR="00505ED8" w:rsidRPr="008E72EB" w:rsidRDefault="00505ED8" w:rsidP="00505ED8">
      <w:pPr>
        <w:pStyle w:val="Text1"/>
        <w:spacing w:before="0" w:after="0"/>
        <w:ind w:left="0"/>
        <w:rPr>
          <w:rFonts w:asciiTheme="minorHAnsi" w:hAnsiTheme="minorHAnsi"/>
          <w:sz w:val="8"/>
          <w:szCs w:val="8"/>
          <w:u w:val="single"/>
          <w:lang w:val="pl-PL"/>
        </w:rPr>
      </w:pPr>
    </w:p>
    <w:p w:rsidR="00505ED8" w:rsidRPr="009826DC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 xml:space="preserve">Transfery w ramach działu 3 osiągnęły </w:t>
      </w:r>
      <w:r>
        <w:rPr>
          <w:rFonts w:asciiTheme="minorHAnsi" w:hAnsiTheme="minorHAnsi"/>
          <w:b/>
          <w:lang w:val="pl-PL"/>
        </w:rPr>
        <w:t>2,9</w:t>
      </w:r>
      <w:r w:rsidRPr="009826DC">
        <w:rPr>
          <w:rFonts w:asciiTheme="minorHAnsi" w:hAnsiTheme="minorHAnsi"/>
          <w:b/>
          <w:lang w:val="pl-PL"/>
        </w:rPr>
        <w:t xml:space="preserve"> mld EUR </w:t>
      </w:r>
      <w:r w:rsidRPr="009826DC">
        <w:rPr>
          <w:rFonts w:asciiTheme="minorHAnsi" w:hAnsiTheme="minorHAnsi"/>
          <w:lang w:val="pl-PL"/>
        </w:rPr>
        <w:t>(</w:t>
      </w:r>
      <w:r>
        <w:rPr>
          <w:rFonts w:asciiTheme="minorHAnsi" w:hAnsiTheme="minorHAnsi"/>
          <w:lang w:val="pl-PL"/>
        </w:rPr>
        <w:t>wzrost o 20</w:t>
      </w:r>
      <w:r w:rsidRPr="009826DC">
        <w:rPr>
          <w:rFonts w:asciiTheme="minorHAnsi" w:hAnsiTheme="minorHAnsi"/>
          <w:lang w:val="pl-PL"/>
        </w:rPr>
        <w:t>9 mln EUR w porównaniu do 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>). Najwięcej środków w ramach teg</w:t>
      </w:r>
      <w:r>
        <w:rPr>
          <w:rFonts w:asciiTheme="minorHAnsi" w:hAnsiTheme="minorHAnsi"/>
          <w:lang w:val="pl-PL"/>
        </w:rPr>
        <w:t>o działu trafiło do Grecji (425</w:t>
      </w:r>
      <w:r w:rsidRPr="009826DC">
        <w:rPr>
          <w:rFonts w:asciiTheme="minorHAnsi" w:hAnsiTheme="minorHAnsi"/>
          <w:lang w:val="pl-PL"/>
        </w:rPr>
        <w:t xml:space="preserve"> mln EUR),</w:t>
      </w:r>
      <w:r>
        <w:rPr>
          <w:rFonts w:asciiTheme="minorHAnsi" w:hAnsiTheme="minorHAnsi"/>
          <w:lang w:val="pl-PL"/>
        </w:rPr>
        <w:t xml:space="preserve"> Belgii (347 mln EUR) i do Włoch (317 mln EUR)</w:t>
      </w:r>
      <w:r w:rsidRPr="009826DC">
        <w:rPr>
          <w:rFonts w:asciiTheme="minorHAnsi" w:hAnsiTheme="minorHAnsi"/>
          <w:lang w:val="pl-PL"/>
        </w:rPr>
        <w:t>. Środki z działu</w:t>
      </w:r>
      <w:r>
        <w:rPr>
          <w:rFonts w:asciiTheme="minorHAnsi" w:hAnsiTheme="minorHAnsi"/>
          <w:lang w:val="pl-PL"/>
        </w:rPr>
        <w:t xml:space="preserve"> 3</w:t>
      </w:r>
      <w:r w:rsidRPr="009826DC">
        <w:rPr>
          <w:rFonts w:asciiTheme="minorHAnsi" w:hAnsiTheme="minorHAnsi"/>
          <w:lang w:val="pl-PL"/>
        </w:rPr>
        <w:t xml:space="preserve"> przeznaczone były m.in. na Fundusz Azylu, Integracji i Migracji oraz na Fundusz Bezpieczeństwa Wewnętrznego. D</w:t>
      </w:r>
      <w:r>
        <w:rPr>
          <w:rFonts w:asciiTheme="minorHAnsi" w:hAnsiTheme="minorHAnsi"/>
          <w:lang w:val="pl-PL"/>
        </w:rPr>
        <w:t xml:space="preserve">o Polski z tego działu trafiło </w:t>
      </w:r>
      <w:r w:rsidRPr="000F1815">
        <w:rPr>
          <w:rFonts w:asciiTheme="minorHAnsi" w:hAnsiTheme="minorHAnsi"/>
          <w:b/>
          <w:lang w:val="pl-PL"/>
        </w:rPr>
        <w:t>96 mln EUR</w:t>
      </w:r>
      <w:r>
        <w:rPr>
          <w:rFonts w:asciiTheme="minorHAnsi" w:hAnsiTheme="minorHAnsi"/>
          <w:lang w:val="pl-PL"/>
        </w:rPr>
        <w:t xml:space="preserve"> (3,3% środków działu)</w:t>
      </w:r>
      <w:r w:rsidR="007770C8">
        <w:rPr>
          <w:rFonts w:asciiTheme="minorHAnsi" w:hAnsiTheme="minorHAnsi"/>
          <w:lang w:val="pl-PL"/>
        </w:rPr>
        <w:t>.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u w:val="single"/>
          <w:lang w:val="pl-PL"/>
        </w:rPr>
      </w:pPr>
      <w:r w:rsidRPr="009826DC">
        <w:rPr>
          <w:rFonts w:asciiTheme="minorHAnsi" w:hAnsiTheme="minorHAnsi"/>
          <w:b/>
          <w:u w:val="single"/>
          <w:lang w:val="pl-PL"/>
        </w:rPr>
        <w:t>Dział 4 budżetu UE</w:t>
      </w:r>
      <w:r w:rsidRPr="00AE64F2">
        <w:rPr>
          <w:rFonts w:asciiTheme="minorHAnsi" w:hAnsiTheme="minorHAnsi"/>
          <w:u w:val="single"/>
          <w:lang w:val="pl-PL"/>
        </w:rPr>
        <w:t xml:space="preserve"> –</w:t>
      </w:r>
      <w:r w:rsidRPr="009826DC">
        <w:rPr>
          <w:rFonts w:asciiTheme="minorHAnsi" w:hAnsiTheme="minorHAnsi"/>
          <w:b/>
          <w:u w:val="single"/>
          <w:lang w:val="pl-PL"/>
        </w:rPr>
        <w:t xml:space="preserve"> </w:t>
      </w:r>
      <w:r w:rsidRPr="009826DC">
        <w:rPr>
          <w:rFonts w:asciiTheme="minorHAnsi" w:hAnsiTheme="minorHAnsi"/>
          <w:u w:val="single"/>
          <w:lang w:val="pl-PL"/>
        </w:rPr>
        <w:t>Globalny wymiar Europy</w:t>
      </w:r>
    </w:p>
    <w:p w:rsidR="00505ED8" w:rsidRPr="008E72EB" w:rsidRDefault="00505ED8" w:rsidP="00505ED8">
      <w:pPr>
        <w:pStyle w:val="Text1"/>
        <w:spacing w:before="0" w:after="0"/>
        <w:ind w:left="0"/>
        <w:rPr>
          <w:rFonts w:asciiTheme="minorHAnsi" w:hAnsiTheme="minorHAnsi"/>
          <w:sz w:val="8"/>
          <w:szCs w:val="8"/>
          <w:u w:val="single"/>
          <w:lang w:val="pl-PL"/>
        </w:rPr>
      </w:pPr>
    </w:p>
    <w:p w:rsidR="00505ED8" w:rsidRPr="009826DC" w:rsidRDefault="00505ED8" w:rsidP="00505ED8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9826DC">
        <w:rPr>
          <w:rFonts w:asciiTheme="minorHAnsi" w:hAnsiTheme="minorHAnsi"/>
        </w:rPr>
        <w:lastRenderedPageBreak/>
        <w:t>Wydatki w ramach działu 4 w 201</w:t>
      </w:r>
      <w:r>
        <w:rPr>
          <w:rFonts w:asciiTheme="minorHAnsi" w:hAnsiTheme="minorHAnsi"/>
        </w:rPr>
        <w:t>8</w:t>
      </w:r>
      <w:r w:rsidRPr="009826DC">
        <w:rPr>
          <w:rFonts w:asciiTheme="minorHAnsi" w:hAnsiTheme="minorHAnsi"/>
        </w:rPr>
        <w:t xml:space="preserve"> roku osiągnęły </w:t>
      </w:r>
      <w:r>
        <w:rPr>
          <w:rFonts w:asciiTheme="minorHAnsi" w:hAnsiTheme="minorHAnsi"/>
          <w:b/>
        </w:rPr>
        <w:t>9,5</w:t>
      </w:r>
      <w:r w:rsidRPr="009826DC">
        <w:rPr>
          <w:rFonts w:asciiTheme="minorHAnsi" w:hAnsiTheme="minorHAnsi"/>
          <w:b/>
        </w:rPr>
        <w:t xml:space="preserve"> mld EUR</w:t>
      </w:r>
      <w:r w:rsidRPr="009826DC">
        <w:rPr>
          <w:rFonts w:asciiTheme="minorHAnsi" w:hAnsiTheme="minorHAnsi"/>
        </w:rPr>
        <w:t xml:space="preserve">, z czego transfery do państw członkowskich wyniosły jedynie </w:t>
      </w:r>
      <w:r>
        <w:rPr>
          <w:rFonts w:asciiTheme="minorHAnsi" w:hAnsiTheme="minorHAnsi"/>
          <w:b/>
        </w:rPr>
        <w:t>37</w:t>
      </w:r>
      <w:r w:rsidRPr="009826DC">
        <w:rPr>
          <w:rFonts w:asciiTheme="minorHAnsi" w:hAnsiTheme="minorHAnsi"/>
          <w:b/>
        </w:rPr>
        <w:t xml:space="preserve"> mln EUR</w:t>
      </w:r>
      <w:r w:rsidRPr="009826DC">
        <w:rPr>
          <w:rFonts w:asciiTheme="minorHAnsi" w:hAnsiTheme="minorHAnsi"/>
        </w:rPr>
        <w:t xml:space="preserve">. Z tej kwoty do </w:t>
      </w:r>
      <w:r>
        <w:rPr>
          <w:rFonts w:asciiTheme="minorHAnsi" w:hAnsiTheme="minorHAnsi"/>
        </w:rPr>
        <w:t>Rumunii</w:t>
      </w:r>
      <w:r w:rsidRPr="009826DC">
        <w:rPr>
          <w:rFonts w:asciiTheme="minorHAnsi" w:hAnsiTheme="minorHAnsi"/>
        </w:rPr>
        <w:t xml:space="preserve"> trafiło </w:t>
      </w:r>
      <w:r w:rsidRPr="009826DC">
        <w:rPr>
          <w:rFonts w:asciiTheme="minorHAnsi" w:hAnsiTheme="minorHAnsi"/>
        </w:rPr>
        <w:br/>
      </w:r>
      <w:r>
        <w:rPr>
          <w:rFonts w:asciiTheme="minorHAnsi" w:hAnsiTheme="minorHAnsi"/>
        </w:rPr>
        <w:t xml:space="preserve">24 mln EUR, a do Chorwacji 7 mln EUR. </w:t>
      </w:r>
    </w:p>
    <w:p w:rsidR="00505ED8" w:rsidRDefault="00505ED8" w:rsidP="00505ED8">
      <w:pPr>
        <w:autoSpaceDE w:val="0"/>
        <w:autoSpaceDN w:val="0"/>
        <w:adjustRightInd w:val="0"/>
        <w:rPr>
          <w:rFonts w:asciiTheme="minorHAnsi" w:hAnsiTheme="minorHAnsi"/>
          <w:sz w:val="10"/>
          <w:szCs w:val="10"/>
          <w:highlight w:val="green"/>
          <w:u w:val="single"/>
        </w:rPr>
      </w:pPr>
    </w:p>
    <w:p w:rsidR="00D547F6" w:rsidRPr="009826DC" w:rsidRDefault="00D547F6" w:rsidP="00505ED8">
      <w:pPr>
        <w:autoSpaceDE w:val="0"/>
        <w:autoSpaceDN w:val="0"/>
        <w:adjustRightInd w:val="0"/>
        <w:rPr>
          <w:rFonts w:asciiTheme="minorHAnsi" w:hAnsiTheme="minorHAnsi"/>
          <w:sz w:val="10"/>
          <w:szCs w:val="10"/>
          <w:highlight w:val="green"/>
          <w:u w:val="single"/>
        </w:rPr>
      </w:pPr>
    </w:p>
    <w:p w:rsidR="00505ED8" w:rsidRPr="009826DC" w:rsidRDefault="00505ED8" w:rsidP="00505ED8">
      <w:pPr>
        <w:autoSpaceDE w:val="0"/>
        <w:autoSpaceDN w:val="0"/>
        <w:adjustRightInd w:val="0"/>
        <w:rPr>
          <w:rFonts w:asciiTheme="minorHAnsi" w:hAnsiTheme="minorHAnsi"/>
          <w:b/>
          <w:lang w:eastAsia="de-DE"/>
        </w:rPr>
      </w:pPr>
      <w:r w:rsidRPr="009826DC">
        <w:rPr>
          <w:rFonts w:asciiTheme="minorHAnsi" w:hAnsiTheme="minorHAnsi"/>
          <w:b/>
          <w:u w:val="single"/>
          <w:lang w:eastAsia="de-DE"/>
        </w:rPr>
        <w:t xml:space="preserve">Dział 5 budżety UE </w:t>
      </w:r>
      <w:r w:rsidRPr="00AE64F2">
        <w:rPr>
          <w:rFonts w:asciiTheme="minorHAnsi" w:hAnsiTheme="minorHAnsi"/>
          <w:u w:val="single"/>
          <w:lang w:eastAsia="de-DE"/>
        </w:rPr>
        <w:t>–</w:t>
      </w:r>
      <w:r w:rsidRPr="009826DC">
        <w:rPr>
          <w:rFonts w:asciiTheme="minorHAnsi" w:hAnsiTheme="minorHAnsi"/>
          <w:b/>
          <w:u w:val="single"/>
          <w:lang w:eastAsia="de-DE"/>
        </w:rPr>
        <w:t xml:space="preserve"> </w:t>
      </w:r>
      <w:r w:rsidRPr="009826DC">
        <w:rPr>
          <w:rFonts w:asciiTheme="minorHAnsi" w:hAnsiTheme="minorHAnsi"/>
          <w:u w:val="single"/>
          <w:lang w:eastAsia="de-DE"/>
        </w:rPr>
        <w:t>Administracja</w:t>
      </w:r>
    </w:p>
    <w:p w:rsidR="00505ED8" w:rsidRPr="009826DC" w:rsidRDefault="00505ED8" w:rsidP="00505ED8">
      <w:pPr>
        <w:pStyle w:val="Text1"/>
        <w:spacing w:before="0" w:after="0"/>
        <w:ind w:left="0"/>
        <w:rPr>
          <w:rFonts w:asciiTheme="minorHAnsi" w:hAnsiTheme="minorHAnsi"/>
          <w:sz w:val="8"/>
          <w:szCs w:val="8"/>
          <w:lang w:val="pl-PL"/>
        </w:rPr>
      </w:pPr>
    </w:p>
    <w:p w:rsidR="00505ED8" w:rsidRPr="009826DC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 xml:space="preserve">Wydatki w ramach działu 5 osiągnęły </w:t>
      </w:r>
      <w:r>
        <w:rPr>
          <w:rFonts w:asciiTheme="minorHAnsi" w:hAnsiTheme="minorHAnsi"/>
          <w:b/>
          <w:lang w:val="pl-PL"/>
        </w:rPr>
        <w:t>9,9</w:t>
      </w:r>
      <w:r w:rsidRPr="009826DC">
        <w:rPr>
          <w:rFonts w:asciiTheme="minorHAnsi" w:hAnsiTheme="minorHAnsi"/>
          <w:b/>
          <w:lang w:val="pl-PL"/>
        </w:rPr>
        <w:t xml:space="preserve"> mld EUR</w:t>
      </w:r>
      <w:r w:rsidRPr="009826DC">
        <w:rPr>
          <w:rFonts w:asciiTheme="minorHAnsi" w:hAnsiTheme="minorHAnsi"/>
          <w:lang w:val="pl-PL"/>
        </w:rPr>
        <w:t xml:space="preserve">, z czego transfery do państw członkowskich wyniosły </w:t>
      </w:r>
      <w:r>
        <w:rPr>
          <w:rFonts w:asciiTheme="minorHAnsi" w:hAnsiTheme="minorHAnsi"/>
          <w:b/>
          <w:lang w:val="pl-PL"/>
        </w:rPr>
        <w:t>8,5</w:t>
      </w:r>
      <w:r w:rsidRPr="009826DC">
        <w:rPr>
          <w:rFonts w:asciiTheme="minorHAnsi" w:hAnsiTheme="minorHAnsi"/>
          <w:b/>
          <w:lang w:val="pl-PL"/>
        </w:rPr>
        <w:t xml:space="preserve"> mld EUR</w:t>
      </w:r>
      <w:r>
        <w:rPr>
          <w:rFonts w:asciiTheme="minorHAnsi" w:hAnsiTheme="minorHAnsi"/>
          <w:b/>
          <w:lang w:val="pl-PL"/>
        </w:rPr>
        <w:t xml:space="preserve"> </w:t>
      </w:r>
      <w:r w:rsidRPr="007770C8">
        <w:rPr>
          <w:rFonts w:asciiTheme="minorHAnsi" w:hAnsiTheme="minorHAnsi"/>
          <w:lang w:val="pl-PL"/>
        </w:rPr>
        <w:t>(</w:t>
      </w:r>
      <w:r w:rsidRPr="00FD6672">
        <w:rPr>
          <w:rFonts w:asciiTheme="minorHAnsi" w:hAnsiTheme="minorHAnsi"/>
          <w:lang w:val="pl-PL"/>
        </w:rPr>
        <w:t>KE statystycznie przypisuje środki do</w:t>
      </w:r>
      <w:r>
        <w:rPr>
          <w:rFonts w:asciiTheme="minorHAnsi" w:hAnsiTheme="minorHAnsi"/>
          <w:lang w:val="pl-PL"/>
        </w:rPr>
        <w:t xml:space="preserve"> państw członkowskich</w:t>
      </w:r>
      <w:r w:rsidR="00D547F6">
        <w:rPr>
          <w:rFonts w:asciiTheme="minorHAnsi" w:hAnsiTheme="minorHAnsi"/>
          <w:lang w:val="pl-PL"/>
        </w:rPr>
        <w:t>,</w:t>
      </w:r>
      <w:r>
        <w:rPr>
          <w:rFonts w:asciiTheme="minorHAnsi" w:hAnsiTheme="minorHAnsi"/>
          <w:lang w:val="pl-PL"/>
        </w:rPr>
        <w:t xml:space="preserve"> na terytorium których znajdują się instytucje UE)</w:t>
      </w:r>
      <w:r w:rsidRPr="007770C8">
        <w:rPr>
          <w:rFonts w:asciiTheme="minorHAnsi" w:hAnsiTheme="minorHAnsi"/>
          <w:lang w:val="pl-PL"/>
        </w:rPr>
        <w:t xml:space="preserve">. Najwięcej </w:t>
      </w:r>
      <w:r w:rsidRPr="009826DC">
        <w:rPr>
          <w:rFonts w:asciiTheme="minorHAnsi" w:hAnsiTheme="minorHAnsi"/>
          <w:lang w:val="pl-PL"/>
        </w:rPr>
        <w:t xml:space="preserve">środków napłynęło do Belgii i do </w:t>
      </w:r>
      <w:r>
        <w:rPr>
          <w:rFonts w:asciiTheme="minorHAnsi" w:hAnsiTheme="minorHAnsi"/>
          <w:lang w:val="pl-PL"/>
        </w:rPr>
        <w:t>Luksemburga (odpowiednio 5,2 i 1,6</w:t>
      </w:r>
      <w:r w:rsidRPr="009826DC">
        <w:rPr>
          <w:rFonts w:asciiTheme="minorHAnsi" w:hAnsiTheme="minorHAnsi"/>
          <w:lang w:val="pl-PL"/>
        </w:rPr>
        <w:t xml:space="preserve"> mld EUR).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b/>
          <w:sz w:val="10"/>
          <w:szCs w:val="10"/>
          <w:u w:val="single"/>
          <w:lang w:val="pl-PL"/>
        </w:rPr>
      </w:pPr>
    </w:p>
    <w:p w:rsidR="00D547F6" w:rsidRPr="00427769" w:rsidRDefault="00D547F6" w:rsidP="00505ED8">
      <w:pPr>
        <w:pStyle w:val="Text1"/>
        <w:spacing w:before="0" w:after="0"/>
        <w:ind w:left="0"/>
        <w:rPr>
          <w:rFonts w:asciiTheme="minorHAnsi" w:hAnsiTheme="minorHAnsi"/>
          <w:b/>
          <w:sz w:val="10"/>
          <w:szCs w:val="10"/>
          <w:u w:val="single"/>
          <w:lang w:val="pl-PL"/>
        </w:rPr>
      </w:pPr>
    </w:p>
    <w:p w:rsidR="00505ED8" w:rsidRPr="008E72EB" w:rsidRDefault="00505ED8" w:rsidP="00505ED8">
      <w:pPr>
        <w:pStyle w:val="Text1"/>
        <w:spacing w:before="0" w:after="0"/>
        <w:ind w:left="0"/>
        <w:rPr>
          <w:rFonts w:asciiTheme="minorHAnsi" w:hAnsiTheme="minorHAnsi"/>
          <w:b/>
          <w:u w:val="single"/>
          <w:lang w:val="pl-PL"/>
        </w:rPr>
      </w:pPr>
      <w:r w:rsidRPr="00937D6D">
        <w:rPr>
          <w:rFonts w:asciiTheme="minorHAnsi" w:hAnsiTheme="minorHAnsi"/>
          <w:b/>
          <w:u w:val="single"/>
          <w:lang w:val="pl-PL"/>
        </w:rPr>
        <w:t>Pozycje netto państw członkowskich</w:t>
      </w:r>
    </w:p>
    <w:p w:rsidR="00505ED8" w:rsidRDefault="00505ED8" w:rsidP="00505ED8">
      <w:pPr>
        <w:pStyle w:val="Text1"/>
        <w:spacing w:before="0" w:after="0"/>
        <w:ind w:left="0"/>
        <w:rPr>
          <w:rFonts w:asciiTheme="minorHAnsi" w:hAnsiTheme="minorHAnsi"/>
          <w:lang w:val="pl-PL"/>
        </w:rPr>
      </w:pPr>
      <w:r w:rsidRPr="009826DC">
        <w:rPr>
          <w:rFonts w:asciiTheme="minorHAnsi" w:hAnsiTheme="minorHAnsi"/>
          <w:lang w:val="pl-PL"/>
        </w:rPr>
        <w:t xml:space="preserve">Różnica całkowitych transferów z budżetu UE i składek wpłaconych do budżetu UE przez dane państwo członkowskie określana jest jako jego „pozycja netto”. Państwa, dla których wartość </w:t>
      </w:r>
      <w:r w:rsidRPr="009826DC">
        <w:rPr>
          <w:rFonts w:asciiTheme="minorHAnsi" w:hAnsiTheme="minorHAnsi"/>
          <w:lang w:val="pl-PL"/>
        </w:rPr>
        <w:br/>
        <w:t xml:space="preserve">ta jest ujemna określane są jako płatnicy netto. </w:t>
      </w:r>
      <w:r w:rsidRPr="00BC4877">
        <w:rPr>
          <w:rFonts w:asciiTheme="minorHAnsi" w:hAnsiTheme="minorHAnsi"/>
          <w:b/>
          <w:lang w:val="pl-PL"/>
        </w:rPr>
        <w:t>Poniżej przedstawiono pozycje netto państw UE w latach 2017 – 2018</w:t>
      </w:r>
      <w:r w:rsidRPr="009826DC">
        <w:rPr>
          <w:rFonts w:asciiTheme="minorHAnsi" w:hAnsiTheme="minorHAnsi"/>
          <w:lang w:val="pl-PL"/>
        </w:rPr>
        <w:t xml:space="preserve">. W kwotach bezwzględnych największym płatnikiem netto w tym okresie były Niemcy, </w:t>
      </w:r>
      <w:r w:rsidRPr="009826DC">
        <w:rPr>
          <w:rFonts w:asciiTheme="minorHAnsi" w:hAnsiTheme="minorHAnsi"/>
          <w:b/>
          <w:lang w:val="pl-PL"/>
        </w:rPr>
        <w:t>a największym beneficjentem netto była Polska.</w:t>
      </w:r>
      <w:r w:rsidRPr="009826DC">
        <w:rPr>
          <w:rFonts w:asciiTheme="minorHAnsi" w:hAnsiTheme="minorHAnsi"/>
          <w:lang w:val="pl-PL"/>
        </w:rPr>
        <w:t xml:space="preserve"> W roku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pozy</w:t>
      </w:r>
      <w:r>
        <w:rPr>
          <w:rFonts w:asciiTheme="minorHAnsi" w:hAnsiTheme="minorHAnsi"/>
          <w:lang w:val="pl-PL"/>
        </w:rPr>
        <w:t xml:space="preserve">cja netto Niemiec wyniosła </w:t>
      </w:r>
      <w:r w:rsidR="007770C8">
        <w:rPr>
          <w:rFonts w:asciiTheme="minorHAnsi" w:hAnsiTheme="minorHAnsi"/>
          <w:lang w:val="pl-PL"/>
        </w:rPr>
        <w:t xml:space="preserve">minus </w:t>
      </w:r>
      <w:r>
        <w:rPr>
          <w:rFonts w:asciiTheme="minorHAnsi" w:hAnsiTheme="minorHAnsi"/>
          <w:lang w:val="pl-PL"/>
        </w:rPr>
        <w:t>17,2</w:t>
      </w:r>
      <w:r w:rsidRPr="009826DC">
        <w:rPr>
          <w:rFonts w:asciiTheme="minorHAnsi" w:hAnsiTheme="minorHAnsi"/>
          <w:lang w:val="pl-PL"/>
        </w:rPr>
        <w:t xml:space="preserve"> mld EUR. Pozycja netto Polski w 201</w:t>
      </w:r>
      <w:r>
        <w:rPr>
          <w:rFonts w:asciiTheme="minorHAnsi" w:hAnsiTheme="minorHAnsi"/>
          <w:lang w:val="pl-PL"/>
        </w:rPr>
        <w:t>8</w:t>
      </w:r>
      <w:r w:rsidRPr="009826DC">
        <w:rPr>
          <w:rFonts w:asciiTheme="minorHAnsi" w:hAnsiTheme="minorHAnsi"/>
          <w:lang w:val="pl-PL"/>
        </w:rPr>
        <w:t xml:space="preserve"> r. wyniosła +</w:t>
      </w:r>
      <w:r>
        <w:rPr>
          <w:rFonts w:asciiTheme="minorHAnsi" w:hAnsiTheme="minorHAnsi"/>
          <w:b/>
          <w:lang w:val="pl-PL"/>
        </w:rPr>
        <w:t>11,6</w:t>
      </w:r>
      <w:r w:rsidRPr="009826DC">
        <w:rPr>
          <w:rFonts w:asciiTheme="minorHAnsi" w:hAnsiTheme="minorHAnsi"/>
          <w:b/>
          <w:lang w:val="pl-PL"/>
        </w:rPr>
        <w:t> mld EUR</w:t>
      </w:r>
      <w:r w:rsidRPr="009826DC">
        <w:rPr>
          <w:rFonts w:asciiTheme="minorHAnsi" w:hAnsiTheme="minorHAnsi"/>
          <w:lang w:val="pl-PL"/>
        </w:rPr>
        <w:t xml:space="preserve"> i</w:t>
      </w:r>
      <w:r>
        <w:rPr>
          <w:rFonts w:asciiTheme="minorHAnsi" w:hAnsiTheme="minorHAnsi"/>
          <w:lang w:val="pl-PL"/>
        </w:rPr>
        <w:t> </w:t>
      </w:r>
      <w:r w:rsidRPr="009826DC">
        <w:rPr>
          <w:rFonts w:asciiTheme="minorHAnsi" w:hAnsiTheme="minorHAnsi"/>
          <w:lang w:val="pl-PL"/>
        </w:rPr>
        <w:t>była wyższa niż w roku 201</w:t>
      </w:r>
      <w:r>
        <w:rPr>
          <w:rFonts w:asciiTheme="minorHAnsi" w:hAnsiTheme="minorHAnsi"/>
          <w:lang w:val="pl-PL"/>
        </w:rPr>
        <w:t xml:space="preserve">7 aż </w:t>
      </w:r>
      <w:r w:rsidRPr="00605CC9">
        <w:rPr>
          <w:rFonts w:asciiTheme="minorHAnsi" w:hAnsiTheme="minorHAnsi"/>
          <w:lang w:val="pl-PL"/>
        </w:rPr>
        <w:t>o 3,4 mld EUR</w:t>
      </w:r>
      <w:r w:rsidRPr="009826DC">
        <w:rPr>
          <w:rFonts w:asciiTheme="minorHAnsi" w:hAnsiTheme="minorHAnsi"/>
          <w:lang w:val="pl-PL"/>
        </w:rPr>
        <w:t xml:space="preserve"> ze wzg</w:t>
      </w:r>
      <w:r w:rsidR="007770C8">
        <w:rPr>
          <w:rFonts w:asciiTheme="minorHAnsi" w:hAnsiTheme="minorHAnsi"/>
          <w:lang w:val="pl-PL"/>
        </w:rPr>
        <w:t>lędu na wyższy napływ środków z </w:t>
      </w:r>
      <w:r w:rsidRPr="009826DC">
        <w:rPr>
          <w:rFonts w:asciiTheme="minorHAnsi" w:hAnsiTheme="minorHAnsi"/>
          <w:lang w:val="pl-PL"/>
        </w:rPr>
        <w:t>polityki spójności. Państwa, których pozycja netto w porównaniu do roku 201</w:t>
      </w:r>
      <w:r>
        <w:rPr>
          <w:rFonts w:asciiTheme="minorHAnsi" w:hAnsiTheme="minorHAnsi"/>
          <w:lang w:val="pl-PL"/>
        </w:rPr>
        <w:t>7</w:t>
      </w:r>
      <w:r w:rsidRPr="009826DC">
        <w:rPr>
          <w:rFonts w:asciiTheme="minorHAnsi" w:hAnsiTheme="minorHAnsi"/>
          <w:lang w:val="pl-PL"/>
        </w:rPr>
        <w:t xml:space="preserve"> pogorszyła się w</w:t>
      </w:r>
      <w:r>
        <w:rPr>
          <w:rFonts w:asciiTheme="minorHAnsi" w:hAnsiTheme="minorHAnsi"/>
          <w:lang w:val="pl-PL"/>
        </w:rPr>
        <w:t> </w:t>
      </w:r>
      <w:r w:rsidRPr="009826DC">
        <w:rPr>
          <w:rFonts w:asciiTheme="minorHAnsi" w:hAnsiTheme="minorHAnsi"/>
          <w:lang w:val="pl-PL"/>
        </w:rPr>
        <w:t xml:space="preserve">największym stopniu to: </w:t>
      </w:r>
      <w:r>
        <w:rPr>
          <w:rFonts w:asciiTheme="minorHAnsi" w:hAnsiTheme="minorHAnsi"/>
          <w:lang w:val="pl-PL"/>
        </w:rPr>
        <w:t xml:space="preserve">Niemcy (-4,5 mld EUR), </w:t>
      </w:r>
      <w:r w:rsidRPr="009826DC">
        <w:rPr>
          <w:rFonts w:asciiTheme="minorHAnsi" w:hAnsiTheme="minorHAnsi"/>
          <w:lang w:val="pl-PL"/>
        </w:rPr>
        <w:t xml:space="preserve"> </w:t>
      </w:r>
      <w:r>
        <w:rPr>
          <w:rFonts w:asciiTheme="minorHAnsi" w:hAnsiTheme="minorHAnsi"/>
          <w:lang w:val="pl-PL"/>
        </w:rPr>
        <w:t>Francja (-3 mld EUR) i Włochy (-2,7 mld EUR).</w:t>
      </w:r>
      <w:r w:rsidRPr="009826DC">
        <w:rPr>
          <w:rFonts w:asciiTheme="minorHAnsi" w:hAnsiTheme="minorHAnsi"/>
          <w:lang w:val="pl-PL"/>
        </w:rPr>
        <w:t xml:space="preserve"> Największą poprawę swych pozycji netto </w:t>
      </w:r>
      <w:r>
        <w:rPr>
          <w:rFonts w:asciiTheme="minorHAnsi" w:hAnsiTheme="minorHAnsi"/>
          <w:lang w:val="pl-PL"/>
        </w:rPr>
        <w:t xml:space="preserve">oprócz Polski </w:t>
      </w:r>
      <w:r w:rsidRPr="009826DC">
        <w:rPr>
          <w:rFonts w:asciiTheme="minorHAnsi" w:hAnsiTheme="minorHAnsi"/>
          <w:lang w:val="pl-PL"/>
        </w:rPr>
        <w:t xml:space="preserve">odnotowały: </w:t>
      </w:r>
      <w:r>
        <w:rPr>
          <w:rFonts w:asciiTheme="minorHAnsi" w:hAnsiTheme="minorHAnsi"/>
          <w:lang w:val="pl-PL"/>
        </w:rPr>
        <w:t>Węgry (+1,9 mld EUR) i Portugalia (+0,7 mld EUR)</w:t>
      </w:r>
      <w:r w:rsidR="007770C8">
        <w:rPr>
          <w:rFonts w:asciiTheme="minorHAnsi" w:hAnsiTheme="minorHAnsi"/>
          <w:lang w:val="pl-PL"/>
        </w:rPr>
        <w:t>.</w:t>
      </w:r>
    </w:p>
    <w:p w:rsidR="00505ED8" w:rsidRPr="003358EA" w:rsidRDefault="00505ED8" w:rsidP="00505ED8">
      <w:pPr>
        <w:pStyle w:val="Text1"/>
        <w:spacing w:before="0" w:after="0"/>
        <w:ind w:left="0"/>
        <w:rPr>
          <w:rFonts w:asciiTheme="minorHAnsi" w:hAnsiTheme="minorHAnsi"/>
          <w:sz w:val="16"/>
          <w:szCs w:val="16"/>
          <w:lang w:val="pl-PL"/>
        </w:rPr>
      </w:pPr>
    </w:p>
    <w:p w:rsidR="00505ED8" w:rsidRPr="003358EA" w:rsidRDefault="00505ED8" w:rsidP="00505ED8">
      <w:pPr>
        <w:pStyle w:val="Text1"/>
        <w:spacing w:before="0" w:after="0" w:line="264" w:lineRule="auto"/>
        <w:ind w:left="-284"/>
        <w:rPr>
          <w:rFonts w:asciiTheme="minorHAnsi" w:hAnsiTheme="minorHAnsi"/>
          <w:lang w:val="pl-PL"/>
        </w:rPr>
      </w:pPr>
      <w:r>
        <w:rPr>
          <w:rFonts w:asciiTheme="minorHAnsi" w:hAnsiTheme="minorHAnsi"/>
          <w:noProof/>
          <w:lang w:val="pl-PL" w:eastAsia="pl-PL"/>
        </w:rPr>
        <w:drawing>
          <wp:inline distT="0" distB="0" distL="0" distR="0" wp14:anchorId="1C633899" wp14:editId="257F06C6">
            <wp:extent cx="6337005" cy="3774440"/>
            <wp:effectExtent l="0" t="0" r="6985" b="0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wykres 3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3564" cy="3790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5ED8" w:rsidRPr="003516B4" w:rsidRDefault="00505ED8" w:rsidP="00505ED8">
      <w:pPr>
        <w:spacing w:line="264" w:lineRule="auto"/>
        <w:ind w:left="720" w:hanging="720"/>
        <w:jc w:val="both"/>
        <w:rPr>
          <w:rFonts w:asciiTheme="minorHAnsi" w:hAnsiTheme="minorHAnsi"/>
        </w:rPr>
      </w:pPr>
      <w:r w:rsidRPr="003516B4">
        <w:rPr>
          <w:rFonts w:asciiTheme="minorHAnsi" w:eastAsia="Calibri" w:hAnsiTheme="minorHAnsi"/>
          <w:b/>
          <w:u w:val="single"/>
          <w:lang w:eastAsia="pl-PL"/>
        </w:rPr>
        <w:lastRenderedPageBreak/>
        <w:t>II.</w:t>
      </w:r>
      <w:r>
        <w:rPr>
          <w:rFonts w:asciiTheme="minorHAnsi" w:eastAsia="Calibri" w:hAnsiTheme="minorHAnsi"/>
          <w:b/>
          <w:u w:val="single"/>
          <w:lang w:eastAsia="pl-PL"/>
        </w:rPr>
        <w:t>3</w:t>
      </w:r>
      <w:r w:rsidRPr="003516B4">
        <w:rPr>
          <w:rFonts w:asciiTheme="minorHAnsi" w:eastAsia="Calibri" w:hAnsiTheme="minorHAnsi"/>
          <w:b/>
          <w:u w:val="single"/>
          <w:lang w:eastAsia="pl-PL"/>
        </w:rPr>
        <w:tab/>
      </w:r>
      <w:r w:rsidRPr="003516B4">
        <w:rPr>
          <w:rFonts w:asciiTheme="minorHAnsi" w:hAnsiTheme="minorHAnsi"/>
          <w:b/>
          <w:u w:val="single"/>
        </w:rPr>
        <w:t>Informacja KE nt. płatności pośrednich dla Europejskich Funduszy Strukturalnych</w:t>
      </w:r>
      <w:r w:rsidRPr="003516B4">
        <w:rPr>
          <w:rFonts w:asciiTheme="minorHAnsi" w:hAnsiTheme="minorHAnsi"/>
          <w:b/>
        </w:rPr>
        <w:t xml:space="preserve"> </w:t>
      </w:r>
      <w:r w:rsidRPr="003516B4">
        <w:rPr>
          <w:rFonts w:asciiTheme="minorHAnsi" w:hAnsiTheme="minorHAnsi"/>
          <w:b/>
          <w:u w:val="single"/>
        </w:rPr>
        <w:t>i Inwestycyjnych</w:t>
      </w:r>
      <w:r w:rsidRPr="003516B4">
        <w:rPr>
          <w:rStyle w:val="Odwoanieprzypisudolnego"/>
          <w:rFonts w:asciiTheme="minorHAnsi" w:hAnsiTheme="minorHAnsi"/>
          <w:b/>
          <w:u w:val="single"/>
        </w:rPr>
        <w:footnoteReference w:id="3"/>
      </w:r>
      <w:r w:rsidRPr="003516B4">
        <w:rPr>
          <w:rFonts w:asciiTheme="minorHAnsi" w:hAnsiTheme="minorHAnsi"/>
          <w:b/>
          <w:u w:val="single"/>
        </w:rPr>
        <w:t xml:space="preserve"> (EFSI), w ramach alokacji 2014 – 2020 na koniec </w:t>
      </w:r>
      <w:r>
        <w:rPr>
          <w:rFonts w:asciiTheme="minorHAnsi" w:hAnsiTheme="minorHAnsi"/>
          <w:b/>
          <w:u w:val="single"/>
        </w:rPr>
        <w:t>października</w:t>
      </w:r>
      <w:r w:rsidRPr="003516B4">
        <w:rPr>
          <w:rFonts w:asciiTheme="minorHAnsi" w:hAnsiTheme="minorHAnsi"/>
          <w:b/>
          <w:u w:val="single"/>
        </w:rPr>
        <w:t xml:space="preserve"> 2019 r.</w:t>
      </w:r>
    </w:p>
    <w:p w:rsidR="00505ED8" w:rsidRPr="0081486B" w:rsidRDefault="00505ED8" w:rsidP="00505ED8">
      <w:pPr>
        <w:spacing w:line="264" w:lineRule="auto"/>
        <w:jc w:val="both"/>
        <w:rPr>
          <w:rFonts w:asciiTheme="minorHAnsi" w:hAnsiTheme="minorHAnsi"/>
          <w:sz w:val="12"/>
          <w:szCs w:val="12"/>
        </w:rPr>
      </w:pPr>
    </w:p>
    <w:p w:rsidR="00505ED8" w:rsidRDefault="00505ED8" w:rsidP="00505ED8">
      <w:pPr>
        <w:jc w:val="both"/>
        <w:rPr>
          <w:rFonts w:asciiTheme="minorHAnsi" w:hAnsiTheme="minorHAnsi"/>
        </w:rPr>
      </w:pPr>
      <w:r w:rsidRPr="003516B4">
        <w:rPr>
          <w:rFonts w:asciiTheme="minorHAnsi" w:hAnsiTheme="minorHAnsi"/>
        </w:rPr>
        <w:t xml:space="preserve">Poniższa tabela zawiera informacje nt. płatności pośrednich dla programów EFSI w podziale na państwa członkowskie (P.Cz.). Od roku 2014 w formie płatności pośrednich </w:t>
      </w:r>
      <w:r>
        <w:rPr>
          <w:rFonts w:asciiTheme="minorHAnsi" w:hAnsiTheme="minorHAnsi"/>
        </w:rPr>
        <w:t xml:space="preserve">za zobowiązania z okresu programowania 2014-2020 </w:t>
      </w:r>
      <w:r w:rsidRPr="003516B4">
        <w:rPr>
          <w:rFonts w:asciiTheme="minorHAnsi" w:hAnsiTheme="minorHAnsi"/>
        </w:rPr>
        <w:t xml:space="preserve">do P.Cz. napłynęło </w:t>
      </w:r>
      <w:r>
        <w:rPr>
          <w:rFonts w:asciiTheme="minorHAnsi" w:hAnsiTheme="minorHAnsi"/>
          <w:b/>
        </w:rPr>
        <w:t>140,2</w:t>
      </w:r>
      <w:r>
        <w:rPr>
          <w:rFonts w:asciiTheme="minorHAnsi" w:hAnsiTheme="minorHAnsi"/>
        </w:rPr>
        <w:t xml:space="preserve"> </w:t>
      </w:r>
      <w:r w:rsidRPr="003516B4">
        <w:rPr>
          <w:rFonts w:asciiTheme="minorHAnsi" w:hAnsiTheme="minorHAnsi"/>
          <w:b/>
        </w:rPr>
        <w:t>mld EUR</w:t>
      </w:r>
      <w:r w:rsidRPr="003516B4">
        <w:rPr>
          <w:rFonts w:asciiTheme="minorHAnsi" w:hAnsiTheme="minorHAnsi"/>
        </w:rPr>
        <w:t>. W samym roku 2019 płatności te wyniosły</w:t>
      </w:r>
      <w:r w:rsidRPr="003516B4">
        <w:rPr>
          <w:rFonts w:asciiTheme="minorHAnsi" w:hAnsiTheme="minorHAnsi"/>
          <w:b/>
        </w:rPr>
        <w:t xml:space="preserve"> </w:t>
      </w:r>
      <w:r>
        <w:rPr>
          <w:rFonts w:asciiTheme="minorHAnsi" w:hAnsiTheme="minorHAnsi"/>
          <w:b/>
        </w:rPr>
        <w:t xml:space="preserve">38,4 </w:t>
      </w:r>
      <w:r w:rsidRPr="003516B4">
        <w:rPr>
          <w:rFonts w:asciiTheme="minorHAnsi" w:hAnsiTheme="minorHAnsi"/>
          <w:b/>
        </w:rPr>
        <w:t>mld EUR.</w:t>
      </w:r>
      <w:r w:rsidRPr="003516B4">
        <w:rPr>
          <w:rFonts w:asciiTheme="minorHAnsi" w:hAnsiTheme="minorHAnsi"/>
        </w:rPr>
        <w:t xml:space="preserve"> Od roku 2014 do Polski napłynęło najwięcej środków: </w:t>
      </w:r>
      <w:r w:rsidRPr="003516B4">
        <w:rPr>
          <w:rFonts w:asciiTheme="minorHAnsi" w:hAnsiTheme="minorHAnsi"/>
          <w:b/>
        </w:rPr>
        <w:t>2</w:t>
      </w:r>
      <w:r>
        <w:rPr>
          <w:rFonts w:asciiTheme="minorHAnsi" w:hAnsiTheme="minorHAnsi"/>
          <w:b/>
        </w:rPr>
        <w:t>8,3</w:t>
      </w:r>
      <w:r>
        <w:rPr>
          <w:rFonts w:asciiTheme="minorHAnsi" w:hAnsiTheme="minorHAnsi"/>
        </w:rPr>
        <w:t> </w:t>
      </w:r>
      <w:r w:rsidRPr="003516B4">
        <w:rPr>
          <w:rFonts w:asciiTheme="minorHAnsi" w:hAnsiTheme="minorHAnsi"/>
          <w:b/>
        </w:rPr>
        <w:t>mld EUR</w:t>
      </w:r>
      <w:r w:rsidRPr="003516B4">
        <w:rPr>
          <w:rFonts w:asciiTheme="minorHAnsi" w:hAnsiTheme="minorHAnsi"/>
        </w:rPr>
        <w:t>, co stanowi 20</w:t>
      </w:r>
      <w:r w:rsidRPr="003516B4">
        <w:rPr>
          <w:rFonts w:asciiTheme="minorHAnsi" w:hAnsiTheme="minorHAnsi"/>
          <w:b/>
        </w:rPr>
        <w:t>%</w:t>
      </w:r>
      <w:r>
        <w:rPr>
          <w:rFonts w:asciiTheme="minorHAnsi" w:hAnsiTheme="minorHAnsi"/>
        </w:rPr>
        <w:t xml:space="preserve"> </w:t>
      </w:r>
      <w:r w:rsidRPr="003516B4">
        <w:rPr>
          <w:rFonts w:asciiTheme="minorHAnsi" w:hAnsiTheme="minorHAnsi"/>
        </w:rPr>
        <w:t>kwoty płatności pośrednich dotychczas przekazanych P.Cz.</w:t>
      </w:r>
    </w:p>
    <w:p w:rsidR="00505ED8" w:rsidRPr="003358EA" w:rsidRDefault="00505ED8" w:rsidP="00505ED8">
      <w:pPr>
        <w:jc w:val="both"/>
        <w:rPr>
          <w:rFonts w:asciiTheme="minorHAnsi" w:hAnsiTheme="minorHAnsi"/>
          <w:sz w:val="10"/>
          <w:szCs w:val="10"/>
        </w:rPr>
      </w:pPr>
    </w:p>
    <w:p w:rsidR="00505ED8" w:rsidRDefault="00505ED8" w:rsidP="00505ED8">
      <w:pPr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Płatności pośrednie</w:t>
      </w:r>
      <w:r w:rsidRPr="003516B4">
        <w:rPr>
          <w:rFonts w:asciiTheme="minorHAnsi" w:hAnsiTheme="minorHAnsi"/>
        </w:rPr>
        <w:t xml:space="preserve"> dla programów EFSI</w:t>
      </w:r>
      <w:r>
        <w:rPr>
          <w:rFonts w:asciiTheme="minorHAnsi" w:hAnsiTheme="minorHAnsi"/>
        </w:rPr>
        <w:t>.</w:t>
      </w:r>
    </w:p>
    <w:p w:rsidR="00505ED8" w:rsidRPr="003358EA" w:rsidRDefault="00505ED8" w:rsidP="00505ED8">
      <w:pPr>
        <w:spacing w:line="288" w:lineRule="auto"/>
        <w:jc w:val="both"/>
        <w:rPr>
          <w:rFonts w:asciiTheme="minorHAnsi" w:hAnsiTheme="minorHAnsi"/>
          <w:sz w:val="2"/>
          <w:szCs w:val="2"/>
        </w:rPr>
      </w:pPr>
    </w:p>
    <w:tbl>
      <w:tblPr>
        <w:tblW w:w="93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89"/>
        <w:gridCol w:w="1275"/>
        <w:gridCol w:w="1276"/>
        <w:gridCol w:w="2131"/>
        <w:gridCol w:w="1984"/>
      </w:tblGrid>
      <w:tr w:rsidR="00505ED8" w:rsidRPr="003516B4" w:rsidTr="00A9562D">
        <w:trPr>
          <w:trHeight w:hRule="exact" w:val="579"/>
          <w:jc w:val="center"/>
        </w:trPr>
        <w:tc>
          <w:tcPr>
            <w:tcW w:w="2689" w:type="dxa"/>
            <w:vMerge w:val="restart"/>
            <w:shd w:val="clear" w:color="auto" w:fill="auto"/>
            <w:hideMark/>
          </w:tcPr>
          <w:p w:rsidR="00505ED8" w:rsidRPr="003516B4" w:rsidRDefault="00505ED8" w:rsidP="00A9562D">
            <w:pPr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</w:pPr>
            <w:r w:rsidRPr="003516B4">
              <w:rPr>
                <w:rFonts w:asciiTheme="minorHAnsi" w:eastAsia="Times New Roman" w:hAnsiTheme="minorHAnsi"/>
                <w:i/>
                <w:sz w:val="22"/>
                <w:szCs w:val="22"/>
                <w:lang w:eastAsia="pl-PL"/>
              </w:rPr>
              <w:t>(W mln EUR)</w:t>
            </w:r>
          </w:p>
        </w:tc>
        <w:tc>
          <w:tcPr>
            <w:tcW w:w="1275" w:type="dxa"/>
            <w:vMerge w:val="restart"/>
            <w:shd w:val="clear" w:color="auto" w:fill="auto"/>
            <w:vAlign w:val="center"/>
            <w:hideMark/>
          </w:tcPr>
          <w:p w:rsidR="00505ED8" w:rsidRPr="003516B4" w:rsidRDefault="00505ED8" w:rsidP="00A9562D">
            <w:pPr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eastAsia="Times New Roman" w:hAnsiTheme="minorHAnsi"/>
                <w:lang w:eastAsia="pl-PL"/>
              </w:rPr>
              <w:t>Całkowita alokacja</w:t>
            </w:r>
          </w:p>
        </w:tc>
        <w:tc>
          <w:tcPr>
            <w:tcW w:w="3407" w:type="dxa"/>
            <w:gridSpan w:val="2"/>
            <w:shd w:val="clear" w:color="auto" w:fill="auto"/>
            <w:vAlign w:val="center"/>
            <w:hideMark/>
          </w:tcPr>
          <w:p w:rsidR="00505ED8" w:rsidRPr="008E2501" w:rsidRDefault="00505ED8" w:rsidP="00A9562D">
            <w:pPr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8E2501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Płatności pośrednie w latach</w:t>
            </w:r>
          </w:p>
          <w:p w:rsidR="00505ED8" w:rsidRPr="003516B4" w:rsidRDefault="00505ED8" w:rsidP="00A9562D">
            <w:pPr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8E2501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2014 - 2019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505ED8" w:rsidRPr="003516B4" w:rsidRDefault="00505ED8" w:rsidP="00A9562D">
            <w:pPr>
              <w:jc w:val="center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eastAsia="Times New Roman" w:hAnsiTheme="minorHAnsi"/>
                <w:lang w:eastAsia="pl-PL"/>
              </w:rPr>
              <w:t>W tym płatności pośrednie w roku 2019</w:t>
            </w:r>
          </w:p>
        </w:tc>
      </w:tr>
      <w:tr w:rsidR="00505ED8" w:rsidRPr="003516B4" w:rsidTr="00A9562D">
        <w:trPr>
          <w:trHeight w:hRule="exact" w:val="561"/>
          <w:jc w:val="center"/>
        </w:trPr>
        <w:tc>
          <w:tcPr>
            <w:tcW w:w="2689" w:type="dxa"/>
            <w:vMerge/>
            <w:shd w:val="clear" w:color="auto" w:fill="auto"/>
            <w:vAlign w:val="center"/>
            <w:hideMark/>
          </w:tcPr>
          <w:p w:rsidR="00505ED8" w:rsidRPr="003516B4" w:rsidRDefault="00505ED8" w:rsidP="00A9562D">
            <w:pPr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275" w:type="dxa"/>
            <w:vMerge/>
            <w:shd w:val="clear" w:color="auto" w:fill="auto"/>
            <w:vAlign w:val="center"/>
            <w:hideMark/>
          </w:tcPr>
          <w:p w:rsidR="00505ED8" w:rsidRPr="003516B4" w:rsidRDefault="00505ED8" w:rsidP="00A9562D">
            <w:pPr>
              <w:rPr>
                <w:rFonts w:asciiTheme="minorHAnsi" w:eastAsia="Times New Roman" w:hAnsiTheme="minorHAnsi"/>
                <w:lang w:eastAsia="pl-PL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505ED8" w:rsidRPr="008E2501" w:rsidRDefault="00505ED8" w:rsidP="00A9562D">
            <w:pPr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8E2501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Kwota</w:t>
            </w:r>
          </w:p>
        </w:tc>
        <w:tc>
          <w:tcPr>
            <w:tcW w:w="2131" w:type="dxa"/>
            <w:shd w:val="clear" w:color="auto" w:fill="auto"/>
            <w:vAlign w:val="center"/>
            <w:hideMark/>
          </w:tcPr>
          <w:p w:rsidR="00505ED8" w:rsidRPr="008E2501" w:rsidRDefault="00505ED8" w:rsidP="00A9562D">
            <w:pPr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8E2501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 xml:space="preserve">Jako % płatności </w:t>
            </w:r>
          </w:p>
          <w:p w:rsidR="00505ED8" w:rsidRPr="008E2501" w:rsidRDefault="00505ED8" w:rsidP="00A9562D">
            <w:pPr>
              <w:jc w:val="center"/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</w:pPr>
            <w:r w:rsidRPr="008E2501">
              <w:rPr>
                <w:rFonts w:asciiTheme="minorHAnsi" w:eastAsia="Times New Roman" w:hAnsiTheme="minorHAnsi"/>
                <w:sz w:val="22"/>
                <w:szCs w:val="22"/>
                <w:lang w:eastAsia="pl-PL"/>
              </w:rPr>
              <w:t>dla P.Cz.</w:t>
            </w:r>
          </w:p>
        </w:tc>
        <w:tc>
          <w:tcPr>
            <w:tcW w:w="1984" w:type="dxa"/>
            <w:vMerge/>
            <w:shd w:val="clear" w:color="auto" w:fill="auto"/>
            <w:vAlign w:val="center"/>
            <w:hideMark/>
          </w:tcPr>
          <w:p w:rsidR="00505ED8" w:rsidRPr="003516B4" w:rsidRDefault="00505ED8" w:rsidP="00A9562D">
            <w:pPr>
              <w:rPr>
                <w:rFonts w:asciiTheme="minorHAnsi" w:eastAsia="Times New Roman" w:hAnsiTheme="minorHAnsi"/>
                <w:lang w:eastAsia="pl-PL"/>
              </w:rPr>
            </w:pP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rPr>
                <w:rFonts w:asciiTheme="minorHAnsi" w:eastAsia="Times New Roman" w:hAnsiTheme="minorHAnsi"/>
                <w:b/>
                <w:lang w:eastAsia="pl-PL"/>
              </w:rPr>
            </w:pPr>
            <w:r w:rsidRPr="003516B4">
              <w:rPr>
                <w:rFonts w:asciiTheme="minorHAnsi" w:hAnsiTheme="minorHAnsi" w:cs="Arial"/>
                <w:b/>
                <w:bCs/>
              </w:rPr>
              <w:t>Polska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b/>
                <w:bCs/>
                <w:lang w:eastAsia="pl-PL"/>
              </w:rPr>
            </w:pPr>
            <w:r>
              <w:rPr>
                <w:rFonts w:ascii="Calibri" w:hAnsi="Calibri" w:cs="Arial"/>
                <w:b/>
                <w:bCs/>
              </w:rPr>
              <w:t>86 582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28 274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8 601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Włochy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45 301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9 660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2 831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Hiszpania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40 512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9 333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2 473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Rumunia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31 324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8 083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1 890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Niemcy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28 014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8 809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2 281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Francja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28 021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10 104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2 743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Portugalia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26 033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9 959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7%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2 497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Węgry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25 107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8 049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1 461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Czechy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23 888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6 982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5%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2 202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Grecja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21 663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6 128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1 290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Wlk. Brytania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16 429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5 721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1 944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Słowacja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15 192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3 846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3%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934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  <w:bCs/>
              </w:rPr>
              <w:t>Chorwacja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10 764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2 167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959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Bułgaria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9 974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2 910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918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Współpraca terytorialna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9 410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1 857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847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Litwa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8 514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2 850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503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Łotwa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5 675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2 041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782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Austria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4 941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2 517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594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Estonia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4 432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1 741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444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Słowenia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3 949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1 148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385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Finlandia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3 788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2 190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355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Szwecja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3 635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1 490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385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Irlandia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3 384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1 703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323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Belgia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2 816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865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0,6%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265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Holandia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1 951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608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170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Dania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1 551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525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0,4%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153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Cypr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921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339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76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Malta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832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220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0,2%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99</w:t>
            </w:r>
          </w:p>
        </w:tc>
      </w:tr>
      <w:tr w:rsidR="00505ED8" w:rsidRPr="003516B4" w:rsidTr="00A9562D">
        <w:trPr>
          <w:trHeight w:hRule="exact" w:val="284"/>
          <w:jc w:val="center"/>
        </w:trPr>
        <w:tc>
          <w:tcPr>
            <w:tcW w:w="2689" w:type="dxa"/>
            <w:shd w:val="clear" w:color="auto" w:fill="auto"/>
            <w:noWrap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lang w:eastAsia="pl-PL"/>
              </w:rPr>
            </w:pPr>
            <w:r w:rsidRPr="003516B4">
              <w:rPr>
                <w:rFonts w:asciiTheme="minorHAnsi" w:hAnsiTheme="minorHAnsi" w:cs="Arial"/>
              </w:rPr>
              <w:t>Luksemburg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144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73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0,1%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15</w:t>
            </w:r>
          </w:p>
        </w:tc>
      </w:tr>
      <w:tr w:rsidR="00505ED8" w:rsidRPr="003516B4" w:rsidTr="00A9562D">
        <w:trPr>
          <w:trHeight w:hRule="exact" w:val="340"/>
          <w:jc w:val="center"/>
        </w:trPr>
        <w:tc>
          <w:tcPr>
            <w:tcW w:w="2689" w:type="dxa"/>
            <w:shd w:val="clear" w:color="auto" w:fill="auto"/>
            <w:vAlign w:val="center"/>
            <w:hideMark/>
          </w:tcPr>
          <w:p w:rsidR="00505ED8" w:rsidRPr="003516B4" w:rsidRDefault="00505ED8" w:rsidP="00A9562D">
            <w:pPr>
              <w:spacing w:line="264" w:lineRule="auto"/>
              <w:rPr>
                <w:rFonts w:asciiTheme="minorHAnsi" w:eastAsia="Times New Roman" w:hAnsiTheme="minorHAnsi"/>
                <w:b/>
                <w:lang w:eastAsia="pl-PL"/>
              </w:rPr>
            </w:pPr>
            <w:r w:rsidRPr="003516B4">
              <w:rPr>
                <w:rFonts w:asciiTheme="minorHAnsi" w:hAnsiTheme="minorHAnsi" w:cs="Arial"/>
                <w:b/>
                <w:bCs/>
              </w:rPr>
              <w:t>RAZEM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464 747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140 192</w:t>
            </w:r>
          </w:p>
        </w:tc>
        <w:tc>
          <w:tcPr>
            <w:tcW w:w="2131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color w:val="000000"/>
              </w:rPr>
            </w:pPr>
            <w:r>
              <w:rPr>
                <w:rFonts w:ascii="Calibri" w:hAnsi="Calibri" w:cs="Arial"/>
                <w:color w:val="000000"/>
              </w:rPr>
              <w:t>100%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05ED8" w:rsidRDefault="00505ED8" w:rsidP="00A9562D">
            <w:pPr>
              <w:jc w:val="center"/>
              <w:rPr>
                <w:rFonts w:ascii="Calibri" w:hAnsi="Calibri" w:cs="Arial"/>
                <w:b/>
                <w:bCs/>
              </w:rPr>
            </w:pPr>
            <w:r>
              <w:rPr>
                <w:rFonts w:ascii="Calibri" w:hAnsi="Calibri" w:cs="Arial"/>
                <w:b/>
                <w:bCs/>
              </w:rPr>
              <w:t>38 420</w:t>
            </w:r>
          </w:p>
        </w:tc>
      </w:tr>
    </w:tbl>
    <w:p w:rsidR="005524EF" w:rsidRDefault="005524EF" w:rsidP="005524EF">
      <w:pPr>
        <w:pStyle w:val="Tekstpodstawowy"/>
        <w:spacing w:line="264" w:lineRule="auto"/>
        <w:rPr>
          <w:rFonts w:asciiTheme="minorHAnsi" w:hAnsiTheme="minorHAnsi"/>
          <w:b/>
          <w:szCs w:val="24"/>
          <w:u w:val="single"/>
        </w:rPr>
      </w:pPr>
    </w:p>
    <w:sectPr w:rsidR="005524EF" w:rsidSect="00AD0BA8">
      <w:footerReference w:type="default" r:id="rId18"/>
      <w:footerReference w:type="first" r:id="rId19"/>
      <w:pgSz w:w="11900" w:h="16840"/>
      <w:pgMar w:top="1701" w:right="1134" w:bottom="1701" w:left="1418" w:header="709" w:footer="709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34B5" w:rsidRDefault="006134B5">
      <w:r>
        <w:separator/>
      </w:r>
    </w:p>
  </w:endnote>
  <w:endnote w:type="continuationSeparator" w:id="0">
    <w:p w:rsidR="006134B5" w:rsidRDefault="00613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0BA8" w:rsidRDefault="00AD0BA8" w:rsidP="00AD0BA8">
    <w:pPr>
      <w:pStyle w:val="Stopka"/>
      <w:jc w:val="right"/>
      <w:rPr>
        <w:rFonts w:ascii="Arial" w:hAnsi="Arial" w:cs="Arial"/>
        <w:color w:val="7F7F7F"/>
        <w:sz w:val="16"/>
        <w:szCs w:val="16"/>
      </w:rPr>
    </w:pPr>
    <w:r>
      <w:rPr>
        <w:rFonts w:ascii="Arial" w:hAnsi="Arial" w:cs="Arial"/>
        <w:color w:val="7F7F7F"/>
        <w:sz w:val="16"/>
        <w:szCs w:val="16"/>
      </w:rPr>
      <w:fldChar w:fldCharType="begin"/>
    </w:r>
    <w:r>
      <w:rPr>
        <w:rFonts w:ascii="Arial" w:hAnsi="Arial" w:cs="Arial"/>
        <w:color w:val="7F7F7F"/>
        <w:sz w:val="16"/>
        <w:szCs w:val="16"/>
      </w:rPr>
      <w:instrText xml:space="preserve"> PAGE   \* MERGEFORMAT </w:instrText>
    </w:r>
    <w:r>
      <w:rPr>
        <w:rFonts w:ascii="Arial" w:hAnsi="Arial" w:cs="Arial"/>
        <w:color w:val="7F7F7F"/>
        <w:sz w:val="16"/>
        <w:szCs w:val="16"/>
      </w:rPr>
      <w:fldChar w:fldCharType="separate"/>
    </w:r>
    <w:r w:rsidR="008A19C6">
      <w:rPr>
        <w:rFonts w:ascii="Arial" w:hAnsi="Arial" w:cs="Arial"/>
        <w:noProof/>
        <w:color w:val="7F7F7F"/>
        <w:sz w:val="16"/>
        <w:szCs w:val="16"/>
      </w:rPr>
      <w:t>4</w:t>
    </w:r>
    <w:r>
      <w:rPr>
        <w:rFonts w:ascii="Arial" w:hAnsi="Arial" w:cs="Arial"/>
        <w:color w:val="7F7F7F"/>
        <w:sz w:val="16"/>
        <w:szCs w:val="16"/>
      </w:rPr>
      <w:fldChar w:fldCharType="end"/>
    </w:r>
  </w:p>
  <w:p w:rsidR="00AD0BA8" w:rsidRDefault="00AD0BA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0BA8" w:rsidRDefault="00AD0BA8">
    <w:pPr>
      <w:pStyle w:val="Stopka"/>
    </w:pPr>
  </w:p>
  <w:p w:rsidR="00AD0BA8" w:rsidRDefault="00AD0BA8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-6985</wp:posOffset>
              </wp:positionH>
              <wp:positionV relativeFrom="paragraph">
                <wp:posOffset>175895</wp:posOffset>
              </wp:positionV>
              <wp:extent cx="5907405" cy="291465"/>
              <wp:effectExtent l="2540" t="4445" r="0" b="0"/>
              <wp:wrapNone/>
              <wp:docPr id="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07405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D0BA8" w:rsidRDefault="00AD0BA8" w:rsidP="000E7A19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</w:pPr>
                          <w:r w:rsidRPr="00731DF8"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>O</w:t>
                          </w:r>
                          <w:bookmarkStart w:id="2" w:name="ezdAutorNazwa"/>
                          <w: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 xml:space="preserve">pracowanie: </w:t>
                          </w:r>
                          <w:r w:rsidRPr="00731DF8"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>Bernard Rumowski</w:t>
                          </w:r>
                          <w:bookmarkStart w:id="3" w:name="ezdAutorStanowisko"/>
                          <w:bookmarkEnd w:id="2"/>
                          <w: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 xml:space="preserve"> | Główny S</w:t>
                          </w:r>
                          <w:r w:rsidRPr="00731DF8"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>pecjalista</w:t>
                          </w:r>
                          <w:bookmarkEnd w:id="3"/>
                          <w: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731DF8"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>| Departam</w:t>
                          </w:r>
                          <w:r>
                            <w:rPr>
                              <w:rFonts w:ascii="Arial" w:hAnsi="Arial" w:cs="Arial"/>
                              <w:color w:val="919195"/>
                              <w:sz w:val="16"/>
                              <w:szCs w:val="16"/>
                            </w:rPr>
                            <w:t xml:space="preserve">ent Współpracy Międzynarodowej </w:t>
                          </w:r>
                        </w:p>
                        <w:p w:rsidR="00AD0BA8" w:rsidRPr="000E7A19" w:rsidRDefault="00AD0BA8" w:rsidP="00AD0BA8">
                          <w:pPr>
                            <w:rPr>
                              <w:rFonts w:ascii="Arial" w:hAnsi="Arial" w:cs="Arial"/>
                              <w:color w:val="919195"/>
                              <w:sz w:val="16"/>
                              <w:szCs w:val="12"/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-.55pt;margin-top:13.85pt;width:465.15pt;height:22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" filled="f" stroked="f">
              <v:textbox inset="0,0,0,0">
                <w:txbxContent>
                  <w:p w:rsidR="00AD0BA8" w:rsidRDefault="00AD0BA8" w:rsidP="000E7A19">
                    <w:pP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</w:pPr>
                    <w:r w:rsidRPr="00731DF8"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>O</w:t>
                    </w:r>
                    <w:bookmarkStart w:id="4" w:name="ezdAutorNazwa"/>
                    <w: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 xml:space="preserve">pracowanie: </w:t>
                    </w:r>
                    <w:r w:rsidRPr="00731DF8"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>Bernard Rumowski</w:t>
                    </w:r>
                    <w:bookmarkStart w:id="5" w:name="ezdAutorStanowisko"/>
                    <w:bookmarkEnd w:id="4"/>
                    <w: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 xml:space="preserve"> | Główny S</w:t>
                    </w:r>
                    <w:r w:rsidRPr="00731DF8"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>pecjalista</w:t>
                    </w:r>
                    <w:bookmarkEnd w:id="5"/>
                    <w: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 xml:space="preserve"> </w:t>
                    </w:r>
                    <w:r w:rsidRPr="00731DF8"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>| Departam</w:t>
                    </w:r>
                    <w:r>
                      <w:rPr>
                        <w:rFonts w:ascii="Arial" w:hAnsi="Arial" w:cs="Arial"/>
                        <w:color w:val="919195"/>
                        <w:sz w:val="16"/>
                        <w:szCs w:val="16"/>
                      </w:rPr>
                      <w:t xml:space="preserve">ent Współpracy Międzynarodowej </w:t>
                    </w:r>
                  </w:p>
                  <w:p w:rsidR="00AD0BA8" w:rsidRPr="000E7A19" w:rsidRDefault="00AD0BA8" w:rsidP="00AD0BA8">
                    <w:pPr>
                      <w:rPr>
                        <w:rFonts w:ascii="Arial" w:hAnsi="Arial" w:cs="Arial"/>
                        <w:color w:val="919195"/>
                        <w:sz w:val="16"/>
                        <w:szCs w:val="12"/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-6350</wp:posOffset>
              </wp:positionH>
              <wp:positionV relativeFrom="paragraph">
                <wp:posOffset>113665</wp:posOffset>
              </wp:positionV>
              <wp:extent cx="5906770" cy="0"/>
              <wp:effectExtent l="12700" t="18415" r="14605" b="10160"/>
              <wp:wrapNone/>
              <wp:docPr id="17" name="AutoShap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677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C9CAC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9CF74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9" o:spid="_x0000_s1026" type="#_x0000_t32" style="position:absolute;margin-left:-.5pt;margin-top:8.95pt;width:465.1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" strokecolor="#c9cacc" strokeweight="1.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34B5" w:rsidRDefault="006134B5">
      <w:r>
        <w:separator/>
      </w:r>
    </w:p>
  </w:footnote>
  <w:footnote w:type="continuationSeparator" w:id="0">
    <w:p w:rsidR="006134B5" w:rsidRDefault="006134B5">
      <w:r>
        <w:continuationSeparator/>
      </w:r>
    </w:p>
  </w:footnote>
  <w:footnote w:id="1">
    <w:p w:rsidR="00505ED8" w:rsidRPr="006D00E5" w:rsidRDefault="00505ED8" w:rsidP="00505ED8">
      <w:pPr>
        <w:pStyle w:val="Tekstprzypisudolnego"/>
        <w:rPr>
          <w:rFonts w:asciiTheme="minorHAnsi" w:hAnsiTheme="minorHAnsi"/>
          <w:sz w:val="18"/>
          <w:szCs w:val="18"/>
        </w:rPr>
      </w:pPr>
      <w:r w:rsidRPr="006D00E5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6D00E5">
        <w:rPr>
          <w:rFonts w:asciiTheme="minorHAnsi" w:hAnsiTheme="minorHAnsi"/>
          <w:sz w:val="18"/>
          <w:szCs w:val="18"/>
        </w:rPr>
        <w:t xml:space="preserve"> Program Erasmus ma na celu finansowanie wyjazdów studentów na studia w innych państwach europejskich przez okres do </w:t>
      </w:r>
    </w:p>
    <w:p w:rsidR="00505ED8" w:rsidRPr="006D00E5" w:rsidRDefault="00505ED8" w:rsidP="00505ED8">
      <w:pPr>
        <w:pStyle w:val="Tekstprzypisudolnego"/>
        <w:tabs>
          <w:tab w:val="left" w:pos="142"/>
        </w:tabs>
        <w:rPr>
          <w:rFonts w:asciiTheme="minorHAnsi" w:hAnsiTheme="minorHAnsi"/>
          <w:sz w:val="18"/>
          <w:szCs w:val="18"/>
        </w:rPr>
      </w:pPr>
      <w:r w:rsidRPr="006D00E5">
        <w:rPr>
          <w:rFonts w:asciiTheme="minorHAnsi" w:hAnsiTheme="minorHAnsi"/>
          <w:sz w:val="18"/>
          <w:szCs w:val="18"/>
        </w:rPr>
        <w:tab/>
      </w:r>
      <w:r w:rsidR="001D236E">
        <w:rPr>
          <w:rFonts w:asciiTheme="minorHAnsi" w:hAnsiTheme="minorHAnsi"/>
          <w:sz w:val="18"/>
          <w:szCs w:val="18"/>
        </w:rPr>
        <w:t xml:space="preserve">jednego </w:t>
      </w:r>
      <w:r w:rsidRPr="006D00E5">
        <w:rPr>
          <w:rFonts w:asciiTheme="minorHAnsi" w:hAnsiTheme="minorHAnsi"/>
          <w:sz w:val="18"/>
          <w:szCs w:val="18"/>
        </w:rPr>
        <w:t>roku oraz wspieranie europejskiej współpracy uczelni wyższych</w:t>
      </w:r>
      <w:r>
        <w:rPr>
          <w:rFonts w:asciiTheme="minorHAnsi" w:hAnsiTheme="minorHAnsi"/>
          <w:sz w:val="18"/>
          <w:szCs w:val="18"/>
        </w:rPr>
        <w:t>.</w:t>
      </w:r>
    </w:p>
  </w:footnote>
  <w:footnote w:id="2">
    <w:p w:rsidR="00505ED8" w:rsidRPr="00937472" w:rsidRDefault="00505ED8" w:rsidP="00505ED8">
      <w:pPr>
        <w:pStyle w:val="Tekstprzypisudolnego"/>
        <w:rPr>
          <w:rFonts w:asciiTheme="minorHAnsi" w:hAnsiTheme="minorHAnsi"/>
          <w:sz w:val="16"/>
          <w:szCs w:val="16"/>
        </w:rPr>
      </w:pPr>
      <w:r w:rsidRPr="00937472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937472">
        <w:rPr>
          <w:rFonts w:asciiTheme="minorHAnsi" w:hAnsiTheme="minorHAnsi"/>
          <w:sz w:val="16"/>
          <w:szCs w:val="16"/>
        </w:rPr>
        <w:t xml:space="preserve"> Zgodnie z danymi KE</w:t>
      </w:r>
      <w:r>
        <w:rPr>
          <w:rFonts w:asciiTheme="minorHAnsi" w:hAnsiTheme="minorHAnsi"/>
          <w:sz w:val="16"/>
          <w:szCs w:val="16"/>
        </w:rPr>
        <w:t>.</w:t>
      </w:r>
    </w:p>
  </w:footnote>
  <w:footnote w:id="3">
    <w:p w:rsidR="00505ED8" w:rsidRPr="00747856" w:rsidRDefault="00505ED8" w:rsidP="00505ED8">
      <w:pPr>
        <w:jc w:val="both"/>
        <w:rPr>
          <w:rFonts w:asciiTheme="minorHAnsi" w:hAnsiTheme="minorHAnsi"/>
          <w:sz w:val="16"/>
          <w:szCs w:val="16"/>
        </w:rPr>
      </w:pPr>
      <w:r w:rsidRPr="00C14E9C">
        <w:rPr>
          <w:rStyle w:val="Odwoanieprzypisudolnego"/>
          <w:rFonts w:asciiTheme="minorHAnsi" w:hAnsiTheme="minorHAnsi"/>
          <w:sz w:val="16"/>
          <w:szCs w:val="16"/>
        </w:rPr>
        <w:footnoteRef/>
      </w:r>
      <w:r w:rsidRPr="00C14E9C">
        <w:rPr>
          <w:rFonts w:asciiTheme="minorHAnsi" w:hAnsiTheme="minorHAnsi"/>
          <w:sz w:val="16"/>
          <w:szCs w:val="16"/>
        </w:rPr>
        <w:t xml:space="preserve"> Europejski Fundusz Rozwoju Regionalnego, Europejski Fundusz Społeczny, Fundusz Spójności, Europejski Fundusz Rolny na rzecz Rozwoju Obszarów Wiejskich oraz Europejski Fundusz Morski i Rybacki.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416F46"/>
    <w:multiLevelType w:val="hybridMultilevel"/>
    <w:tmpl w:val="52B2FD68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" w15:restartNumberingAfterBreak="0">
    <w:nsid w:val="603F12F8"/>
    <w:multiLevelType w:val="hybridMultilevel"/>
    <w:tmpl w:val="EEFCD328"/>
    <w:name w:val="List Dash__1"/>
    <w:lvl w:ilvl="0" w:tplc="FFFFFFFF">
      <w:start w:val="4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cs="Times New Roman" w:hint="default"/>
        <w:b/>
        <w:i w:val="0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drawingGridHorizontalSpacing w:val="119"/>
  <w:drawingGridVerticalSpacing w:val="357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EB4"/>
    <w:rsid w:val="000214CC"/>
    <w:rsid w:val="00064110"/>
    <w:rsid w:val="0009776D"/>
    <w:rsid w:val="000D68B1"/>
    <w:rsid w:val="000E7A19"/>
    <w:rsid w:val="000F1815"/>
    <w:rsid w:val="001853B1"/>
    <w:rsid w:val="001B34B5"/>
    <w:rsid w:val="001D236E"/>
    <w:rsid w:val="00233F21"/>
    <w:rsid w:val="00271604"/>
    <w:rsid w:val="003261A9"/>
    <w:rsid w:val="003358EA"/>
    <w:rsid w:val="003938FF"/>
    <w:rsid w:val="003E272E"/>
    <w:rsid w:val="004D4B84"/>
    <w:rsid w:val="00505ED8"/>
    <w:rsid w:val="00546E54"/>
    <w:rsid w:val="005524EF"/>
    <w:rsid w:val="00555296"/>
    <w:rsid w:val="00555E5A"/>
    <w:rsid w:val="0057425D"/>
    <w:rsid w:val="006134B5"/>
    <w:rsid w:val="00636659"/>
    <w:rsid w:val="006D153C"/>
    <w:rsid w:val="006D1AD0"/>
    <w:rsid w:val="006D5E79"/>
    <w:rsid w:val="007770C8"/>
    <w:rsid w:val="007933D6"/>
    <w:rsid w:val="0081486B"/>
    <w:rsid w:val="008560FD"/>
    <w:rsid w:val="008A19C6"/>
    <w:rsid w:val="008B0188"/>
    <w:rsid w:val="008D76CC"/>
    <w:rsid w:val="00916AD7"/>
    <w:rsid w:val="0095236B"/>
    <w:rsid w:val="00967AA6"/>
    <w:rsid w:val="009A4DEA"/>
    <w:rsid w:val="009A7650"/>
    <w:rsid w:val="009B4CFA"/>
    <w:rsid w:val="00A229F8"/>
    <w:rsid w:val="00A3115F"/>
    <w:rsid w:val="00A54645"/>
    <w:rsid w:val="00AD0BA8"/>
    <w:rsid w:val="00AE6A69"/>
    <w:rsid w:val="00B00FEA"/>
    <w:rsid w:val="00B240B3"/>
    <w:rsid w:val="00B5480F"/>
    <w:rsid w:val="00BB01C6"/>
    <w:rsid w:val="00BC4877"/>
    <w:rsid w:val="00CE473C"/>
    <w:rsid w:val="00D42FDE"/>
    <w:rsid w:val="00D43EB4"/>
    <w:rsid w:val="00D44BB8"/>
    <w:rsid w:val="00D547F6"/>
    <w:rsid w:val="00DB0D09"/>
    <w:rsid w:val="00E162AF"/>
    <w:rsid w:val="00E4653B"/>
    <w:rsid w:val="00EA2DE3"/>
    <w:rsid w:val="00F85DCA"/>
    <w:rsid w:val="00FA21E1"/>
    <w:rsid w:val="00FE3F8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7006490-D3EC-4C97-B917-5FE0C2C53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7296E"/>
    <w:rPr>
      <w:sz w:val="24"/>
      <w:szCs w:val="24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203EC"/>
  </w:style>
  <w:style w:type="paragraph" w:styleId="Stopka">
    <w:name w:val="footer"/>
    <w:basedOn w:val="Normalny"/>
    <w:link w:val="StopkaZnak"/>
    <w:uiPriority w:val="99"/>
    <w:unhideWhenUsed/>
    <w:rsid w:val="00E203EC"/>
    <w:pPr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203EC"/>
  </w:style>
  <w:style w:type="paragraph" w:styleId="Tekstdymka">
    <w:name w:val="Balloon Text"/>
    <w:basedOn w:val="Normalny"/>
    <w:link w:val="TekstdymkaZnak"/>
    <w:uiPriority w:val="99"/>
    <w:semiHidden/>
    <w:unhideWhenUsed/>
    <w:rsid w:val="00FF097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097E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F3BAE"/>
    <w:rPr>
      <w:color w:val="0000FF"/>
      <w:u w:val="single"/>
    </w:rPr>
  </w:style>
  <w:style w:type="paragraph" w:styleId="Tekstpodstawowy">
    <w:name w:val="Body Text"/>
    <w:aliases w:val="bt,b,block style,szaro,Tekst podstawowy Znak Znak Znak Znak Znak Znak Znak Znak,wypunktowanie,b1,aga,Tekst podstawowyG,Body Text Char,Telo besedila Znak1 Char,Telo besedila Znak Znak Char"/>
    <w:basedOn w:val="Normalny"/>
    <w:link w:val="TekstpodstawowyZnak"/>
    <w:rsid w:val="005524EF"/>
    <w:pPr>
      <w:jc w:val="both"/>
    </w:pPr>
    <w:rPr>
      <w:rFonts w:ascii="Times New Roman" w:eastAsia="Times New Roman" w:hAnsi="Times New Roman"/>
      <w:szCs w:val="20"/>
      <w:lang w:eastAsia="pl-PL"/>
    </w:rPr>
  </w:style>
  <w:style w:type="character" w:customStyle="1" w:styleId="TekstpodstawowyZnak">
    <w:name w:val="Tekst podstawowy Znak"/>
    <w:aliases w:val="bt Znak,b Znak,block style Znak,szaro Znak,Tekst podstawowy Znak Znak Znak Znak Znak Znak Znak Znak Znak,wypunktowanie Znak,b1 Znak,aga Znak,Tekst podstawowyG Znak,Body Text Char Znak,Telo besedila Znak1 Char Znak"/>
    <w:basedOn w:val="Domylnaczcionkaakapitu"/>
    <w:link w:val="Tekstpodstawowy"/>
    <w:rsid w:val="005524EF"/>
    <w:rPr>
      <w:rFonts w:ascii="Times New Roman" w:eastAsia="Times New Roman" w:hAnsi="Times New Roman"/>
      <w:sz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8B0188"/>
    <w:rPr>
      <w:color w:val="800080" w:themeColor="followedHyperlink"/>
      <w:u w:val="single"/>
    </w:rPr>
  </w:style>
  <w:style w:type="paragraph" w:styleId="Akapitzlist">
    <w:name w:val="List Paragraph"/>
    <w:aliases w:val="Listaszerű bekezdés1,List Paragraph à moi,Dot pt,F5 List Paragraph,Numbered Para 1,No Spacing1,List Paragraph Char Char Char,Indicator Text,Bullet Points,MAIN CONTENT,IFCL - List Paragraph,OBC Bullet,LISTA,List Paragraph1,Recommendation,2"/>
    <w:basedOn w:val="Normalny"/>
    <w:link w:val="AkapitzlistZnak"/>
    <w:uiPriority w:val="34"/>
    <w:qFormat/>
    <w:rsid w:val="00546E54"/>
    <w:pPr>
      <w:ind w:left="720"/>
    </w:pPr>
    <w:rPr>
      <w:rFonts w:ascii="Times New Roman" w:eastAsia="Calibri" w:hAnsi="Times New Roman"/>
      <w:lang w:eastAsia="pl-PL"/>
    </w:rPr>
  </w:style>
  <w:style w:type="character" w:customStyle="1" w:styleId="AkapitzlistZnak">
    <w:name w:val="Akapit z listą Znak"/>
    <w:aliases w:val="Listaszerű bekezdés1 Znak,List Paragraph à moi Znak,Dot pt Znak,F5 List Paragraph Znak,Numbered Para 1 Znak,No Spacing1 Znak,List Paragraph Char Char Char Znak,Indicator Text Znak,Bullet Points Znak,MAIN CONTENT Znak,OBC Bullet Znak"/>
    <w:link w:val="Akapitzlist"/>
    <w:uiPriority w:val="34"/>
    <w:qFormat/>
    <w:rsid w:val="00546E54"/>
    <w:rPr>
      <w:rFonts w:ascii="Times New Roman" w:eastAsia="Calibri" w:hAnsi="Times New Roman"/>
      <w:sz w:val="24"/>
      <w:szCs w:val="24"/>
    </w:rPr>
  </w:style>
  <w:style w:type="character" w:styleId="Odwoanieprzypisudolnego">
    <w:name w:val="footnote reference"/>
    <w:aliases w:val="Footnote Reference Number,Footnote reference number,Footnote symbol,note TESI,SUPERS,EN Footnote Reference,Footnote number,Times 10 Point,Exposant 3 Point,EN Footnote Refer,BVI fnr,(Footnote Reference),Voetnootverwijzing"/>
    <w:basedOn w:val="Domylnaczcionkaakapitu"/>
    <w:uiPriority w:val="99"/>
    <w:unhideWhenUsed/>
    <w:rsid w:val="003938FF"/>
    <w:rPr>
      <w:vertAlign w:val="superscript"/>
    </w:rPr>
  </w:style>
  <w:style w:type="paragraph" w:styleId="NormalnyWeb">
    <w:name w:val="Normal (Web)"/>
    <w:basedOn w:val="Normalny"/>
    <w:uiPriority w:val="99"/>
    <w:rsid w:val="003938FF"/>
    <w:pPr>
      <w:spacing w:before="100" w:beforeAutospacing="1" w:after="100" w:afterAutospacing="1"/>
    </w:pPr>
    <w:rPr>
      <w:rFonts w:ascii="Times New Roman" w:eastAsia="Times New Roman" w:hAnsi="Times New Roman"/>
      <w:lang w:eastAsia="pl-PL"/>
    </w:rPr>
  </w:style>
  <w:style w:type="paragraph" w:customStyle="1" w:styleId="Text1">
    <w:name w:val="Text 1"/>
    <w:basedOn w:val="Normalny"/>
    <w:link w:val="Text1Char"/>
    <w:rsid w:val="003358EA"/>
    <w:pPr>
      <w:spacing w:before="120" w:after="120"/>
      <w:ind w:left="850"/>
      <w:jc w:val="both"/>
    </w:pPr>
    <w:rPr>
      <w:rFonts w:ascii="Times New Roman" w:eastAsia="Times New Roman" w:hAnsi="Times New Roman"/>
      <w:lang w:val="en-GB" w:eastAsia="de-DE"/>
    </w:rPr>
  </w:style>
  <w:style w:type="character" w:customStyle="1" w:styleId="Text1Char">
    <w:name w:val="Text 1 Char"/>
    <w:link w:val="Text1"/>
    <w:rsid w:val="003358EA"/>
    <w:rPr>
      <w:rFonts w:ascii="Times New Roman" w:eastAsia="Times New Roman" w:hAnsi="Times New Roman"/>
      <w:sz w:val="24"/>
      <w:szCs w:val="24"/>
      <w:lang w:val="en-GB" w:eastAsia="de-D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358E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358EA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57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5.JP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JP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image" Target="media/image6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N-IWG\AppData\Local\Temp\mf_p1-2.dot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ARUB\Desktop\BUDZET%20UE\!!!%20ROCZNE%20RAPORTY%20FINANSOWE%20%20KE%20!!!\2017%20-%202000%20RAPORT%20FIN%20.....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20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pl-PL" sz="1400"/>
              <a:t>Składki do budżetu UE 2016 - 2018</a:t>
            </a:r>
          </a:p>
        </c:rich>
      </c:tx>
      <c:layout>
        <c:manualLayout>
          <c:xMode val="edge"/>
          <c:yMode val="edge"/>
          <c:x val="0.50304232804232807"/>
          <c:y val="3.7974692967980325E-2"/>
        </c:manualLayout>
      </c:layout>
      <c:overlay val="0"/>
      <c:spPr>
        <a:solidFill>
          <a:srgbClr val="FFFFFF"/>
        </a:solidFill>
        <a:ln w="12700">
          <a:solidFill>
            <a:srgbClr val="000000"/>
          </a:solidFill>
          <a:prstDash val="solid"/>
        </a:ln>
      </c:spPr>
    </c:title>
    <c:autoTitleDeleted val="0"/>
    <c:plotArea>
      <c:layout>
        <c:manualLayout>
          <c:layoutTarget val="inner"/>
          <c:xMode val="edge"/>
          <c:yMode val="edge"/>
          <c:x val="5.2270723104056435E-2"/>
          <c:y val="2.0942449952974285E-2"/>
          <c:w val="0.94673572883035639"/>
          <c:h val="0.94238679624506394"/>
        </c:manualLayout>
      </c:layout>
      <c:barChart>
        <c:barDir val="col"/>
        <c:grouping val="clustered"/>
        <c:varyColors val="0"/>
        <c:ser>
          <c:idx val="2"/>
          <c:order val="0"/>
          <c:tx>
            <c:v>2016</c:v>
          </c:tx>
          <c:spPr>
            <a:solidFill>
              <a:srgbClr val="B4000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'ZESTAWIENIE LAT'!$I$110:$AJ$110</c:f>
              <c:strCache>
                <c:ptCount val="28"/>
                <c:pt idx="0">
                  <c:v>DE</c:v>
                </c:pt>
                <c:pt idx="1">
                  <c:v>FR</c:v>
                </c:pt>
                <c:pt idx="2">
                  <c:v>IT</c:v>
                </c:pt>
                <c:pt idx="3">
                  <c:v>UK</c:v>
                </c:pt>
                <c:pt idx="4">
                  <c:v>ES</c:v>
                </c:pt>
                <c:pt idx="5">
                  <c:v>NL</c:v>
                </c:pt>
                <c:pt idx="6">
                  <c:v>BE</c:v>
                </c:pt>
                <c:pt idx="7">
                  <c:v>PL</c:v>
                </c:pt>
                <c:pt idx="8">
                  <c:v>SE</c:v>
                </c:pt>
                <c:pt idx="9">
                  <c:v>AT</c:v>
                </c:pt>
                <c:pt idx="10">
                  <c:v>DK</c:v>
                </c:pt>
                <c:pt idx="11">
                  <c:v>IE</c:v>
                </c:pt>
                <c:pt idx="12">
                  <c:v>FI</c:v>
                </c:pt>
                <c:pt idx="13">
                  <c:v>CZ</c:v>
                </c:pt>
                <c:pt idx="14">
                  <c:v>PT</c:v>
                </c:pt>
                <c:pt idx="15">
                  <c:v>EL</c:v>
                </c:pt>
                <c:pt idx="16">
                  <c:v>RO</c:v>
                </c:pt>
                <c:pt idx="17">
                  <c:v>HU</c:v>
                </c:pt>
                <c:pt idx="18">
                  <c:v>SK</c:v>
                </c:pt>
                <c:pt idx="19">
                  <c:v>BG</c:v>
                </c:pt>
                <c:pt idx="20">
                  <c:v>HR</c:v>
                </c:pt>
                <c:pt idx="21">
                  <c:v>SI</c:v>
                </c:pt>
                <c:pt idx="22">
                  <c:v>LT</c:v>
                </c:pt>
                <c:pt idx="23">
                  <c:v>LU</c:v>
                </c:pt>
                <c:pt idx="24">
                  <c:v>LV</c:v>
                </c:pt>
                <c:pt idx="25">
                  <c:v>EE</c:v>
                </c:pt>
                <c:pt idx="26">
                  <c:v>CY</c:v>
                </c:pt>
                <c:pt idx="27">
                  <c:v>MT</c:v>
                </c:pt>
              </c:strCache>
            </c:strRef>
          </c:cat>
          <c:val>
            <c:numRef>
              <c:f>'ZESTAWIENIE LAT'!$I$117:$AJ$117</c:f>
              <c:numCache>
                <c:formatCode>#,##0</c:formatCode>
                <c:ptCount val="28"/>
                <c:pt idx="0">
                  <c:v>25426.380899179996</c:v>
                </c:pt>
                <c:pt idx="1">
                  <c:v>22176.526722210001</c:v>
                </c:pt>
                <c:pt idx="2">
                  <c:v>16615.651586380001</c:v>
                </c:pt>
                <c:pt idx="3">
                  <c:v>16621.575367109996</c:v>
                </c:pt>
                <c:pt idx="4">
                  <c:v>11520.244238859999</c:v>
                </c:pt>
                <c:pt idx="5">
                  <c:v>4918.3153879400006</c:v>
                </c:pt>
                <c:pt idx="6">
                  <c:v>6061.9288888199999</c:v>
                </c:pt>
                <c:pt idx="7">
                  <c:v>4300.35622926</c:v>
                </c:pt>
                <c:pt idx="8">
                  <c:v>3190.3014161999995</c:v>
                </c:pt>
                <c:pt idx="9">
                  <c:v>3156.8403473599997</c:v>
                </c:pt>
                <c:pt idx="10">
                  <c:v>2391.2304252800004</c:v>
                </c:pt>
                <c:pt idx="11">
                  <c:v>2130.3946440499999</c:v>
                </c:pt>
                <c:pt idx="12">
                  <c:v>2094.6596448300002</c:v>
                </c:pt>
                <c:pt idx="13">
                  <c:v>1733.2246741000001</c:v>
                </c:pt>
                <c:pt idx="14">
                  <c:v>1802.8931058799999</c:v>
                </c:pt>
                <c:pt idx="15">
                  <c:v>1728.5398417799997</c:v>
                </c:pt>
                <c:pt idx="16">
                  <c:v>1570.2258426000001</c:v>
                </c:pt>
                <c:pt idx="17">
                  <c:v>1111.7082408799999</c:v>
                </c:pt>
                <c:pt idx="18">
                  <c:v>778.79771545000006</c:v>
                </c:pt>
                <c:pt idx="19">
                  <c:v>466.76343082999989</c:v>
                </c:pt>
                <c:pt idx="20">
                  <c:v>450.68564503999994</c:v>
                </c:pt>
                <c:pt idx="21">
                  <c:v>427.42309148000004</c:v>
                </c:pt>
                <c:pt idx="22">
                  <c:v>408.80885769999998</c:v>
                </c:pt>
                <c:pt idx="23">
                  <c:v>335.52234955</c:v>
                </c:pt>
                <c:pt idx="24">
                  <c:v>259.58783951999999</c:v>
                </c:pt>
                <c:pt idx="25">
                  <c:v>217.67967331</c:v>
                </c:pt>
                <c:pt idx="26">
                  <c:v>182.86552742999999</c:v>
                </c:pt>
                <c:pt idx="27">
                  <c:v>95.147194900000002</c:v>
                </c:pt>
              </c:numCache>
            </c:numRef>
          </c:val>
        </c:ser>
        <c:ser>
          <c:idx val="1"/>
          <c:order val="1"/>
          <c:tx>
            <c:v>2017</c:v>
          </c:tx>
          <c:spPr>
            <a:pattFill prst="dkDnDiag">
              <a:fgClr>
                <a:srgbClr val="00B050"/>
              </a:fgClr>
              <a:bgClr>
                <a:srgbClr val="FFFFFF"/>
              </a:bgClr>
            </a:patt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'ZESTAWIENIE LAT'!$I$110:$AJ$110</c:f>
              <c:strCache>
                <c:ptCount val="28"/>
                <c:pt idx="0">
                  <c:v>DE</c:v>
                </c:pt>
                <c:pt idx="1">
                  <c:v>FR</c:v>
                </c:pt>
                <c:pt idx="2">
                  <c:v>IT</c:v>
                </c:pt>
                <c:pt idx="3">
                  <c:v>UK</c:v>
                </c:pt>
                <c:pt idx="4">
                  <c:v>ES</c:v>
                </c:pt>
                <c:pt idx="5">
                  <c:v>NL</c:v>
                </c:pt>
                <c:pt idx="6">
                  <c:v>BE</c:v>
                </c:pt>
                <c:pt idx="7">
                  <c:v>PL</c:v>
                </c:pt>
                <c:pt idx="8">
                  <c:v>SE</c:v>
                </c:pt>
                <c:pt idx="9">
                  <c:v>AT</c:v>
                </c:pt>
                <c:pt idx="10">
                  <c:v>DK</c:v>
                </c:pt>
                <c:pt idx="11">
                  <c:v>IE</c:v>
                </c:pt>
                <c:pt idx="12">
                  <c:v>FI</c:v>
                </c:pt>
                <c:pt idx="13">
                  <c:v>CZ</c:v>
                </c:pt>
                <c:pt idx="14">
                  <c:v>PT</c:v>
                </c:pt>
                <c:pt idx="15">
                  <c:v>EL</c:v>
                </c:pt>
                <c:pt idx="16">
                  <c:v>RO</c:v>
                </c:pt>
                <c:pt idx="17">
                  <c:v>HU</c:v>
                </c:pt>
                <c:pt idx="18">
                  <c:v>SK</c:v>
                </c:pt>
                <c:pt idx="19">
                  <c:v>BG</c:v>
                </c:pt>
                <c:pt idx="20">
                  <c:v>HR</c:v>
                </c:pt>
                <c:pt idx="21">
                  <c:v>SI</c:v>
                </c:pt>
                <c:pt idx="22">
                  <c:v>LT</c:v>
                </c:pt>
                <c:pt idx="23">
                  <c:v>LU</c:v>
                </c:pt>
                <c:pt idx="24">
                  <c:v>LV</c:v>
                </c:pt>
                <c:pt idx="25">
                  <c:v>EE</c:v>
                </c:pt>
                <c:pt idx="26">
                  <c:v>CY</c:v>
                </c:pt>
                <c:pt idx="27">
                  <c:v>MT</c:v>
                </c:pt>
              </c:strCache>
            </c:strRef>
          </c:cat>
          <c:val>
            <c:numRef>
              <c:f>'ZESTAWIENIE LAT'!$I$118:$AJ$118</c:f>
              <c:numCache>
                <c:formatCode>#,##0</c:formatCode>
                <c:ptCount val="28"/>
                <c:pt idx="0">
                  <c:v>23682.514153210006</c:v>
                </c:pt>
                <c:pt idx="1">
                  <c:v>17902.887853960001</c:v>
                </c:pt>
                <c:pt idx="2">
                  <c:v>13840.168800709998</c:v>
                </c:pt>
                <c:pt idx="3">
                  <c:v>13757.102188170002</c:v>
                </c:pt>
                <c:pt idx="4">
                  <c:v>9615.7410847299998</c:v>
                </c:pt>
                <c:pt idx="5">
                  <c:v>5848.6553910799994</c:v>
                </c:pt>
                <c:pt idx="6">
                  <c:v>5092.5202296700008</c:v>
                </c:pt>
                <c:pt idx="7">
                  <c:v>3715.9882266399995</c:v>
                </c:pt>
                <c:pt idx="8">
                  <c:v>3155.1163184800002</c:v>
                </c:pt>
                <c:pt idx="9">
                  <c:v>2649.55203476</c:v>
                </c:pt>
                <c:pt idx="10">
                  <c:v>2268.9003322099998</c:v>
                </c:pt>
                <c:pt idx="11">
                  <c:v>2062.0082814100001</c:v>
                </c:pt>
                <c:pt idx="12">
                  <c:v>1734.8933196600001</c:v>
                </c:pt>
                <c:pt idx="13">
                  <c:v>1548.9345548699998</c:v>
                </c:pt>
                <c:pt idx="14">
                  <c:v>1531.8458686199995</c:v>
                </c:pt>
                <c:pt idx="15">
                  <c:v>1408.4985120599999</c:v>
                </c:pt>
                <c:pt idx="16">
                  <c:v>1390.9560191400001</c:v>
                </c:pt>
                <c:pt idx="17">
                  <c:v>969.78306410999994</c:v>
                </c:pt>
                <c:pt idx="18">
                  <c:v>693.05945335000013</c:v>
                </c:pt>
                <c:pt idx="19">
                  <c:v>454.89917787000002</c:v>
                </c:pt>
                <c:pt idx="20">
                  <c:v>405.03095564000012</c:v>
                </c:pt>
                <c:pt idx="21">
                  <c:v>359.66981894000003</c:v>
                </c:pt>
                <c:pt idx="22">
                  <c:v>353.86385375999998</c:v>
                </c:pt>
                <c:pt idx="23">
                  <c:v>328.99395824999993</c:v>
                </c:pt>
                <c:pt idx="24">
                  <c:v>218.71577993000002</c:v>
                </c:pt>
                <c:pt idx="25">
                  <c:v>184.29502417000003</c:v>
                </c:pt>
                <c:pt idx="26">
                  <c:v>158.93854939000002</c:v>
                </c:pt>
                <c:pt idx="27">
                  <c:v>94.145850800000005</c:v>
                </c:pt>
              </c:numCache>
            </c:numRef>
          </c:val>
        </c:ser>
        <c:ser>
          <c:idx val="0"/>
          <c:order val="2"/>
          <c:tx>
            <c:v>2018</c:v>
          </c:tx>
          <c:spPr>
            <a:solidFill>
              <a:srgbClr val="1919B9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cat>
            <c:strRef>
              <c:f>'ZESTAWIENIE LAT'!$I$110:$AJ$110</c:f>
              <c:strCache>
                <c:ptCount val="28"/>
                <c:pt idx="0">
                  <c:v>DE</c:v>
                </c:pt>
                <c:pt idx="1">
                  <c:v>FR</c:v>
                </c:pt>
                <c:pt idx="2">
                  <c:v>IT</c:v>
                </c:pt>
                <c:pt idx="3">
                  <c:v>UK</c:v>
                </c:pt>
                <c:pt idx="4">
                  <c:v>ES</c:v>
                </c:pt>
                <c:pt idx="5">
                  <c:v>NL</c:v>
                </c:pt>
                <c:pt idx="6">
                  <c:v>BE</c:v>
                </c:pt>
                <c:pt idx="7">
                  <c:v>PL</c:v>
                </c:pt>
                <c:pt idx="8">
                  <c:v>SE</c:v>
                </c:pt>
                <c:pt idx="9">
                  <c:v>AT</c:v>
                </c:pt>
                <c:pt idx="10">
                  <c:v>DK</c:v>
                </c:pt>
                <c:pt idx="11">
                  <c:v>IE</c:v>
                </c:pt>
                <c:pt idx="12">
                  <c:v>FI</c:v>
                </c:pt>
                <c:pt idx="13">
                  <c:v>CZ</c:v>
                </c:pt>
                <c:pt idx="14">
                  <c:v>PT</c:v>
                </c:pt>
                <c:pt idx="15">
                  <c:v>EL</c:v>
                </c:pt>
                <c:pt idx="16">
                  <c:v>RO</c:v>
                </c:pt>
                <c:pt idx="17">
                  <c:v>HU</c:v>
                </c:pt>
                <c:pt idx="18">
                  <c:v>SK</c:v>
                </c:pt>
                <c:pt idx="19">
                  <c:v>BG</c:v>
                </c:pt>
                <c:pt idx="20">
                  <c:v>HR</c:v>
                </c:pt>
                <c:pt idx="21">
                  <c:v>SI</c:v>
                </c:pt>
                <c:pt idx="22">
                  <c:v>LT</c:v>
                </c:pt>
                <c:pt idx="23">
                  <c:v>LU</c:v>
                </c:pt>
                <c:pt idx="24">
                  <c:v>LV</c:v>
                </c:pt>
                <c:pt idx="25">
                  <c:v>EE</c:v>
                </c:pt>
                <c:pt idx="26">
                  <c:v>CY</c:v>
                </c:pt>
                <c:pt idx="27">
                  <c:v>MT</c:v>
                </c:pt>
              </c:strCache>
            </c:strRef>
          </c:cat>
          <c:val>
            <c:numRef>
              <c:f>'ZESTAWIENIE LAT'!$I$119:$AJ$119</c:f>
              <c:numCache>
                <c:formatCode>#,##0</c:formatCode>
                <c:ptCount val="28"/>
                <c:pt idx="0">
                  <c:v>29266.487374419994</c:v>
                </c:pt>
                <c:pt idx="1">
                  <c:v>22220.504586629995</c:v>
                </c:pt>
                <c:pt idx="2">
                  <c:v>17032.07747321</c:v>
                </c:pt>
                <c:pt idx="3">
                  <c:v>16403.53272784</c:v>
                </c:pt>
                <c:pt idx="4">
                  <c:v>11841.95854557</c:v>
                </c:pt>
                <c:pt idx="5">
                  <c:v>7347.6566986399994</c:v>
                </c:pt>
                <c:pt idx="6">
                  <c:v>5923.8872604300004</c:v>
                </c:pt>
                <c:pt idx="7">
                  <c:v>4718.1536046000001</c:v>
                </c:pt>
                <c:pt idx="8">
                  <c:v>3797.5886212900004</c:v>
                </c:pt>
                <c:pt idx="9">
                  <c:v>3486.7709674400003</c:v>
                </c:pt>
                <c:pt idx="10">
                  <c:v>2878.7185874099996</c:v>
                </c:pt>
                <c:pt idx="11">
                  <c:v>2605.2862253599997</c:v>
                </c:pt>
                <c:pt idx="12">
                  <c:v>2156.5464963300001</c:v>
                </c:pt>
                <c:pt idx="13">
                  <c:v>1986.7612866399995</c:v>
                </c:pt>
                <c:pt idx="14">
                  <c:v>1875.26157313</c:v>
                </c:pt>
                <c:pt idx="15">
                  <c:v>1667.9259867700002</c:v>
                </c:pt>
                <c:pt idx="16">
                  <c:v>1830.5373894300001</c:v>
                </c:pt>
                <c:pt idx="17">
                  <c:v>1268.9163423199998</c:v>
                </c:pt>
                <c:pt idx="18">
                  <c:v>857.01900101999991</c:v>
                </c:pt>
                <c:pt idx="19">
                  <c:v>583.52900103000013</c:v>
                </c:pt>
                <c:pt idx="20">
                  <c:v>487.45904173999998</c:v>
                </c:pt>
                <c:pt idx="21">
                  <c:v>456.10371105000013</c:v>
                </c:pt>
                <c:pt idx="22">
                  <c:v>447.06023385999993</c:v>
                </c:pt>
                <c:pt idx="23">
                  <c:v>377.01201450999997</c:v>
                </c:pt>
                <c:pt idx="24">
                  <c:v>276.68216169999999</c:v>
                </c:pt>
                <c:pt idx="25">
                  <c:v>243.16343138000002</c:v>
                </c:pt>
                <c:pt idx="26">
                  <c:v>203.35210334000001</c:v>
                </c:pt>
                <c:pt idx="27">
                  <c:v>115.41059178000002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90"/>
        <c:axId val="328314000"/>
        <c:axId val="328314392"/>
      </c:barChart>
      <c:catAx>
        <c:axId val="3283140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pl-PL"/>
          </a:p>
        </c:txPr>
        <c:crossAx val="328314392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328314392"/>
        <c:scaling>
          <c:orientation val="minMax"/>
          <c:max val="30000"/>
          <c:min val="0"/>
        </c:scaling>
        <c:delete val="0"/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#,##0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pl-PL"/>
          </a:p>
        </c:txPr>
        <c:crossAx val="328314000"/>
        <c:crosses val="autoZero"/>
        <c:crossBetween val="between"/>
        <c:majorUnit val="2000"/>
        <c:dispUnits>
          <c:builtInUnit val="thousands"/>
          <c:dispUnitsLbl>
            <c:layout>
              <c:manualLayout>
                <c:xMode val="edge"/>
                <c:yMode val="edge"/>
                <c:x val="8.8817196461553422E-2"/>
                <c:y val="3.0647118527139673E-2"/>
              </c:manualLayout>
            </c:layout>
            <c:tx>
              <c:rich>
                <a:bodyPr rot="0" vert="horz"/>
                <a:lstStyle/>
                <a:p>
                  <a:pPr algn="ctr">
                    <a:defRPr sz="1800" b="0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r>
                    <a:rPr lang="pl-PL" sz="1200"/>
                    <a:t>MLD EUR</a:t>
                  </a:r>
                </a:p>
              </c:rich>
            </c:tx>
            <c:spPr>
              <a:solidFill>
                <a:srgbClr val="FFFFFF"/>
              </a:solidFill>
              <a:ln w="12700">
                <a:solidFill>
                  <a:srgbClr val="000000"/>
                </a:solidFill>
                <a:prstDash val="solid"/>
              </a:ln>
            </c:spPr>
          </c:dispUnitsLbl>
        </c:dispUnits>
      </c:valAx>
      <c:spPr>
        <a:solidFill>
          <a:srgbClr val="FDFCDB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50408126067574888"/>
          <c:y val="0.1279015115231617"/>
          <c:w val="0.3710293635170604"/>
          <c:h val="7.0784885794855035E-2"/>
        </c:manualLayout>
      </c:layout>
      <c:overlay val="0"/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600" b="0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1200" b="0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pl-PL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FC43F-5CDE-4AC0-9515-11860ACF30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mf_p1-2</Template>
  <TotalTime>1</TotalTime>
  <Pages>1</Pages>
  <Words>2446</Words>
  <Characters>14681</Characters>
  <Application>Microsoft Office Word</Application>
  <DocSecurity>0</DocSecurity>
  <Lines>122</Lines>
  <Paragraphs>34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Plan B</Company>
  <LinksUpToDate>false</LinksUpToDate>
  <CharactersWithSpaces>17093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----</dc:creator>
  <cp:lastModifiedBy>Rumowski Bernard</cp:lastModifiedBy>
  <cp:revision>6</cp:revision>
  <cp:lastPrinted>2019-11-29T12:09:00Z</cp:lastPrinted>
  <dcterms:created xsi:type="dcterms:W3CDTF">2019-12-02T14:26:00Z</dcterms:created>
  <dcterms:modified xsi:type="dcterms:W3CDTF">2019-12-02T14:29:00Z</dcterms:modified>
</cp:coreProperties>
</file>