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FF9" w:rsidRPr="00672C38" w:rsidRDefault="00C61FF9" w:rsidP="00672C38">
      <w:pPr>
        <w:spacing w:after="100" w:afterAutospacing="1" w:line="360" w:lineRule="auto"/>
        <w:rPr>
          <w:rFonts w:cs="Calibri"/>
          <w:sz w:val="24"/>
          <w:szCs w:val="24"/>
        </w:rPr>
      </w:pPr>
      <w:r w:rsidRPr="00672C38">
        <w:rPr>
          <w:rFonts w:cs="Calibri"/>
          <w:sz w:val="24"/>
          <w:szCs w:val="24"/>
        </w:rPr>
        <w:t xml:space="preserve">Olsztyn, </w:t>
      </w:r>
      <w:r w:rsidR="004B1641" w:rsidRPr="00672C38">
        <w:rPr>
          <w:rFonts w:cs="Calibri"/>
          <w:sz w:val="24"/>
          <w:szCs w:val="24"/>
        </w:rPr>
        <w:t>26 listopada</w:t>
      </w:r>
      <w:r w:rsidRPr="00672C38">
        <w:rPr>
          <w:rFonts w:cs="Calibri"/>
          <w:sz w:val="24"/>
          <w:szCs w:val="24"/>
        </w:rPr>
        <w:t xml:space="preserve"> 2021 r.</w:t>
      </w:r>
    </w:p>
    <w:p w:rsidR="00C61FF9" w:rsidRPr="00672C38" w:rsidRDefault="00C61FF9" w:rsidP="00672C38">
      <w:pPr>
        <w:spacing w:after="0" w:line="360" w:lineRule="auto"/>
        <w:rPr>
          <w:rFonts w:cs="Calibri"/>
          <w:sz w:val="24"/>
          <w:szCs w:val="24"/>
        </w:rPr>
      </w:pPr>
      <w:r w:rsidRPr="00672C38">
        <w:rPr>
          <w:rFonts w:cs="Calibri"/>
          <w:sz w:val="24"/>
          <w:szCs w:val="24"/>
        </w:rPr>
        <w:t xml:space="preserve">Plan działalności Regionalnej Dyrekcji Ochrony Środowiska w </w:t>
      </w:r>
      <w:r w:rsidRPr="00672C38">
        <w:rPr>
          <w:rFonts w:cs="Calibri"/>
          <w:color w:val="000000"/>
          <w:sz w:val="24"/>
          <w:szCs w:val="24"/>
        </w:rPr>
        <w:t>Olsztynie na rok 2022</w:t>
      </w:r>
    </w:p>
    <w:tbl>
      <w:tblPr>
        <w:tblW w:w="1576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685"/>
        <w:gridCol w:w="1449"/>
        <w:gridCol w:w="1559"/>
        <w:gridCol w:w="4395"/>
        <w:gridCol w:w="1985"/>
      </w:tblGrid>
      <w:tr w:rsidR="00C61FF9" w:rsidRPr="00672C38" w:rsidTr="00672C38">
        <w:tc>
          <w:tcPr>
            <w:tcW w:w="567" w:type="dxa"/>
            <w:vMerge w:val="restart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Cel</w:t>
            </w:r>
          </w:p>
        </w:tc>
        <w:tc>
          <w:tcPr>
            <w:tcW w:w="6693" w:type="dxa"/>
            <w:gridSpan w:val="3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Mierniki określające stopień realizacji celu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Najważniejsze zadania służące realizacji celu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 xml:space="preserve">Odniesienie do dokumentu </w:t>
            </w:r>
            <w:r w:rsidRPr="00672C38">
              <w:rPr>
                <w:rFonts w:cs="Calibri"/>
                <w:sz w:val="24"/>
                <w:szCs w:val="24"/>
              </w:rPr>
              <w:br/>
              <w:t>o charakterze strategicznym</w:t>
            </w:r>
          </w:p>
        </w:tc>
      </w:tr>
      <w:tr w:rsidR="00C61FF9" w:rsidRPr="00672C38" w:rsidTr="00672C38">
        <w:tc>
          <w:tcPr>
            <w:tcW w:w="567" w:type="dxa"/>
            <w:vMerge/>
            <w:shd w:val="clear" w:color="auto" w:fill="C2D69B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C2D69B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Nazwa</w:t>
            </w:r>
          </w:p>
        </w:tc>
        <w:tc>
          <w:tcPr>
            <w:tcW w:w="1449" w:type="dxa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 xml:space="preserve">Wartość bazowa miernika </w:t>
            </w:r>
          </w:p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 xml:space="preserve">Planowana wartość do osiągnięcia na koniec roku </w:t>
            </w:r>
          </w:p>
        </w:tc>
        <w:tc>
          <w:tcPr>
            <w:tcW w:w="4395" w:type="dxa"/>
            <w:vMerge/>
            <w:shd w:val="clear" w:color="auto" w:fill="D9D9D9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2D69B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61FF9" w:rsidRPr="00672C38" w:rsidTr="00672C38">
        <w:trPr>
          <w:trHeight w:val="571"/>
        </w:trPr>
        <w:tc>
          <w:tcPr>
            <w:tcW w:w="567" w:type="dxa"/>
            <w:vMerge w:val="restart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Zapewnienie funkcjonowania systemu ocen oddziaływania na środowisko.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Liczba spraw z zakresu systemu ocen oddziaływania na środowisko załatwionych w danym roku do liczby spraw rozpatrywanych w danym roku.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C61FF9" w:rsidRPr="00672C38" w:rsidRDefault="004B1641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1650/1725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FF9" w:rsidRPr="00672C38" w:rsidRDefault="004B1641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1368/1422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Opiniowanie, uzgadnianie i wydawanie decyzji o środowiskowych uwarunkowaniach w sprawach przedsięwzięć mogących znacząco oddziaływać na środowisko.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672C38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Polityka ekologicznej państwa 2030 - strategia rozwoju w obszarze środowiska i gospodarki wodnej</w:t>
            </w:r>
          </w:p>
          <w:p w:rsidR="00C61FF9" w:rsidRPr="00672C38" w:rsidRDefault="00C61FF9" w:rsidP="00672C38">
            <w:pPr>
              <w:spacing w:after="0" w:line="36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672C38">
              <w:rPr>
                <w:rFonts w:eastAsia="Times New Roman" w:cs="Calibri"/>
                <w:bCs/>
                <w:sz w:val="24"/>
                <w:szCs w:val="24"/>
                <w:lang w:eastAsia="pl-PL"/>
              </w:rPr>
              <w:lastRenderedPageBreak/>
              <w:t>(M.P. z 2019 r., poz. 794).</w:t>
            </w:r>
          </w:p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61FF9" w:rsidRPr="00672C38" w:rsidTr="00672C38"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 xml:space="preserve">Udział w postepowaniach mających na celu wydanie uzgodnienia stopnia </w:t>
            </w:r>
            <w:r w:rsidRPr="00672C38">
              <w:rPr>
                <w:rFonts w:cs="Calibri"/>
                <w:sz w:val="24"/>
                <w:szCs w:val="24"/>
              </w:rPr>
              <w:br/>
              <w:t xml:space="preserve">i zakresu szczegółowości prognozy </w:t>
            </w:r>
            <w:r w:rsidRPr="00672C38">
              <w:rPr>
                <w:rFonts w:cs="Calibri"/>
                <w:sz w:val="24"/>
                <w:szCs w:val="24"/>
              </w:rPr>
              <w:br/>
              <w:t xml:space="preserve">o oddziaływaniu na środowisko oraz </w:t>
            </w:r>
            <w:r w:rsidRPr="00672C38">
              <w:rPr>
                <w:rFonts w:cs="Calibri"/>
                <w:sz w:val="24"/>
                <w:szCs w:val="24"/>
              </w:rPr>
              <w:lastRenderedPageBreak/>
              <w:t>postępowań mających na celu wydawanie opinii do projektów strategii, planów, programów oraz innych dokumentów wymagających przeprowadzenia strategicznej oceny na środowisko.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61FF9" w:rsidRPr="00672C38" w:rsidTr="00672C38">
        <w:trPr>
          <w:trHeight w:val="767"/>
        </w:trPr>
        <w:tc>
          <w:tcPr>
            <w:tcW w:w="567" w:type="dxa"/>
            <w:vMerge w:val="restart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Zapewnienie ograniczania degradacji środowiska naturalnego oraz powstrzymywanie utraty różnorodności biologicznej.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Liczba zarządzeń oraz rozporządzeń w sprawie ustanowienia planów zadań ochronnych lub planów ochrony dla obszarów  Natura 2000 do łącznej liczby obszarów Natura 2000.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C61FF9" w:rsidRPr="00672C38" w:rsidRDefault="004B1641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34/987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FF9" w:rsidRPr="00672C38" w:rsidRDefault="004B1641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49/987</w:t>
            </w:r>
          </w:p>
        </w:tc>
        <w:tc>
          <w:tcPr>
            <w:tcW w:w="4395" w:type="dxa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Opracowanie planów zadań ochronnych dla obszarów Natura 2000.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672C38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Polityka ekologicznej państwa 2030 - strategia rozwoju w obszarze środowiska i gospodarki wodnej</w:t>
            </w:r>
            <w:r w:rsidR="00672C38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</w:t>
            </w:r>
            <w:r w:rsidRPr="00672C38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(M.P. z 2019 r., poz. 794).</w:t>
            </w:r>
          </w:p>
        </w:tc>
      </w:tr>
      <w:tr w:rsidR="00C61FF9" w:rsidRPr="00672C38" w:rsidTr="00672C38">
        <w:trPr>
          <w:trHeight w:val="453"/>
        </w:trPr>
        <w:tc>
          <w:tcPr>
            <w:tcW w:w="567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Ochrona prawna rezerwatów przyrody.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61FF9" w:rsidRPr="00672C38" w:rsidTr="00672C38">
        <w:trPr>
          <w:trHeight w:val="841"/>
        </w:trPr>
        <w:tc>
          <w:tcPr>
            <w:tcW w:w="567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Ochrona obszarów Natura 2000, rezerwatów, przyrody, siedlisk przyrodniczych i gatunków.</w:t>
            </w:r>
          </w:p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61FF9" w:rsidRPr="00672C38" w:rsidTr="00672C38">
        <w:trPr>
          <w:trHeight w:val="941"/>
        </w:trPr>
        <w:tc>
          <w:tcPr>
            <w:tcW w:w="567" w:type="dxa"/>
            <w:vMerge w:val="restart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 xml:space="preserve">Efektywne orzekanie dla zapewnienia zachowania wartości przyrodniczych </w:t>
            </w:r>
            <w:r w:rsidRPr="00672C38">
              <w:rPr>
                <w:rFonts w:cs="Calibri"/>
                <w:sz w:val="24"/>
                <w:szCs w:val="24"/>
              </w:rPr>
              <w:lastRenderedPageBreak/>
              <w:t>terenów cennych pod względem przyrodniczym oraz ochrona fauny i flory.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lastRenderedPageBreak/>
              <w:t xml:space="preserve">Liczba rozstrzygnięć administracyjnych </w:t>
            </w:r>
            <w:r w:rsidRPr="00672C38">
              <w:rPr>
                <w:rFonts w:cs="Calibri"/>
                <w:sz w:val="24"/>
                <w:szCs w:val="24"/>
              </w:rPr>
              <w:br/>
              <w:t xml:space="preserve">w danym roku do liczby spraw administracyjnych wszczętych </w:t>
            </w:r>
            <w:r w:rsidRPr="00672C38">
              <w:rPr>
                <w:rFonts w:cs="Calibri"/>
                <w:sz w:val="24"/>
                <w:szCs w:val="24"/>
              </w:rPr>
              <w:br/>
              <w:t>w danym roku.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C61FF9" w:rsidRPr="00672C38" w:rsidRDefault="004B1641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9101/9189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FF9" w:rsidRPr="00672C38" w:rsidRDefault="004B1641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7362/7583</w:t>
            </w:r>
          </w:p>
        </w:tc>
        <w:tc>
          <w:tcPr>
            <w:tcW w:w="4395" w:type="dxa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 xml:space="preserve">Wydawanie decyzji zezwalających na odstępstwa od zakazów obowiązujących </w:t>
            </w:r>
            <w:r w:rsidRPr="00672C38">
              <w:rPr>
                <w:rFonts w:cs="Calibri"/>
                <w:sz w:val="24"/>
                <w:szCs w:val="24"/>
              </w:rPr>
              <w:br/>
              <w:t>w rezerwatach przyrody.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672C38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Polityka ekologicznej państwa 2030 - strategia rozwoju w obszarze środowiska i </w:t>
            </w:r>
            <w:r w:rsidRPr="00672C38">
              <w:rPr>
                <w:rFonts w:eastAsia="Times New Roman" w:cs="Calibri"/>
                <w:bCs/>
                <w:sz w:val="24"/>
                <w:szCs w:val="24"/>
                <w:lang w:eastAsia="pl-PL"/>
              </w:rPr>
              <w:lastRenderedPageBreak/>
              <w:t>gospodarki wodnej</w:t>
            </w:r>
            <w:r w:rsidR="00672C38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</w:t>
            </w:r>
            <w:r w:rsidRPr="00672C38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(M.P. z 2019 r., poz. 794).</w:t>
            </w:r>
          </w:p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61FF9" w:rsidRPr="00672C38" w:rsidTr="00672C38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Wnoszenie sprzeciwów / Wydawanie decyzji określających warunki prowadzenia działań.</w:t>
            </w:r>
          </w:p>
        </w:tc>
        <w:tc>
          <w:tcPr>
            <w:tcW w:w="1985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61FF9" w:rsidRPr="00672C38" w:rsidTr="00672C38">
        <w:trPr>
          <w:trHeight w:val="1096"/>
        </w:trPr>
        <w:tc>
          <w:tcPr>
            <w:tcW w:w="567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 xml:space="preserve">Wydawanie decyzji zezwalających na odstępstwa od zakazów obowiązujących </w:t>
            </w:r>
            <w:r w:rsidRPr="00672C38">
              <w:rPr>
                <w:rFonts w:cs="Calibri"/>
                <w:sz w:val="24"/>
                <w:szCs w:val="24"/>
              </w:rPr>
              <w:br/>
              <w:t>w stosunku do gatunków chronionych.</w:t>
            </w:r>
          </w:p>
        </w:tc>
        <w:tc>
          <w:tcPr>
            <w:tcW w:w="1985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61FF9" w:rsidRPr="00672C38" w:rsidTr="00672C38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Wydawanie uzgodnień decyzji zezwalających na wycinkę drzew rosnących w pasie drogowym drogi publicznej.</w:t>
            </w:r>
          </w:p>
        </w:tc>
        <w:tc>
          <w:tcPr>
            <w:tcW w:w="1985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61FF9" w:rsidRPr="00672C38" w:rsidTr="00672C38">
        <w:trPr>
          <w:trHeight w:val="571"/>
        </w:trPr>
        <w:tc>
          <w:tcPr>
            <w:tcW w:w="567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 xml:space="preserve">Wydawanie uzgodnień decyzji, planów </w:t>
            </w:r>
            <w:r w:rsidRPr="00672C38">
              <w:rPr>
                <w:rFonts w:cs="Calibri"/>
                <w:sz w:val="24"/>
                <w:szCs w:val="24"/>
              </w:rPr>
              <w:br/>
              <w:t>i studiów z zakresu zagospodarowania przestrzennego.</w:t>
            </w:r>
          </w:p>
        </w:tc>
        <w:tc>
          <w:tcPr>
            <w:tcW w:w="1985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61FF9" w:rsidRPr="00672C38" w:rsidTr="00672C38"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 xml:space="preserve">Uzgodnienia projektów uchwał JST </w:t>
            </w:r>
            <w:r w:rsidRPr="00672C38">
              <w:rPr>
                <w:rFonts w:cs="Calibri"/>
                <w:sz w:val="24"/>
                <w:szCs w:val="24"/>
              </w:rPr>
              <w:br/>
              <w:t>w sprawie utworzenia lub likwidacji form ochrony przyrody, zmiany granic lub obowiązujących zakazów.</w:t>
            </w:r>
          </w:p>
        </w:tc>
        <w:tc>
          <w:tcPr>
            <w:tcW w:w="1985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61FF9" w:rsidRPr="00672C38" w:rsidTr="00672C38">
        <w:trPr>
          <w:trHeight w:val="954"/>
        </w:trPr>
        <w:tc>
          <w:tcPr>
            <w:tcW w:w="567" w:type="dxa"/>
            <w:vMerge w:val="restart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 xml:space="preserve">Efektywne orzekanie dla zapobiegania zagrożeniom w środowisku, </w:t>
            </w:r>
            <w:r w:rsidRPr="00672C38">
              <w:rPr>
                <w:rFonts w:cs="Calibri"/>
                <w:sz w:val="24"/>
                <w:szCs w:val="24"/>
              </w:rPr>
              <w:lastRenderedPageBreak/>
              <w:t>usuwania ich skutków oraz ustalania warunków korzystania ze środowiska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lastRenderedPageBreak/>
              <w:t xml:space="preserve">Liczba załatwionych spraw z zakresu szkód w środowisku lub historycznych zanieczyszczeń powierzchni ziemi (liczba rozstrzygnięć administracyjnych w </w:t>
            </w:r>
            <w:r w:rsidRPr="00672C38">
              <w:rPr>
                <w:rFonts w:cs="Calibri"/>
                <w:sz w:val="24"/>
                <w:szCs w:val="24"/>
              </w:rPr>
              <w:lastRenderedPageBreak/>
              <w:t>danym roku/liczba spraw wszczętych w danym roku)</w:t>
            </w:r>
          </w:p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C61FF9" w:rsidRPr="00672C38" w:rsidRDefault="001F78E7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lastRenderedPageBreak/>
              <w:t>28/40</w:t>
            </w:r>
          </w:p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61FF9" w:rsidRPr="00672C38" w:rsidRDefault="001F78E7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23/27</w:t>
            </w:r>
          </w:p>
        </w:tc>
        <w:tc>
          <w:tcPr>
            <w:tcW w:w="4395" w:type="dxa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Prowadzenie postępowań administracyjnych w sprawie uzgodnienia bądź nałożenia obowiązku przeprowadzenia działań zapobiegawczych lub naprawczych.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672C38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Polityka ekologicznej państwa 2030 - strategia rozwoju w obszarze </w:t>
            </w:r>
            <w:r w:rsidRPr="00672C38">
              <w:rPr>
                <w:rFonts w:eastAsia="Times New Roman" w:cs="Calibri"/>
                <w:bCs/>
                <w:sz w:val="24"/>
                <w:szCs w:val="24"/>
                <w:lang w:eastAsia="pl-PL"/>
              </w:rPr>
              <w:lastRenderedPageBreak/>
              <w:t>środowiska i gospodarki wodnej</w:t>
            </w:r>
            <w:r w:rsidR="00672C38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</w:t>
            </w:r>
            <w:r w:rsidRPr="00672C38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(M.P. z 2019 r., poz. 794).</w:t>
            </w:r>
          </w:p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61FF9" w:rsidRPr="00672C38" w:rsidTr="00672C38">
        <w:trPr>
          <w:trHeight w:val="1013"/>
        </w:trPr>
        <w:tc>
          <w:tcPr>
            <w:tcW w:w="567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 xml:space="preserve">Prowadzenie postępowań administracyjnych w sprawie ustalenia planu </w:t>
            </w:r>
            <w:proofErr w:type="spellStart"/>
            <w:r w:rsidRPr="00672C38">
              <w:rPr>
                <w:rFonts w:cs="Calibri"/>
                <w:sz w:val="24"/>
                <w:szCs w:val="24"/>
              </w:rPr>
              <w:t>remediacji</w:t>
            </w:r>
            <w:proofErr w:type="spellEnd"/>
            <w:r w:rsidRPr="00672C38">
              <w:rPr>
                <w:rFonts w:cs="Calibri"/>
                <w:sz w:val="24"/>
                <w:szCs w:val="24"/>
              </w:rPr>
              <w:t xml:space="preserve"> historycznego zanieczyszczenia powierzchni ziemi lub nałożenia obowiązku przeprowadzenia </w:t>
            </w:r>
            <w:proofErr w:type="spellStart"/>
            <w:r w:rsidRPr="00672C38">
              <w:rPr>
                <w:rFonts w:cs="Calibri"/>
                <w:sz w:val="24"/>
                <w:szCs w:val="24"/>
              </w:rPr>
              <w:t>remediacji</w:t>
            </w:r>
            <w:proofErr w:type="spellEnd"/>
            <w:r w:rsidRPr="00672C38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61FF9" w:rsidRPr="00672C38" w:rsidTr="00672C38">
        <w:trPr>
          <w:trHeight w:val="1012"/>
        </w:trPr>
        <w:tc>
          <w:tcPr>
            <w:tcW w:w="567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Prowadzenie postępowań w sprawie wpisu do rejestru informacji o potencjalnym historycznym zanieczyszczeniu powierzchni ziemi oraz w nałożeniu obowiązku wykonania badań zanieczyszczenia gleby i ziemi</w:t>
            </w:r>
            <w:r w:rsidR="00582AC7" w:rsidRPr="00672C38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61FF9" w:rsidRPr="00672C38" w:rsidTr="00672C38">
        <w:trPr>
          <w:trHeight w:val="1701"/>
        </w:trPr>
        <w:tc>
          <w:tcPr>
            <w:tcW w:w="567" w:type="dxa"/>
            <w:vMerge w:val="restart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61FF9" w:rsidRPr="00672C38" w:rsidRDefault="00C61FF9" w:rsidP="00672C38">
            <w:pPr>
              <w:pStyle w:val="Akapitzlist1"/>
              <w:spacing w:after="0" w:line="360" w:lineRule="auto"/>
              <w:ind w:left="0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 xml:space="preserve">Zapewnienie społeczeństwu dostępu do </w:t>
            </w:r>
            <w:r w:rsidRPr="00672C38">
              <w:rPr>
                <w:rFonts w:cs="Calibri"/>
                <w:sz w:val="24"/>
                <w:szCs w:val="24"/>
              </w:rPr>
              <w:lastRenderedPageBreak/>
              <w:t>informacji o środowisku.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lastRenderedPageBreak/>
              <w:t xml:space="preserve">Stopień zrealizowanych </w:t>
            </w:r>
            <w:r w:rsidRPr="00672C38">
              <w:rPr>
                <w:rFonts w:cs="Calibri"/>
                <w:sz w:val="24"/>
                <w:szCs w:val="24"/>
              </w:rPr>
              <w:br/>
              <w:t xml:space="preserve">w terminie wniosków </w:t>
            </w:r>
            <w:r w:rsidRPr="00672C38">
              <w:rPr>
                <w:rFonts w:cs="Calibri"/>
                <w:sz w:val="24"/>
                <w:szCs w:val="24"/>
              </w:rPr>
              <w:br/>
            </w:r>
            <w:r w:rsidRPr="00672C38">
              <w:rPr>
                <w:rFonts w:cs="Calibri"/>
                <w:sz w:val="24"/>
                <w:szCs w:val="24"/>
              </w:rPr>
              <w:lastRenderedPageBreak/>
              <w:t xml:space="preserve">o udostępnianie informacji </w:t>
            </w:r>
            <w:r w:rsidRPr="00672C38">
              <w:rPr>
                <w:rFonts w:cs="Calibri"/>
                <w:sz w:val="24"/>
                <w:szCs w:val="24"/>
              </w:rPr>
              <w:br/>
              <w:t>o środowisku i jego ochronie.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C61FF9" w:rsidRPr="00672C38" w:rsidRDefault="001F78E7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lastRenderedPageBreak/>
              <w:t>3556/3556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FF9" w:rsidRPr="00672C38" w:rsidRDefault="001F78E7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2900/2900</w:t>
            </w:r>
          </w:p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>Udostępnianie na wn</w:t>
            </w:r>
            <w:r w:rsidR="00672C38">
              <w:rPr>
                <w:rFonts w:cs="Calibri"/>
                <w:sz w:val="24"/>
                <w:szCs w:val="24"/>
              </w:rPr>
              <w:t xml:space="preserve">iosek informacji </w:t>
            </w:r>
            <w:r w:rsidR="00672C38">
              <w:rPr>
                <w:rFonts w:cs="Calibri"/>
                <w:sz w:val="24"/>
                <w:szCs w:val="24"/>
              </w:rPr>
              <w:br/>
              <w:t xml:space="preserve">o środowisku </w:t>
            </w:r>
            <w:r w:rsidRPr="00672C38">
              <w:rPr>
                <w:rFonts w:cs="Calibri"/>
                <w:sz w:val="24"/>
                <w:szCs w:val="24"/>
              </w:rPr>
              <w:t>i jego ochronie oraz informacji publicznej.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672C38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Polityka ekologicznej państwa 2030 - </w:t>
            </w:r>
            <w:r w:rsidRPr="00672C38">
              <w:rPr>
                <w:rFonts w:eastAsia="Times New Roman" w:cs="Calibri"/>
                <w:bCs/>
                <w:sz w:val="24"/>
                <w:szCs w:val="24"/>
                <w:lang w:eastAsia="pl-PL"/>
              </w:rPr>
              <w:lastRenderedPageBreak/>
              <w:t>strategia rozwoju w obszarze środowiska i gospodarki wodnej</w:t>
            </w:r>
          </w:p>
          <w:p w:rsidR="00C61FF9" w:rsidRPr="00672C38" w:rsidRDefault="00C61FF9" w:rsidP="00672C38">
            <w:pPr>
              <w:spacing w:after="0" w:line="360" w:lineRule="auto"/>
              <w:outlineLvl w:val="1"/>
              <w:rPr>
                <w:rFonts w:cs="Calibri"/>
                <w:sz w:val="24"/>
                <w:szCs w:val="24"/>
              </w:rPr>
            </w:pPr>
            <w:r w:rsidRPr="00672C38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(M.P. z 2019 r., poz. 794).</w:t>
            </w:r>
          </w:p>
        </w:tc>
      </w:tr>
      <w:tr w:rsidR="00C61FF9" w:rsidRPr="00672C38" w:rsidTr="00672C38">
        <w:trPr>
          <w:trHeight w:val="2469"/>
        </w:trPr>
        <w:tc>
          <w:tcPr>
            <w:tcW w:w="567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pStyle w:val="Akapitzlist1"/>
              <w:spacing w:after="0" w:line="360" w:lineRule="auto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672C38">
              <w:rPr>
                <w:rFonts w:cs="Calibri"/>
                <w:sz w:val="24"/>
                <w:szCs w:val="24"/>
              </w:rPr>
              <w:t xml:space="preserve">Prowadzenie publicznie dostępnego wykazu danych </w:t>
            </w:r>
            <w:r w:rsidRPr="00672C38">
              <w:rPr>
                <w:rFonts w:cs="Calibri"/>
                <w:sz w:val="24"/>
                <w:szCs w:val="24"/>
              </w:rPr>
              <w:br/>
              <w:t xml:space="preserve">o dokumentach zawierających informacje </w:t>
            </w:r>
            <w:r w:rsidRPr="00672C38">
              <w:rPr>
                <w:rFonts w:cs="Calibri"/>
                <w:sz w:val="24"/>
                <w:szCs w:val="24"/>
              </w:rPr>
              <w:br/>
              <w:t>o środowisku i jego ochronie.</w:t>
            </w:r>
          </w:p>
        </w:tc>
        <w:tc>
          <w:tcPr>
            <w:tcW w:w="1985" w:type="dxa"/>
            <w:vMerge/>
            <w:shd w:val="clear" w:color="auto" w:fill="auto"/>
          </w:tcPr>
          <w:p w:rsidR="00C61FF9" w:rsidRPr="00672C38" w:rsidRDefault="00C61FF9" w:rsidP="00672C3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C61FF9" w:rsidRPr="00672C38" w:rsidRDefault="00C61FF9" w:rsidP="00672C38">
      <w:pPr>
        <w:spacing w:before="100" w:beforeAutospacing="1" w:after="0" w:line="360" w:lineRule="auto"/>
        <w:rPr>
          <w:rFonts w:cs="Calibri"/>
          <w:sz w:val="24"/>
          <w:szCs w:val="24"/>
        </w:rPr>
      </w:pPr>
      <w:r w:rsidRPr="00672C38">
        <w:rPr>
          <w:rFonts w:cs="Calibri"/>
          <w:sz w:val="24"/>
          <w:szCs w:val="24"/>
        </w:rPr>
        <w:t>Sporządziła:</w:t>
      </w:r>
    </w:p>
    <w:p w:rsidR="00C61FF9" w:rsidRDefault="00C61FF9" w:rsidP="007C26A8">
      <w:pPr>
        <w:spacing w:after="100" w:afterAutospacing="1" w:line="360" w:lineRule="auto"/>
        <w:rPr>
          <w:rFonts w:cs="Calibri"/>
          <w:sz w:val="24"/>
          <w:szCs w:val="24"/>
        </w:rPr>
      </w:pPr>
      <w:r w:rsidRPr="00672C38">
        <w:rPr>
          <w:rFonts w:cs="Calibri"/>
          <w:sz w:val="24"/>
          <w:szCs w:val="24"/>
        </w:rPr>
        <w:t>Jolanta Chełchowska</w:t>
      </w:r>
    </w:p>
    <w:p w:rsidR="007C26A8" w:rsidRDefault="007C26A8" w:rsidP="007C26A8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>
        <w:rPr>
          <w:rFonts w:eastAsia="SimSun" w:cs="Calibri"/>
          <w:kern w:val="3"/>
          <w:sz w:val="20"/>
          <w:szCs w:val="20"/>
          <w:lang w:eastAsia="zh-CN" w:bidi="hi-IN"/>
        </w:rPr>
        <w:t>REGIONALNY DYREKTOR</w:t>
      </w:r>
    </w:p>
    <w:p w:rsidR="007C26A8" w:rsidRDefault="007C26A8" w:rsidP="007C26A8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>
        <w:rPr>
          <w:rFonts w:eastAsia="SimSun" w:cs="Calibri"/>
          <w:kern w:val="3"/>
          <w:sz w:val="20"/>
          <w:szCs w:val="20"/>
          <w:lang w:eastAsia="zh-CN" w:bidi="hi-IN"/>
        </w:rPr>
        <w:t>OCHRONY ŚRODOWISKA</w:t>
      </w:r>
    </w:p>
    <w:p w:rsidR="007C26A8" w:rsidRDefault="007C26A8" w:rsidP="007C26A8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>
        <w:rPr>
          <w:rFonts w:eastAsia="SimSun" w:cs="Calibri"/>
          <w:kern w:val="3"/>
          <w:sz w:val="20"/>
          <w:szCs w:val="20"/>
          <w:lang w:eastAsia="zh-CN" w:bidi="hi-IN"/>
        </w:rPr>
        <w:t>w Olsztynie</w:t>
      </w:r>
    </w:p>
    <w:p w:rsidR="00AA4344" w:rsidRPr="007C26A8" w:rsidRDefault="007C26A8" w:rsidP="007C26A8">
      <w:pPr>
        <w:spacing w:after="0" w:line="360" w:lineRule="auto"/>
        <w:ind w:left="3540" w:hanging="3540"/>
        <w:rPr>
          <w:rFonts w:ascii="Arial" w:hAnsi="Arial" w:cs="Arial"/>
          <w:sz w:val="18"/>
          <w:szCs w:val="18"/>
          <w:u w:val="single"/>
        </w:rPr>
      </w:pPr>
      <w:r>
        <w:rPr>
          <w:rFonts w:eastAsia="SimSun" w:cs="Calibri"/>
          <w:kern w:val="3"/>
          <w:sz w:val="20"/>
          <w:szCs w:val="20"/>
          <w:lang w:eastAsia="zh-CN" w:bidi="hi-IN"/>
        </w:rPr>
        <w:t>Agata Moździerz</w:t>
      </w:r>
      <w:bookmarkStart w:id="0" w:name="_GoBack"/>
      <w:bookmarkEnd w:id="0"/>
    </w:p>
    <w:sectPr w:rsidR="00AA4344" w:rsidRPr="007C26A8" w:rsidSect="003F746C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C5B" w:rsidRDefault="005F5C5B">
      <w:pPr>
        <w:spacing w:after="0" w:line="240" w:lineRule="auto"/>
      </w:pPr>
      <w:r>
        <w:separator/>
      </w:r>
    </w:p>
  </w:endnote>
  <w:endnote w:type="continuationSeparator" w:id="0">
    <w:p w:rsidR="005F5C5B" w:rsidRDefault="005F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jiyam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Futura Com Medium Condensed">
    <w:altName w:val="Arial Narrow"/>
    <w:charset w:val="EE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46C" w:rsidRDefault="003F746C" w:rsidP="003F746C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59" w:type="dxa"/>
      <w:tblLook w:val="04A0" w:firstRow="1" w:lastRow="0" w:firstColumn="1" w:lastColumn="0" w:noHBand="0" w:noVBand="1"/>
    </w:tblPr>
    <w:tblGrid>
      <w:gridCol w:w="10860"/>
      <w:gridCol w:w="222"/>
    </w:tblGrid>
    <w:tr w:rsidR="003F746C" w:rsidTr="003F746C">
      <w:tc>
        <w:tcPr>
          <w:tcW w:w="1206" w:type="dxa"/>
          <w:vAlign w:val="center"/>
        </w:tcPr>
        <w:tbl>
          <w:tblPr>
            <w:tblW w:w="10206" w:type="dxa"/>
            <w:tblLook w:val="04A0" w:firstRow="1" w:lastRow="0" w:firstColumn="1" w:lastColumn="0" w:noHBand="0" w:noVBand="1"/>
          </w:tblPr>
          <w:tblGrid>
            <w:gridCol w:w="10422"/>
            <w:gridCol w:w="222"/>
          </w:tblGrid>
          <w:tr w:rsidR="003F746C" w:rsidTr="003F746C">
            <w:trPr>
              <w:trHeight w:val="80"/>
            </w:trPr>
            <w:tc>
              <w:tcPr>
                <w:tcW w:w="1206" w:type="dxa"/>
                <w:vAlign w:val="center"/>
                <w:hideMark/>
              </w:tcPr>
              <w:tbl>
                <w:tblPr>
                  <w:tblW w:w="10206" w:type="dxa"/>
                  <w:tblLook w:val="04A0" w:firstRow="1" w:lastRow="0" w:firstColumn="1" w:lastColumn="0" w:noHBand="0" w:noVBand="1"/>
                </w:tblPr>
                <w:tblGrid>
                  <w:gridCol w:w="1206"/>
                  <w:gridCol w:w="9000"/>
                </w:tblGrid>
                <w:tr w:rsidR="003F746C" w:rsidTr="003F746C">
                  <w:trPr>
                    <w:trHeight w:val="1981"/>
                  </w:trPr>
                  <w:tc>
                    <w:tcPr>
                      <w:tcW w:w="1206" w:type="dxa"/>
                      <w:vAlign w:val="center"/>
                      <w:hideMark/>
                    </w:tcPr>
                    <w:p w:rsidR="003F746C" w:rsidRDefault="00067D53" w:rsidP="003F746C">
                      <w:pPr>
                        <w:tabs>
                          <w:tab w:val="left" w:pos="380"/>
                          <w:tab w:val="center" w:pos="4536"/>
                          <w:tab w:val="right" w:pos="9072"/>
                        </w:tabs>
                        <w:rPr>
                          <w:rFonts w:ascii="Arial" w:hAnsi="Arial" w:cs="Arial"/>
                        </w:rPr>
                      </w:pPr>
                      <w:r w:rsidRPr="00C61FF9">
                        <w:rPr>
                          <w:rFonts w:ascii="Arial" w:hAnsi="Arial" w:cs="Arial"/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590550" cy="1076325"/>
                            <wp:effectExtent l="0" t="0" r="0" b="9525"/>
                            <wp:docPr id="2" name="Obraz 2" descr="Logo systemu ekorządzania i audytu (EMAS)" title="Logo systemu ekorządzania i audytu (EMAS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9000" w:type="dxa"/>
                      <w:vAlign w:val="center"/>
                      <w:hideMark/>
                    </w:tcPr>
                    <w:p w:rsidR="003F746C" w:rsidRDefault="00067D53" w:rsidP="003F746C">
                      <w:pPr>
                        <w:tabs>
                          <w:tab w:val="left" w:pos="380"/>
                          <w:tab w:val="center" w:pos="4536"/>
                          <w:tab w:val="right" w:pos="9072"/>
                        </w:tabs>
                        <w:rPr>
                          <w:rFonts w:ascii="Fujiyama" w:hAnsi="Fujiyama" w:cs="Arial"/>
                          <w:color w:val="57AB27"/>
                          <w:sz w:val="20"/>
                          <w:szCs w:val="20"/>
                        </w:rPr>
                      </w:pPr>
                      <w:r w:rsidRPr="00C61FF9">
                        <w:rPr>
                          <w:rFonts w:ascii="Fujiyama" w:hAnsi="Fujiyama" w:cs="Arial"/>
                          <w:noProof/>
                          <w:color w:val="57AB27"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>
                            <wp:extent cx="5210175" cy="457200"/>
                            <wp:effectExtent l="0" t="0" r="9525" b="0"/>
                            <wp:docPr id="3" name="Obraz 1" descr="Adres Regionalnej Dyrekcji Ochrony Środowiska w Olsztynie wraz z logo systemu ekorządzania i audytu (EMAS)" title="Adres Regionalnej Dyrekcji Ochrony Środowiska w Olsztynie wraz z logo systemu ekorządzania i audy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emas tek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01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3F746C" w:rsidRDefault="003F746C" w:rsidP="003F746C">
                <w:pPr>
                  <w:tabs>
                    <w:tab w:val="left" w:pos="380"/>
                    <w:tab w:val="center" w:pos="4536"/>
                    <w:tab w:val="right" w:pos="9072"/>
                  </w:tabs>
                  <w:rPr>
                    <w:rFonts w:ascii="Arial" w:hAnsi="Arial" w:cs="Arial"/>
                  </w:rPr>
                </w:pPr>
              </w:p>
            </w:tc>
            <w:tc>
              <w:tcPr>
                <w:tcW w:w="9000" w:type="dxa"/>
                <w:vAlign w:val="center"/>
              </w:tcPr>
              <w:p w:rsidR="003F746C" w:rsidRDefault="003F746C" w:rsidP="003F746C">
                <w:pPr>
                  <w:tabs>
                    <w:tab w:val="left" w:pos="380"/>
                    <w:tab w:val="center" w:pos="4536"/>
                    <w:tab w:val="right" w:pos="9072"/>
                  </w:tabs>
                  <w:rPr>
                    <w:rFonts w:ascii="Fujiyama" w:hAnsi="Fujiyama" w:cs="Arial"/>
                    <w:color w:val="57AB27"/>
                    <w:sz w:val="20"/>
                    <w:szCs w:val="20"/>
                  </w:rPr>
                </w:pPr>
              </w:p>
            </w:tc>
          </w:tr>
        </w:tbl>
        <w:p w:rsidR="003F746C" w:rsidRDefault="003F746C" w:rsidP="003F746C">
          <w:pPr>
            <w:tabs>
              <w:tab w:val="left" w:pos="380"/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8717" w:type="dxa"/>
          <w:vAlign w:val="center"/>
        </w:tcPr>
        <w:p w:rsidR="003F746C" w:rsidRDefault="003F746C" w:rsidP="003F746C">
          <w:pPr>
            <w:tabs>
              <w:tab w:val="left" w:pos="380"/>
              <w:tab w:val="center" w:pos="4536"/>
              <w:tab w:val="right" w:pos="9072"/>
            </w:tabs>
            <w:rPr>
              <w:rFonts w:ascii="Futura Com Medium Condensed" w:hAnsi="Futura Com Medium Condensed" w:cs="Arial"/>
              <w:color w:val="57AB27"/>
              <w:sz w:val="18"/>
              <w:szCs w:val="19"/>
            </w:rPr>
          </w:pPr>
        </w:p>
      </w:tc>
    </w:tr>
  </w:tbl>
  <w:p w:rsidR="003F746C" w:rsidRPr="00425F85" w:rsidRDefault="003F746C" w:rsidP="003F746C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C5B" w:rsidRDefault="005F5C5B">
      <w:pPr>
        <w:spacing w:after="0" w:line="240" w:lineRule="auto"/>
      </w:pPr>
      <w:r>
        <w:separator/>
      </w:r>
    </w:p>
  </w:footnote>
  <w:footnote w:type="continuationSeparator" w:id="0">
    <w:p w:rsidR="005F5C5B" w:rsidRDefault="005F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46C" w:rsidRDefault="003F746C" w:rsidP="003F746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46C" w:rsidRDefault="00067D53" w:rsidP="003F746C">
    <w:pPr>
      <w:pStyle w:val="Nagwek"/>
      <w:tabs>
        <w:tab w:val="clear" w:pos="4536"/>
        <w:tab w:val="clear" w:pos="9072"/>
      </w:tabs>
      <w:ind w:hanging="851"/>
    </w:pPr>
    <w:r w:rsidRPr="00397347">
      <w:rPr>
        <w:noProof/>
        <w:lang w:eastAsia="pl-PL"/>
      </w:rPr>
      <w:drawing>
        <wp:inline distT="0" distB="0" distL="0" distR="0">
          <wp:extent cx="4905375" cy="942975"/>
          <wp:effectExtent l="0" t="0" r="0" b="9525"/>
          <wp:docPr id="1" name="Obraz 3" descr="Logo Regionalnej Dyrekcji Ochrony Środowiska w Olsztynie" title="Logo Regionalnej Dyrekcji Ochrony Środowiska w Olszty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_RDOS_Olszty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F9"/>
    <w:rsid w:val="00067D53"/>
    <w:rsid w:val="001371C3"/>
    <w:rsid w:val="00185027"/>
    <w:rsid w:val="001927A2"/>
    <w:rsid w:val="001F78E7"/>
    <w:rsid w:val="0027791C"/>
    <w:rsid w:val="003F746C"/>
    <w:rsid w:val="004B1641"/>
    <w:rsid w:val="00582AC7"/>
    <w:rsid w:val="005F5C5B"/>
    <w:rsid w:val="00672C38"/>
    <w:rsid w:val="007C26A8"/>
    <w:rsid w:val="00AA4344"/>
    <w:rsid w:val="00AB1769"/>
    <w:rsid w:val="00C6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25090A-0BF7-4ED1-9DEE-7C5004E5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FF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61F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61FF9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C61FF9"/>
    <w:pPr>
      <w:suppressAutoHyphens/>
      <w:ind w:left="720"/>
    </w:pPr>
    <w:rPr>
      <w:rFonts w:eastAsia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61F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Chelchowska</dc:creator>
  <cp:keywords/>
  <cp:lastModifiedBy>Iwona Bobek</cp:lastModifiedBy>
  <cp:revision>4</cp:revision>
  <cp:lastPrinted>2021-11-26T07:32:00Z</cp:lastPrinted>
  <dcterms:created xsi:type="dcterms:W3CDTF">2021-11-26T12:26:00Z</dcterms:created>
  <dcterms:modified xsi:type="dcterms:W3CDTF">2021-11-26T12:38:00Z</dcterms:modified>
</cp:coreProperties>
</file>