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FCA" w14:textId="250D047B" w:rsidR="00D542AD" w:rsidRPr="00D542AD" w:rsidRDefault="00D542AD" w:rsidP="00D542AD">
      <w:pPr>
        <w:pStyle w:val="Tytu"/>
        <w:spacing w:before="2040"/>
        <w:rPr>
          <w:lang w:val="pl-PL"/>
        </w:rPr>
      </w:pPr>
      <w:bookmarkStart w:id="0" w:name="_Hlk173243165"/>
      <w:bookmarkEnd w:id="0"/>
      <w:r w:rsidRPr="00D542AD">
        <w:rPr>
          <w:lang w:val="pl-PL"/>
        </w:rPr>
        <w:t>INFORMACJA KWARTALNA O STANIE FINANSÓW PUBLICZNYCH W I</w:t>
      </w:r>
      <w:r w:rsidR="0032189A">
        <w:rPr>
          <w:lang w:val="pl-PL"/>
        </w:rPr>
        <w:t>I</w:t>
      </w:r>
      <w:r w:rsidR="00231FA8">
        <w:rPr>
          <w:lang w:val="pl-PL"/>
        </w:rPr>
        <w:tab/>
      </w:r>
      <w:r w:rsidRPr="00D542AD">
        <w:rPr>
          <w:lang w:val="pl-PL"/>
        </w:rPr>
        <w:t xml:space="preserve"> KWARTALE 202</w:t>
      </w:r>
      <w:r w:rsidR="00BE6D95">
        <w:rPr>
          <w:lang w:val="pl-PL"/>
        </w:rPr>
        <w:t>4</w:t>
      </w:r>
      <w:r w:rsidRPr="00D542AD">
        <w:rPr>
          <w:lang w:val="pl-PL"/>
        </w:rPr>
        <w:t xml:space="preserve"> roku </w:t>
      </w:r>
    </w:p>
    <w:p w14:paraId="5495D23A" w14:textId="60137932" w:rsidR="009C0B1C" w:rsidRPr="00D542AD" w:rsidRDefault="00D542AD" w:rsidP="002302CF">
      <w:pPr>
        <w:pStyle w:val="Podtytu"/>
      </w:pPr>
      <w:r>
        <w:t xml:space="preserve">Nr </w:t>
      </w:r>
      <w:r w:rsidR="0032189A">
        <w:t>4</w:t>
      </w:r>
      <w:r>
        <w:t xml:space="preserve"> / 202</w:t>
      </w:r>
      <w:r w:rsidR="009F1463">
        <w:t>4</w:t>
      </w:r>
    </w:p>
    <w:p w14:paraId="12AEDD9B" w14:textId="77777777" w:rsidR="00D542AD" w:rsidRDefault="00D542AD" w:rsidP="00D542AD">
      <w:pPr>
        <w:rPr>
          <w:rFonts w:eastAsiaTheme="majorEastAsia" w:cstheme="majorBidi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110614717"/>
        <w:docPartObj>
          <w:docPartGallery w:val="Table of Contents"/>
          <w:docPartUnique/>
        </w:docPartObj>
      </w:sdtPr>
      <w:sdtEndPr>
        <w:rPr>
          <w:rFonts w:ascii="Lato" w:hAnsi="Lato"/>
          <w:sz w:val="24"/>
        </w:rPr>
      </w:sdtEndPr>
      <w:sdtContent>
        <w:p w14:paraId="59783150" w14:textId="77777777" w:rsidR="004A0A8C" w:rsidRPr="004A0A8C" w:rsidRDefault="004A0A8C" w:rsidP="00D542AD">
          <w:pPr>
            <w:pStyle w:val="Nagwekspisutreci"/>
          </w:pPr>
          <w:proofErr w:type="spellStart"/>
          <w:r w:rsidRPr="004A0A8C">
            <w:t>Spis</w:t>
          </w:r>
          <w:proofErr w:type="spellEnd"/>
          <w:r w:rsidRPr="004A0A8C">
            <w:t xml:space="preserve"> </w:t>
          </w:r>
          <w:proofErr w:type="spellStart"/>
          <w:r w:rsidRPr="004A0A8C">
            <w:t>treści</w:t>
          </w:r>
          <w:proofErr w:type="spellEnd"/>
          <w:r>
            <w:t xml:space="preserve"> </w:t>
          </w:r>
        </w:p>
        <w:p w14:paraId="42661CB2" w14:textId="714597E5" w:rsidR="00801205" w:rsidRDefault="004A0A8C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652626" w:history="1">
            <w:r w:rsidR="00801205" w:rsidRPr="004651D5">
              <w:rPr>
                <w:rStyle w:val="Hipercze"/>
                <w:noProof/>
                <w:lang w:val="pl-PL"/>
              </w:rPr>
              <w:t>Podstawowe wskaźniki stanu sektora instytucji rządowych i samorządowych wg ESA2010 w II kw. 2024 r.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_Toc180652626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3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6267B0B4" w14:textId="54BEEC7A" w:rsidR="00801205" w:rsidRDefault="00AD21F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27" w:history="1">
            <w:r w:rsidR="00801205" w:rsidRPr="004651D5">
              <w:rPr>
                <w:rStyle w:val="Hipercze"/>
                <w:noProof/>
                <w:lang w:val="pl-PL"/>
              </w:rPr>
              <w:t>Wstęp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_Toc180652627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4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3EF2D3A4" w14:textId="44A5B386" w:rsidR="00801205" w:rsidRDefault="00AD21FF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28" w:history="1">
            <w:r w:rsidR="00801205" w:rsidRPr="004651D5">
              <w:rPr>
                <w:rStyle w:val="Hipercze"/>
                <w:noProof/>
                <w:lang w:val="pl-PL"/>
              </w:rPr>
              <w:t>1.</w:t>
            </w:r>
            <w:r w:rsidR="00801205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801205" w:rsidRPr="004651D5">
              <w:rPr>
                <w:rStyle w:val="Hipercze"/>
                <w:noProof/>
                <w:lang w:val="pl-PL"/>
              </w:rPr>
              <w:t>Wynik, dochody oraz wydatki w II kw. 2024 r.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_Toc180652628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6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04AE03C9" w14:textId="7B1ADE12" w:rsidR="00801205" w:rsidRDefault="00AD21F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29" w:history="1">
            <w:r w:rsidR="00801205" w:rsidRPr="004651D5">
              <w:rPr>
                <w:rStyle w:val="Hipercze"/>
                <w:noProof/>
                <w:lang w:val="pl-PL"/>
              </w:rPr>
              <w:t>1.1. Wynik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_Toc180652629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6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22D3FB41" w14:textId="0DBCF903" w:rsidR="00801205" w:rsidRDefault="00AD21F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0" w:history="1">
            <w:r w:rsidR="00801205" w:rsidRPr="004651D5">
              <w:rPr>
                <w:rStyle w:val="Hipercze"/>
                <w:noProof/>
                <w:lang w:val="pl-PL"/>
              </w:rPr>
              <w:t>1.2. Dochody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_Toc180652630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6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395AC029" w14:textId="627AE1B2" w:rsidR="00801205" w:rsidRDefault="00AD21F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1" w:history="1">
            <w:r w:rsidR="00801205" w:rsidRPr="004651D5">
              <w:rPr>
                <w:rStyle w:val="Hipercze"/>
                <w:noProof/>
                <w:lang w:val="pl-PL"/>
              </w:rPr>
              <w:t>1.3. Wydatki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_Toc180652631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9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698AACAC" w14:textId="423BC52A" w:rsidR="00801205" w:rsidRDefault="00AD21FF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2" w:history="1">
            <w:r w:rsidR="00801205" w:rsidRPr="004651D5">
              <w:rPr>
                <w:rStyle w:val="Hipercze"/>
                <w:noProof/>
                <w:lang w:val="pl-PL"/>
              </w:rPr>
              <w:t>2.</w:t>
            </w:r>
            <w:r w:rsidR="00801205">
              <w:rPr>
                <w:rFonts w:asciiTheme="minorHAnsi" w:eastAsiaTheme="minorEastAsia" w:hAnsiTheme="minorHAnsi"/>
                <w:noProof/>
                <w:sz w:val="22"/>
                <w:lang w:val="pl-PL" w:eastAsia="pl-PL"/>
              </w:rPr>
              <w:tab/>
            </w:r>
            <w:r w:rsidR="00801205" w:rsidRPr="004651D5">
              <w:rPr>
                <w:rStyle w:val="Hipercze"/>
                <w:noProof/>
                <w:lang w:val="pl-PL"/>
              </w:rPr>
              <w:t>Dług publiczny oraz potrzeby pożyczkowe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_Toc180652632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11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080F4324" w14:textId="700D710E" w:rsidR="00801205" w:rsidRDefault="00AD21F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3" w:history="1">
            <w:r w:rsidR="00801205" w:rsidRPr="004651D5">
              <w:rPr>
                <w:rStyle w:val="Hipercze"/>
                <w:noProof/>
                <w:lang w:val="pl-PL"/>
              </w:rPr>
              <w:t>2.1. Dług sektora instytucji rządowych i samorządowych (wg definicji UE)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_Toc180652633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11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4C8F6AD5" w14:textId="00A84C0A" w:rsidR="00801205" w:rsidRDefault="00AD21FF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4" w:history="1">
            <w:r w:rsidR="00801205" w:rsidRPr="004651D5">
              <w:rPr>
                <w:rStyle w:val="Hipercze"/>
                <w:noProof/>
                <w:lang w:val="pl-PL"/>
              </w:rPr>
              <w:t>3.2. Potrzeby pożyczkowe budżetu państwa i ich finansowanie w II kw. 2024 r.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_Toc180652634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12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35025468" w14:textId="22496A45" w:rsidR="00801205" w:rsidRDefault="00AD21FF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val="pl-PL" w:eastAsia="pl-PL"/>
            </w:rPr>
          </w:pPr>
          <w:hyperlink w:anchor="_Toc180652635" w:history="1">
            <w:r w:rsidR="00801205" w:rsidRPr="004651D5">
              <w:rPr>
                <w:rStyle w:val="Hipercze"/>
                <w:noProof/>
                <w:lang w:val="pl-PL"/>
              </w:rPr>
              <w:t>ANEKS STATYSTYCZNY</w:t>
            </w:r>
            <w:r w:rsidR="00801205">
              <w:rPr>
                <w:noProof/>
                <w:webHidden/>
              </w:rPr>
              <w:tab/>
            </w:r>
            <w:r w:rsidR="00801205">
              <w:rPr>
                <w:noProof/>
                <w:webHidden/>
              </w:rPr>
              <w:fldChar w:fldCharType="begin"/>
            </w:r>
            <w:r w:rsidR="00801205">
              <w:rPr>
                <w:noProof/>
                <w:webHidden/>
              </w:rPr>
              <w:instrText xml:space="preserve"> PAGEREF _Toc180652635 \h </w:instrText>
            </w:r>
            <w:r w:rsidR="00801205">
              <w:rPr>
                <w:noProof/>
                <w:webHidden/>
              </w:rPr>
            </w:r>
            <w:r w:rsidR="00801205">
              <w:rPr>
                <w:noProof/>
                <w:webHidden/>
              </w:rPr>
              <w:fldChar w:fldCharType="separate"/>
            </w:r>
            <w:r w:rsidR="00801205">
              <w:rPr>
                <w:noProof/>
                <w:webHidden/>
              </w:rPr>
              <w:t>15</w:t>
            </w:r>
            <w:r w:rsidR="00801205">
              <w:rPr>
                <w:noProof/>
                <w:webHidden/>
              </w:rPr>
              <w:fldChar w:fldCharType="end"/>
            </w:r>
          </w:hyperlink>
        </w:p>
        <w:p w14:paraId="659F7D05" w14:textId="356CEA41" w:rsidR="004A0A8C" w:rsidRDefault="004A0A8C" w:rsidP="005745E4">
          <w:r>
            <w:fldChar w:fldCharType="end"/>
          </w:r>
        </w:p>
      </w:sdtContent>
    </w:sdt>
    <w:p w14:paraId="328C1CCE" w14:textId="77777777" w:rsidR="004A0A8C" w:rsidRDefault="004A0A8C" w:rsidP="005745E4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4439EB92" w14:textId="7C4AB628" w:rsidR="002302CF" w:rsidRPr="002302CF" w:rsidRDefault="002302CF" w:rsidP="002302CF">
      <w:pPr>
        <w:pStyle w:val="Nagwek2"/>
        <w:rPr>
          <w:lang w:val="pl-PL"/>
        </w:rPr>
      </w:pPr>
      <w:bookmarkStart w:id="1" w:name="_Toc180652626"/>
      <w:r w:rsidRPr="002302CF">
        <w:rPr>
          <w:lang w:val="pl-PL"/>
        </w:rPr>
        <w:lastRenderedPageBreak/>
        <w:t>Podstawowe wskaźniki stanu sektora instytucji rządowych i samor</w:t>
      </w:r>
      <w:r w:rsidR="00B62053">
        <w:rPr>
          <w:lang w:val="pl-PL"/>
        </w:rPr>
        <w:t xml:space="preserve">ządowych wg ESA2010 w </w:t>
      </w:r>
      <w:r w:rsidR="0032189A">
        <w:rPr>
          <w:lang w:val="pl-PL"/>
        </w:rPr>
        <w:t>I</w:t>
      </w:r>
      <w:r w:rsidR="00B62053">
        <w:rPr>
          <w:lang w:val="pl-PL"/>
        </w:rPr>
        <w:t>I kw. 202</w:t>
      </w:r>
      <w:r w:rsidR="00BE6D95">
        <w:rPr>
          <w:lang w:val="pl-PL"/>
        </w:rPr>
        <w:t>4</w:t>
      </w:r>
      <w:r w:rsidRPr="002302CF">
        <w:rPr>
          <w:lang w:val="pl-PL"/>
        </w:rPr>
        <w:t xml:space="preserve"> r.</w:t>
      </w:r>
      <w:bookmarkEnd w:id="1"/>
    </w:p>
    <w:p w14:paraId="7D0F069E" w14:textId="182C23E2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(NSA) w </w:t>
      </w:r>
      <w:r w:rsidR="00015B8F">
        <w:rPr>
          <w:lang w:val="pl-PL"/>
        </w:rPr>
        <w:t>I</w:t>
      </w:r>
      <w:r w:rsidR="0032189A">
        <w:rPr>
          <w:lang w:val="pl-PL"/>
        </w:rPr>
        <w:t>I</w:t>
      </w:r>
      <w:r w:rsidRPr="002302CF">
        <w:rPr>
          <w:lang w:val="pl-PL"/>
        </w:rPr>
        <w:t xml:space="preserve"> kw. wyniósł </w:t>
      </w:r>
      <w:r w:rsidR="00B37D63">
        <w:rPr>
          <w:rStyle w:val="Wyrnienieintensywne"/>
          <w:lang w:val="pl-PL"/>
        </w:rPr>
        <w:t>63</w:t>
      </w:r>
      <w:r w:rsidR="00AF60F7" w:rsidRPr="003019AF">
        <w:rPr>
          <w:rStyle w:val="Wyrnienieintensywne"/>
          <w:lang w:val="pl-PL"/>
        </w:rPr>
        <w:t>,</w:t>
      </w:r>
      <w:r w:rsidR="00B37D63">
        <w:rPr>
          <w:rStyle w:val="Wyrnienieintensywne"/>
          <w:lang w:val="pl-PL"/>
        </w:rPr>
        <w:t>1</w:t>
      </w:r>
      <w:r w:rsidR="0029181F" w:rsidRPr="0029181F">
        <w:rPr>
          <w:rStyle w:val="Wyrnienieintensywne"/>
          <w:lang w:val="pl-PL"/>
        </w:rPr>
        <w:t xml:space="preserve"> </w:t>
      </w:r>
      <w:r w:rsidR="005A6209">
        <w:rPr>
          <w:rStyle w:val="Wyrnienieintensywne"/>
          <w:lang w:val="pl-PL"/>
        </w:rPr>
        <w:t>mld zł (</w:t>
      </w:r>
      <w:r w:rsidR="00B37D63">
        <w:rPr>
          <w:rStyle w:val="Wyrnienieintensywne"/>
          <w:lang w:val="pl-PL"/>
        </w:rPr>
        <w:t>7</w:t>
      </w:r>
      <w:r w:rsidR="00AF60F7">
        <w:rPr>
          <w:rStyle w:val="Wyrnienieintensywne"/>
          <w:lang w:val="pl-PL"/>
        </w:rPr>
        <w:t>,3</w:t>
      </w:r>
      <w:r w:rsidRPr="00D850FB">
        <w:rPr>
          <w:rStyle w:val="Wyrnienieintensywne"/>
          <w:lang w:val="pl-PL"/>
        </w:rPr>
        <w:t>% PKB)</w:t>
      </w:r>
      <w:r w:rsidRPr="00413A13">
        <w:rPr>
          <w:rStyle w:val="Wyrnienieintensywne"/>
          <w:color w:val="auto"/>
          <w:lang w:val="pl-PL"/>
        </w:rPr>
        <w:t>.</w:t>
      </w:r>
    </w:p>
    <w:p w14:paraId="447DDFA6" w14:textId="572252B1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ujęciu roku płynnego deficyt wyniósł </w:t>
      </w:r>
      <w:r w:rsidR="00B37D63" w:rsidRPr="001211D9">
        <w:rPr>
          <w:rStyle w:val="Wyrnienieintensywne"/>
          <w:lang w:val="pl-PL"/>
        </w:rPr>
        <w:t>6,0</w:t>
      </w:r>
      <w:r w:rsidRPr="009C2F53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2BF9ADB6" w14:textId="50696035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Deficyt wyrównany sezonowo (SA) wyniósł </w:t>
      </w:r>
      <w:r w:rsidRPr="00D850FB">
        <w:rPr>
          <w:rStyle w:val="Wyrnienieintensywne"/>
          <w:lang w:val="pl-PL"/>
        </w:rPr>
        <w:t xml:space="preserve"> </w:t>
      </w:r>
      <w:r w:rsidR="00B37D63">
        <w:rPr>
          <w:rStyle w:val="Wyrnienieintensywne"/>
          <w:lang w:val="pl-PL"/>
        </w:rPr>
        <w:t>8</w:t>
      </w:r>
      <w:r w:rsidR="009167E0">
        <w:rPr>
          <w:rStyle w:val="Wyrnienieintensywne"/>
          <w:lang w:val="pl-PL"/>
        </w:rPr>
        <w:t>,</w:t>
      </w:r>
      <w:r w:rsidR="00B37D63">
        <w:rPr>
          <w:rStyle w:val="Wyrnienieintensywne"/>
          <w:lang w:val="pl-PL"/>
        </w:rPr>
        <w:t>1</w:t>
      </w:r>
      <w:r w:rsidR="009167E0">
        <w:rPr>
          <w:rStyle w:val="Wyrnienieintensywne"/>
          <w:lang w:val="pl-PL"/>
        </w:rPr>
        <w:t xml:space="preserve"> 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2489E0C2" w14:textId="17735CD9" w:rsidR="002302CF" w:rsidRP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Unii Europejskiej wyrównany sezonowo deficyt (SA) wyniósł </w:t>
      </w:r>
      <w:r w:rsidRPr="00D850FB">
        <w:rPr>
          <w:rStyle w:val="Wyrnienieintensywne"/>
          <w:lang w:val="pl-PL"/>
        </w:rPr>
        <w:t xml:space="preserve"> </w:t>
      </w:r>
      <w:r w:rsidR="009167E0">
        <w:rPr>
          <w:rStyle w:val="Wyrnienieintensywne"/>
          <w:lang w:val="pl-PL"/>
        </w:rPr>
        <w:t>3,</w:t>
      </w:r>
      <w:r w:rsidR="00B37D63">
        <w:rPr>
          <w:rStyle w:val="Wyrnienieintensywne"/>
          <w:lang w:val="pl-PL"/>
        </w:rPr>
        <w:t>1</w:t>
      </w:r>
      <w:r w:rsidR="009167E0">
        <w:rPr>
          <w:rStyle w:val="Wyrnienieintensywne"/>
          <w:lang w:val="pl-PL"/>
        </w:rPr>
        <w:t xml:space="preserve"> </w:t>
      </w:r>
      <w:r w:rsidRPr="00D850FB">
        <w:rPr>
          <w:rStyle w:val="Wyrnienieintensywne"/>
          <w:lang w:val="pl-PL"/>
        </w:rPr>
        <w:t>% PKB</w:t>
      </w:r>
      <w:r w:rsidRPr="002302CF">
        <w:rPr>
          <w:lang w:val="pl-PL"/>
        </w:rPr>
        <w:t>.</w:t>
      </w:r>
    </w:p>
    <w:p w14:paraId="58802A72" w14:textId="2167A46E" w:rsidR="002302CF" w:rsidRDefault="002302CF" w:rsidP="002302CF">
      <w:pPr>
        <w:pStyle w:val="Akapitzlist"/>
        <w:rPr>
          <w:lang w:val="pl-PL"/>
        </w:rPr>
      </w:pPr>
      <w:r w:rsidRPr="002302CF">
        <w:rPr>
          <w:lang w:val="pl-PL"/>
        </w:rPr>
        <w:t xml:space="preserve">W 27 krajach UE deficyt (NSA) wyniósł </w:t>
      </w:r>
      <w:r w:rsidRPr="003545C1">
        <w:rPr>
          <w:rStyle w:val="Wyrnienieintensywne"/>
          <w:lang w:val="pl-PL"/>
        </w:rPr>
        <w:t xml:space="preserve"> </w:t>
      </w:r>
      <w:r w:rsidR="00B37D63">
        <w:rPr>
          <w:rStyle w:val="Wyrnienieintensywne"/>
          <w:lang w:val="pl-PL"/>
        </w:rPr>
        <w:t>2</w:t>
      </w:r>
      <w:r w:rsidR="009167E0">
        <w:rPr>
          <w:rStyle w:val="Wyrnienieintensywne"/>
          <w:lang w:val="pl-PL"/>
        </w:rPr>
        <w:t>,</w:t>
      </w:r>
      <w:r w:rsidR="00B37D63">
        <w:rPr>
          <w:rStyle w:val="Wyrnienieintensywne"/>
          <w:lang w:val="pl-PL"/>
        </w:rPr>
        <w:t>7</w:t>
      </w:r>
      <w:r w:rsidR="009167E0">
        <w:rPr>
          <w:rStyle w:val="Wyrnienieintensywne"/>
          <w:lang w:val="pl-PL"/>
        </w:rPr>
        <w:t xml:space="preserve"> </w:t>
      </w:r>
      <w:r w:rsidRPr="003545C1">
        <w:rPr>
          <w:rStyle w:val="Wyrnienieintensywne"/>
          <w:lang w:val="pl-PL"/>
        </w:rPr>
        <w:t>%</w:t>
      </w:r>
      <w:r w:rsidRPr="00D850FB">
        <w:rPr>
          <w:rStyle w:val="Wyrnienieintensywne"/>
          <w:lang w:val="pl-PL"/>
        </w:rPr>
        <w:t xml:space="preserve"> PKB</w:t>
      </w:r>
      <w:r w:rsidRPr="002302CF">
        <w:rPr>
          <w:lang w:val="pl-PL"/>
        </w:rPr>
        <w:t>.</w:t>
      </w:r>
    </w:p>
    <w:p w14:paraId="5C044EE4" w14:textId="01187E84" w:rsidR="002302CF" w:rsidRPr="00CF7C6C" w:rsidRDefault="002302CF" w:rsidP="00546DF9">
      <w:pPr>
        <w:pStyle w:val="Akapitzlist"/>
        <w:spacing w:before="1200"/>
        <w:ind w:left="714" w:hanging="357"/>
        <w:rPr>
          <w:lang w:val="pl-PL"/>
        </w:rPr>
      </w:pPr>
      <w:r w:rsidRPr="002302CF">
        <w:rPr>
          <w:lang w:val="pl-PL"/>
        </w:rPr>
        <w:t xml:space="preserve">Dług EDP na koniec </w:t>
      </w:r>
      <w:r w:rsidR="00B37D63">
        <w:rPr>
          <w:lang w:val="pl-PL"/>
        </w:rPr>
        <w:t>I</w:t>
      </w:r>
      <w:r w:rsidRPr="002302CF">
        <w:rPr>
          <w:lang w:val="pl-PL"/>
        </w:rPr>
        <w:t>I kw. 202</w:t>
      </w:r>
      <w:r w:rsidR="00B37D63">
        <w:rPr>
          <w:lang w:val="pl-PL"/>
        </w:rPr>
        <w:t>4</w:t>
      </w:r>
      <w:r w:rsidRPr="002302CF">
        <w:rPr>
          <w:lang w:val="pl-PL"/>
        </w:rPr>
        <w:t xml:space="preserve"> r. wyniósł </w:t>
      </w:r>
      <w:r w:rsidR="001A6240" w:rsidRPr="001A6240">
        <w:rPr>
          <w:rStyle w:val="Wyrnienieintensywne"/>
          <w:lang w:val="pl-PL"/>
        </w:rPr>
        <w:t xml:space="preserve"> </w:t>
      </w:r>
      <w:r w:rsidR="001211D9" w:rsidRPr="001211D9">
        <w:rPr>
          <w:rStyle w:val="Wyrnienieintensywne"/>
          <w:lang w:val="pl-PL"/>
        </w:rPr>
        <w:t>1.824,</w:t>
      </w:r>
      <w:r w:rsidR="001211D9" w:rsidRPr="00CF7C6C">
        <w:rPr>
          <w:rStyle w:val="Wyrnienieintensywne"/>
          <w:lang w:val="pl-PL"/>
        </w:rPr>
        <w:t xml:space="preserve">5 </w:t>
      </w:r>
      <w:r w:rsidRPr="00CF7C6C">
        <w:rPr>
          <w:rStyle w:val="Wyrnienieintensywne"/>
          <w:lang w:val="pl-PL"/>
        </w:rPr>
        <w:t>mld zł (</w:t>
      </w:r>
      <w:r w:rsidR="009167E0" w:rsidRPr="00CF7C6C">
        <w:rPr>
          <w:rStyle w:val="Wyrnienieintensywne"/>
          <w:lang w:val="pl-PL"/>
        </w:rPr>
        <w:t>5</w:t>
      </w:r>
      <w:r w:rsidR="00CF7C6C" w:rsidRPr="00CF7C6C">
        <w:rPr>
          <w:rStyle w:val="Wyrnienieintensywne"/>
          <w:lang w:val="pl-PL"/>
        </w:rPr>
        <w:t>2,3</w:t>
      </w:r>
      <w:r w:rsidR="009167E0" w:rsidRPr="00CF7C6C">
        <w:rPr>
          <w:rStyle w:val="Wyrnienieintensywne"/>
          <w:lang w:val="pl-PL"/>
        </w:rPr>
        <w:t xml:space="preserve"> </w:t>
      </w:r>
      <w:r w:rsidRPr="00CF7C6C">
        <w:rPr>
          <w:rStyle w:val="Wyrnienieintensywne"/>
          <w:lang w:val="pl-PL"/>
        </w:rPr>
        <w:t>% PKB)</w:t>
      </w:r>
      <w:r w:rsidRPr="00CF7C6C">
        <w:rPr>
          <w:lang w:val="pl-PL"/>
        </w:rPr>
        <w:t>.</w:t>
      </w:r>
    </w:p>
    <w:p w14:paraId="2C536589" w14:textId="3FEB4988" w:rsidR="002302CF" w:rsidRPr="00CF7C6C" w:rsidRDefault="002302CF" w:rsidP="002302CF">
      <w:pPr>
        <w:pStyle w:val="Akapitzlist"/>
        <w:rPr>
          <w:lang w:val="pl-PL"/>
        </w:rPr>
      </w:pPr>
      <w:r w:rsidRPr="00CF7C6C">
        <w:rPr>
          <w:lang w:val="pl-PL"/>
        </w:rPr>
        <w:t xml:space="preserve">W Unii Europejskiej dług na koniec </w:t>
      </w:r>
      <w:r w:rsidR="00BE6D95" w:rsidRPr="00CF7C6C">
        <w:rPr>
          <w:lang w:val="pl-PL"/>
        </w:rPr>
        <w:t>mar</w:t>
      </w:r>
      <w:r w:rsidR="005E7339" w:rsidRPr="00CF7C6C">
        <w:rPr>
          <w:lang w:val="pl-PL"/>
        </w:rPr>
        <w:t>ca</w:t>
      </w:r>
      <w:r w:rsidRPr="00CF7C6C">
        <w:rPr>
          <w:lang w:val="pl-PL"/>
        </w:rPr>
        <w:t xml:space="preserve"> wyniósł </w:t>
      </w:r>
      <w:r w:rsidR="009167E0" w:rsidRPr="00CF7C6C">
        <w:rPr>
          <w:rStyle w:val="Wyrnienieintensywne"/>
          <w:lang w:val="pl-PL"/>
        </w:rPr>
        <w:t>8</w:t>
      </w:r>
      <w:r w:rsidR="00CF7C6C" w:rsidRPr="00CF7C6C">
        <w:rPr>
          <w:rStyle w:val="Wyrnienieintensywne"/>
          <w:lang w:val="pl-PL"/>
        </w:rPr>
        <w:t>1</w:t>
      </w:r>
      <w:r w:rsidR="009167E0" w:rsidRPr="00CF7C6C">
        <w:rPr>
          <w:rStyle w:val="Wyrnienieintensywne"/>
          <w:lang w:val="pl-PL"/>
        </w:rPr>
        <w:t>,</w:t>
      </w:r>
      <w:r w:rsidR="00CF7C6C" w:rsidRPr="00CF7C6C">
        <w:rPr>
          <w:rStyle w:val="Wyrnienieintensywne"/>
          <w:lang w:val="pl-PL"/>
        </w:rPr>
        <w:t>5</w:t>
      </w:r>
      <w:r w:rsidR="009167E0" w:rsidRPr="00CF7C6C">
        <w:rPr>
          <w:lang w:val="pl-PL"/>
        </w:rPr>
        <w:t xml:space="preserve"> </w:t>
      </w:r>
      <w:r w:rsidRPr="00CF7C6C">
        <w:rPr>
          <w:rStyle w:val="Wyrnienieintensywne"/>
          <w:lang w:val="pl-PL"/>
        </w:rPr>
        <w:t>% PKB</w:t>
      </w:r>
      <w:r w:rsidRPr="00CF7C6C">
        <w:rPr>
          <w:lang w:val="pl-PL"/>
        </w:rPr>
        <w:t>.</w:t>
      </w:r>
    </w:p>
    <w:p w14:paraId="166AF10B" w14:textId="77777777" w:rsidR="00546DF9" w:rsidRPr="002302CF" w:rsidRDefault="00546DF9" w:rsidP="00546DF9">
      <w:pPr>
        <w:pStyle w:val="Akapitzlist"/>
        <w:numPr>
          <w:ilvl w:val="0"/>
          <w:numId w:val="0"/>
        </w:numPr>
        <w:ind w:left="717"/>
        <w:rPr>
          <w:lang w:val="pl-PL"/>
        </w:rPr>
      </w:pPr>
    </w:p>
    <w:p w14:paraId="1FADF649" w14:textId="77777777" w:rsidR="00E36055" w:rsidRPr="00D850FB" w:rsidRDefault="00E36055" w:rsidP="00E36055">
      <w:pPr>
        <w:rPr>
          <w:rFonts w:eastAsiaTheme="majorEastAsia" w:cstheme="majorBidi"/>
          <w:sz w:val="32"/>
          <w:szCs w:val="32"/>
          <w:lang w:val="pl-PL"/>
        </w:rPr>
      </w:pPr>
      <w:r w:rsidRPr="00D850FB">
        <w:rPr>
          <w:lang w:val="pl-PL"/>
        </w:rPr>
        <w:br w:type="page"/>
      </w:r>
    </w:p>
    <w:p w14:paraId="6FCE0657" w14:textId="77777777" w:rsidR="002934AC" w:rsidRDefault="002934AC" w:rsidP="002934AC">
      <w:pPr>
        <w:pStyle w:val="Nagwek1"/>
        <w:rPr>
          <w:lang w:val="pl-PL"/>
        </w:rPr>
      </w:pPr>
      <w:bookmarkStart w:id="2" w:name="_Toc180652627"/>
      <w:r>
        <w:rPr>
          <w:lang w:val="pl-PL"/>
        </w:rPr>
        <w:lastRenderedPageBreak/>
        <w:t>Wstęp</w:t>
      </w:r>
      <w:bookmarkEnd w:id="2"/>
    </w:p>
    <w:p w14:paraId="4DD61DCF" w14:textId="2AB5723A" w:rsidR="00D850FB" w:rsidRPr="00D850FB" w:rsidRDefault="00D850FB" w:rsidP="00D850FB">
      <w:pPr>
        <w:rPr>
          <w:lang w:val="pl-PL"/>
        </w:rPr>
      </w:pPr>
      <w:r w:rsidRPr="00D850FB">
        <w:rPr>
          <w:lang w:val="pl-PL"/>
        </w:rPr>
        <w:t xml:space="preserve">Mając na uwadze zasadę jawności i przejrzystości finansów publicznych publikujemy Informację kwartalną o stanie finansów publicznych. Niniejszy numer zawiera informacje dotyczące </w:t>
      </w:r>
      <w:r w:rsidR="00B37D63" w:rsidRPr="00B37D63">
        <w:rPr>
          <w:lang w:val="pl-PL"/>
        </w:rPr>
        <w:t>I</w:t>
      </w:r>
      <w:r w:rsidRPr="00B37D63">
        <w:rPr>
          <w:lang w:val="pl-PL"/>
        </w:rPr>
        <w:t>I</w:t>
      </w:r>
      <w:r w:rsidRPr="00D850FB">
        <w:rPr>
          <w:lang w:val="pl-PL"/>
        </w:rPr>
        <w:t xml:space="preserve"> kwartału </w:t>
      </w:r>
      <w:r w:rsidR="00B62053">
        <w:rPr>
          <w:lang w:val="pl-PL"/>
        </w:rPr>
        <w:t>202</w:t>
      </w:r>
      <w:r w:rsidR="00AF60F7">
        <w:rPr>
          <w:lang w:val="pl-PL"/>
        </w:rPr>
        <w:t>4</w:t>
      </w:r>
      <w:r w:rsidRPr="00D850FB">
        <w:rPr>
          <w:lang w:val="pl-PL"/>
        </w:rPr>
        <w:t xml:space="preserve"> r. </w:t>
      </w:r>
    </w:p>
    <w:p w14:paraId="2A425EC0" w14:textId="77777777" w:rsidR="00D850FB" w:rsidRPr="00D850FB" w:rsidRDefault="00D850FB" w:rsidP="002934AC">
      <w:pPr>
        <w:spacing w:before="1200"/>
        <w:rPr>
          <w:lang w:val="pl-PL"/>
        </w:rPr>
      </w:pPr>
      <w:r w:rsidRPr="00D850FB">
        <w:rPr>
          <w:lang w:val="pl-PL"/>
        </w:rPr>
        <w:t>Podstawowym celem jest zaprezentowanie informacji na temat sektora finansów publicznych:</w:t>
      </w:r>
    </w:p>
    <w:p w14:paraId="4F39A957" w14:textId="77777777" w:rsidR="00D850FB" w:rsidRPr="00D850FB" w:rsidRDefault="00D850FB" w:rsidP="003615EA">
      <w:pPr>
        <w:pStyle w:val="Akapitzlist"/>
        <w:rPr>
          <w:lang w:val="pl-PL"/>
        </w:rPr>
      </w:pPr>
      <w:r w:rsidRPr="00D850FB">
        <w:rPr>
          <w:lang w:val="pl-PL"/>
        </w:rPr>
        <w:t>dane dotyczące dochodów i wydatków finansów publicznych wg metodyki unijnej (ESA2010) są publikowane przez Eurostat pod linkiem:</w:t>
      </w:r>
      <w:r>
        <w:rPr>
          <w:lang w:val="pl-PL"/>
        </w:rPr>
        <w:t xml:space="preserve"> </w:t>
      </w:r>
      <w:hyperlink r:id="rId8" w:history="1">
        <w:r>
          <w:rPr>
            <w:rStyle w:val="Hipercze"/>
            <w:lang w:val="pl-PL"/>
          </w:rPr>
          <w:t>baza danych Eurostatu</w:t>
        </w:r>
      </w:hyperlink>
      <w:r>
        <w:rPr>
          <w:lang w:val="pl-PL"/>
        </w:rPr>
        <w:t xml:space="preserve">. </w:t>
      </w:r>
      <w:r w:rsidRPr="00D850FB">
        <w:rPr>
          <w:lang w:val="pl-PL"/>
        </w:rPr>
        <w:t>Dane te są pogrupowane w obszary tematyczne. W szczególności strona zawiera następujące zestawy danych:</w:t>
      </w:r>
    </w:p>
    <w:p w14:paraId="72225448" w14:textId="7991453A" w:rsidR="00D850FB" w:rsidRPr="003615EA" w:rsidRDefault="00D850FB" w:rsidP="003615EA">
      <w:pPr>
        <w:pStyle w:val="Akapitzlist"/>
        <w:numPr>
          <w:ilvl w:val="0"/>
          <w:numId w:val="13"/>
        </w:numPr>
      </w:pPr>
      <w:r w:rsidRPr="003615EA">
        <w:rPr>
          <w:lang w:val="pl-PL"/>
        </w:rPr>
        <w:t>dochody, wydatki</w:t>
      </w:r>
      <w:r w:rsidRPr="003615EA">
        <w:t xml:space="preserve"> (Government revenue, expenditure and main aggregates (gov_10a_main))</w:t>
      </w:r>
      <w:r w:rsidR="00A637C7">
        <w:t xml:space="preserve"> </w:t>
      </w:r>
      <w:hyperlink r:id="rId9" w:history="1">
        <w:r w:rsidRPr="003615EA">
          <w:rPr>
            <w:rStyle w:val="Hipercze"/>
            <w:lang w:val="pl-PL"/>
          </w:rPr>
          <w:t>Eurostat dane sektora instytucji rządowych i samorządowych</w:t>
        </w:r>
      </w:hyperlink>
      <w:r w:rsidRPr="003615EA">
        <w:t>;</w:t>
      </w:r>
    </w:p>
    <w:p w14:paraId="2A083AA7" w14:textId="77777777" w:rsidR="00D850FB" w:rsidRPr="003615EA" w:rsidRDefault="00D850FB" w:rsidP="003615EA">
      <w:pPr>
        <w:pStyle w:val="Akapitzlist"/>
        <w:numPr>
          <w:ilvl w:val="0"/>
          <w:numId w:val="13"/>
        </w:numPr>
      </w:pPr>
      <w:proofErr w:type="spellStart"/>
      <w:r w:rsidRPr="00F940F6">
        <w:t>wydatki</w:t>
      </w:r>
      <w:proofErr w:type="spellEnd"/>
      <w:r w:rsidRPr="00F940F6">
        <w:t xml:space="preserve"> </w:t>
      </w:r>
      <w:proofErr w:type="spellStart"/>
      <w:r w:rsidRPr="00F940F6">
        <w:t>wg</w:t>
      </w:r>
      <w:proofErr w:type="spellEnd"/>
      <w:r w:rsidRPr="00F940F6">
        <w:t xml:space="preserve"> </w:t>
      </w:r>
      <w:proofErr w:type="spellStart"/>
      <w:r w:rsidRPr="00F940F6">
        <w:t>funkcji</w:t>
      </w:r>
      <w:proofErr w:type="spellEnd"/>
      <w:r w:rsidRPr="003615EA">
        <w:t xml:space="preserve"> COFOG (General government expenditure by function (COFOG) (gov_10a_exp)) </w:t>
      </w:r>
      <w:hyperlink r:id="rId10" w:history="1">
        <w:r w:rsidRPr="003615EA">
          <w:rPr>
            <w:rStyle w:val="Hipercze"/>
          </w:rPr>
          <w:t xml:space="preserve">Eurostat </w:t>
        </w:r>
        <w:proofErr w:type="spellStart"/>
        <w:r w:rsidRPr="00F940F6">
          <w:rPr>
            <w:rStyle w:val="Hipercze"/>
          </w:rPr>
          <w:t>dane</w:t>
        </w:r>
        <w:proofErr w:type="spellEnd"/>
        <w:r w:rsidRPr="00F940F6">
          <w:rPr>
            <w:rStyle w:val="Hipercze"/>
          </w:rPr>
          <w:t xml:space="preserve"> </w:t>
        </w:r>
        <w:proofErr w:type="spellStart"/>
        <w:r w:rsidRPr="00F940F6">
          <w:rPr>
            <w:rStyle w:val="Hipercze"/>
          </w:rPr>
          <w:t>wg</w:t>
        </w:r>
        <w:proofErr w:type="spellEnd"/>
        <w:r w:rsidRPr="003615EA">
          <w:rPr>
            <w:rStyle w:val="Hipercze"/>
          </w:rPr>
          <w:t xml:space="preserve"> COFOG</w:t>
        </w:r>
      </w:hyperlink>
      <w:r w:rsidRPr="003615EA">
        <w:t>;</w:t>
      </w:r>
    </w:p>
    <w:p w14:paraId="18BEF31C" w14:textId="5924BED4" w:rsidR="00D850FB" w:rsidRPr="00FA6F0D" w:rsidRDefault="00D850FB" w:rsidP="003615EA">
      <w:pPr>
        <w:pStyle w:val="Akapitzlist"/>
        <w:numPr>
          <w:ilvl w:val="0"/>
          <w:numId w:val="13"/>
        </w:numPr>
        <w:rPr>
          <w:lang w:val="pl-PL"/>
        </w:rPr>
      </w:pPr>
      <w:r w:rsidRPr="00FA6F0D">
        <w:rPr>
          <w:lang w:val="pl-PL"/>
        </w:rPr>
        <w:t>kwartalne rachunki niefinansowe (</w:t>
      </w:r>
      <w:proofErr w:type="spellStart"/>
      <w:r w:rsidRPr="00FA6F0D">
        <w:rPr>
          <w:lang w:val="pl-PL"/>
        </w:rPr>
        <w:t>Quarterly</w:t>
      </w:r>
      <w:proofErr w:type="spellEnd"/>
      <w:r w:rsidRPr="00FA6F0D">
        <w:rPr>
          <w:lang w:val="pl-PL"/>
        </w:rPr>
        <w:t xml:space="preserve"> non-</w:t>
      </w:r>
      <w:proofErr w:type="spellStart"/>
      <w:r w:rsidRPr="00FA6F0D">
        <w:rPr>
          <w:lang w:val="pl-PL"/>
        </w:rPr>
        <w:t>financial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accounts</w:t>
      </w:r>
      <w:proofErr w:type="spellEnd"/>
      <w:r w:rsidRPr="00FA6F0D">
        <w:rPr>
          <w:lang w:val="pl-PL"/>
        </w:rPr>
        <w:t xml:space="preserve"> for </w:t>
      </w:r>
      <w:proofErr w:type="spellStart"/>
      <w:r w:rsidRPr="00FA6F0D">
        <w:rPr>
          <w:lang w:val="pl-PL"/>
        </w:rPr>
        <w:t>general</w:t>
      </w:r>
      <w:proofErr w:type="spellEnd"/>
      <w:r w:rsidRPr="00FA6F0D">
        <w:rPr>
          <w:lang w:val="pl-PL"/>
        </w:rPr>
        <w:t xml:space="preserve"> </w:t>
      </w:r>
      <w:proofErr w:type="spellStart"/>
      <w:r w:rsidRPr="00FA6F0D">
        <w:rPr>
          <w:lang w:val="pl-PL"/>
        </w:rPr>
        <w:t>government</w:t>
      </w:r>
      <w:proofErr w:type="spellEnd"/>
      <w:r w:rsidRPr="00FA6F0D">
        <w:rPr>
          <w:lang w:val="pl-PL"/>
        </w:rPr>
        <w:t xml:space="preserve"> (gov_10q_ggnfa))</w:t>
      </w:r>
      <w:r w:rsidR="00A637C7" w:rsidRPr="00FA6F0D">
        <w:rPr>
          <w:lang w:val="pl-PL"/>
        </w:rPr>
        <w:t xml:space="preserve"> </w:t>
      </w:r>
      <w:hyperlink r:id="rId11" w:history="1">
        <w:r w:rsidRPr="00FA6F0D">
          <w:rPr>
            <w:rStyle w:val="Hipercze"/>
            <w:lang w:val="pl-PL"/>
          </w:rPr>
          <w:t>Eurostat kwartalne dane sektora instytucji rządowych i samorządowych</w:t>
        </w:r>
      </w:hyperlink>
      <w:r w:rsidRPr="00FA6F0D">
        <w:rPr>
          <w:rStyle w:val="Hipercze"/>
          <w:lang w:val="pl-PL"/>
        </w:rPr>
        <w:t>.</w:t>
      </w:r>
    </w:p>
    <w:p w14:paraId="708135DC" w14:textId="77777777" w:rsidR="00D850FB" w:rsidRP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standardu Międzynarodowego Funduszu Walutowego GFSM2001 (dane miesięczne obejmujące szczebel centralny, natomiast dane roczne obejmujące cały sektor instytucji rządowych i samorządowych), które są publikowane na stronie MF</w:t>
      </w:r>
      <w:r>
        <w:rPr>
          <w:lang w:val="pl-PL"/>
        </w:rPr>
        <w:t xml:space="preserve"> </w:t>
      </w:r>
      <w:hyperlink r:id="rId12" w:history="1">
        <w:r>
          <w:rPr>
            <w:rStyle w:val="Hipercze"/>
            <w:lang w:val="pl-PL"/>
          </w:rPr>
          <w:t>dane fiskalne na potrzeby nadzoru budżetowego UE</w:t>
        </w:r>
      </w:hyperlink>
    </w:p>
    <w:p w14:paraId="27FC3E12" w14:textId="77777777" w:rsidR="00D850FB" w:rsidRDefault="00D850FB" w:rsidP="00D850FB">
      <w:pPr>
        <w:pStyle w:val="Akapitzlist"/>
        <w:rPr>
          <w:lang w:val="pl-PL"/>
        </w:rPr>
      </w:pPr>
      <w:r w:rsidRPr="00D850FB">
        <w:rPr>
          <w:lang w:val="pl-PL"/>
        </w:rPr>
        <w:t>dane według przepisów krajowych publikowane na stronie MF</w:t>
      </w:r>
    </w:p>
    <w:p w14:paraId="12E609D7" w14:textId="23DB4126" w:rsidR="00D850FB" w:rsidRP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t xml:space="preserve">dane miesięczne o budżecie państwa </w:t>
      </w:r>
      <w:hyperlink r:id="rId13" w:history="1">
        <w:r w:rsidRPr="00D850FB">
          <w:rPr>
            <w:rStyle w:val="Hipercze"/>
            <w:lang w:val="pl-PL"/>
          </w:rPr>
          <w:t>szacunkowe wykonanie budżetu państwa</w:t>
        </w:r>
      </w:hyperlink>
      <w:r w:rsidRPr="00D850FB">
        <w:rPr>
          <w:lang w:val="pl-PL"/>
        </w:rPr>
        <w:t xml:space="preserve">; </w:t>
      </w:r>
      <w:hyperlink r:id="rId14" w:history="1">
        <w:r>
          <w:rPr>
            <w:rStyle w:val="Hipercze"/>
            <w:lang w:val="pl-PL"/>
          </w:rPr>
          <w:t>sprawozdania operatywne (miesięczne)</w:t>
        </w:r>
      </w:hyperlink>
      <w:r w:rsidR="005539AA">
        <w:rPr>
          <w:rStyle w:val="Hipercze"/>
          <w:lang w:val="pl-PL"/>
        </w:rPr>
        <w:t xml:space="preserve">; </w:t>
      </w:r>
      <w:hyperlink r:id="rId15" w:history="1">
        <w:r w:rsidR="005539AA" w:rsidRPr="00FA6F0D">
          <w:rPr>
            <w:rStyle w:val="Hipercze"/>
            <w:lang w:val="pl-PL"/>
          </w:rPr>
          <w:t>Trezor API - interfejs programistyczny dla systemu Trezor</w:t>
        </w:r>
      </w:hyperlink>
    </w:p>
    <w:p w14:paraId="1E1433A8" w14:textId="7D463113" w:rsidR="00D850FB" w:rsidRDefault="00D850FB" w:rsidP="003615EA">
      <w:pPr>
        <w:pStyle w:val="Akapitzlist"/>
        <w:numPr>
          <w:ilvl w:val="0"/>
          <w:numId w:val="10"/>
        </w:numPr>
        <w:rPr>
          <w:lang w:val="pl-PL"/>
        </w:rPr>
      </w:pPr>
      <w:r w:rsidRPr="00D850FB">
        <w:rPr>
          <w:lang w:val="pl-PL"/>
        </w:rPr>
        <w:lastRenderedPageBreak/>
        <w:t>kwartalne dane dotyczące jednostek samorządu terytorialnego i ich związków</w:t>
      </w:r>
      <w:r w:rsidR="00A637C7">
        <w:rPr>
          <w:lang w:val="pl-PL"/>
        </w:rPr>
        <w:t xml:space="preserve"> </w:t>
      </w:r>
      <w:hyperlink r:id="rId16" w:history="1">
        <w:r w:rsidR="000D4857">
          <w:rPr>
            <w:rStyle w:val="Hipercze"/>
            <w:lang w:val="pl-PL"/>
          </w:rPr>
          <w:t>finanse JST</w:t>
        </w:r>
      </w:hyperlink>
    </w:p>
    <w:p w14:paraId="270379EA" w14:textId="19821D81" w:rsidR="00095730" w:rsidRDefault="00D850FB" w:rsidP="00D850FB">
      <w:pPr>
        <w:rPr>
          <w:lang w:val="pl-PL"/>
        </w:rPr>
      </w:pPr>
      <w:r w:rsidRPr="00D850FB">
        <w:rPr>
          <w:lang w:val="pl-PL"/>
        </w:rPr>
        <w:t>Ponadto w niniejszym opracowaniu prezentujemy dane dotyczące Funduszu Ubezpieczeń Społecznych, Funduszu Emerytalno-Ren</w:t>
      </w:r>
      <w:r w:rsidR="003545C1">
        <w:rPr>
          <w:lang w:val="pl-PL"/>
        </w:rPr>
        <w:t>towym, Funduszu Pracy, Narodowego</w:t>
      </w:r>
      <w:r w:rsidRPr="00D850FB">
        <w:rPr>
          <w:lang w:val="pl-PL"/>
        </w:rPr>
        <w:t xml:space="preserve"> Funduszu Zdrowia</w:t>
      </w:r>
      <w:r w:rsidR="00413A13">
        <w:rPr>
          <w:lang w:val="pl-PL"/>
        </w:rPr>
        <w:t>.</w:t>
      </w:r>
    </w:p>
    <w:p w14:paraId="080E7081" w14:textId="29F901AB" w:rsidR="00D850FB" w:rsidRPr="00D850FB" w:rsidRDefault="00095730" w:rsidP="00D850FB">
      <w:pPr>
        <w:rPr>
          <w:lang w:val="pl-PL"/>
        </w:rPr>
      </w:pPr>
      <w:r>
        <w:rPr>
          <w:lang w:val="pl-PL"/>
        </w:rPr>
        <w:t xml:space="preserve">Dodatkowo zamieszczamy informacje o </w:t>
      </w:r>
      <w:r w:rsidR="003629EE">
        <w:rPr>
          <w:lang w:val="pl-PL"/>
        </w:rPr>
        <w:t xml:space="preserve">największych funduszach Banku Gospodarstwa Krajowego (BGK): </w:t>
      </w:r>
      <w:r w:rsidR="003629EE" w:rsidRPr="003629EE">
        <w:rPr>
          <w:lang w:val="pl-PL"/>
        </w:rPr>
        <w:t>Krajowy Fundusz Drogowy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Przeciwdziałania COVID-19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Kolejowy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Pomocy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Fundusz Wsparcia Sił Zbrojnych</w:t>
      </w:r>
      <w:r w:rsidR="003629EE">
        <w:rPr>
          <w:lang w:val="pl-PL"/>
        </w:rPr>
        <w:t xml:space="preserve">, </w:t>
      </w:r>
      <w:r w:rsidR="003629EE" w:rsidRPr="003629EE">
        <w:rPr>
          <w:lang w:val="pl-PL"/>
        </w:rPr>
        <w:t>Rządowy Fundusz Rozwoju Dróg</w:t>
      </w:r>
      <w:r w:rsidR="003629EE">
        <w:rPr>
          <w:lang w:val="pl-PL"/>
        </w:rPr>
        <w:t>.</w:t>
      </w:r>
    </w:p>
    <w:p w14:paraId="2CFEA861" w14:textId="6FA371FD" w:rsidR="00F577BB" w:rsidRDefault="00D850FB" w:rsidP="0097040B">
      <w:pPr>
        <w:spacing w:before="2640"/>
        <w:rPr>
          <w:lang w:val="pl-PL"/>
        </w:rPr>
      </w:pPr>
      <w:r w:rsidRPr="00D850FB">
        <w:rPr>
          <w:lang w:val="pl-PL"/>
        </w:rPr>
        <w:t>Niniejszy materiał został opracowany wyłącznie w celach informacyjnych i nie może być traktowany jako oferta lub rekomendacja do zawierania jakichkolwiek transakcji. Informacje zawarte w materiale pochodzą z dostępnych, wiarygodnych źródeł, jednak</w:t>
      </w:r>
      <w:r w:rsidR="00A637C7">
        <w:rPr>
          <w:lang w:val="pl-PL"/>
        </w:rPr>
        <w:t xml:space="preserve"> </w:t>
      </w:r>
      <w:r w:rsidRPr="00D850FB">
        <w:rPr>
          <w:lang w:val="pl-PL"/>
        </w:rPr>
        <w:t>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A637C7">
        <w:rPr>
          <w:lang w:val="pl-PL"/>
        </w:rPr>
        <w:t xml:space="preserve"> </w:t>
      </w:r>
    </w:p>
    <w:p w14:paraId="408E6ED3" w14:textId="77777777" w:rsidR="002934AC" w:rsidRPr="002934AC" w:rsidRDefault="002934AC" w:rsidP="002934AC">
      <w:pPr>
        <w:spacing w:before="2000"/>
        <w:jc w:val="center"/>
        <w:rPr>
          <w:rStyle w:val="Wyrnienieintensywne"/>
          <w:lang w:val="pl-PL"/>
        </w:rPr>
      </w:pPr>
      <w:r w:rsidRPr="002934AC">
        <w:rPr>
          <w:rStyle w:val="Wyrnienieintensywne"/>
          <w:lang w:val="pl-PL"/>
        </w:rPr>
        <w:t>Departament Polityki Makroekonomicznej</w:t>
      </w:r>
    </w:p>
    <w:p w14:paraId="333E6979" w14:textId="77777777" w:rsidR="00F577BB" w:rsidRDefault="002934AC" w:rsidP="002934AC">
      <w:pPr>
        <w:jc w:val="center"/>
        <w:rPr>
          <w:lang w:val="pl-PL"/>
        </w:rPr>
      </w:pPr>
      <w:r w:rsidRPr="002934AC">
        <w:rPr>
          <w:rStyle w:val="Wyrnienieintensywne"/>
          <w:lang w:val="pl-PL"/>
        </w:rPr>
        <w:t>Departament Długu Publicznego</w:t>
      </w:r>
      <w:r w:rsidR="00F577BB">
        <w:rPr>
          <w:lang w:val="pl-PL"/>
        </w:rPr>
        <w:br w:type="page"/>
      </w:r>
    </w:p>
    <w:p w14:paraId="7C61121B" w14:textId="0DEBDEF5" w:rsidR="000F4EDC" w:rsidRDefault="000F4EDC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3" w:name="_Toc149128077"/>
      <w:bookmarkStart w:id="4" w:name="_Toc180652628"/>
      <w:r w:rsidRPr="000F4EDC">
        <w:rPr>
          <w:lang w:val="pl-PL"/>
        </w:rPr>
        <w:lastRenderedPageBreak/>
        <w:t>Wynik, dochody oraz wydatki w</w:t>
      </w:r>
      <w:r w:rsidR="00B62053">
        <w:rPr>
          <w:lang w:val="pl-PL"/>
        </w:rPr>
        <w:t xml:space="preserve"> </w:t>
      </w:r>
      <w:r w:rsidR="00B37D63">
        <w:rPr>
          <w:lang w:val="pl-PL"/>
        </w:rPr>
        <w:t>I</w:t>
      </w:r>
      <w:r w:rsidR="00CD0A7A">
        <w:rPr>
          <w:lang w:val="pl-PL"/>
        </w:rPr>
        <w:t>I</w:t>
      </w:r>
      <w:r w:rsidR="00B62053">
        <w:rPr>
          <w:lang w:val="pl-PL"/>
        </w:rPr>
        <w:t xml:space="preserve"> kw. 202</w:t>
      </w:r>
      <w:r w:rsidR="00AF60F7">
        <w:rPr>
          <w:lang w:val="pl-PL"/>
        </w:rPr>
        <w:t>4</w:t>
      </w:r>
      <w:r w:rsidRPr="000F4EDC">
        <w:rPr>
          <w:lang w:val="pl-PL"/>
        </w:rPr>
        <w:t xml:space="preserve"> r.</w:t>
      </w:r>
      <w:bookmarkEnd w:id="3"/>
      <w:bookmarkEnd w:id="4"/>
    </w:p>
    <w:p w14:paraId="33009D21" w14:textId="77777777" w:rsidR="000F4EDC" w:rsidRPr="000F4EDC" w:rsidRDefault="000F4EDC" w:rsidP="005E4D22">
      <w:pPr>
        <w:pStyle w:val="Nagwek2"/>
        <w:rPr>
          <w:lang w:val="pl-PL"/>
        </w:rPr>
      </w:pPr>
      <w:bookmarkStart w:id="5" w:name="_Toc180652629"/>
      <w:r w:rsidRPr="000F4EDC">
        <w:rPr>
          <w:lang w:val="pl-PL"/>
        </w:rPr>
        <w:t>1.1. Wynik</w:t>
      </w:r>
      <w:bookmarkEnd w:id="5"/>
      <w:r w:rsidRPr="000F4EDC">
        <w:rPr>
          <w:lang w:val="pl-PL"/>
        </w:rPr>
        <w:t xml:space="preserve"> </w:t>
      </w:r>
    </w:p>
    <w:p w14:paraId="3998D6A0" w14:textId="068AC9FC" w:rsidR="00D850FB" w:rsidRPr="00CE3197" w:rsidRDefault="000F4EDC" w:rsidP="000F4EDC">
      <w:pPr>
        <w:rPr>
          <w:lang w:val="pl-PL"/>
        </w:rPr>
      </w:pPr>
      <w:r w:rsidRPr="00CE3197">
        <w:rPr>
          <w:lang w:val="pl-PL"/>
        </w:rPr>
        <w:t>Według danych GUS deficyt sektora instytucj</w:t>
      </w:r>
      <w:r w:rsidR="009C2F53" w:rsidRPr="00CE3197">
        <w:rPr>
          <w:lang w:val="pl-PL"/>
        </w:rPr>
        <w:t>i rządowych i samorządowych w I</w:t>
      </w:r>
      <w:r w:rsidR="00B37D63">
        <w:rPr>
          <w:lang w:val="pl-PL"/>
        </w:rPr>
        <w:t>I</w:t>
      </w:r>
      <w:r w:rsidR="009C2F53" w:rsidRPr="00CE3197">
        <w:rPr>
          <w:lang w:val="pl-PL"/>
        </w:rPr>
        <w:t xml:space="preserve"> kw. 202</w:t>
      </w:r>
      <w:r w:rsidR="00CE3197" w:rsidRPr="00CE3197">
        <w:rPr>
          <w:lang w:val="pl-PL"/>
        </w:rPr>
        <w:t>4</w:t>
      </w:r>
      <w:r w:rsidR="009C2F53" w:rsidRPr="00CE3197">
        <w:rPr>
          <w:lang w:val="pl-PL"/>
        </w:rPr>
        <w:t xml:space="preserve"> r. wyniósł </w:t>
      </w:r>
      <w:r w:rsidR="00B37D63">
        <w:rPr>
          <w:lang w:val="pl-PL"/>
        </w:rPr>
        <w:t>63</w:t>
      </w:r>
      <w:r w:rsidR="00CE3197" w:rsidRPr="00CE3197">
        <w:rPr>
          <w:lang w:val="pl-PL"/>
        </w:rPr>
        <w:t>,</w:t>
      </w:r>
      <w:r w:rsidR="00B37D63">
        <w:rPr>
          <w:lang w:val="pl-PL"/>
        </w:rPr>
        <w:t>1</w:t>
      </w:r>
      <w:r w:rsidR="00CE3197" w:rsidRPr="00CE3197">
        <w:rPr>
          <w:lang w:val="pl-PL"/>
        </w:rPr>
        <w:t xml:space="preserve"> </w:t>
      </w:r>
      <w:r w:rsidR="009C2F53" w:rsidRPr="00CE3197">
        <w:rPr>
          <w:lang w:val="pl-PL"/>
        </w:rPr>
        <w:t xml:space="preserve">mld zł (tj. </w:t>
      </w:r>
      <w:r w:rsidR="00B37D63">
        <w:rPr>
          <w:lang w:val="pl-PL"/>
        </w:rPr>
        <w:t>7</w:t>
      </w:r>
      <w:r w:rsidR="00CE3197" w:rsidRPr="00CE3197">
        <w:rPr>
          <w:lang w:val="pl-PL"/>
        </w:rPr>
        <w:t>,3</w:t>
      </w:r>
      <w:r w:rsidR="009C2F53" w:rsidRPr="00CE3197">
        <w:rPr>
          <w:lang w:val="pl-PL"/>
        </w:rPr>
        <w:t xml:space="preserve"> % PKB) i w stosunku do </w:t>
      </w:r>
      <w:r w:rsidR="00B37D63">
        <w:rPr>
          <w:lang w:val="pl-PL"/>
        </w:rPr>
        <w:t>I</w:t>
      </w:r>
      <w:r w:rsidR="00175555" w:rsidRPr="00CE3197">
        <w:rPr>
          <w:lang w:val="pl-PL"/>
        </w:rPr>
        <w:t>I</w:t>
      </w:r>
      <w:r w:rsidRPr="00CE3197">
        <w:rPr>
          <w:lang w:val="pl-PL"/>
        </w:rPr>
        <w:t xml:space="preserve"> kw. roku poprzednieg</w:t>
      </w:r>
      <w:r w:rsidR="009C2F53" w:rsidRPr="00CE3197">
        <w:rPr>
          <w:lang w:val="pl-PL"/>
        </w:rPr>
        <w:t>o wynik po</w:t>
      </w:r>
      <w:r w:rsidR="00B37D63">
        <w:rPr>
          <w:lang w:val="pl-PL"/>
        </w:rPr>
        <w:t xml:space="preserve">gorszył </w:t>
      </w:r>
      <w:r w:rsidR="009C2F53" w:rsidRPr="00CE3197">
        <w:rPr>
          <w:lang w:val="pl-PL"/>
        </w:rPr>
        <w:t>się o ok</w:t>
      </w:r>
      <w:r w:rsidR="009C2F53" w:rsidRPr="00B87C32">
        <w:rPr>
          <w:lang w:val="pl-PL"/>
        </w:rPr>
        <w:t xml:space="preserve">. </w:t>
      </w:r>
      <w:r w:rsidR="00FA5B8B">
        <w:rPr>
          <w:lang w:val="pl-PL"/>
        </w:rPr>
        <w:t>34,7</w:t>
      </w:r>
      <w:r w:rsidR="00231FA8" w:rsidRPr="00B87C32">
        <w:rPr>
          <w:lang w:val="pl-PL"/>
        </w:rPr>
        <w:t xml:space="preserve"> </w:t>
      </w:r>
      <w:r w:rsidRPr="00B87C32">
        <w:rPr>
          <w:lang w:val="pl-PL"/>
        </w:rPr>
        <w:t>mld zł (</w:t>
      </w:r>
      <w:r w:rsidR="009434DB">
        <w:rPr>
          <w:lang w:val="pl-PL"/>
        </w:rPr>
        <w:t>pogorszenie</w:t>
      </w:r>
      <w:r w:rsidRPr="00CE3197">
        <w:rPr>
          <w:lang w:val="pl-PL"/>
        </w:rPr>
        <w:t xml:space="preserve"> w relacj</w:t>
      </w:r>
      <w:r w:rsidR="009C2F53" w:rsidRPr="00CE3197">
        <w:rPr>
          <w:lang w:val="pl-PL"/>
        </w:rPr>
        <w:t xml:space="preserve">i </w:t>
      </w:r>
      <w:r w:rsidR="009434DB">
        <w:rPr>
          <w:lang w:val="pl-PL"/>
        </w:rPr>
        <w:t xml:space="preserve">do PKB </w:t>
      </w:r>
      <w:r w:rsidR="009C2F53" w:rsidRPr="00CE3197">
        <w:rPr>
          <w:lang w:val="pl-PL"/>
        </w:rPr>
        <w:t xml:space="preserve">o </w:t>
      </w:r>
      <w:r w:rsidR="00B37D63">
        <w:rPr>
          <w:lang w:val="pl-PL"/>
        </w:rPr>
        <w:t>3,</w:t>
      </w:r>
      <w:r w:rsidR="00745200">
        <w:rPr>
          <w:lang w:val="pl-PL"/>
        </w:rPr>
        <w:t>9</w:t>
      </w:r>
      <w:r w:rsidRPr="00CE3197">
        <w:rPr>
          <w:lang w:val="pl-PL"/>
        </w:rPr>
        <w:t xml:space="preserve"> pkt. proc. ).</w:t>
      </w:r>
      <w:r w:rsidR="00C61C91">
        <w:rPr>
          <w:lang w:val="pl-PL"/>
        </w:rPr>
        <w:t xml:space="preserve"> </w:t>
      </w:r>
      <w:r w:rsidR="00BD776D">
        <w:rPr>
          <w:lang w:val="pl-PL"/>
        </w:rPr>
        <w:t xml:space="preserve">Na </w:t>
      </w:r>
      <w:r w:rsidR="00C61C91">
        <w:rPr>
          <w:lang w:val="pl-PL"/>
        </w:rPr>
        <w:t xml:space="preserve">wzrost deficytu </w:t>
      </w:r>
      <w:r w:rsidR="00BD776D">
        <w:rPr>
          <w:lang w:val="pl-PL"/>
        </w:rPr>
        <w:t>wpływ miała przede wszystkim</w:t>
      </w:r>
      <w:r w:rsidR="00C61C91">
        <w:rPr>
          <w:lang w:val="pl-PL"/>
        </w:rPr>
        <w:t xml:space="preserve"> strona wydatkowa (wzrost o 3,8 pkt.</w:t>
      </w:r>
      <w:r w:rsidR="00BD776D">
        <w:rPr>
          <w:lang w:val="pl-PL"/>
        </w:rPr>
        <w:t> </w:t>
      </w:r>
      <w:r w:rsidR="00C61C91">
        <w:rPr>
          <w:lang w:val="pl-PL"/>
        </w:rPr>
        <w:t xml:space="preserve">proc. r/r), w szczególności wzrost kosztów pracy i wydatków socjalnych. </w:t>
      </w:r>
      <w:r w:rsidR="00BD776D">
        <w:rPr>
          <w:lang w:val="pl-PL"/>
        </w:rPr>
        <w:t>Jednocześnie w</w:t>
      </w:r>
      <w:r w:rsidR="00C61C91">
        <w:rPr>
          <w:lang w:val="pl-PL"/>
        </w:rPr>
        <w:t xml:space="preserve"> tym samym okresie dochody sektora spadły 0,1 pkt. proc</w:t>
      </w:r>
      <w:r w:rsidR="00B80DE5">
        <w:rPr>
          <w:lang w:val="pl-PL"/>
        </w:rPr>
        <w:t xml:space="preserve"> r/r</w:t>
      </w:r>
      <w:r w:rsidR="00C61C91">
        <w:rPr>
          <w:lang w:val="pl-PL"/>
        </w:rPr>
        <w:t xml:space="preserve">. Wzrost dochodów z podatków pośrednich i składek ubezpieczeniowych skompensowany został spadkiem </w:t>
      </w:r>
      <w:r w:rsidR="00B80DE5">
        <w:rPr>
          <w:lang w:val="pl-PL"/>
        </w:rPr>
        <w:t>wpływów</w:t>
      </w:r>
      <w:r w:rsidR="00C61C91">
        <w:rPr>
          <w:lang w:val="pl-PL"/>
        </w:rPr>
        <w:t xml:space="preserve"> z podatków </w:t>
      </w:r>
      <w:r w:rsidR="00B80DE5">
        <w:rPr>
          <w:lang w:val="pl-PL"/>
        </w:rPr>
        <w:t>dochodowych.</w:t>
      </w:r>
    </w:p>
    <w:p w14:paraId="6690B851" w14:textId="3912FD13" w:rsidR="00D73672" w:rsidRPr="00801205" w:rsidRDefault="00D73672" w:rsidP="00CB4B55">
      <w:pPr>
        <w:rPr>
          <w:i/>
          <w:lang w:val="pl-PL"/>
        </w:rPr>
      </w:pPr>
      <w:r w:rsidRPr="00801205">
        <w:rPr>
          <w:lang w:val="pl-PL"/>
        </w:rPr>
        <w:t xml:space="preserve">Wykres </w:t>
      </w:r>
      <w:r w:rsidRPr="00801205">
        <w:rPr>
          <w:i/>
        </w:rPr>
        <w:fldChar w:fldCharType="begin"/>
      </w:r>
      <w:r w:rsidRPr="00801205">
        <w:rPr>
          <w:lang w:val="pl-PL"/>
        </w:rPr>
        <w:instrText xml:space="preserve"> SEQ Wykres \* ARABIC </w:instrText>
      </w:r>
      <w:r w:rsidRPr="00801205">
        <w:rPr>
          <w:i/>
        </w:rPr>
        <w:fldChar w:fldCharType="separate"/>
      </w:r>
      <w:r w:rsidR="00AC664F" w:rsidRPr="00801205">
        <w:rPr>
          <w:noProof/>
          <w:lang w:val="pl-PL"/>
        </w:rPr>
        <w:t>1</w:t>
      </w:r>
      <w:r w:rsidRPr="00801205">
        <w:rPr>
          <w:i/>
        </w:rPr>
        <w:fldChar w:fldCharType="end"/>
      </w:r>
      <w:r w:rsidRPr="00801205">
        <w:rPr>
          <w:lang w:val="pl-PL"/>
        </w:rPr>
        <w:t>. Wynik sektora instytucji rządowych i samorządowych ( w % PKB).</w:t>
      </w:r>
    </w:p>
    <w:p w14:paraId="28BA18B4" w14:textId="7BAA49F9" w:rsidR="001C341D" w:rsidRPr="00B87C32" w:rsidRDefault="00801205" w:rsidP="000F4EDC">
      <w:pPr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4EE4C879" wp14:editId="28EF7BBD">
            <wp:extent cx="5759450" cy="3763645"/>
            <wp:effectExtent l="0" t="0" r="0" b="0"/>
            <wp:docPr id="8" name="Wykres 8" descr="Wykres 1.&#10;Wykres prezentuje wynik sektora instytucji rządowych i samorządowych w % PKB: wynik, wynik wyrównany sezonowo (SA) i wynik w ujęciu roku płynnego w okresie od III kwartału 2021 do II kwartału 2024 roku. Dane szczegółowe dostępne w Aneksie statystycznym, na końcu opracowania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652889C" w14:textId="77777777" w:rsidR="000F4EDC" w:rsidRPr="00C42526" w:rsidRDefault="000F4EDC" w:rsidP="005E4D22">
      <w:pPr>
        <w:pStyle w:val="Nagwek2"/>
        <w:rPr>
          <w:lang w:val="pl-PL"/>
        </w:rPr>
      </w:pPr>
      <w:bookmarkStart w:id="6" w:name="_Toc180652630"/>
      <w:r w:rsidRPr="00C42526">
        <w:rPr>
          <w:lang w:val="pl-PL"/>
        </w:rPr>
        <w:lastRenderedPageBreak/>
        <w:t>1.2. Dochody</w:t>
      </w:r>
      <w:bookmarkEnd w:id="6"/>
    </w:p>
    <w:p w14:paraId="274F8CA2" w14:textId="15736ADE" w:rsidR="000F4EDC" w:rsidRPr="000955D5" w:rsidRDefault="00E570F2" w:rsidP="00700C2E">
      <w:pPr>
        <w:spacing w:after="120"/>
        <w:rPr>
          <w:lang w:val="pl-PL"/>
        </w:rPr>
      </w:pPr>
      <w:r w:rsidRPr="000955D5">
        <w:rPr>
          <w:lang w:val="pl-PL"/>
        </w:rPr>
        <w:t>W I</w:t>
      </w:r>
      <w:r w:rsidR="00B23B58" w:rsidRPr="000955D5">
        <w:rPr>
          <w:lang w:val="pl-PL"/>
        </w:rPr>
        <w:t>I</w:t>
      </w:r>
      <w:r w:rsidRPr="000955D5">
        <w:rPr>
          <w:lang w:val="pl-PL"/>
        </w:rPr>
        <w:t xml:space="preserve"> kw. 202</w:t>
      </w:r>
      <w:r w:rsidR="00CE3197" w:rsidRPr="000955D5">
        <w:rPr>
          <w:lang w:val="pl-PL"/>
        </w:rPr>
        <w:t>4</w:t>
      </w:r>
      <w:r w:rsidR="000F4EDC" w:rsidRPr="000955D5">
        <w:rPr>
          <w:lang w:val="pl-PL"/>
        </w:rPr>
        <w:t xml:space="preserve"> r. dochody sektora instytucji rządowych i samorz</w:t>
      </w:r>
      <w:r w:rsidRPr="000955D5">
        <w:rPr>
          <w:lang w:val="pl-PL"/>
        </w:rPr>
        <w:t>ądowych (ESA2010) wyniosły 3</w:t>
      </w:r>
      <w:r w:rsidR="00CE3197" w:rsidRPr="000955D5">
        <w:rPr>
          <w:lang w:val="pl-PL"/>
        </w:rPr>
        <w:t>7</w:t>
      </w:r>
      <w:r w:rsidR="00B23B58" w:rsidRPr="000955D5">
        <w:rPr>
          <w:lang w:val="pl-PL"/>
        </w:rPr>
        <w:t>6</w:t>
      </w:r>
      <w:r w:rsidR="00CE3197" w:rsidRPr="000955D5">
        <w:rPr>
          <w:lang w:val="pl-PL"/>
        </w:rPr>
        <w:t>,5</w:t>
      </w:r>
      <w:r w:rsidR="000F4EDC" w:rsidRPr="000955D5">
        <w:rPr>
          <w:lang w:val="pl-PL"/>
        </w:rPr>
        <w:t xml:space="preserve"> mld z</w:t>
      </w:r>
      <w:r w:rsidRPr="000955D5">
        <w:rPr>
          <w:lang w:val="pl-PL"/>
        </w:rPr>
        <w:t xml:space="preserve">ł i były nominalnie wyższe o </w:t>
      </w:r>
      <w:r w:rsidR="00B23B58" w:rsidRPr="000955D5">
        <w:rPr>
          <w:lang w:val="pl-PL"/>
        </w:rPr>
        <w:t>5,0</w:t>
      </w:r>
      <w:r w:rsidR="000F4EDC" w:rsidRPr="000955D5">
        <w:rPr>
          <w:lang w:val="pl-PL"/>
        </w:rPr>
        <w:t>% r/r</w:t>
      </w:r>
      <w:r w:rsidR="00175555" w:rsidRPr="000955D5">
        <w:rPr>
          <w:lang w:val="pl-PL"/>
        </w:rPr>
        <w:t xml:space="preserve"> i </w:t>
      </w:r>
      <w:r w:rsidR="000F4EDC" w:rsidRPr="000955D5">
        <w:rPr>
          <w:lang w:val="pl-PL"/>
        </w:rPr>
        <w:t>w</w:t>
      </w:r>
      <w:r w:rsidRPr="000955D5">
        <w:rPr>
          <w:lang w:val="pl-PL"/>
        </w:rPr>
        <w:t xml:space="preserve"> relacji do PKB </w:t>
      </w:r>
      <w:r w:rsidR="000955D5" w:rsidRPr="000955D5">
        <w:rPr>
          <w:lang w:val="pl-PL"/>
        </w:rPr>
        <w:t>spad</w:t>
      </w:r>
      <w:r w:rsidR="00175555" w:rsidRPr="000955D5">
        <w:rPr>
          <w:lang w:val="pl-PL"/>
        </w:rPr>
        <w:t>ły</w:t>
      </w:r>
      <w:r w:rsidRPr="000955D5">
        <w:rPr>
          <w:lang w:val="pl-PL"/>
        </w:rPr>
        <w:t xml:space="preserve"> r/r o</w:t>
      </w:r>
      <w:r w:rsidR="009434DB">
        <w:rPr>
          <w:lang w:val="pl-PL"/>
        </w:rPr>
        <w:t> </w:t>
      </w:r>
      <w:r w:rsidR="000955D5" w:rsidRPr="000955D5">
        <w:rPr>
          <w:lang w:val="pl-PL"/>
        </w:rPr>
        <w:t>0,1</w:t>
      </w:r>
      <w:r w:rsidR="000F4EDC" w:rsidRPr="000955D5">
        <w:rPr>
          <w:lang w:val="pl-PL"/>
        </w:rPr>
        <w:t xml:space="preserve"> pkt. proc. Dochody podatkowe (</w:t>
      </w:r>
      <w:r w:rsidR="009434DB">
        <w:rPr>
          <w:lang w:val="pl-PL"/>
        </w:rPr>
        <w:t xml:space="preserve">w ujęciu </w:t>
      </w:r>
      <w:r w:rsidR="000F4EDC" w:rsidRPr="000955D5">
        <w:rPr>
          <w:lang w:val="pl-PL"/>
        </w:rPr>
        <w:t>ESA2010), mające największy udział w</w:t>
      </w:r>
      <w:r w:rsidR="00B62053" w:rsidRPr="000955D5">
        <w:rPr>
          <w:lang w:val="pl-PL"/>
        </w:rPr>
        <w:t> </w:t>
      </w:r>
      <w:r w:rsidR="000F4EDC" w:rsidRPr="000955D5">
        <w:rPr>
          <w:lang w:val="pl-PL"/>
        </w:rPr>
        <w:t>omawia</w:t>
      </w:r>
      <w:r w:rsidRPr="000955D5">
        <w:rPr>
          <w:lang w:val="pl-PL"/>
        </w:rPr>
        <w:t xml:space="preserve">nej kategorii, nominalnie wzrosły </w:t>
      </w:r>
      <w:r w:rsidR="000955D5" w:rsidRPr="000955D5">
        <w:rPr>
          <w:lang w:val="pl-PL"/>
        </w:rPr>
        <w:t xml:space="preserve">jedynie </w:t>
      </w:r>
      <w:r w:rsidRPr="000955D5">
        <w:rPr>
          <w:lang w:val="pl-PL"/>
        </w:rPr>
        <w:t xml:space="preserve">o </w:t>
      </w:r>
      <w:r w:rsidR="000955D5" w:rsidRPr="000955D5">
        <w:rPr>
          <w:lang w:val="pl-PL"/>
        </w:rPr>
        <w:t>0,8</w:t>
      </w:r>
      <w:r w:rsidR="000F4EDC" w:rsidRPr="000955D5">
        <w:rPr>
          <w:lang w:val="pl-PL"/>
        </w:rPr>
        <w:t>% r/r</w:t>
      </w:r>
      <w:r w:rsidR="00B41BFF" w:rsidRPr="000955D5">
        <w:rPr>
          <w:lang w:val="pl-PL"/>
        </w:rPr>
        <w:t xml:space="preserve">, na co złożył się </w:t>
      </w:r>
      <w:r w:rsidR="009434DB">
        <w:rPr>
          <w:lang w:val="pl-PL"/>
        </w:rPr>
        <w:t xml:space="preserve">z jednej strony </w:t>
      </w:r>
      <w:r w:rsidR="00B41BFF" w:rsidRPr="000955D5">
        <w:rPr>
          <w:lang w:val="pl-PL"/>
        </w:rPr>
        <w:t>wzrost</w:t>
      </w:r>
      <w:r w:rsidR="000F4EDC" w:rsidRPr="000955D5">
        <w:rPr>
          <w:lang w:val="pl-PL"/>
        </w:rPr>
        <w:t xml:space="preserve"> wpływów z podatków </w:t>
      </w:r>
      <w:r w:rsidR="00B41BFF" w:rsidRPr="000955D5">
        <w:rPr>
          <w:lang w:val="pl-PL"/>
        </w:rPr>
        <w:t xml:space="preserve">od produkcji i importu o ok. </w:t>
      </w:r>
      <w:r w:rsidR="00175555" w:rsidRPr="000955D5">
        <w:rPr>
          <w:lang w:val="pl-PL"/>
        </w:rPr>
        <w:t>1</w:t>
      </w:r>
      <w:r w:rsidR="000955D5" w:rsidRPr="000955D5">
        <w:rPr>
          <w:lang w:val="pl-PL"/>
        </w:rPr>
        <w:t>6,2</w:t>
      </w:r>
      <w:r w:rsidR="000F4EDC" w:rsidRPr="000955D5">
        <w:rPr>
          <w:lang w:val="pl-PL"/>
        </w:rPr>
        <w:t xml:space="preserve">% r/r </w:t>
      </w:r>
      <w:r w:rsidR="009434DB">
        <w:rPr>
          <w:lang w:val="pl-PL"/>
        </w:rPr>
        <w:t xml:space="preserve">z drugiej zaś </w:t>
      </w:r>
      <w:r w:rsidR="000F011C">
        <w:rPr>
          <w:lang w:val="pl-PL"/>
        </w:rPr>
        <w:t xml:space="preserve">istotny </w:t>
      </w:r>
      <w:r w:rsidR="000955D5" w:rsidRPr="000955D5">
        <w:rPr>
          <w:lang w:val="pl-PL"/>
        </w:rPr>
        <w:t>spadek</w:t>
      </w:r>
      <w:r w:rsidR="00175555" w:rsidRPr="000955D5">
        <w:rPr>
          <w:lang w:val="pl-PL"/>
        </w:rPr>
        <w:t xml:space="preserve"> </w:t>
      </w:r>
      <w:r w:rsidR="000F4EDC" w:rsidRPr="000955D5">
        <w:rPr>
          <w:lang w:val="pl-PL"/>
        </w:rPr>
        <w:t>wpływów z</w:t>
      </w:r>
      <w:r w:rsidR="000C6A78" w:rsidRPr="000955D5">
        <w:rPr>
          <w:lang w:val="pl-PL"/>
        </w:rPr>
        <w:t> </w:t>
      </w:r>
      <w:r w:rsidR="000F4EDC" w:rsidRPr="000955D5">
        <w:rPr>
          <w:lang w:val="pl-PL"/>
        </w:rPr>
        <w:t>pod</w:t>
      </w:r>
      <w:r w:rsidR="00B41BFF" w:rsidRPr="000955D5">
        <w:rPr>
          <w:lang w:val="pl-PL"/>
        </w:rPr>
        <w:t xml:space="preserve">atków od dochodu i majątku </w:t>
      </w:r>
      <w:r w:rsidR="00C42526" w:rsidRPr="000955D5">
        <w:rPr>
          <w:lang w:val="pl-PL"/>
        </w:rPr>
        <w:t xml:space="preserve">aż </w:t>
      </w:r>
      <w:r w:rsidR="00B41BFF" w:rsidRPr="000955D5">
        <w:rPr>
          <w:lang w:val="pl-PL"/>
        </w:rPr>
        <w:t xml:space="preserve">o </w:t>
      </w:r>
      <w:r w:rsidR="000955D5" w:rsidRPr="000955D5">
        <w:rPr>
          <w:lang w:val="pl-PL"/>
        </w:rPr>
        <w:t>24,4</w:t>
      </w:r>
      <w:r w:rsidR="000F4EDC" w:rsidRPr="000955D5">
        <w:rPr>
          <w:lang w:val="pl-PL"/>
        </w:rPr>
        <w:t xml:space="preserve">% r/r. </w:t>
      </w:r>
    </w:p>
    <w:p w14:paraId="31D2F307" w14:textId="368FA103" w:rsidR="00D850FB" w:rsidRPr="00B75D5F" w:rsidRDefault="000F4EDC" w:rsidP="00700C2E">
      <w:pPr>
        <w:spacing w:after="120"/>
        <w:rPr>
          <w:lang w:val="pl-PL"/>
        </w:rPr>
      </w:pPr>
      <w:r w:rsidRPr="000955D5">
        <w:rPr>
          <w:lang w:val="pl-PL"/>
        </w:rPr>
        <w:t>Dochody z tytułu składek na ubezpieczenie społeczne w podsektorze ubezpi</w:t>
      </w:r>
      <w:r w:rsidR="00B41BFF" w:rsidRPr="000955D5">
        <w:rPr>
          <w:lang w:val="pl-PL"/>
        </w:rPr>
        <w:t xml:space="preserve">eczeń społecznych (ESA2010) w </w:t>
      </w:r>
      <w:r w:rsidR="00160037" w:rsidRPr="000955D5">
        <w:rPr>
          <w:lang w:val="pl-PL"/>
        </w:rPr>
        <w:t>I</w:t>
      </w:r>
      <w:r w:rsidR="000955D5" w:rsidRPr="000955D5">
        <w:rPr>
          <w:lang w:val="pl-PL"/>
        </w:rPr>
        <w:t>I</w:t>
      </w:r>
      <w:r w:rsidR="00B41BFF" w:rsidRPr="000955D5">
        <w:rPr>
          <w:lang w:val="pl-PL"/>
        </w:rPr>
        <w:t xml:space="preserve"> kw. 202</w:t>
      </w:r>
      <w:r w:rsidR="004D116B" w:rsidRPr="000955D5">
        <w:rPr>
          <w:lang w:val="pl-PL"/>
        </w:rPr>
        <w:t>4</w:t>
      </w:r>
      <w:r w:rsidR="00B41BFF" w:rsidRPr="000955D5">
        <w:rPr>
          <w:lang w:val="pl-PL"/>
        </w:rPr>
        <w:t xml:space="preserve"> r. były wyższe o 1</w:t>
      </w:r>
      <w:r w:rsidR="00B75D5F" w:rsidRPr="000955D5">
        <w:rPr>
          <w:lang w:val="pl-PL"/>
        </w:rPr>
        <w:t>4,</w:t>
      </w:r>
      <w:r w:rsidR="000955D5" w:rsidRPr="000955D5">
        <w:rPr>
          <w:lang w:val="pl-PL"/>
        </w:rPr>
        <w:t>4</w:t>
      </w:r>
      <w:r w:rsidRPr="000955D5">
        <w:rPr>
          <w:lang w:val="pl-PL"/>
        </w:rPr>
        <w:t xml:space="preserve">% r/r, tj. ukształtowały się </w:t>
      </w:r>
      <w:r w:rsidR="00B75D5F" w:rsidRPr="000955D5">
        <w:rPr>
          <w:lang w:val="pl-PL"/>
        </w:rPr>
        <w:t xml:space="preserve">nieznacznie </w:t>
      </w:r>
      <w:r w:rsidR="000955D5" w:rsidRPr="000955D5">
        <w:rPr>
          <w:lang w:val="pl-PL"/>
        </w:rPr>
        <w:t>powy</w:t>
      </w:r>
      <w:r w:rsidR="00B75D5F" w:rsidRPr="000955D5">
        <w:rPr>
          <w:lang w:val="pl-PL"/>
        </w:rPr>
        <w:t xml:space="preserve">żej </w:t>
      </w:r>
      <w:r w:rsidR="006E327A" w:rsidRPr="000955D5">
        <w:rPr>
          <w:lang w:val="pl-PL"/>
        </w:rPr>
        <w:t>tempa</w:t>
      </w:r>
      <w:r w:rsidRPr="000955D5">
        <w:rPr>
          <w:lang w:val="pl-PL"/>
        </w:rPr>
        <w:t xml:space="preserve"> wzrostu funduszu wynagrodzeń w gospodarce narodowej (bez tzw. jednos</w:t>
      </w:r>
      <w:r w:rsidR="006E327A" w:rsidRPr="000955D5">
        <w:rPr>
          <w:lang w:val="pl-PL"/>
        </w:rPr>
        <w:t>tek małych), które wyniosło 1</w:t>
      </w:r>
      <w:r w:rsidR="00B75D5F" w:rsidRPr="000955D5">
        <w:rPr>
          <w:lang w:val="pl-PL"/>
        </w:rPr>
        <w:t>4,</w:t>
      </w:r>
      <w:r w:rsidR="000955D5" w:rsidRPr="000955D5">
        <w:rPr>
          <w:lang w:val="pl-PL"/>
        </w:rPr>
        <w:t>2</w:t>
      </w:r>
      <w:r w:rsidRPr="000955D5">
        <w:rPr>
          <w:lang w:val="pl-PL"/>
        </w:rPr>
        <w:t>% r/r.</w:t>
      </w:r>
    </w:p>
    <w:p w14:paraId="1E16740E" w14:textId="6BA78A56" w:rsidR="00801205" w:rsidRPr="00801205" w:rsidRDefault="00D73672" w:rsidP="00801205">
      <w:pPr>
        <w:spacing w:after="0"/>
        <w:rPr>
          <w:noProof/>
          <w:lang w:val="pl-PL"/>
        </w:rPr>
      </w:pPr>
      <w:r w:rsidRPr="00801205">
        <w:rPr>
          <w:lang w:val="pl-PL"/>
        </w:rPr>
        <w:t xml:space="preserve">Wykres </w:t>
      </w:r>
      <w:r w:rsidRPr="00801205">
        <w:rPr>
          <w:i/>
        </w:rPr>
        <w:fldChar w:fldCharType="begin"/>
      </w:r>
      <w:r w:rsidRPr="00801205">
        <w:rPr>
          <w:lang w:val="pl-PL"/>
        </w:rPr>
        <w:instrText xml:space="preserve"> SEQ Wykres \* ARABIC </w:instrText>
      </w:r>
      <w:r w:rsidRPr="00801205">
        <w:rPr>
          <w:i/>
        </w:rPr>
        <w:fldChar w:fldCharType="separate"/>
      </w:r>
      <w:r w:rsidR="00AC664F" w:rsidRPr="00801205">
        <w:rPr>
          <w:noProof/>
          <w:lang w:val="pl-PL"/>
        </w:rPr>
        <w:t>2</w:t>
      </w:r>
      <w:r w:rsidRPr="00801205">
        <w:rPr>
          <w:i/>
        </w:rPr>
        <w:fldChar w:fldCharType="end"/>
      </w:r>
      <w:r w:rsidRPr="00801205">
        <w:rPr>
          <w:lang w:val="pl-PL"/>
        </w:rPr>
        <w:t xml:space="preserve">. Struktura dochodów sektora instytucji rządowych i samorządowych w </w:t>
      </w:r>
      <w:r w:rsidR="009F1463" w:rsidRPr="00801205">
        <w:rPr>
          <w:lang w:val="pl-PL"/>
        </w:rPr>
        <w:t>I</w:t>
      </w:r>
      <w:r w:rsidR="00801205" w:rsidRPr="00801205">
        <w:rPr>
          <w:lang w:val="pl-PL"/>
        </w:rPr>
        <w:t>I</w:t>
      </w:r>
      <w:r w:rsidRPr="00801205">
        <w:rPr>
          <w:lang w:val="pl-PL"/>
        </w:rPr>
        <w:t xml:space="preserve"> kw. 202</w:t>
      </w:r>
      <w:r w:rsidR="00CB4B55" w:rsidRPr="00801205">
        <w:rPr>
          <w:i/>
          <w:lang w:val="pl-PL"/>
        </w:rPr>
        <w:t>4</w:t>
      </w:r>
      <w:r w:rsidRPr="00801205">
        <w:rPr>
          <w:lang w:val="pl-PL"/>
        </w:rPr>
        <w:t xml:space="preserve"> r. (w</w:t>
      </w:r>
      <w:r w:rsidR="00E9428E" w:rsidRPr="00801205">
        <w:rPr>
          <w:lang w:val="pl-PL"/>
        </w:rPr>
        <w:t xml:space="preserve"> </w:t>
      </w:r>
      <w:r w:rsidRPr="00801205">
        <w:rPr>
          <w:lang w:val="pl-PL"/>
        </w:rPr>
        <w:t>%).</w:t>
      </w:r>
      <w:bookmarkStart w:id="7" w:name="_Hlk149216838"/>
    </w:p>
    <w:p w14:paraId="6C431759" w14:textId="45CF5A10" w:rsidR="00801205" w:rsidRDefault="00801205" w:rsidP="00801205">
      <w:pPr>
        <w:spacing w:after="0"/>
        <w:rPr>
          <w:lang w:val="pl-PL"/>
        </w:rPr>
      </w:pPr>
      <w:r>
        <w:rPr>
          <w:noProof/>
        </w:rPr>
        <w:drawing>
          <wp:inline distT="0" distB="0" distL="0" distR="0" wp14:anchorId="3EBEFA32" wp14:editId="380BD9A8">
            <wp:extent cx="5759450" cy="3764280"/>
            <wp:effectExtent l="95250" t="57150" r="88900" b="140970"/>
            <wp:docPr id="6" name="Wykres 6" descr="Wykres 2.&#10;Wykres przedstawia strukturę dochodów sektora instytucji rządowych i samorządowych w II kwartale 2024 roku w podziale na: składki na ubezpieczenia społeczne 37,3%, podatki dochodowe 14,4%, VAT 18,7%; pozostałe podatki 17,3%, inne dochody niepodatkowe 12,3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B5B1363" w14:textId="35B8B212" w:rsidR="00B87C32" w:rsidRDefault="00B87C32" w:rsidP="00B87C32">
      <w:pPr>
        <w:rPr>
          <w:lang w:val="pl-PL"/>
        </w:rPr>
      </w:pPr>
      <w:r w:rsidRPr="00B87C32">
        <w:rPr>
          <w:lang w:val="pl-PL"/>
        </w:rPr>
        <w:lastRenderedPageBreak/>
        <w:t>Dochody sektora instytucji rządowych i samorządowych z PIT (wg ESA2010 ) w</w:t>
      </w:r>
      <w:r w:rsidR="000F011C">
        <w:rPr>
          <w:lang w:val="pl-PL"/>
        </w:rPr>
        <w:t> </w:t>
      </w:r>
      <w:r w:rsidRPr="00B87C32">
        <w:rPr>
          <w:lang w:val="pl-PL"/>
        </w:rPr>
        <w:t>II</w:t>
      </w:r>
      <w:r w:rsidR="009434DB">
        <w:rPr>
          <w:lang w:val="pl-PL"/>
        </w:rPr>
        <w:t> </w:t>
      </w:r>
      <w:r w:rsidRPr="00B87C32">
        <w:rPr>
          <w:lang w:val="pl-PL"/>
        </w:rPr>
        <w:t>kwartale 2024 r. wyniosły 42,7 mld zł i były wyższe o 19,9% w porównaniu z</w:t>
      </w:r>
      <w:r w:rsidR="000F011C">
        <w:rPr>
          <w:lang w:val="pl-PL"/>
        </w:rPr>
        <w:t> </w:t>
      </w:r>
      <w:r w:rsidRPr="00B87C32">
        <w:rPr>
          <w:lang w:val="pl-PL"/>
        </w:rPr>
        <w:t>rokiem poprzedzającym. Szacuje się, że nominalne tempo wzrostu przeciętnego funduszu wynagrodzeń w gospodarce narodowej (bez tzw. jednostek małych) oraz emerytur i</w:t>
      </w:r>
      <w:r w:rsidR="009434DB">
        <w:rPr>
          <w:lang w:val="pl-PL"/>
        </w:rPr>
        <w:t> </w:t>
      </w:r>
      <w:r w:rsidRPr="00B87C32">
        <w:rPr>
          <w:lang w:val="pl-PL"/>
        </w:rPr>
        <w:t>rent w II kwartale 2024 r. wyniosło 14,3% r/r. Wpływy z podatku dochodowego od osób fizycznych rozliczających się według skali podatkowej, stanowiące największą kategorię wpływów z PIT, w II kwartale 2024 r. wzrosły o</w:t>
      </w:r>
      <w:r w:rsidR="000F011C">
        <w:rPr>
          <w:lang w:val="pl-PL"/>
        </w:rPr>
        <w:t> </w:t>
      </w:r>
      <w:r w:rsidRPr="00B87C32">
        <w:rPr>
          <w:lang w:val="pl-PL"/>
        </w:rPr>
        <w:t>45,6%</w:t>
      </w:r>
      <w:r w:rsidR="000F011C">
        <w:rPr>
          <w:lang w:val="pl-PL"/>
        </w:rPr>
        <w:t> </w:t>
      </w:r>
      <w:r w:rsidRPr="00B87C32">
        <w:rPr>
          <w:lang w:val="pl-PL"/>
        </w:rPr>
        <w:t>r/r. Wysokie roczne dynamiki dochodów podatkowych na skali podatkowej oraz agregatu wpływów z PIT w</w:t>
      </w:r>
      <w:r w:rsidR="009434DB">
        <w:rPr>
          <w:lang w:val="pl-PL"/>
        </w:rPr>
        <w:t> </w:t>
      </w:r>
      <w:r w:rsidRPr="00B87C32">
        <w:rPr>
          <w:lang w:val="pl-PL"/>
        </w:rPr>
        <w:t>II kwartale 2024 r. są częściowo skutkiem efektu bazy. W</w:t>
      </w:r>
      <w:r w:rsidR="000F011C">
        <w:rPr>
          <w:lang w:val="pl-PL"/>
        </w:rPr>
        <w:t> </w:t>
      </w:r>
      <w:r w:rsidRPr="00B87C32">
        <w:rPr>
          <w:lang w:val="pl-PL"/>
        </w:rPr>
        <w:t>II</w:t>
      </w:r>
      <w:r w:rsidR="000F011C">
        <w:rPr>
          <w:lang w:val="pl-PL"/>
        </w:rPr>
        <w:t> </w:t>
      </w:r>
      <w:r w:rsidRPr="00B87C32">
        <w:rPr>
          <w:lang w:val="pl-PL"/>
        </w:rPr>
        <w:t>kwartale 2023 r. zwroty podatku dokonywane przez urzędy skarbowe podczas rozliczenia rocznego były jednorazowo podwyższone na skutek wprowadzeni</w:t>
      </w:r>
      <w:r w:rsidR="005539AA">
        <w:rPr>
          <w:lang w:val="pl-PL"/>
        </w:rPr>
        <w:t>a</w:t>
      </w:r>
      <w:r w:rsidRPr="00B87C32">
        <w:rPr>
          <w:lang w:val="pl-PL"/>
        </w:rPr>
        <w:t xml:space="preserve"> reformy Niskie Podatki, obniżającej klin podatkowy, w połowie 2022 r. Podobna sytuacja nie miała już miejsca podczas rozliczenia rocznego w 2024 r. Jednocześnie, w</w:t>
      </w:r>
      <w:r w:rsidR="000F011C">
        <w:rPr>
          <w:lang w:val="pl-PL"/>
        </w:rPr>
        <w:t> </w:t>
      </w:r>
      <w:r w:rsidRPr="00B87C32">
        <w:rPr>
          <w:lang w:val="pl-PL"/>
        </w:rPr>
        <w:t>II kwartale 2024 r. dochody podatkowe z podatku liniowego spadły o 8,0% r/r, natomiast z ryczałtu od przychodów ewidencjonowanych wzrosły o 18,2% r/r. Wysoką roczną dynamiką cechowały się również wpływy z ryczałtu od przychodów z odsetek oraz z pozostałych ryczałtów, które wzrosły w tym okresie o 14,7% r/r.</w:t>
      </w:r>
    </w:p>
    <w:p w14:paraId="1AD892FA" w14:textId="30DCF295" w:rsidR="00731EA3" w:rsidRDefault="00CE75FF" w:rsidP="00B87C32">
      <w:pPr>
        <w:rPr>
          <w:bCs/>
          <w:lang w:val="pl-PL"/>
        </w:rPr>
      </w:pPr>
      <w:r w:rsidRPr="00CE75FF">
        <w:rPr>
          <w:bCs/>
          <w:lang w:val="pl-PL"/>
        </w:rPr>
        <w:t>Dochody sektora instytucji rządowych i samorządowych z CIT (wg zasad ESA2010) w</w:t>
      </w:r>
      <w:r w:rsidR="000F011C">
        <w:rPr>
          <w:bCs/>
          <w:lang w:val="pl-PL"/>
        </w:rPr>
        <w:t> </w:t>
      </w:r>
      <w:r w:rsidRPr="00CE75FF">
        <w:rPr>
          <w:bCs/>
          <w:lang w:val="pl-PL"/>
        </w:rPr>
        <w:t>II</w:t>
      </w:r>
      <w:r w:rsidR="009434DB">
        <w:rPr>
          <w:bCs/>
          <w:lang w:val="pl-PL"/>
        </w:rPr>
        <w:t> </w:t>
      </w:r>
      <w:r w:rsidRPr="00CE75FF">
        <w:rPr>
          <w:bCs/>
          <w:lang w:val="pl-PL"/>
        </w:rPr>
        <w:t xml:space="preserve">kw. 2024 r. wyniosły 9,4 mld zł i były niższe </w:t>
      </w:r>
      <w:r w:rsidR="000F011C">
        <w:rPr>
          <w:bCs/>
          <w:lang w:val="pl-PL"/>
        </w:rPr>
        <w:t xml:space="preserve">aż </w:t>
      </w:r>
      <w:r w:rsidRPr="00CE75FF">
        <w:rPr>
          <w:bCs/>
          <w:lang w:val="pl-PL"/>
        </w:rPr>
        <w:t>o 72,9% r/r. Należy jednak pamiętać</w:t>
      </w:r>
      <w:r w:rsidR="005539AA">
        <w:rPr>
          <w:bCs/>
          <w:lang w:val="pl-PL"/>
        </w:rPr>
        <w:t xml:space="preserve">, że jest to przede wszystkim skutek innych </w:t>
      </w:r>
      <w:r w:rsidRPr="00CE75FF">
        <w:rPr>
          <w:bCs/>
          <w:lang w:val="pl-PL"/>
        </w:rPr>
        <w:t>termin</w:t>
      </w:r>
      <w:r w:rsidR="005539AA">
        <w:rPr>
          <w:bCs/>
          <w:lang w:val="pl-PL"/>
        </w:rPr>
        <w:t>ów</w:t>
      </w:r>
      <w:r w:rsidRPr="00CE75FF">
        <w:rPr>
          <w:bCs/>
          <w:lang w:val="pl-PL"/>
        </w:rPr>
        <w:t xml:space="preserve"> rozliczenia rocznego w 2024 r. i 2023 r. Dla przykładu w</w:t>
      </w:r>
      <w:r w:rsidR="000F011C">
        <w:rPr>
          <w:bCs/>
          <w:lang w:val="pl-PL"/>
        </w:rPr>
        <w:t> </w:t>
      </w:r>
      <w:r w:rsidRPr="00CE75FF">
        <w:rPr>
          <w:bCs/>
          <w:lang w:val="pl-PL"/>
        </w:rPr>
        <w:t>2024 r. w</w:t>
      </w:r>
      <w:r w:rsidR="000F011C">
        <w:rPr>
          <w:bCs/>
          <w:lang w:val="pl-PL"/>
        </w:rPr>
        <w:t xml:space="preserve"> </w:t>
      </w:r>
      <w:r w:rsidRPr="00CE75FF">
        <w:rPr>
          <w:bCs/>
          <w:lang w:val="pl-PL"/>
        </w:rPr>
        <w:t xml:space="preserve">czerwcu </w:t>
      </w:r>
      <w:r w:rsidR="005539AA">
        <w:rPr>
          <w:bCs/>
          <w:lang w:val="pl-PL"/>
        </w:rPr>
        <w:t xml:space="preserve">Urzędy Skarbowe </w:t>
      </w:r>
      <w:r w:rsidRPr="00CE75FF">
        <w:rPr>
          <w:bCs/>
          <w:lang w:val="pl-PL"/>
        </w:rPr>
        <w:t>dokonyw</w:t>
      </w:r>
      <w:r w:rsidR="005539AA">
        <w:rPr>
          <w:bCs/>
          <w:lang w:val="pl-PL"/>
        </w:rPr>
        <w:t>ały</w:t>
      </w:r>
      <w:r w:rsidRPr="00CE75FF">
        <w:rPr>
          <w:bCs/>
          <w:lang w:val="pl-PL"/>
        </w:rPr>
        <w:t xml:space="preserve"> zwrotów z rozliczenia rocznego, a w 2023 r. </w:t>
      </w:r>
      <w:r w:rsidR="005539AA">
        <w:rPr>
          <w:bCs/>
          <w:lang w:val="pl-PL"/>
        </w:rPr>
        <w:t>w tym miesiącu przypadały wpłaty</w:t>
      </w:r>
      <w:r w:rsidR="003F1C4E">
        <w:rPr>
          <w:bCs/>
          <w:lang w:val="pl-PL"/>
        </w:rPr>
        <w:t xml:space="preserve"> podatników</w:t>
      </w:r>
      <w:r w:rsidRPr="00CE75FF">
        <w:rPr>
          <w:bCs/>
          <w:lang w:val="pl-PL"/>
        </w:rPr>
        <w:t xml:space="preserve">. </w:t>
      </w:r>
      <w:r w:rsidR="005539AA">
        <w:rPr>
          <w:bCs/>
          <w:lang w:val="pl-PL"/>
        </w:rPr>
        <w:t>Jednocześnie w</w:t>
      </w:r>
      <w:r w:rsidRPr="00CE75FF">
        <w:rPr>
          <w:bCs/>
          <w:lang w:val="pl-PL"/>
        </w:rPr>
        <w:t xml:space="preserve">ynik finansowy brutto przedsiębiorstw niefinansowych </w:t>
      </w:r>
      <w:r w:rsidR="003F1C4E">
        <w:rPr>
          <w:bCs/>
          <w:lang w:val="pl-PL"/>
        </w:rPr>
        <w:t xml:space="preserve">w II kw. </w:t>
      </w:r>
      <w:r w:rsidRPr="00CE75FF">
        <w:rPr>
          <w:bCs/>
          <w:lang w:val="pl-PL"/>
        </w:rPr>
        <w:t>spadł o 21,9% r/r, a zysk brutto tych podmiotów spadł o 17,9% r/r. Wynik finansowy brutto banków w II kw. 2024 r. wzrósł o 29,3% r/r</w:t>
      </w:r>
      <w:r w:rsidR="00B87C32" w:rsidRPr="00B87C32">
        <w:rPr>
          <w:bCs/>
          <w:lang w:val="pl-PL"/>
        </w:rPr>
        <w:t>.</w:t>
      </w:r>
    </w:p>
    <w:bookmarkEnd w:id="7"/>
    <w:p w14:paraId="5447CA03" w14:textId="55C03269" w:rsidR="00B87C32" w:rsidRDefault="00CE75FF" w:rsidP="00B87C32">
      <w:pPr>
        <w:spacing w:after="120"/>
        <w:rPr>
          <w:bCs/>
          <w:lang w:val="pl-PL"/>
        </w:rPr>
      </w:pPr>
      <w:r w:rsidRPr="00CE75FF">
        <w:rPr>
          <w:bCs/>
          <w:lang w:val="pl-PL"/>
        </w:rPr>
        <w:t>Dochody z tytułu podatku VAT, wg zasad ESA2010, w II kw. 2024 r. były o 24,4% wyższe niż w analogicznym okresie 2023 r. i wyniosły ok. 70,4 mld zł. Zwroty VAT dokonane w II kw. 2024 były niższe o 18,3% r/r i wyniosły ok. 44,9 mld zł. W II kw. 2024</w:t>
      </w:r>
      <w:r w:rsidR="000F011C">
        <w:rPr>
          <w:bCs/>
          <w:lang w:val="pl-PL"/>
        </w:rPr>
        <w:t> </w:t>
      </w:r>
      <w:r w:rsidRPr="00CE75FF">
        <w:rPr>
          <w:bCs/>
          <w:lang w:val="pl-PL"/>
        </w:rPr>
        <w:t xml:space="preserve">r. wzrost sprzedaży detalicznej w cenach stałych wyniósł 4,8% r/r, natomiast </w:t>
      </w:r>
      <w:r w:rsidRPr="00CE75FF">
        <w:rPr>
          <w:bCs/>
          <w:lang w:val="pl-PL"/>
        </w:rPr>
        <w:lastRenderedPageBreak/>
        <w:t>produkcja sprzedana przemysłu w cenach bieżących spadła o 4,8% r/r. Spadek zwrotów VAT w ujęciu rocznym, brak obowiązywania tarcz antyinflacyjnych (z</w:t>
      </w:r>
      <w:r w:rsidR="000F011C">
        <w:rPr>
          <w:bCs/>
          <w:lang w:val="pl-PL"/>
        </w:rPr>
        <w:t> </w:t>
      </w:r>
      <w:r w:rsidRPr="00CE75FF">
        <w:rPr>
          <w:bCs/>
          <w:lang w:val="pl-PL"/>
        </w:rPr>
        <w:t>wyjątkiem tarczy energetycznej), a także  dane dotyczące sprzedaży detalicznej w II kw. 2024 r. miały pozytywny wpływ na dynamikę wzrostu dochodów z</w:t>
      </w:r>
      <w:r w:rsidR="000F011C">
        <w:rPr>
          <w:bCs/>
          <w:lang w:val="pl-PL"/>
        </w:rPr>
        <w:t> </w:t>
      </w:r>
      <w:r w:rsidRPr="00CE75FF">
        <w:rPr>
          <w:bCs/>
          <w:lang w:val="pl-PL"/>
        </w:rPr>
        <w:t>tytułu podatku VAT.</w:t>
      </w:r>
    </w:p>
    <w:p w14:paraId="76241812" w14:textId="77777777" w:rsidR="00B12864" w:rsidRPr="00B87C32" w:rsidRDefault="00B12864" w:rsidP="00B12864">
      <w:pPr>
        <w:rPr>
          <w:i/>
          <w:highlight w:val="yellow"/>
          <w:lang w:val="pl-PL"/>
        </w:rPr>
      </w:pPr>
      <w:r w:rsidRPr="00E220B2">
        <w:rPr>
          <w:lang w:val="pl-PL"/>
        </w:rPr>
        <w:t xml:space="preserve">Wykres </w:t>
      </w:r>
      <w:r w:rsidRPr="00E220B2">
        <w:rPr>
          <w:i/>
        </w:rPr>
        <w:fldChar w:fldCharType="begin"/>
      </w:r>
      <w:r w:rsidRPr="00E220B2">
        <w:rPr>
          <w:lang w:val="pl-PL"/>
        </w:rPr>
        <w:instrText xml:space="preserve"> SEQ Wykres \* ARABIC </w:instrText>
      </w:r>
      <w:r w:rsidRPr="00E220B2">
        <w:rPr>
          <w:i/>
        </w:rPr>
        <w:fldChar w:fldCharType="separate"/>
      </w:r>
      <w:r w:rsidRPr="00E220B2">
        <w:rPr>
          <w:noProof/>
          <w:lang w:val="pl-PL"/>
        </w:rPr>
        <w:t>3</w:t>
      </w:r>
      <w:r w:rsidRPr="00E220B2">
        <w:rPr>
          <w:i/>
        </w:rPr>
        <w:fldChar w:fldCharType="end"/>
      </w:r>
      <w:r w:rsidRPr="00E220B2">
        <w:rPr>
          <w:lang w:val="pl-PL"/>
        </w:rPr>
        <w:t>. Dynamika memoriałowych wpływów z podatku VAT (r/r).</w:t>
      </w:r>
    </w:p>
    <w:p w14:paraId="495AC394" w14:textId="4507CCE5" w:rsidR="00B12864" w:rsidRDefault="00B12864" w:rsidP="00B87C32">
      <w:pPr>
        <w:spacing w:after="120"/>
        <w:rPr>
          <w:bCs/>
          <w:lang w:val="pl-PL"/>
        </w:rPr>
      </w:pPr>
      <w:r>
        <w:rPr>
          <w:noProof/>
        </w:rPr>
        <w:drawing>
          <wp:inline distT="0" distB="0" distL="0" distR="0" wp14:anchorId="574C574A" wp14:editId="26BD9384">
            <wp:extent cx="5422740" cy="3397170"/>
            <wp:effectExtent l="0" t="0" r="6985" b="0"/>
            <wp:docPr id="3" name="Wykres 3" descr="Wykres 3.&#10;Wykres prezentuje dynamikę memoriałowych wpływów z podatku VAT i VAT w ujęciu roku płynnego r/r  w okresie od III kwartału 2021 do II kwartału 2024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CB92B53F-78CC-4C81-9EF2-306DAB928D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B64287C" w14:textId="77777777" w:rsidR="00B87C32" w:rsidRDefault="00B87C32" w:rsidP="00B87C32">
      <w:pPr>
        <w:spacing w:after="120"/>
        <w:rPr>
          <w:bCs/>
          <w:lang w:val="pl-PL"/>
        </w:rPr>
      </w:pPr>
      <w:r w:rsidRPr="00B87C32">
        <w:rPr>
          <w:bCs/>
          <w:lang w:val="pl-PL"/>
        </w:rPr>
        <w:t>Dochody z akcyzy (wg zasad ESA2010) w II kw. 2024 r. były wyższe o 5,2% r/ i wyniosły ok. 23,1 mld zł. Dochody, od wyrobów tytoniowych wzrosły o 5,0% r/r, od alkoholu etylowego spadły o 0,1% r/r, od piwa wzrosły o 5,8% r/r, od wina spadły o 2,9% r/r, od samochodów osobowych wzrosły o 38,0% r/r, od paliw silnikowych wzrosły o 4,2% r/r, a od energii elektrycznej spadły o 5,9% r/r.</w:t>
      </w:r>
    </w:p>
    <w:p w14:paraId="7FC5C5EC" w14:textId="5771F0B9" w:rsidR="000F4EDC" w:rsidRDefault="000F4EDC" w:rsidP="00B87C32">
      <w:pPr>
        <w:spacing w:after="120"/>
        <w:rPr>
          <w:lang w:val="pl-PL"/>
        </w:rPr>
      </w:pPr>
      <w:r w:rsidRPr="00D622A0">
        <w:rPr>
          <w:lang w:val="pl-PL"/>
        </w:rPr>
        <w:t>Pozostałe dochody sektora instytucji rządowych i samorządowyc</w:t>
      </w:r>
      <w:r w:rsidR="000165BF" w:rsidRPr="00D622A0">
        <w:rPr>
          <w:lang w:val="pl-PL"/>
        </w:rPr>
        <w:t>h w I</w:t>
      </w:r>
      <w:r w:rsidR="00D622A0" w:rsidRPr="00D622A0">
        <w:rPr>
          <w:lang w:val="pl-PL"/>
        </w:rPr>
        <w:t>I</w:t>
      </w:r>
      <w:r w:rsidR="000165BF" w:rsidRPr="00D622A0">
        <w:rPr>
          <w:lang w:val="pl-PL"/>
        </w:rPr>
        <w:t xml:space="preserve"> kw. </w:t>
      </w:r>
      <w:r w:rsidR="00B62053" w:rsidRPr="00D622A0">
        <w:rPr>
          <w:lang w:val="pl-PL"/>
        </w:rPr>
        <w:t>202</w:t>
      </w:r>
      <w:r w:rsidR="002E65EA" w:rsidRPr="00D622A0">
        <w:rPr>
          <w:lang w:val="pl-PL"/>
        </w:rPr>
        <w:t>4</w:t>
      </w:r>
      <w:r w:rsidR="00B62053" w:rsidRPr="00D622A0">
        <w:rPr>
          <w:lang w:val="pl-PL"/>
        </w:rPr>
        <w:t xml:space="preserve"> r. </w:t>
      </w:r>
      <w:r w:rsidR="00D622A0" w:rsidRPr="00D622A0">
        <w:rPr>
          <w:lang w:val="pl-PL"/>
        </w:rPr>
        <w:t>spadły</w:t>
      </w:r>
      <w:r w:rsidR="00B62053" w:rsidRPr="00D622A0">
        <w:rPr>
          <w:lang w:val="pl-PL"/>
        </w:rPr>
        <w:t xml:space="preserve"> nominalnie</w:t>
      </w:r>
      <w:r w:rsidR="003A4003" w:rsidRPr="00D622A0">
        <w:rPr>
          <w:lang w:val="pl-PL"/>
        </w:rPr>
        <w:t xml:space="preserve"> </w:t>
      </w:r>
      <w:r w:rsidR="00B62053" w:rsidRPr="00D622A0">
        <w:rPr>
          <w:lang w:val="pl-PL"/>
        </w:rPr>
        <w:t>o</w:t>
      </w:r>
      <w:r w:rsidR="00A402C9" w:rsidRPr="00D622A0">
        <w:rPr>
          <w:lang w:val="pl-PL"/>
        </w:rPr>
        <w:t xml:space="preserve"> </w:t>
      </w:r>
      <w:r w:rsidR="00D622A0" w:rsidRPr="00D622A0">
        <w:rPr>
          <w:lang w:val="pl-PL"/>
        </w:rPr>
        <w:t>2,6</w:t>
      </w:r>
      <w:r w:rsidRPr="00D622A0">
        <w:rPr>
          <w:lang w:val="pl-PL"/>
        </w:rPr>
        <w:t>% r/r.</w:t>
      </w:r>
      <w:r w:rsidR="00D919CD">
        <w:rPr>
          <w:lang w:val="pl-PL"/>
        </w:rPr>
        <w:t xml:space="preserve">, </w:t>
      </w:r>
      <w:r w:rsidR="00BD776D">
        <w:rPr>
          <w:lang w:val="pl-PL"/>
        </w:rPr>
        <w:t xml:space="preserve">na co wpływ miał spadek nominalny </w:t>
      </w:r>
      <w:r w:rsidR="00D919CD">
        <w:rPr>
          <w:lang w:val="pl-PL"/>
        </w:rPr>
        <w:t>transfer</w:t>
      </w:r>
      <w:r w:rsidR="00BD776D">
        <w:rPr>
          <w:lang w:val="pl-PL"/>
        </w:rPr>
        <w:t>ów</w:t>
      </w:r>
      <w:r w:rsidR="00D919CD">
        <w:rPr>
          <w:lang w:val="pl-PL"/>
        </w:rPr>
        <w:t xml:space="preserve"> kapitałow</w:t>
      </w:r>
      <w:r w:rsidR="00BD776D">
        <w:rPr>
          <w:lang w:val="pl-PL"/>
        </w:rPr>
        <w:t>ych</w:t>
      </w:r>
      <w:r w:rsidR="00D919CD">
        <w:rPr>
          <w:lang w:val="pl-PL"/>
        </w:rPr>
        <w:t xml:space="preserve"> aż o</w:t>
      </w:r>
      <w:r w:rsidR="00BD776D">
        <w:rPr>
          <w:lang w:val="pl-PL"/>
        </w:rPr>
        <w:t> </w:t>
      </w:r>
      <w:r w:rsidR="00D919CD">
        <w:rPr>
          <w:lang w:val="pl-PL"/>
        </w:rPr>
        <w:t>47,3% r/r.</w:t>
      </w:r>
    </w:p>
    <w:p w14:paraId="6146D862" w14:textId="77777777" w:rsidR="000F4EDC" w:rsidRPr="005F1F5E" w:rsidRDefault="000F4EDC" w:rsidP="005E4D22">
      <w:pPr>
        <w:pStyle w:val="Nagwek2"/>
        <w:rPr>
          <w:lang w:val="pl-PL"/>
        </w:rPr>
      </w:pPr>
      <w:bookmarkStart w:id="8" w:name="_Toc180652631"/>
      <w:r w:rsidRPr="005F1F5E">
        <w:rPr>
          <w:lang w:val="pl-PL"/>
        </w:rPr>
        <w:lastRenderedPageBreak/>
        <w:t>1.3. Wydatki</w:t>
      </w:r>
      <w:bookmarkEnd w:id="8"/>
    </w:p>
    <w:p w14:paraId="75E805EF" w14:textId="03F68722" w:rsidR="000F4EDC" w:rsidRPr="00BF574E" w:rsidRDefault="003900DE" w:rsidP="00700C2E">
      <w:pPr>
        <w:spacing w:after="120"/>
        <w:rPr>
          <w:lang w:val="pl-PL"/>
        </w:rPr>
      </w:pPr>
      <w:r w:rsidRPr="00BF574E">
        <w:rPr>
          <w:lang w:val="pl-PL"/>
        </w:rPr>
        <w:t xml:space="preserve">W </w:t>
      </w:r>
      <w:r w:rsidR="00FE7CDD" w:rsidRPr="00BF574E">
        <w:rPr>
          <w:lang w:val="pl-PL"/>
        </w:rPr>
        <w:t>I</w:t>
      </w:r>
      <w:r w:rsidR="00BF574E" w:rsidRPr="00BF574E">
        <w:rPr>
          <w:lang w:val="pl-PL"/>
        </w:rPr>
        <w:t>I</w:t>
      </w:r>
      <w:r w:rsidRPr="00BF574E">
        <w:rPr>
          <w:lang w:val="pl-PL"/>
        </w:rPr>
        <w:t xml:space="preserve"> kw. 202</w:t>
      </w:r>
      <w:r w:rsidR="004D116B" w:rsidRPr="00BF574E">
        <w:rPr>
          <w:lang w:val="pl-PL"/>
        </w:rPr>
        <w:t>4</w:t>
      </w:r>
      <w:r w:rsidR="000F4EDC" w:rsidRPr="00BF574E">
        <w:rPr>
          <w:lang w:val="pl-PL"/>
        </w:rPr>
        <w:t xml:space="preserve"> r. wydatki sektora instytucji rządowych i samorządowych (ESA2010) wyniosły </w:t>
      </w:r>
      <w:r w:rsidR="00BF574E" w:rsidRPr="00BF574E">
        <w:rPr>
          <w:lang w:val="pl-PL"/>
        </w:rPr>
        <w:t>439,6</w:t>
      </w:r>
      <w:r w:rsidR="000F4EDC" w:rsidRPr="00BF574E">
        <w:rPr>
          <w:lang w:val="pl-PL"/>
        </w:rPr>
        <w:t xml:space="preserve"> mld zł</w:t>
      </w:r>
      <w:r w:rsidRPr="00BF574E">
        <w:rPr>
          <w:lang w:val="pl-PL"/>
        </w:rPr>
        <w:t xml:space="preserve"> i były nominalnie wyższe o </w:t>
      </w:r>
      <w:r w:rsidR="004D116B" w:rsidRPr="00BF574E">
        <w:rPr>
          <w:lang w:val="pl-PL"/>
        </w:rPr>
        <w:t>1</w:t>
      </w:r>
      <w:r w:rsidR="00BF574E" w:rsidRPr="00BF574E">
        <w:rPr>
          <w:lang w:val="pl-PL"/>
        </w:rPr>
        <w:t>3,6</w:t>
      </w:r>
      <w:r w:rsidR="000F4EDC" w:rsidRPr="00BF574E">
        <w:rPr>
          <w:lang w:val="pl-PL"/>
        </w:rPr>
        <w:t>% r/r (w</w:t>
      </w:r>
      <w:r w:rsidRPr="00BF574E">
        <w:rPr>
          <w:lang w:val="pl-PL"/>
        </w:rPr>
        <w:t xml:space="preserve">zrost w relacji do PKB r/r o </w:t>
      </w:r>
      <w:r w:rsidR="00BF574E" w:rsidRPr="00BF574E">
        <w:rPr>
          <w:lang w:val="pl-PL"/>
        </w:rPr>
        <w:t>3,8</w:t>
      </w:r>
      <w:r w:rsidR="000F4EDC" w:rsidRPr="00BF574E">
        <w:rPr>
          <w:lang w:val="pl-PL"/>
        </w:rPr>
        <w:t xml:space="preserve"> pkt. proc.)</w:t>
      </w:r>
      <w:r w:rsidR="00700112" w:rsidRPr="00BF574E">
        <w:rPr>
          <w:lang w:val="pl-PL"/>
        </w:rPr>
        <w:t>.</w:t>
      </w:r>
    </w:p>
    <w:p w14:paraId="65EAF41B" w14:textId="27531EB7" w:rsidR="00700112" w:rsidRPr="00BF574E" w:rsidRDefault="00700112" w:rsidP="00700112">
      <w:pPr>
        <w:spacing w:after="120"/>
        <w:rPr>
          <w:lang w:val="pl-PL"/>
        </w:rPr>
      </w:pPr>
      <w:r w:rsidRPr="00BF574E">
        <w:rPr>
          <w:lang w:val="pl-PL"/>
        </w:rPr>
        <w:t xml:space="preserve">Istotny </w:t>
      </w:r>
      <w:r w:rsidR="00FA05DB" w:rsidRPr="00BF574E">
        <w:rPr>
          <w:lang w:val="pl-PL"/>
        </w:rPr>
        <w:t xml:space="preserve">spadek </w:t>
      </w:r>
      <w:r w:rsidRPr="00BF574E">
        <w:rPr>
          <w:lang w:val="pl-PL"/>
        </w:rPr>
        <w:t>wydatków</w:t>
      </w:r>
      <w:r w:rsidR="00FA05DB" w:rsidRPr="00BF574E">
        <w:rPr>
          <w:lang w:val="pl-PL"/>
        </w:rPr>
        <w:t xml:space="preserve"> miał miejsce</w:t>
      </w:r>
      <w:r w:rsidRPr="00BF574E">
        <w:rPr>
          <w:lang w:val="pl-PL"/>
        </w:rPr>
        <w:t xml:space="preserve"> </w:t>
      </w:r>
      <w:r w:rsidR="000F011C">
        <w:rPr>
          <w:lang w:val="pl-PL"/>
        </w:rPr>
        <w:t xml:space="preserve">tylko </w:t>
      </w:r>
      <w:r w:rsidRPr="00BF574E">
        <w:rPr>
          <w:lang w:val="pl-PL"/>
        </w:rPr>
        <w:t xml:space="preserve">w kategorii dotacje (dla przedsiębiorców) tj. </w:t>
      </w:r>
      <w:r w:rsidR="00FA05DB" w:rsidRPr="00BF574E">
        <w:rPr>
          <w:lang w:val="pl-PL"/>
        </w:rPr>
        <w:t>spadek</w:t>
      </w:r>
      <w:r w:rsidRPr="00BF574E">
        <w:rPr>
          <w:lang w:val="pl-PL"/>
        </w:rPr>
        <w:t xml:space="preserve"> o </w:t>
      </w:r>
      <w:r w:rsidR="00BF574E" w:rsidRPr="00BF574E">
        <w:rPr>
          <w:lang w:val="pl-PL"/>
        </w:rPr>
        <w:t>40,1</w:t>
      </w:r>
      <w:r w:rsidRPr="00BF574E">
        <w:rPr>
          <w:lang w:val="pl-PL"/>
        </w:rPr>
        <w:t>% r/r</w:t>
      </w:r>
      <w:r w:rsidR="00A44319">
        <w:rPr>
          <w:lang w:val="pl-PL"/>
        </w:rPr>
        <w:t xml:space="preserve"> </w:t>
      </w:r>
      <w:r w:rsidR="00A44319" w:rsidRPr="00BF574E">
        <w:rPr>
          <w:lang w:val="pl-PL"/>
        </w:rPr>
        <w:t>(</w:t>
      </w:r>
      <w:r w:rsidR="00A44319">
        <w:rPr>
          <w:lang w:val="pl-PL"/>
        </w:rPr>
        <w:t>spadek</w:t>
      </w:r>
      <w:r w:rsidR="00A44319" w:rsidRPr="00BF574E">
        <w:rPr>
          <w:lang w:val="pl-PL"/>
        </w:rPr>
        <w:t xml:space="preserve"> w relacji do PKB r/r o </w:t>
      </w:r>
      <w:r w:rsidR="00A44319">
        <w:rPr>
          <w:lang w:val="pl-PL"/>
        </w:rPr>
        <w:t>0</w:t>
      </w:r>
      <w:r w:rsidR="00A44319" w:rsidRPr="00BF574E">
        <w:rPr>
          <w:lang w:val="pl-PL"/>
        </w:rPr>
        <w:t>,8 pkt. proc.)</w:t>
      </w:r>
      <w:r w:rsidRPr="00BF574E">
        <w:rPr>
          <w:lang w:val="pl-PL"/>
        </w:rPr>
        <w:t xml:space="preserve">, co </w:t>
      </w:r>
      <w:r w:rsidR="00A44319">
        <w:rPr>
          <w:lang w:val="pl-PL"/>
        </w:rPr>
        <w:t xml:space="preserve">wynika przede wszystkim </w:t>
      </w:r>
      <w:r w:rsidR="00FA05DB" w:rsidRPr="00BF574E">
        <w:rPr>
          <w:lang w:val="pl-PL"/>
        </w:rPr>
        <w:t xml:space="preserve"> z wygaszaniem </w:t>
      </w:r>
      <w:r w:rsidRPr="00BF574E">
        <w:rPr>
          <w:lang w:val="pl-PL"/>
        </w:rPr>
        <w:t xml:space="preserve">działań osłonowych </w:t>
      </w:r>
      <w:r w:rsidR="00E10C03" w:rsidRPr="00BF574E">
        <w:rPr>
          <w:lang w:val="pl-PL"/>
        </w:rPr>
        <w:t xml:space="preserve">łagodzących </w:t>
      </w:r>
      <w:r w:rsidRPr="00BF574E">
        <w:rPr>
          <w:lang w:val="pl-PL"/>
        </w:rPr>
        <w:t>wzrost cen nośników energii</w:t>
      </w:r>
      <w:r w:rsidR="00A44319">
        <w:rPr>
          <w:lang w:val="pl-PL"/>
        </w:rPr>
        <w:t xml:space="preserve"> (szacuje się, że </w:t>
      </w:r>
      <w:r w:rsidR="00A44319" w:rsidRPr="00BF574E">
        <w:rPr>
          <w:lang w:val="pl-PL"/>
        </w:rPr>
        <w:t>wydatki związane z działaniami osłonowymi spadną z 1,5% PKB w 2023 r. do 0,</w:t>
      </w:r>
      <w:r w:rsidR="00A44319">
        <w:rPr>
          <w:lang w:val="pl-PL"/>
        </w:rPr>
        <w:t>9</w:t>
      </w:r>
      <w:r w:rsidR="00A44319" w:rsidRPr="00BF574E">
        <w:rPr>
          <w:lang w:val="pl-PL"/>
        </w:rPr>
        <w:t>% PKB w 2024 r</w:t>
      </w:r>
      <w:r w:rsidR="00A44319">
        <w:rPr>
          <w:lang w:val="pl-PL"/>
        </w:rPr>
        <w:t>)</w:t>
      </w:r>
      <w:r w:rsidRPr="00BF574E">
        <w:rPr>
          <w:lang w:val="pl-PL"/>
        </w:rPr>
        <w:t>.</w:t>
      </w:r>
      <w:r w:rsidR="00FA05DB" w:rsidRPr="00BF574E">
        <w:rPr>
          <w:lang w:val="pl-PL"/>
        </w:rPr>
        <w:t xml:space="preserve"> W poprzednich </w:t>
      </w:r>
      <w:r w:rsidR="009E7777">
        <w:rPr>
          <w:lang w:val="pl-PL"/>
        </w:rPr>
        <w:t>latach (2022-2023) w</w:t>
      </w:r>
      <w:r w:rsidR="000F011C">
        <w:rPr>
          <w:lang w:val="pl-PL"/>
        </w:rPr>
        <w:t> </w:t>
      </w:r>
      <w:r w:rsidR="009E7777">
        <w:rPr>
          <w:lang w:val="pl-PL"/>
        </w:rPr>
        <w:t>związku z pandemią Covid-19 oraz wysoką inflacją</w:t>
      </w:r>
      <w:r w:rsidR="00FA05DB" w:rsidRPr="00BF574E">
        <w:rPr>
          <w:lang w:val="pl-PL"/>
        </w:rPr>
        <w:t xml:space="preserve"> mieliśmy do czynienia z</w:t>
      </w:r>
      <w:r w:rsidR="000F011C">
        <w:rPr>
          <w:lang w:val="pl-PL"/>
        </w:rPr>
        <w:t> </w:t>
      </w:r>
      <w:r w:rsidR="00FA05DB" w:rsidRPr="00BF574E">
        <w:rPr>
          <w:lang w:val="pl-PL"/>
        </w:rPr>
        <w:t>bezprecedensowym wzrostem w w/w kategorii.</w:t>
      </w:r>
    </w:p>
    <w:p w14:paraId="73653052" w14:textId="0D8DB0C1" w:rsidR="00700112" w:rsidRPr="00932619" w:rsidRDefault="00700112" w:rsidP="00932619">
      <w:pPr>
        <w:spacing w:after="120"/>
        <w:rPr>
          <w:lang w:val="pl-PL"/>
        </w:rPr>
      </w:pPr>
      <w:r w:rsidRPr="00932619">
        <w:rPr>
          <w:lang w:val="pl-PL"/>
        </w:rPr>
        <w:t>W I</w:t>
      </w:r>
      <w:r w:rsidR="0056065B" w:rsidRPr="00932619">
        <w:rPr>
          <w:lang w:val="pl-PL"/>
        </w:rPr>
        <w:t>I</w:t>
      </w:r>
      <w:r w:rsidRPr="00932619">
        <w:rPr>
          <w:lang w:val="pl-PL"/>
        </w:rPr>
        <w:t xml:space="preserve"> kw. 202</w:t>
      </w:r>
      <w:r w:rsidR="00CC7BA5" w:rsidRPr="00932619">
        <w:rPr>
          <w:lang w:val="pl-PL"/>
        </w:rPr>
        <w:t>4</w:t>
      </w:r>
      <w:r w:rsidRPr="00932619">
        <w:rPr>
          <w:lang w:val="pl-PL"/>
        </w:rPr>
        <w:t xml:space="preserve"> r. świadczenia socjalne wzrosły nominalnie o </w:t>
      </w:r>
      <w:r w:rsidR="0056065B" w:rsidRPr="00932619">
        <w:rPr>
          <w:lang w:val="pl-PL"/>
        </w:rPr>
        <w:t>20,5</w:t>
      </w:r>
      <w:r w:rsidRPr="00932619">
        <w:rPr>
          <w:lang w:val="pl-PL"/>
        </w:rPr>
        <w:t>% r/r</w:t>
      </w:r>
      <w:r w:rsidR="004E5DEB" w:rsidRPr="00932619">
        <w:rPr>
          <w:lang w:val="pl-PL"/>
        </w:rPr>
        <w:t xml:space="preserve"> (w relacji do PKB o 2,3 pp.)</w:t>
      </w:r>
      <w:r w:rsidRPr="00932619">
        <w:rPr>
          <w:lang w:val="pl-PL"/>
        </w:rPr>
        <w:t xml:space="preserve"> tj. powyżej tempa wzrostu przeciętnego kwartalnego funduszu emerytur i</w:t>
      </w:r>
      <w:r w:rsidR="002C6208" w:rsidRPr="00932619">
        <w:rPr>
          <w:lang w:val="pl-PL"/>
        </w:rPr>
        <w:t> </w:t>
      </w:r>
      <w:r w:rsidRPr="00932619">
        <w:rPr>
          <w:lang w:val="pl-PL"/>
        </w:rPr>
        <w:t>rent, które wyniosło 1</w:t>
      </w:r>
      <w:r w:rsidR="0056065B" w:rsidRPr="00932619">
        <w:rPr>
          <w:lang w:val="pl-PL"/>
        </w:rPr>
        <w:t>4,9</w:t>
      </w:r>
      <w:r w:rsidRPr="00932619">
        <w:rPr>
          <w:lang w:val="pl-PL"/>
        </w:rPr>
        <w:t>% r/r.</w:t>
      </w:r>
      <w:r w:rsidR="004E5DEB" w:rsidRPr="00932619">
        <w:rPr>
          <w:lang w:val="pl-PL"/>
        </w:rPr>
        <w:t xml:space="preserve"> </w:t>
      </w:r>
      <w:r w:rsidR="00932619" w:rsidRPr="00932619">
        <w:rPr>
          <w:lang w:val="pl-PL"/>
        </w:rPr>
        <w:t>Na wzrost wydatków socjalnych w porównaniu do 2023 r miała wpływ wysoka waloryzacja rent i emerytur 12,12%</w:t>
      </w:r>
      <w:r w:rsidR="00002CC6">
        <w:rPr>
          <w:lang w:val="pl-PL"/>
        </w:rPr>
        <w:t xml:space="preserve"> (od 1 marca 2024 r.)</w:t>
      </w:r>
      <w:r w:rsidR="00932619" w:rsidRPr="00932619">
        <w:rPr>
          <w:lang w:val="pl-PL"/>
        </w:rPr>
        <w:t xml:space="preserve"> oraz podniesieni</w:t>
      </w:r>
      <w:r w:rsidR="00932619">
        <w:rPr>
          <w:lang w:val="pl-PL"/>
        </w:rPr>
        <w:t>e</w:t>
      </w:r>
      <w:r w:rsidR="00932619" w:rsidRPr="00932619">
        <w:rPr>
          <w:lang w:val="pl-PL"/>
        </w:rPr>
        <w:t xml:space="preserve"> </w:t>
      </w:r>
      <w:r w:rsidR="00FE0840">
        <w:rPr>
          <w:lang w:val="pl-PL"/>
        </w:rPr>
        <w:t xml:space="preserve">świadczenia </w:t>
      </w:r>
      <w:r w:rsidR="005539AA">
        <w:rPr>
          <w:lang w:val="pl-PL"/>
        </w:rPr>
        <w:t xml:space="preserve">wychowawczego z </w:t>
      </w:r>
      <w:r w:rsidR="00932619" w:rsidRPr="00932619">
        <w:rPr>
          <w:lang w:val="pl-PL"/>
        </w:rPr>
        <w:t>500</w:t>
      </w:r>
      <w:r w:rsidR="005539AA">
        <w:rPr>
          <w:lang w:val="pl-PL"/>
        </w:rPr>
        <w:t xml:space="preserve"> zł</w:t>
      </w:r>
      <w:r w:rsidR="00932619" w:rsidRPr="00932619">
        <w:rPr>
          <w:lang w:val="pl-PL"/>
        </w:rPr>
        <w:t xml:space="preserve"> na 800</w:t>
      </w:r>
      <w:r w:rsidR="005539AA">
        <w:rPr>
          <w:lang w:val="pl-PL"/>
        </w:rPr>
        <w:t xml:space="preserve"> zł miesięcznie na dziecko </w:t>
      </w:r>
      <w:r w:rsidR="00932619" w:rsidRPr="00932619">
        <w:rPr>
          <w:lang w:val="pl-PL"/>
        </w:rPr>
        <w:t>- od 1 stycznia 2024</w:t>
      </w:r>
      <w:r w:rsidR="00932619">
        <w:rPr>
          <w:lang w:val="pl-PL"/>
        </w:rPr>
        <w:t>. W II kw</w:t>
      </w:r>
      <w:r w:rsidR="00A44319">
        <w:rPr>
          <w:lang w:val="pl-PL"/>
        </w:rPr>
        <w:t>.</w:t>
      </w:r>
      <w:r w:rsidR="00932619">
        <w:rPr>
          <w:lang w:val="pl-PL"/>
        </w:rPr>
        <w:t xml:space="preserve"> 2024 r. miała również miejsce wypłata 13 emerytury, co stanowiło koszt ok</w:t>
      </w:r>
      <w:r w:rsidR="005539AA">
        <w:rPr>
          <w:lang w:val="pl-PL"/>
        </w:rPr>
        <w:t>.</w:t>
      </w:r>
      <w:r w:rsidR="00932619">
        <w:rPr>
          <w:lang w:val="pl-PL"/>
        </w:rPr>
        <w:t xml:space="preserve"> 17 mld zł.</w:t>
      </w:r>
      <w:r w:rsidR="008F2224">
        <w:rPr>
          <w:lang w:val="pl-PL"/>
        </w:rPr>
        <w:t xml:space="preserve"> </w:t>
      </w:r>
      <w:r w:rsidR="008F2224" w:rsidRPr="008F2224">
        <w:rPr>
          <w:lang w:val="pl-PL"/>
        </w:rPr>
        <w:t>Trzynast</w:t>
      </w:r>
      <w:r w:rsidR="00FE0840">
        <w:rPr>
          <w:lang w:val="pl-PL"/>
        </w:rPr>
        <w:t>a emerytura</w:t>
      </w:r>
      <w:r w:rsidR="008F2224" w:rsidRPr="008F2224">
        <w:rPr>
          <w:lang w:val="pl-PL"/>
        </w:rPr>
        <w:t xml:space="preserve"> dla emerytów i rencistów ma wysokość minimalnej emerytury</w:t>
      </w:r>
      <w:r w:rsidR="008F2224">
        <w:rPr>
          <w:lang w:val="pl-PL"/>
        </w:rPr>
        <w:t xml:space="preserve"> i w 2024 r</w:t>
      </w:r>
      <w:r w:rsidR="005539AA">
        <w:rPr>
          <w:lang w:val="pl-PL"/>
        </w:rPr>
        <w:t>.</w:t>
      </w:r>
      <w:r w:rsidR="008F2224">
        <w:rPr>
          <w:lang w:val="pl-PL"/>
        </w:rPr>
        <w:t xml:space="preserve"> wyniosła </w:t>
      </w:r>
      <w:r w:rsidR="008F2224" w:rsidRPr="008F2224">
        <w:rPr>
          <w:lang w:val="pl-PL"/>
        </w:rPr>
        <w:t>1780,96 zł brutto</w:t>
      </w:r>
      <w:r w:rsidR="008F2224">
        <w:rPr>
          <w:lang w:val="pl-PL"/>
        </w:rPr>
        <w:t xml:space="preserve"> (</w:t>
      </w:r>
      <w:r w:rsidR="008F2224" w:rsidRPr="008F2224">
        <w:rPr>
          <w:lang w:val="pl-PL"/>
        </w:rPr>
        <w:t>1588,44</w:t>
      </w:r>
      <w:r w:rsidR="008F2224">
        <w:rPr>
          <w:lang w:val="pl-PL"/>
        </w:rPr>
        <w:t xml:space="preserve"> zł brutto w 2023 r</w:t>
      </w:r>
      <w:r w:rsidR="005539AA">
        <w:rPr>
          <w:lang w:val="pl-PL"/>
        </w:rPr>
        <w:t>.</w:t>
      </w:r>
      <w:r w:rsidR="008F2224">
        <w:rPr>
          <w:lang w:val="pl-PL"/>
        </w:rPr>
        <w:t>).</w:t>
      </w:r>
    </w:p>
    <w:p w14:paraId="0BFB9FB2" w14:textId="395B5F60" w:rsidR="00700112" w:rsidRPr="00002CC6" w:rsidRDefault="00700112" w:rsidP="00700112">
      <w:pPr>
        <w:spacing w:after="120"/>
        <w:rPr>
          <w:lang w:val="pl-PL"/>
        </w:rPr>
      </w:pPr>
      <w:r w:rsidRPr="00002CC6">
        <w:rPr>
          <w:lang w:val="pl-PL"/>
        </w:rPr>
        <w:t>W I</w:t>
      </w:r>
      <w:r w:rsidR="00002CC6" w:rsidRPr="00002CC6">
        <w:rPr>
          <w:lang w:val="pl-PL"/>
        </w:rPr>
        <w:t>I</w:t>
      </w:r>
      <w:r w:rsidRPr="00002CC6">
        <w:rPr>
          <w:lang w:val="pl-PL"/>
        </w:rPr>
        <w:t xml:space="preserve"> kw. 202</w:t>
      </w:r>
      <w:r w:rsidR="00481372" w:rsidRPr="00002CC6">
        <w:rPr>
          <w:lang w:val="pl-PL"/>
        </w:rPr>
        <w:t>4</w:t>
      </w:r>
      <w:r w:rsidRPr="00002CC6">
        <w:rPr>
          <w:lang w:val="pl-PL"/>
        </w:rPr>
        <w:t xml:space="preserve"> r. odnotowano nominalny wzrost spożycia publicznego o 1</w:t>
      </w:r>
      <w:r w:rsidR="00002CC6" w:rsidRPr="00002CC6">
        <w:rPr>
          <w:lang w:val="pl-PL"/>
        </w:rPr>
        <w:t>9,2</w:t>
      </w:r>
      <w:r w:rsidRPr="00002CC6">
        <w:rPr>
          <w:lang w:val="pl-PL"/>
        </w:rPr>
        <w:t xml:space="preserve">% r/r, na co wpływ miał głównie wzrost kosztów pracy o </w:t>
      </w:r>
      <w:r w:rsidR="00481372" w:rsidRPr="00002CC6">
        <w:rPr>
          <w:lang w:val="pl-PL"/>
        </w:rPr>
        <w:t>2</w:t>
      </w:r>
      <w:r w:rsidR="00002CC6" w:rsidRPr="00002CC6">
        <w:rPr>
          <w:lang w:val="pl-PL"/>
        </w:rPr>
        <w:t>3,1</w:t>
      </w:r>
      <w:r w:rsidRPr="00002CC6">
        <w:rPr>
          <w:lang w:val="pl-PL"/>
        </w:rPr>
        <w:t xml:space="preserve">% r/r. </w:t>
      </w:r>
      <w:r w:rsidR="00F45B2A" w:rsidRPr="00002CC6">
        <w:rPr>
          <w:lang w:val="pl-PL"/>
        </w:rPr>
        <w:t xml:space="preserve">Zgodnie z ustawą budżetową na 2024 </w:t>
      </w:r>
      <w:r w:rsidR="002C6208" w:rsidRPr="00002CC6">
        <w:rPr>
          <w:lang w:val="pl-PL"/>
        </w:rPr>
        <w:t xml:space="preserve">r. </w:t>
      </w:r>
      <w:r w:rsidR="00F45B2A" w:rsidRPr="00002CC6">
        <w:rPr>
          <w:lang w:val="pl-PL"/>
        </w:rPr>
        <w:t>podwyższone zostały wynagrodzenia nauczycieli o 30% ( a w przypadku nauczycieli początkujących o 33%)</w:t>
      </w:r>
      <w:r w:rsidR="003F1C4E">
        <w:rPr>
          <w:lang w:val="pl-PL"/>
        </w:rPr>
        <w:t xml:space="preserve"> oraz</w:t>
      </w:r>
      <w:r w:rsidR="00F45B2A" w:rsidRPr="00002CC6">
        <w:rPr>
          <w:lang w:val="pl-PL"/>
        </w:rPr>
        <w:t xml:space="preserve"> wynagrodzenia </w:t>
      </w:r>
      <w:r w:rsidR="003F1C4E">
        <w:rPr>
          <w:lang w:val="pl-PL"/>
        </w:rPr>
        <w:t xml:space="preserve">w </w:t>
      </w:r>
      <w:r w:rsidR="00F45B2A" w:rsidRPr="00002CC6">
        <w:rPr>
          <w:lang w:val="pl-PL"/>
        </w:rPr>
        <w:t>państwowej sfer</w:t>
      </w:r>
      <w:r w:rsidR="003F1C4E">
        <w:rPr>
          <w:lang w:val="pl-PL"/>
        </w:rPr>
        <w:t>ze</w:t>
      </w:r>
      <w:r w:rsidR="00F45B2A" w:rsidRPr="00002CC6">
        <w:rPr>
          <w:lang w:val="pl-PL"/>
        </w:rPr>
        <w:t xml:space="preserve"> budżetowej o 20%.</w:t>
      </w:r>
    </w:p>
    <w:p w14:paraId="5970DAC1" w14:textId="77777777" w:rsidR="00B12864" w:rsidRDefault="00B12864" w:rsidP="00801205">
      <w:pPr>
        <w:spacing w:after="0"/>
        <w:rPr>
          <w:lang w:val="pl-PL"/>
        </w:rPr>
      </w:pPr>
    </w:p>
    <w:p w14:paraId="61424E1B" w14:textId="77777777" w:rsidR="00B12864" w:rsidRDefault="00B12864" w:rsidP="00801205">
      <w:pPr>
        <w:spacing w:after="0"/>
        <w:rPr>
          <w:lang w:val="pl-PL"/>
        </w:rPr>
      </w:pPr>
    </w:p>
    <w:p w14:paraId="79670D5F" w14:textId="77777777" w:rsidR="00B12864" w:rsidRDefault="00B12864" w:rsidP="00801205">
      <w:pPr>
        <w:spacing w:after="0"/>
        <w:rPr>
          <w:lang w:val="pl-PL"/>
        </w:rPr>
      </w:pPr>
    </w:p>
    <w:p w14:paraId="193216C0" w14:textId="77777777" w:rsidR="00B12864" w:rsidRDefault="00B12864" w:rsidP="00801205">
      <w:pPr>
        <w:spacing w:after="0"/>
        <w:rPr>
          <w:lang w:val="pl-PL"/>
        </w:rPr>
      </w:pPr>
    </w:p>
    <w:p w14:paraId="4972F643" w14:textId="0178FA97" w:rsidR="00801205" w:rsidRDefault="00D73672" w:rsidP="00801205">
      <w:pPr>
        <w:spacing w:after="0"/>
        <w:rPr>
          <w:lang w:val="pl-PL"/>
        </w:rPr>
      </w:pPr>
      <w:r w:rsidRPr="00801205">
        <w:rPr>
          <w:lang w:val="pl-PL"/>
        </w:rPr>
        <w:lastRenderedPageBreak/>
        <w:t xml:space="preserve">Wykres </w:t>
      </w:r>
      <w:r w:rsidRPr="00801205">
        <w:rPr>
          <w:i/>
        </w:rPr>
        <w:fldChar w:fldCharType="begin"/>
      </w:r>
      <w:r w:rsidRPr="00801205">
        <w:rPr>
          <w:lang w:val="pl-PL"/>
        </w:rPr>
        <w:instrText xml:space="preserve"> SEQ Wykres \* ARABIC </w:instrText>
      </w:r>
      <w:r w:rsidRPr="00801205">
        <w:rPr>
          <w:i/>
        </w:rPr>
        <w:fldChar w:fldCharType="separate"/>
      </w:r>
      <w:r w:rsidR="00AC664F" w:rsidRPr="00801205">
        <w:rPr>
          <w:noProof/>
          <w:lang w:val="pl-PL"/>
        </w:rPr>
        <w:t>4</w:t>
      </w:r>
      <w:r w:rsidRPr="00801205">
        <w:rPr>
          <w:i/>
        </w:rPr>
        <w:fldChar w:fldCharType="end"/>
      </w:r>
      <w:r w:rsidRPr="00801205">
        <w:rPr>
          <w:lang w:val="pl-PL"/>
        </w:rPr>
        <w:t xml:space="preserve">. Struktura wydatków sektora instytucji rządowych i samorządowych w </w:t>
      </w:r>
      <w:r w:rsidR="00801205">
        <w:rPr>
          <w:lang w:val="pl-PL"/>
        </w:rPr>
        <w:t>I</w:t>
      </w:r>
      <w:r w:rsidR="00700112" w:rsidRPr="00801205">
        <w:rPr>
          <w:lang w:val="pl-PL"/>
        </w:rPr>
        <w:t>I</w:t>
      </w:r>
      <w:r w:rsidRPr="00801205">
        <w:rPr>
          <w:lang w:val="pl-PL"/>
        </w:rPr>
        <w:t xml:space="preserve"> kw. 202</w:t>
      </w:r>
      <w:r w:rsidR="00CB4B55" w:rsidRPr="00801205">
        <w:rPr>
          <w:i/>
          <w:lang w:val="pl-PL"/>
        </w:rPr>
        <w:t>4</w:t>
      </w:r>
      <w:r w:rsidRPr="00801205">
        <w:rPr>
          <w:lang w:val="pl-PL"/>
        </w:rPr>
        <w:t xml:space="preserve"> r. (w</w:t>
      </w:r>
      <w:r w:rsidR="00E9428E" w:rsidRPr="00801205">
        <w:rPr>
          <w:lang w:val="pl-PL"/>
        </w:rPr>
        <w:t xml:space="preserve"> </w:t>
      </w:r>
      <w:r w:rsidRPr="00801205">
        <w:rPr>
          <w:lang w:val="pl-PL"/>
        </w:rPr>
        <w:t>%).</w:t>
      </w:r>
    </w:p>
    <w:p w14:paraId="57E043A8" w14:textId="3E43C896" w:rsidR="00D73672" w:rsidRPr="00CB4B55" w:rsidRDefault="00801205" w:rsidP="00801205">
      <w:pPr>
        <w:spacing w:after="0"/>
        <w:rPr>
          <w:i/>
          <w:lang w:val="pl-PL"/>
        </w:rPr>
      </w:pPr>
      <w:r w:rsidRPr="00801205">
        <w:rPr>
          <w:noProof/>
        </w:rPr>
        <w:drawing>
          <wp:inline distT="0" distB="0" distL="0" distR="0" wp14:anchorId="2406751D" wp14:editId="0B0A6B1D">
            <wp:extent cx="5759450" cy="3763645"/>
            <wp:effectExtent l="95250" t="57150" r="88900" b="141605"/>
            <wp:docPr id="10" name="Wykres 10" descr="Wykres 4.&#10;Wykres przedstawia strukturę wydatków sektora instytucji rządowych i samorządowych w II kwartale 2024 roku w podziale na: świadczenia socjale 42,6%, koszty pracy 22,5%, zużycie pośrednie 12,4%, inwestycje 9,1%, odsetki 4,7% i pozostałe 8,7%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16360AC" w14:textId="10DB1B62" w:rsidR="000F4EDC" w:rsidRDefault="003900DE" w:rsidP="00B87C32">
      <w:pPr>
        <w:spacing w:after="120"/>
        <w:rPr>
          <w:lang w:val="pl-PL"/>
        </w:rPr>
      </w:pPr>
      <w:r w:rsidRPr="00CD4D71">
        <w:rPr>
          <w:lang w:val="pl-PL"/>
        </w:rPr>
        <w:t>W I</w:t>
      </w:r>
      <w:r w:rsidR="007A6B88" w:rsidRPr="00CD4D71">
        <w:rPr>
          <w:lang w:val="pl-PL"/>
        </w:rPr>
        <w:t>I</w:t>
      </w:r>
      <w:r w:rsidR="000F4EDC" w:rsidRPr="00CD4D71">
        <w:rPr>
          <w:lang w:val="pl-PL"/>
        </w:rPr>
        <w:t xml:space="preserve"> kw. br. nastąpił </w:t>
      </w:r>
      <w:r w:rsidR="0014705F" w:rsidRPr="00CD4D71">
        <w:rPr>
          <w:lang w:val="pl-PL"/>
        </w:rPr>
        <w:t xml:space="preserve">nominalny </w:t>
      </w:r>
      <w:r w:rsidR="000F4EDC" w:rsidRPr="00CD4D71">
        <w:rPr>
          <w:lang w:val="pl-PL"/>
        </w:rPr>
        <w:t xml:space="preserve">wzrost wydatków inwestycyjnych sektora instytucji </w:t>
      </w:r>
      <w:r w:rsidRPr="00CD4D71">
        <w:rPr>
          <w:lang w:val="pl-PL"/>
        </w:rPr>
        <w:t>rządowych i</w:t>
      </w:r>
      <w:r w:rsidR="00B62053" w:rsidRPr="00CD4D71">
        <w:rPr>
          <w:lang w:val="pl-PL"/>
        </w:rPr>
        <w:t> </w:t>
      </w:r>
      <w:r w:rsidRPr="00CD4D71">
        <w:rPr>
          <w:lang w:val="pl-PL"/>
        </w:rPr>
        <w:t xml:space="preserve">samorządowych </w:t>
      </w:r>
      <w:r w:rsidR="00A44319">
        <w:rPr>
          <w:lang w:val="pl-PL"/>
        </w:rPr>
        <w:t xml:space="preserve">aż </w:t>
      </w:r>
      <w:r w:rsidRPr="00CD4D71">
        <w:rPr>
          <w:lang w:val="pl-PL"/>
        </w:rPr>
        <w:t xml:space="preserve">o </w:t>
      </w:r>
      <w:r w:rsidR="007A6B88" w:rsidRPr="00CD4D71">
        <w:rPr>
          <w:lang w:val="pl-PL"/>
        </w:rPr>
        <w:t>35,3</w:t>
      </w:r>
      <w:r w:rsidR="007C1C55" w:rsidRPr="00CD4D71">
        <w:rPr>
          <w:lang w:val="pl-PL"/>
        </w:rPr>
        <w:t xml:space="preserve"> </w:t>
      </w:r>
      <w:r w:rsidR="000F4EDC" w:rsidRPr="00CD4D71">
        <w:rPr>
          <w:lang w:val="pl-PL"/>
        </w:rPr>
        <w:t>% r/r</w:t>
      </w:r>
      <w:r w:rsidR="002C6208" w:rsidRPr="00CD4D71">
        <w:rPr>
          <w:lang w:val="pl-PL"/>
        </w:rPr>
        <w:t xml:space="preserve"> (</w:t>
      </w:r>
      <w:r w:rsidR="00A44319">
        <w:rPr>
          <w:lang w:val="pl-PL"/>
        </w:rPr>
        <w:t xml:space="preserve">wzrost </w:t>
      </w:r>
      <w:r w:rsidR="002C6208" w:rsidRPr="00CD4D71">
        <w:rPr>
          <w:lang w:val="pl-PL"/>
        </w:rPr>
        <w:t xml:space="preserve">w relacji do PKB o </w:t>
      </w:r>
      <w:r w:rsidR="007A6B88" w:rsidRPr="00CD4D71">
        <w:rPr>
          <w:lang w:val="pl-PL"/>
        </w:rPr>
        <w:t>1,0</w:t>
      </w:r>
      <w:r w:rsidR="002C6208" w:rsidRPr="00CD4D71">
        <w:rPr>
          <w:lang w:val="pl-PL"/>
        </w:rPr>
        <w:t xml:space="preserve"> pp.)</w:t>
      </w:r>
      <w:r w:rsidR="000F4EDC" w:rsidRPr="00CD4D71">
        <w:rPr>
          <w:lang w:val="pl-PL"/>
        </w:rPr>
        <w:t xml:space="preserve">, </w:t>
      </w:r>
      <w:r w:rsidR="002C6208" w:rsidRPr="00CD4D71">
        <w:rPr>
          <w:lang w:val="pl-PL"/>
        </w:rPr>
        <w:t>wynikający w</w:t>
      </w:r>
      <w:r w:rsidR="0014705F" w:rsidRPr="00CD4D71">
        <w:rPr>
          <w:lang w:val="pl-PL"/>
        </w:rPr>
        <w:t> </w:t>
      </w:r>
      <w:r w:rsidR="002C6208" w:rsidRPr="00CD4D71">
        <w:rPr>
          <w:lang w:val="pl-PL"/>
        </w:rPr>
        <w:t>większym stopniu ze wzrostu wydatków jednostek sektora rządowego</w:t>
      </w:r>
      <w:r w:rsidR="003F1C4E">
        <w:rPr>
          <w:lang w:val="pl-PL"/>
        </w:rPr>
        <w:t xml:space="preserve">, </w:t>
      </w:r>
      <w:r w:rsidR="00CD4D71" w:rsidRPr="00CD4D71">
        <w:rPr>
          <w:lang w:val="pl-PL"/>
        </w:rPr>
        <w:t>w</w:t>
      </w:r>
      <w:r w:rsidR="00A44319">
        <w:rPr>
          <w:lang w:val="pl-PL"/>
        </w:rPr>
        <w:t> </w:t>
      </w:r>
      <w:r w:rsidR="00CD4D71" w:rsidRPr="00CD4D71">
        <w:rPr>
          <w:lang w:val="pl-PL"/>
        </w:rPr>
        <w:t>szczególności z dostaw sprzętu wojskowego</w:t>
      </w:r>
      <w:r w:rsidR="003F1C4E">
        <w:rPr>
          <w:lang w:val="pl-PL"/>
        </w:rPr>
        <w:t>. W</w:t>
      </w:r>
      <w:r w:rsidR="000F4EDC" w:rsidRPr="00CD4D71">
        <w:rPr>
          <w:lang w:val="pl-PL"/>
        </w:rPr>
        <w:t xml:space="preserve">ydatki inwestycyjne realizowane przez samorządy </w:t>
      </w:r>
      <w:r w:rsidR="006E327A" w:rsidRPr="00CD4D71">
        <w:rPr>
          <w:lang w:val="pl-PL"/>
        </w:rPr>
        <w:t>w ujęciu kasowym</w:t>
      </w:r>
      <w:r w:rsidR="00237EBC" w:rsidRPr="00CD4D71">
        <w:rPr>
          <w:lang w:val="pl-PL"/>
        </w:rPr>
        <w:t xml:space="preserve"> wzrosły jedynie </w:t>
      </w:r>
      <w:r w:rsidR="006E327A" w:rsidRPr="00CD4D71">
        <w:rPr>
          <w:lang w:val="pl-PL"/>
        </w:rPr>
        <w:t xml:space="preserve">o </w:t>
      </w:r>
      <w:r w:rsidR="002C6208" w:rsidRPr="00CD4D71">
        <w:rPr>
          <w:lang w:val="pl-PL"/>
        </w:rPr>
        <w:t xml:space="preserve">ok. </w:t>
      </w:r>
      <w:r w:rsidR="00CD4D71" w:rsidRPr="00CD4D71">
        <w:rPr>
          <w:lang w:val="pl-PL"/>
        </w:rPr>
        <w:t>5,8</w:t>
      </w:r>
      <w:r w:rsidR="000F4EDC" w:rsidRPr="00CD4D71">
        <w:rPr>
          <w:lang w:val="pl-PL"/>
        </w:rPr>
        <w:t>%</w:t>
      </w:r>
      <w:r w:rsidR="002C6208" w:rsidRPr="00CD4D71">
        <w:rPr>
          <w:lang w:val="pl-PL"/>
        </w:rPr>
        <w:t> </w:t>
      </w:r>
      <w:r w:rsidR="000F4EDC" w:rsidRPr="00CD4D71">
        <w:rPr>
          <w:lang w:val="pl-PL"/>
        </w:rPr>
        <w:t>r/r.</w:t>
      </w:r>
      <w:r w:rsidR="00B87C32">
        <w:rPr>
          <w:lang w:val="pl-PL"/>
        </w:rPr>
        <w:t xml:space="preserve"> </w:t>
      </w:r>
      <w:r w:rsidR="000F4EDC">
        <w:rPr>
          <w:lang w:val="pl-PL"/>
        </w:rPr>
        <w:br w:type="page"/>
      </w:r>
    </w:p>
    <w:p w14:paraId="4C806739" w14:textId="77777777" w:rsidR="005E4D22" w:rsidRPr="005E4D22" w:rsidRDefault="005E4D22" w:rsidP="005E4D22">
      <w:pPr>
        <w:pStyle w:val="Nagwek1"/>
        <w:numPr>
          <w:ilvl w:val="0"/>
          <w:numId w:val="16"/>
        </w:numPr>
        <w:rPr>
          <w:lang w:val="pl-PL"/>
        </w:rPr>
      </w:pPr>
      <w:bookmarkStart w:id="9" w:name="_Toc180652632"/>
      <w:r w:rsidRPr="005E4D22">
        <w:rPr>
          <w:lang w:val="pl-PL"/>
        </w:rPr>
        <w:lastRenderedPageBreak/>
        <w:t>Dług publiczny oraz potrzeby pożyczkowe</w:t>
      </w:r>
      <w:bookmarkEnd w:id="9"/>
    </w:p>
    <w:p w14:paraId="7504CD25" w14:textId="77777777" w:rsidR="000F4EDC" w:rsidRPr="000F4EDC" w:rsidRDefault="000F4EDC" w:rsidP="005E4D22">
      <w:pPr>
        <w:pStyle w:val="Nagwek2"/>
        <w:rPr>
          <w:lang w:val="pl-PL"/>
        </w:rPr>
      </w:pPr>
      <w:bookmarkStart w:id="10" w:name="_Toc180652633"/>
      <w:r>
        <w:rPr>
          <w:lang w:val="pl-PL"/>
        </w:rPr>
        <w:t>2</w:t>
      </w:r>
      <w:r w:rsidRPr="000F4EDC">
        <w:rPr>
          <w:lang w:val="pl-PL"/>
        </w:rPr>
        <w:t>.1. Dług sektora instytucji rządowych i samorządowych (wg definicji UE)</w:t>
      </w:r>
      <w:bookmarkEnd w:id="10"/>
    </w:p>
    <w:p w14:paraId="5D5EAFA6" w14:textId="1E4948C9" w:rsidR="00731EA3" w:rsidRDefault="00B87C32" w:rsidP="00731EA3">
      <w:pPr>
        <w:spacing w:after="120"/>
        <w:rPr>
          <w:lang w:val="pl-PL"/>
        </w:rPr>
      </w:pPr>
      <w:r w:rsidRPr="00B87C32">
        <w:rPr>
          <w:lang w:val="pl-PL"/>
        </w:rPr>
        <w:t xml:space="preserve">Na koniec II kw. 2024 r. dług sektora instytucji rządowych i samorządowych (dług EDP) stanowiący jeden z elementów kryterium fiskalnego z </w:t>
      </w:r>
      <w:proofErr w:type="spellStart"/>
      <w:r w:rsidRPr="00B87C32">
        <w:rPr>
          <w:lang w:val="pl-PL"/>
        </w:rPr>
        <w:t>Maastricht</w:t>
      </w:r>
      <w:proofErr w:type="spellEnd"/>
      <w:r w:rsidRPr="00B87C32">
        <w:rPr>
          <w:lang w:val="pl-PL"/>
        </w:rPr>
        <w:t xml:space="preserve"> wyniósł 1.824,5 mld zł, co oznaczało wzrost o 52,5 mld zł (+3,0%) w porównaniu z końcem poprzedniego kwartału.</w:t>
      </w:r>
    </w:p>
    <w:p w14:paraId="05871CDB" w14:textId="360111CC" w:rsidR="00D73672" w:rsidRPr="00801205" w:rsidRDefault="00D73672" w:rsidP="00801205">
      <w:pPr>
        <w:spacing w:after="0"/>
        <w:rPr>
          <w:i/>
          <w:lang w:val="pl-PL"/>
        </w:rPr>
      </w:pPr>
      <w:r w:rsidRPr="00801205">
        <w:rPr>
          <w:lang w:val="pl-PL"/>
        </w:rPr>
        <w:t xml:space="preserve">Wykres </w:t>
      </w:r>
      <w:r w:rsidRPr="00801205">
        <w:rPr>
          <w:i/>
        </w:rPr>
        <w:fldChar w:fldCharType="begin"/>
      </w:r>
      <w:r w:rsidRPr="00801205">
        <w:rPr>
          <w:lang w:val="pl-PL"/>
        </w:rPr>
        <w:instrText xml:space="preserve"> SEQ Wykres \* ARABIC </w:instrText>
      </w:r>
      <w:r w:rsidRPr="00801205">
        <w:rPr>
          <w:i/>
        </w:rPr>
        <w:fldChar w:fldCharType="separate"/>
      </w:r>
      <w:r w:rsidR="00AC664F" w:rsidRPr="00801205">
        <w:rPr>
          <w:noProof/>
          <w:lang w:val="pl-PL"/>
        </w:rPr>
        <w:t>5</w:t>
      </w:r>
      <w:r w:rsidRPr="00801205">
        <w:rPr>
          <w:i/>
        </w:rPr>
        <w:fldChar w:fldCharType="end"/>
      </w:r>
      <w:r w:rsidRPr="00801205">
        <w:rPr>
          <w:lang w:val="pl-PL"/>
        </w:rPr>
        <w:t>. Dług EDP (w mld zł i % PKB</w:t>
      </w:r>
      <w:r w:rsidR="00801205" w:rsidRPr="00801205">
        <w:rPr>
          <w:lang w:val="pl-PL"/>
        </w:rPr>
        <w:t>)</w:t>
      </w:r>
    </w:p>
    <w:p w14:paraId="184A6297" w14:textId="29C3CF72" w:rsidR="001C341D" w:rsidRPr="00AF60F7" w:rsidRDefault="00801205" w:rsidP="000B05E6">
      <w:pPr>
        <w:spacing w:after="120"/>
        <w:rPr>
          <w:highlight w:val="yellow"/>
          <w:lang w:val="pl-PL"/>
        </w:rPr>
      </w:pPr>
      <w:r>
        <w:rPr>
          <w:noProof/>
        </w:rPr>
        <w:drawing>
          <wp:inline distT="0" distB="0" distL="0" distR="0" wp14:anchorId="57FA0435" wp14:editId="3E66C6A4">
            <wp:extent cx="5753686" cy="3833446"/>
            <wp:effectExtent l="0" t="0" r="0" b="0"/>
            <wp:docPr id="13" name="Wykres 13" descr="Wykres 5.&#10;Wykres prezentuje poziom długu sektora instytucji rządowych i samorządowych EDP w mld zł i w relacji do PKB w latach 2014- 2023 oraz na koniec marca i czerwca 2024 r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8F3CADA" w14:textId="77777777" w:rsidR="00B87C32" w:rsidRPr="005E4D22" w:rsidRDefault="00B87C32" w:rsidP="00B87C32">
      <w:pPr>
        <w:spacing w:after="120"/>
        <w:rPr>
          <w:lang w:val="pl-PL"/>
        </w:rPr>
      </w:pPr>
      <w:r w:rsidRPr="005E4D22">
        <w:rPr>
          <w:lang w:val="pl-PL"/>
        </w:rPr>
        <w:t>Na dług EDP złożyło się zadłużenie podsektorów:</w:t>
      </w:r>
    </w:p>
    <w:p w14:paraId="0BB9C5EB" w14:textId="77777777" w:rsidR="00B87C32" w:rsidRPr="005E4D22" w:rsidRDefault="00B87C32" w:rsidP="00B87C32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rządowego 1</w:t>
      </w:r>
      <w:r>
        <w:rPr>
          <w:lang w:val="pl-PL"/>
        </w:rPr>
        <w:t>.713,7</w:t>
      </w:r>
      <w:r w:rsidRPr="005E4D22">
        <w:rPr>
          <w:lang w:val="pl-PL"/>
        </w:rPr>
        <w:t xml:space="preserve"> mld zł</w:t>
      </w:r>
      <w:r>
        <w:rPr>
          <w:lang w:val="pl-PL"/>
        </w:rPr>
        <w:t xml:space="preserve"> </w:t>
      </w:r>
      <w:r w:rsidRPr="005E4D22">
        <w:rPr>
          <w:lang w:val="pl-PL"/>
        </w:rPr>
        <w:t xml:space="preserve">(wzrost o </w:t>
      </w:r>
      <w:r>
        <w:rPr>
          <w:lang w:val="pl-PL"/>
        </w:rPr>
        <w:t xml:space="preserve">53,1 </w:t>
      </w:r>
      <w:r w:rsidRPr="005E4D22">
        <w:rPr>
          <w:lang w:val="pl-PL"/>
        </w:rPr>
        <w:t>mld zł w I</w:t>
      </w:r>
      <w:r>
        <w:rPr>
          <w:lang w:val="pl-PL"/>
        </w:rPr>
        <w:t>I</w:t>
      </w:r>
      <w:r w:rsidRPr="005E4D22">
        <w:rPr>
          <w:lang w:val="pl-PL"/>
        </w:rPr>
        <w:t xml:space="preserve"> kwartale),</w:t>
      </w:r>
    </w:p>
    <w:p w14:paraId="70EA8F1A" w14:textId="77777777" w:rsidR="00B87C32" w:rsidRPr="005E4D22" w:rsidRDefault="00B87C32" w:rsidP="00B87C32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 xml:space="preserve">samorządowego </w:t>
      </w:r>
      <w:r>
        <w:rPr>
          <w:lang w:val="pl-PL"/>
        </w:rPr>
        <w:t>110,8</w:t>
      </w:r>
      <w:r w:rsidRPr="005E4D22">
        <w:rPr>
          <w:lang w:val="pl-PL"/>
        </w:rPr>
        <w:t xml:space="preserve"> mld zł (</w:t>
      </w:r>
      <w:r>
        <w:rPr>
          <w:lang w:val="pl-PL"/>
        </w:rPr>
        <w:t>spadek</w:t>
      </w:r>
      <w:r w:rsidRPr="005E4D22">
        <w:rPr>
          <w:lang w:val="pl-PL"/>
        </w:rPr>
        <w:t xml:space="preserve"> o </w:t>
      </w:r>
      <w:r>
        <w:rPr>
          <w:lang w:val="pl-PL"/>
        </w:rPr>
        <w:t>2,6</w:t>
      </w:r>
      <w:r w:rsidRPr="005E4D22">
        <w:rPr>
          <w:lang w:val="pl-PL"/>
        </w:rPr>
        <w:t xml:space="preserve"> mld zł w </w:t>
      </w:r>
      <w:r>
        <w:rPr>
          <w:lang w:val="pl-PL"/>
        </w:rPr>
        <w:t>II</w:t>
      </w:r>
      <w:r w:rsidRPr="005E4D22">
        <w:rPr>
          <w:lang w:val="pl-PL"/>
        </w:rPr>
        <w:t xml:space="preserve"> kwartale),</w:t>
      </w:r>
    </w:p>
    <w:p w14:paraId="7180C444" w14:textId="77777777" w:rsidR="00B87C32" w:rsidRPr="005E4D22" w:rsidRDefault="00B87C32" w:rsidP="00B87C32">
      <w:pPr>
        <w:pStyle w:val="Akapitzlist"/>
        <w:spacing w:after="120"/>
        <w:rPr>
          <w:lang w:val="pl-PL"/>
        </w:rPr>
      </w:pPr>
      <w:r w:rsidRPr="005E4D22">
        <w:rPr>
          <w:lang w:val="pl-PL"/>
        </w:rPr>
        <w:t>podsektor funduszy ubezpieczeń nie posiadał zadłużenia.</w:t>
      </w:r>
    </w:p>
    <w:p w14:paraId="73F64D3A" w14:textId="77777777" w:rsidR="00B87C32" w:rsidRPr="005E4D22" w:rsidRDefault="00B87C32" w:rsidP="00B87C32">
      <w:pPr>
        <w:spacing w:after="120"/>
        <w:rPr>
          <w:lang w:val="pl-PL"/>
        </w:rPr>
      </w:pPr>
      <w:r w:rsidRPr="005E4D22">
        <w:rPr>
          <w:lang w:val="pl-PL"/>
        </w:rPr>
        <w:t xml:space="preserve">Zmiana długu EDP w </w:t>
      </w:r>
      <w:r>
        <w:rPr>
          <w:lang w:val="pl-PL"/>
        </w:rPr>
        <w:t xml:space="preserve">II kw. </w:t>
      </w:r>
      <w:r w:rsidRPr="005E4D22">
        <w:rPr>
          <w:lang w:val="pl-PL"/>
        </w:rPr>
        <w:t>202</w:t>
      </w:r>
      <w:r>
        <w:rPr>
          <w:lang w:val="pl-PL"/>
        </w:rPr>
        <w:t>4</w:t>
      </w:r>
      <w:r w:rsidRPr="005E4D22">
        <w:rPr>
          <w:lang w:val="pl-PL"/>
        </w:rPr>
        <w:t xml:space="preserve"> r. wynikała głównie ze zmian zadłużenia SP. Ponadto innymi znaczącymi czynnikami były:</w:t>
      </w:r>
    </w:p>
    <w:p w14:paraId="4AFD92E5" w14:textId="77777777" w:rsidR="00B87C32" w:rsidRPr="00BC39B3" w:rsidRDefault="00B87C32" w:rsidP="00B87C32">
      <w:pPr>
        <w:pStyle w:val="Akapitzlist"/>
        <w:rPr>
          <w:lang w:val="pl-PL"/>
        </w:rPr>
      </w:pPr>
      <w:r w:rsidRPr="00BC39B3">
        <w:rPr>
          <w:lang w:val="pl-PL"/>
        </w:rPr>
        <w:lastRenderedPageBreak/>
        <w:t>wzrost skonsolidowanego zadłużenia Funduszu Przeciwdziałania COVID-19 o 5,3 mld zł,</w:t>
      </w:r>
    </w:p>
    <w:p w14:paraId="7CF93986" w14:textId="77777777" w:rsidR="00B87C32" w:rsidRPr="00BC39B3" w:rsidRDefault="00B87C32" w:rsidP="00B87C32">
      <w:pPr>
        <w:pStyle w:val="Akapitzlist"/>
        <w:rPr>
          <w:lang w:val="pl-PL"/>
        </w:rPr>
      </w:pPr>
      <w:r w:rsidRPr="00BC39B3">
        <w:rPr>
          <w:lang w:val="pl-PL"/>
        </w:rPr>
        <w:t>wzrost zadłużenia Funduszu Pomocy o 4</w:t>
      </w:r>
      <w:r>
        <w:rPr>
          <w:lang w:val="pl-PL"/>
        </w:rPr>
        <w:t>,</w:t>
      </w:r>
      <w:r w:rsidRPr="00BC39B3">
        <w:rPr>
          <w:lang w:val="pl-PL"/>
        </w:rPr>
        <w:t>2 ml</w:t>
      </w:r>
      <w:r>
        <w:rPr>
          <w:lang w:val="pl-PL"/>
        </w:rPr>
        <w:t>d</w:t>
      </w:r>
      <w:r w:rsidRPr="00BC39B3">
        <w:rPr>
          <w:lang w:val="pl-PL"/>
        </w:rPr>
        <w:t xml:space="preserve"> zł,</w:t>
      </w:r>
    </w:p>
    <w:p w14:paraId="0020BDD3" w14:textId="77777777" w:rsidR="00B87C32" w:rsidRPr="00BC39B3" w:rsidRDefault="00B87C32" w:rsidP="00B87C32">
      <w:pPr>
        <w:pStyle w:val="Akapitzlist"/>
        <w:rPr>
          <w:lang w:val="pl-PL"/>
        </w:rPr>
      </w:pPr>
      <w:r w:rsidRPr="00BC39B3">
        <w:rPr>
          <w:lang w:val="pl-PL"/>
        </w:rPr>
        <w:t>wzrost zadłużenia Krajowego Funduszu Drogowego o 1</w:t>
      </w:r>
      <w:r>
        <w:rPr>
          <w:lang w:val="pl-PL"/>
        </w:rPr>
        <w:t>,</w:t>
      </w:r>
      <w:r w:rsidRPr="00BC39B3">
        <w:rPr>
          <w:lang w:val="pl-PL"/>
        </w:rPr>
        <w:t>0 ml</w:t>
      </w:r>
      <w:r>
        <w:rPr>
          <w:lang w:val="pl-PL"/>
        </w:rPr>
        <w:t>d</w:t>
      </w:r>
      <w:r w:rsidRPr="00BC39B3">
        <w:rPr>
          <w:lang w:val="pl-PL"/>
        </w:rPr>
        <w:t xml:space="preserve"> zł,</w:t>
      </w:r>
    </w:p>
    <w:p w14:paraId="031EE9C0" w14:textId="77777777" w:rsidR="00B87C32" w:rsidRPr="00BC39B3" w:rsidRDefault="00B87C32" w:rsidP="00B87C32">
      <w:pPr>
        <w:pStyle w:val="Akapitzlist"/>
        <w:rPr>
          <w:lang w:val="pl-PL"/>
        </w:rPr>
      </w:pPr>
      <w:r w:rsidRPr="00BC39B3">
        <w:rPr>
          <w:lang w:val="pl-PL"/>
        </w:rPr>
        <w:t xml:space="preserve">wzrost zadłużenia Funduszu Wsparcia Sił Zbrojnych o </w:t>
      </w:r>
      <w:r>
        <w:rPr>
          <w:lang w:val="pl-PL"/>
        </w:rPr>
        <w:t>0,</w:t>
      </w:r>
      <w:r w:rsidRPr="00BC39B3">
        <w:rPr>
          <w:lang w:val="pl-PL"/>
        </w:rPr>
        <w:t>9 ml</w:t>
      </w:r>
      <w:r>
        <w:rPr>
          <w:lang w:val="pl-PL"/>
        </w:rPr>
        <w:t>d</w:t>
      </w:r>
      <w:r w:rsidRPr="00BC39B3">
        <w:rPr>
          <w:lang w:val="pl-PL"/>
        </w:rPr>
        <w:t xml:space="preserve"> zł,</w:t>
      </w:r>
    </w:p>
    <w:p w14:paraId="53FA10AA" w14:textId="77777777" w:rsidR="00B87C32" w:rsidRPr="00BC39B3" w:rsidRDefault="00B87C32" w:rsidP="00B87C32">
      <w:pPr>
        <w:pStyle w:val="Akapitzlist"/>
        <w:rPr>
          <w:lang w:val="pl-PL"/>
        </w:rPr>
      </w:pPr>
      <w:r w:rsidRPr="00BC39B3">
        <w:rPr>
          <w:lang w:val="pl-PL"/>
        </w:rPr>
        <w:t>spadek stanu depozytów na rachunku MF i posiadanych SPW przez fundusze umiejscowione w BGK o 3,5 mld zł, co przełożyło wzrost długu EDP w wyniku spadku konsolidacji wzajemnych zobowiązań.</w:t>
      </w:r>
    </w:p>
    <w:p w14:paraId="3B5E2E86" w14:textId="77777777" w:rsidR="00B87C32" w:rsidRPr="00905536" w:rsidRDefault="00B87C32" w:rsidP="00B87C32">
      <w:pPr>
        <w:spacing w:after="120"/>
        <w:rPr>
          <w:lang w:val="pl-PL"/>
        </w:rPr>
      </w:pPr>
      <w:r w:rsidRPr="00905536">
        <w:rPr>
          <w:lang w:val="pl-PL"/>
        </w:rPr>
        <w:t>Największy udział w długu sektora instytucji rządowych i samorządowych miał dług Skarbu Państwa (SP).</w:t>
      </w:r>
    </w:p>
    <w:p w14:paraId="272BB05C" w14:textId="77777777" w:rsidR="00B87C32" w:rsidRPr="00905536" w:rsidRDefault="00B87C32" w:rsidP="00B87C32">
      <w:pPr>
        <w:spacing w:after="120"/>
        <w:rPr>
          <w:lang w:val="pl-PL"/>
        </w:rPr>
      </w:pPr>
      <w:r w:rsidRPr="00905536">
        <w:rPr>
          <w:lang w:val="pl-PL"/>
        </w:rPr>
        <w:t>Na koniec II kw. 2024 r. dług SP wyniósł 1.475,0 mld zł, co oznaczało wzrost o 44,7 mld zł (+3,1%) względem poprzedniego kwartału.</w:t>
      </w:r>
    </w:p>
    <w:p w14:paraId="52197F8E" w14:textId="77777777" w:rsidR="00B87C32" w:rsidRPr="00905536" w:rsidRDefault="00B87C32" w:rsidP="00B87C32">
      <w:pPr>
        <w:spacing w:after="120"/>
        <w:rPr>
          <w:lang w:val="pl-PL"/>
        </w:rPr>
      </w:pPr>
      <w:r w:rsidRPr="00905536">
        <w:rPr>
          <w:lang w:val="pl-PL"/>
        </w:rPr>
        <w:t>Wzrost długu SP w II kw. był przede wszystkim wypadkową:</w:t>
      </w:r>
    </w:p>
    <w:p w14:paraId="373F4506" w14:textId="77777777" w:rsidR="00B87C32" w:rsidRPr="00905536" w:rsidRDefault="00B87C32" w:rsidP="00B87C32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potrzeb pożyczkowych netto budżetu państwa (+40,5 mld zł),</w:t>
      </w:r>
    </w:p>
    <w:p w14:paraId="1147DA3D" w14:textId="77777777" w:rsidR="00B87C32" w:rsidRPr="00905536" w:rsidRDefault="00B87C32" w:rsidP="00B87C32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zmniejszenia stanu środków na rachunkach budżetowych (-10,5 mld zł),</w:t>
      </w:r>
    </w:p>
    <w:p w14:paraId="0C8C0E96" w14:textId="77777777" w:rsidR="00B87C32" w:rsidRPr="00905536" w:rsidRDefault="00B87C32" w:rsidP="00B87C32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zmiany pozostałego długo Skarbu Państwa (+2,7 mld zł),</w:t>
      </w:r>
    </w:p>
    <w:p w14:paraId="74183B59" w14:textId="77777777" w:rsidR="00B87C32" w:rsidRPr="00905536" w:rsidRDefault="00B87C32" w:rsidP="00B87C32">
      <w:pPr>
        <w:pStyle w:val="Akapitzlist"/>
        <w:spacing w:after="120"/>
        <w:rPr>
          <w:lang w:val="pl-PL"/>
        </w:rPr>
      </w:pPr>
      <w:r w:rsidRPr="00905536">
        <w:rPr>
          <w:lang w:val="pl-PL"/>
        </w:rPr>
        <w:t>różnic kursowych (+1,3 mld zł).</w:t>
      </w:r>
    </w:p>
    <w:p w14:paraId="60A9C1A3" w14:textId="77777777" w:rsidR="00B87C32" w:rsidRPr="00905536" w:rsidRDefault="00B87C32" w:rsidP="00B87C32">
      <w:pPr>
        <w:spacing w:after="120"/>
        <w:rPr>
          <w:lang w:val="pl-PL"/>
        </w:rPr>
      </w:pPr>
      <w:r w:rsidRPr="00905536">
        <w:rPr>
          <w:lang w:val="pl-PL"/>
        </w:rPr>
        <w:t>Na koniec II kw. 2024 r. udział długu w walutach obcych w całym długu SP wyniósł 23,6%, tj. wzrósł o 0,3 pp. w stosunku do poprzedniego kwartału.</w:t>
      </w:r>
    </w:p>
    <w:p w14:paraId="6B76713D" w14:textId="77777777" w:rsidR="00B87C32" w:rsidRPr="00905536" w:rsidRDefault="00B87C32" w:rsidP="00B87C32">
      <w:pPr>
        <w:spacing w:after="120"/>
        <w:rPr>
          <w:lang w:val="pl-PL"/>
        </w:rPr>
      </w:pPr>
      <w:r w:rsidRPr="00905536">
        <w:rPr>
          <w:lang w:val="pl-PL"/>
        </w:rPr>
        <w:t>Udział długu wobec nierezydentów w długu ogółem na koniec II kw. 2024 r. wyniósł 31,5% wobec 31,5% na koniec poprzedniego kwartału.</w:t>
      </w:r>
    </w:p>
    <w:p w14:paraId="7B451901" w14:textId="47CCF292" w:rsidR="005E4D22" w:rsidRPr="005E4D22" w:rsidRDefault="005E4D22" w:rsidP="0097040B">
      <w:pPr>
        <w:pStyle w:val="Nagwek2"/>
        <w:spacing w:before="360"/>
        <w:rPr>
          <w:lang w:val="pl-PL"/>
        </w:rPr>
      </w:pPr>
      <w:bookmarkStart w:id="11" w:name="_Toc180652634"/>
      <w:r w:rsidRPr="005E4D22">
        <w:rPr>
          <w:lang w:val="pl-PL"/>
        </w:rPr>
        <w:t>3.2. Potrzeby pożyczkowe budżetu państwa</w:t>
      </w:r>
      <w:r w:rsidR="00972F87">
        <w:rPr>
          <w:lang w:val="pl-PL"/>
        </w:rPr>
        <w:t xml:space="preserve"> </w:t>
      </w:r>
      <w:r w:rsidRPr="005E4D22">
        <w:rPr>
          <w:lang w:val="pl-PL"/>
        </w:rPr>
        <w:t xml:space="preserve">i ich finansowanie w </w:t>
      </w:r>
      <w:r w:rsidR="00B87C32">
        <w:rPr>
          <w:lang w:val="pl-PL"/>
        </w:rPr>
        <w:t>I</w:t>
      </w:r>
      <w:r w:rsidRPr="005E4D22">
        <w:rPr>
          <w:lang w:val="pl-PL"/>
        </w:rPr>
        <w:t>I kw</w:t>
      </w:r>
      <w:r w:rsidR="00CF3B72">
        <w:rPr>
          <w:lang w:val="pl-PL"/>
        </w:rPr>
        <w:t xml:space="preserve">. </w:t>
      </w:r>
      <w:r w:rsidRPr="005E4D22">
        <w:rPr>
          <w:lang w:val="pl-PL"/>
        </w:rPr>
        <w:t>202</w:t>
      </w:r>
      <w:r w:rsidR="00AF60F7">
        <w:rPr>
          <w:lang w:val="pl-PL"/>
        </w:rPr>
        <w:t>4</w:t>
      </w:r>
      <w:r w:rsidRPr="005E4D22">
        <w:rPr>
          <w:lang w:val="pl-PL"/>
        </w:rPr>
        <w:t xml:space="preserve"> r.</w:t>
      </w:r>
      <w:bookmarkEnd w:id="11"/>
    </w:p>
    <w:p w14:paraId="45D90EFE" w14:textId="77777777" w:rsidR="00B87C32" w:rsidRPr="00B87C32" w:rsidRDefault="00B87C32" w:rsidP="00B87C32">
      <w:pPr>
        <w:pStyle w:val="Akapitzlist"/>
        <w:rPr>
          <w:lang w:val="pl-PL"/>
        </w:rPr>
      </w:pPr>
      <w:r w:rsidRPr="00B87C32">
        <w:rPr>
          <w:lang w:val="pl-PL"/>
        </w:rPr>
        <w:t>Potrzeby pożyczkowe netto budżetu państwa ukształtowały się na poziomie 40,5 mld zł. Było to wypadkową:</w:t>
      </w:r>
    </w:p>
    <w:p w14:paraId="332106A2" w14:textId="77777777" w:rsidR="00B87C32" w:rsidRPr="00B87C32" w:rsidRDefault="00B87C32" w:rsidP="00B87C32">
      <w:pPr>
        <w:pStyle w:val="Akapitzlist"/>
        <w:rPr>
          <w:lang w:val="pl-PL"/>
        </w:rPr>
      </w:pPr>
      <w:r w:rsidRPr="00B87C32">
        <w:rPr>
          <w:lang w:val="pl-PL"/>
        </w:rPr>
        <w:lastRenderedPageBreak/>
        <w:t xml:space="preserve">deficytu budżetu państwa (45,4 mld zł),  deficytu budżetu środków europejskich (2,9 mld zł), pożyczek krajowych (3,0 mld zł) i płatności związanych z udziałami Skarbu Państwa w międzynarodowych instytucjach finansowych (0,7 mld zł), </w:t>
      </w:r>
    </w:p>
    <w:p w14:paraId="0B124227" w14:textId="64514BBC" w:rsidR="00AF60F7" w:rsidRPr="00B87C32" w:rsidRDefault="00B87C32" w:rsidP="00B87C32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B87C32">
        <w:rPr>
          <w:lang w:val="pl-PL"/>
        </w:rPr>
        <w:t xml:space="preserve">oraz pomniejszenia potrzeb w wysokości 11,5 mld zł w wyniku dodatniego salda z tytułu: zarządzania środkami europejskimi (4,5 mld zł), zarządzania płynnością sektora finansów publicznych (6,4 mld zł) i pozostałych pozycji (0,6 mld zł). </w:t>
      </w:r>
    </w:p>
    <w:p w14:paraId="568080C6" w14:textId="7EF4335F" w:rsidR="00AF60F7" w:rsidRPr="00B87C32" w:rsidRDefault="00AF60F7" w:rsidP="00AF60F7">
      <w:pPr>
        <w:spacing w:after="120"/>
        <w:rPr>
          <w:highlight w:val="yellow"/>
          <w:lang w:val="pl-PL"/>
        </w:rPr>
      </w:pPr>
      <w:r w:rsidRPr="00801205">
        <w:rPr>
          <w:lang w:val="pl-PL"/>
        </w:rPr>
        <w:t>Wykres 6. Rentowności SPW – rynek wtórny</w:t>
      </w:r>
    </w:p>
    <w:p w14:paraId="26B2E6CC" w14:textId="2960FF54" w:rsidR="000D4857" w:rsidRDefault="00F55AEA" w:rsidP="000B05E6">
      <w:pPr>
        <w:spacing w:after="120"/>
        <w:rPr>
          <w:lang w:val="pl-PL"/>
        </w:rPr>
      </w:pPr>
      <w:r>
        <w:rPr>
          <w:noProof/>
        </w:rPr>
        <w:drawing>
          <wp:inline distT="0" distB="0" distL="0" distR="0" wp14:anchorId="093009B1" wp14:editId="5CC72522">
            <wp:extent cx="5759450" cy="3762180"/>
            <wp:effectExtent l="0" t="0" r="0" b="0"/>
            <wp:docPr id="14" name="Wykres 14" descr="Wykres 6.&#10;Wykres przedstawia rentowności skarbowych papierów wartościowych na rynku wtórnym w podziale na 2-letnie, 5-letnie i 10-letnie, w okresie od lipca 2022 do czerwca 2024 roku. Dane szczegółowe dostępne w Aneksie statystycznym, na końcu opracowania.">
              <a:extLst xmlns:a="http://schemas.openxmlformats.org/drawingml/2006/main">
                <a:ext uri="{FF2B5EF4-FFF2-40B4-BE49-F238E27FC236}">
                  <a16:creationId xmlns:a16="http://schemas.microsoft.com/office/drawing/2014/main" id="{E3F7CC55-BB20-4B8E-BD3A-461D33E82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E8EA1F1" w14:textId="77777777" w:rsidR="00B87C32" w:rsidRPr="002477AC" w:rsidRDefault="00B87C32" w:rsidP="00B87C32">
      <w:pPr>
        <w:spacing w:after="120"/>
        <w:rPr>
          <w:lang w:val="pl-PL"/>
        </w:rPr>
      </w:pPr>
      <w:r w:rsidRPr="002477AC">
        <w:rPr>
          <w:lang w:val="pl-PL"/>
        </w:rPr>
        <w:t xml:space="preserve">Wartość długu przypadającego do wykupu w omawianym okresie wyniosła wg kapitału </w:t>
      </w:r>
      <w:r>
        <w:rPr>
          <w:lang w:val="pl-PL"/>
        </w:rPr>
        <w:t>7</w:t>
      </w:r>
      <w:r w:rsidRPr="002477AC">
        <w:rPr>
          <w:lang w:val="pl-PL"/>
        </w:rPr>
        <w:t>4,</w:t>
      </w:r>
      <w:r>
        <w:rPr>
          <w:lang w:val="pl-PL"/>
        </w:rPr>
        <w:t>7</w:t>
      </w:r>
      <w:r w:rsidRPr="002477AC">
        <w:rPr>
          <w:lang w:val="pl-PL"/>
        </w:rPr>
        <w:t xml:space="preserve"> mld zł, w tym krajowego </w:t>
      </w:r>
      <w:r>
        <w:rPr>
          <w:lang w:val="pl-PL"/>
        </w:rPr>
        <w:t>73,0</w:t>
      </w:r>
      <w:r w:rsidRPr="002477AC">
        <w:rPr>
          <w:lang w:val="pl-PL"/>
        </w:rPr>
        <w:t> mld zł i zagranicznego 1,</w:t>
      </w:r>
      <w:r>
        <w:rPr>
          <w:lang w:val="pl-PL"/>
        </w:rPr>
        <w:t>7</w:t>
      </w:r>
      <w:r w:rsidRPr="002477AC">
        <w:rPr>
          <w:lang w:val="pl-PL"/>
        </w:rPr>
        <w:t xml:space="preserve"> mld zł. Potrzeby pożyczkowe brutto, tj. suma potrzeb netto i długu przypadającego do wykupu, wyniosły </w:t>
      </w:r>
      <w:r>
        <w:rPr>
          <w:lang w:val="pl-PL"/>
        </w:rPr>
        <w:t>115</w:t>
      </w:r>
      <w:r w:rsidRPr="002477AC">
        <w:rPr>
          <w:lang w:val="pl-PL"/>
        </w:rPr>
        <w:t>,</w:t>
      </w:r>
      <w:r>
        <w:rPr>
          <w:lang w:val="pl-PL"/>
        </w:rPr>
        <w:t>2</w:t>
      </w:r>
      <w:r w:rsidRPr="002477AC">
        <w:rPr>
          <w:lang w:val="pl-PL"/>
        </w:rPr>
        <w:t xml:space="preserve"> mld zł. Po uwzględnieniu odkupów, wykup długu wyniósł </w:t>
      </w:r>
      <w:r>
        <w:rPr>
          <w:lang w:val="pl-PL"/>
        </w:rPr>
        <w:t>66,4</w:t>
      </w:r>
      <w:r w:rsidRPr="002477AC">
        <w:rPr>
          <w:lang w:val="pl-PL"/>
        </w:rPr>
        <w:t xml:space="preserve"> mld zł (w tym krajowego </w:t>
      </w:r>
      <w:r>
        <w:rPr>
          <w:lang w:val="pl-PL"/>
        </w:rPr>
        <w:t>64,7</w:t>
      </w:r>
      <w:r w:rsidRPr="002477AC">
        <w:rPr>
          <w:lang w:val="pl-PL"/>
        </w:rPr>
        <w:t> mld zł i zagranicznego 1,</w:t>
      </w:r>
      <w:r>
        <w:rPr>
          <w:lang w:val="pl-PL"/>
        </w:rPr>
        <w:t>7</w:t>
      </w:r>
      <w:r w:rsidRPr="002477AC">
        <w:rPr>
          <w:lang w:val="pl-PL"/>
        </w:rPr>
        <w:t xml:space="preserve"> mld zł).</w:t>
      </w:r>
    </w:p>
    <w:p w14:paraId="50E7888B" w14:textId="77777777" w:rsidR="00B87C32" w:rsidRPr="002477AC" w:rsidRDefault="00B87C32" w:rsidP="00B87C32">
      <w:pPr>
        <w:spacing w:after="120"/>
        <w:rPr>
          <w:lang w:val="pl-PL"/>
        </w:rPr>
      </w:pPr>
      <w:r w:rsidRPr="002477AC">
        <w:rPr>
          <w:lang w:val="pl-PL"/>
        </w:rPr>
        <w:t>Finansowanie potrzeb pożyczkowych w I</w:t>
      </w:r>
      <w:r>
        <w:rPr>
          <w:lang w:val="pl-PL"/>
        </w:rPr>
        <w:t>I</w:t>
      </w:r>
      <w:r w:rsidRPr="002477AC">
        <w:rPr>
          <w:lang w:val="pl-PL"/>
        </w:rPr>
        <w:t xml:space="preserve"> kwartale było następujące: </w:t>
      </w:r>
    </w:p>
    <w:p w14:paraId="5D6E2F36" w14:textId="77777777" w:rsidR="00B87C32" w:rsidRPr="00B77D5A" w:rsidRDefault="00B87C32" w:rsidP="00B87C32">
      <w:pPr>
        <w:pStyle w:val="Akapitzlist"/>
        <w:spacing w:after="120"/>
        <w:rPr>
          <w:lang w:val="pl-PL"/>
        </w:rPr>
      </w:pPr>
      <w:r w:rsidRPr="00B77D5A">
        <w:rPr>
          <w:lang w:val="pl-PL"/>
        </w:rPr>
        <w:t>na rynku krajowym środki pozyskano z emisji:</w:t>
      </w:r>
    </w:p>
    <w:p w14:paraId="671607FA" w14:textId="77777777" w:rsidR="00B87C32" w:rsidRPr="00B77D5A" w:rsidRDefault="00B87C32" w:rsidP="00B87C3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77D5A">
        <w:rPr>
          <w:lang w:val="pl-PL"/>
        </w:rPr>
        <w:t xml:space="preserve">obligacji hurtowych: </w:t>
      </w:r>
      <w:r>
        <w:rPr>
          <w:lang w:val="pl-PL"/>
        </w:rPr>
        <w:t>58,8</w:t>
      </w:r>
      <w:r w:rsidRPr="00B77D5A">
        <w:rPr>
          <w:lang w:val="pl-PL"/>
        </w:rPr>
        <w:t xml:space="preserve"> mld zł, </w:t>
      </w:r>
    </w:p>
    <w:p w14:paraId="533CE819" w14:textId="77777777" w:rsidR="00B87C32" w:rsidRPr="00B77D5A" w:rsidRDefault="00B87C32" w:rsidP="00B87C3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77D5A">
        <w:rPr>
          <w:lang w:val="pl-PL"/>
        </w:rPr>
        <w:lastRenderedPageBreak/>
        <w:t xml:space="preserve">obligacji detalicznych: </w:t>
      </w:r>
      <w:r>
        <w:rPr>
          <w:lang w:val="pl-PL"/>
        </w:rPr>
        <w:t xml:space="preserve">22,5 </w:t>
      </w:r>
      <w:r w:rsidRPr="00B77D5A">
        <w:rPr>
          <w:lang w:val="pl-PL"/>
        </w:rPr>
        <w:t>mld zł (bez obligacji sprzedanych i wykupionych w 2024 r.),</w:t>
      </w:r>
    </w:p>
    <w:p w14:paraId="62A0DE99" w14:textId="77777777" w:rsidR="00B87C32" w:rsidRPr="00B77D5A" w:rsidRDefault="00B87C32" w:rsidP="00B87C32">
      <w:pPr>
        <w:pStyle w:val="Akapitzlist"/>
        <w:spacing w:after="120"/>
        <w:rPr>
          <w:lang w:val="pl-PL"/>
        </w:rPr>
      </w:pPr>
      <w:r w:rsidRPr="00B77D5A">
        <w:rPr>
          <w:lang w:val="pl-PL"/>
        </w:rPr>
        <w:t>na rynkach zagranicznych środki pozyskano z:</w:t>
      </w:r>
    </w:p>
    <w:p w14:paraId="5088736A" w14:textId="77777777" w:rsidR="00B87C32" w:rsidRPr="00B77D5A" w:rsidRDefault="00B87C32" w:rsidP="00B87C32">
      <w:pPr>
        <w:pStyle w:val="Akapitzlist"/>
        <w:numPr>
          <w:ilvl w:val="0"/>
          <w:numId w:val="18"/>
        </w:numPr>
        <w:rPr>
          <w:lang w:val="pl-PL"/>
        </w:rPr>
      </w:pPr>
      <w:r>
        <w:rPr>
          <w:lang w:val="pl-PL"/>
        </w:rPr>
        <w:t>pożyczek</w:t>
      </w:r>
      <w:r w:rsidRPr="00B77D5A">
        <w:rPr>
          <w:lang w:val="pl-PL"/>
        </w:rPr>
        <w:t xml:space="preserve"> </w:t>
      </w:r>
      <w:r w:rsidRPr="00DE4A91">
        <w:rPr>
          <w:lang w:val="pl-PL"/>
        </w:rPr>
        <w:t>w ramach Europejskiego Instrumentu na Rzecz Odbudowy i Zwiększenia Odporności (RRF): 1</w:t>
      </w:r>
      <w:r>
        <w:rPr>
          <w:lang w:val="pl-PL"/>
        </w:rPr>
        <w:t>5</w:t>
      </w:r>
      <w:r w:rsidRPr="00DE4A91">
        <w:rPr>
          <w:lang w:val="pl-PL"/>
        </w:rPr>
        <w:t xml:space="preserve">,5 mld zł </w:t>
      </w:r>
      <w:r w:rsidRPr="00B77D5A">
        <w:rPr>
          <w:lang w:val="pl-PL"/>
        </w:rPr>
        <w:t>(</w:t>
      </w:r>
      <w:r>
        <w:rPr>
          <w:lang w:val="pl-PL"/>
        </w:rPr>
        <w:t>3,6</w:t>
      </w:r>
      <w:r w:rsidRPr="00B77D5A">
        <w:rPr>
          <w:lang w:val="pl-PL"/>
        </w:rPr>
        <w:t> mld EUR).</w:t>
      </w:r>
    </w:p>
    <w:p w14:paraId="051F005F" w14:textId="77777777" w:rsidR="00B87C32" w:rsidRPr="00A44ADE" w:rsidRDefault="00B87C32" w:rsidP="00B87C32">
      <w:pPr>
        <w:spacing w:after="120"/>
        <w:rPr>
          <w:lang w:val="pl-PL"/>
        </w:rPr>
      </w:pPr>
      <w:r w:rsidRPr="00224DBE">
        <w:rPr>
          <w:lang w:val="pl-PL"/>
        </w:rPr>
        <w:t>W I</w:t>
      </w:r>
      <w:r>
        <w:rPr>
          <w:lang w:val="pl-PL"/>
        </w:rPr>
        <w:t>I</w:t>
      </w:r>
      <w:r w:rsidRPr="00224DBE">
        <w:rPr>
          <w:lang w:val="pl-PL"/>
        </w:rPr>
        <w:t xml:space="preserve"> kw. 2024 r. </w:t>
      </w:r>
      <w:r w:rsidRPr="00A44ADE">
        <w:rPr>
          <w:lang w:val="pl-PL"/>
        </w:rPr>
        <w:t>nastąpił:</w:t>
      </w:r>
    </w:p>
    <w:p w14:paraId="115DFB28" w14:textId="77777777" w:rsidR="00B87C32" w:rsidRPr="00A44ADE" w:rsidRDefault="00B87C32" w:rsidP="00B87C32">
      <w:pPr>
        <w:pStyle w:val="Akapitzlist"/>
        <w:spacing w:after="120"/>
        <w:rPr>
          <w:lang w:val="pl-PL"/>
        </w:rPr>
      </w:pPr>
      <w:r w:rsidRPr="00A44ADE">
        <w:rPr>
          <w:lang w:val="pl-PL"/>
        </w:rPr>
        <w:t>w zakresie sytuacji płynnościowej budżetu państwa:</w:t>
      </w:r>
    </w:p>
    <w:p w14:paraId="5D78DB50" w14:textId="77777777" w:rsidR="00B87C32" w:rsidRPr="00A44ADE" w:rsidRDefault="00B87C32" w:rsidP="00B87C32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>
        <w:rPr>
          <w:lang w:val="pl-PL"/>
        </w:rPr>
        <w:t>spadek</w:t>
      </w:r>
      <w:r w:rsidRPr="00A44ADE">
        <w:rPr>
          <w:lang w:val="pl-PL"/>
        </w:rPr>
        <w:t xml:space="preserve"> środków na rachunkach budżetowych o </w:t>
      </w:r>
      <w:r>
        <w:rPr>
          <w:lang w:val="pl-PL"/>
        </w:rPr>
        <w:t>10,1</w:t>
      </w:r>
      <w:r w:rsidRPr="00A44ADE">
        <w:rPr>
          <w:lang w:val="pl-PL"/>
        </w:rPr>
        <w:t xml:space="preserve"> mld zł do 1</w:t>
      </w:r>
      <w:r>
        <w:rPr>
          <w:lang w:val="pl-PL"/>
        </w:rPr>
        <w:t>5</w:t>
      </w:r>
      <w:r w:rsidRPr="00A44ADE">
        <w:rPr>
          <w:lang w:val="pl-PL"/>
        </w:rPr>
        <w:t>6,</w:t>
      </w:r>
      <w:r>
        <w:rPr>
          <w:lang w:val="pl-PL"/>
        </w:rPr>
        <w:t>7</w:t>
      </w:r>
      <w:r w:rsidRPr="00A44ADE">
        <w:rPr>
          <w:lang w:val="pl-PL"/>
        </w:rPr>
        <w:t xml:space="preserve"> mld zł, </w:t>
      </w:r>
    </w:p>
    <w:p w14:paraId="0082653B" w14:textId="77777777" w:rsidR="00B87C32" w:rsidRPr="0062010F" w:rsidRDefault="00B87C32" w:rsidP="00B87C32">
      <w:pPr>
        <w:pStyle w:val="Akapitzlist"/>
        <w:spacing w:after="120"/>
        <w:rPr>
          <w:lang w:val="pl-PL"/>
        </w:rPr>
      </w:pPr>
      <w:r w:rsidRPr="0062010F">
        <w:rPr>
          <w:lang w:val="pl-PL"/>
        </w:rPr>
        <w:t>w zakresie struktury podmiotowej zadłużenia na rynku krajowym:</w:t>
      </w:r>
    </w:p>
    <w:p w14:paraId="257241C1" w14:textId="77777777" w:rsidR="00B87C32" w:rsidRPr="0062010F" w:rsidRDefault="00B87C32" w:rsidP="00B87C32">
      <w:pPr>
        <w:pStyle w:val="Akapitzlist"/>
        <w:numPr>
          <w:ilvl w:val="0"/>
          <w:numId w:val="0"/>
        </w:numPr>
        <w:spacing w:after="120"/>
        <w:ind w:left="717"/>
        <w:rPr>
          <w:lang w:val="pl-PL"/>
        </w:rPr>
      </w:pPr>
      <w:r w:rsidRPr="0062010F">
        <w:rPr>
          <w:lang w:val="pl-PL"/>
        </w:rPr>
        <w:t>wzrost zadłużenia wobec banków o </w:t>
      </w:r>
      <w:r>
        <w:rPr>
          <w:lang w:val="pl-PL"/>
        </w:rPr>
        <w:t>1</w:t>
      </w:r>
      <w:r w:rsidRPr="0062010F">
        <w:rPr>
          <w:lang w:val="pl-PL"/>
        </w:rPr>
        <w:t>2,</w:t>
      </w:r>
      <w:r>
        <w:rPr>
          <w:lang w:val="pl-PL"/>
        </w:rPr>
        <w:t>7</w:t>
      </w:r>
      <w:r w:rsidRPr="0062010F">
        <w:rPr>
          <w:lang w:val="pl-PL"/>
        </w:rPr>
        <w:t xml:space="preserve"> mld zł</w:t>
      </w:r>
      <w:r>
        <w:rPr>
          <w:lang w:val="pl-PL"/>
        </w:rPr>
        <w:t>,</w:t>
      </w:r>
      <w:r w:rsidRPr="0062010F">
        <w:rPr>
          <w:lang w:val="pl-PL"/>
        </w:rPr>
        <w:t xml:space="preserve"> krajowego sektora </w:t>
      </w:r>
      <w:proofErr w:type="spellStart"/>
      <w:r w:rsidRPr="0062010F">
        <w:rPr>
          <w:lang w:val="pl-PL"/>
        </w:rPr>
        <w:t>pozabankowego</w:t>
      </w:r>
      <w:proofErr w:type="spellEnd"/>
      <w:r w:rsidRPr="0062010F">
        <w:rPr>
          <w:lang w:val="pl-PL"/>
        </w:rPr>
        <w:t xml:space="preserve"> o </w:t>
      </w:r>
      <w:r>
        <w:rPr>
          <w:lang w:val="pl-PL"/>
        </w:rPr>
        <w:t>8,8</w:t>
      </w:r>
      <w:r w:rsidRPr="0062010F">
        <w:rPr>
          <w:lang w:val="pl-PL"/>
        </w:rPr>
        <w:t xml:space="preserve"> mld zł </w:t>
      </w:r>
      <w:r>
        <w:rPr>
          <w:lang w:val="pl-PL"/>
        </w:rPr>
        <w:t xml:space="preserve">oraz </w:t>
      </w:r>
      <w:r w:rsidRPr="0062010F">
        <w:rPr>
          <w:lang w:val="pl-PL"/>
        </w:rPr>
        <w:t xml:space="preserve">nierezydentów o </w:t>
      </w:r>
      <w:r>
        <w:rPr>
          <w:lang w:val="pl-PL"/>
        </w:rPr>
        <w:t>5</w:t>
      </w:r>
      <w:r w:rsidRPr="0062010F">
        <w:rPr>
          <w:lang w:val="pl-PL"/>
        </w:rPr>
        <w:t>,4 ml</w:t>
      </w:r>
      <w:r>
        <w:rPr>
          <w:lang w:val="pl-PL"/>
        </w:rPr>
        <w:t>d</w:t>
      </w:r>
      <w:r w:rsidRPr="0062010F">
        <w:rPr>
          <w:lang w:val="pl-PL"/>
        </w:rPr>
        <w:t xml:space="preserve"> zł, </w:t>
      </w:r>
    </w:p>
    <w:p w14:paraId="2B51613B" w14:textId="77777777" w:rsidR="00B87C32" w:rsidRPr="00B50240" w:rsidRDefault="00B87C32" w:rsidP="00B87C32">
      <w:pPr>
        <w:pStyle w:val="Akapitzlist"/>
        <w:spacing w:after="120"/>
        <w:rPr>
          <w:lang w:val="pl-PL"/>
        </w:rPr>
      </w:pPr>
      <w:r w:rsidRPr="00B50240">
        <w:rPr>
          <w:lang w:val="pl-PL"/>
        </w:rPr>
        <w:t>na rynku polskich obligacji:</w:t>
      </w:r>
    </w:p>
    <w:p w14:paraId="6C0BEAC9" w14:textId="77777777" w:rsidR="00B87C32" w:rsidRPr="00D84F7D" w:rsidRDefault="00B87C32" w:rsidP="00B87C3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B50240">
        <w:rPr>
          <w:lang w:val="pl-PL"/>
        </w:rPr>
        <w:t xml:space="preserve">na rynku krajowym: </w:t>
      </w:r>
      <w:r>
        <w:rPr>
          <w:lang w:val="pl-PL"/>
        </w:rPr>
        <w:t>spadek</w:t>
      </w:r>
      <w:r w:rsidRPr="00B50240">
        <w:rPr>
          <w:lang w:val="pl-PL"/>
        </w:rPr>
        <w:t xml:space="preserve"> rentowności obligacji na </w:t>
      </w:r>
      <w:r>
        <w:rPr>
          <w:lang w:val="pl-PL"/>
        </w:rPr>
        <w:t>krótkim końcu</w:t>
      </w:r>
      <w:r w:rsidRPr="00B50240">
        <w:rPr>
          <w:lang w:val="pl-PL"/>
        </w:rPr>
        <w:t xml:space="preserve"> krzywej</w:t>
      </w:r>
      <w:r>
        <w:rPr>
          <w:lang w:val="pl-PL"/>
        </w:rPr>
        <w:t>, wzrost na środku i długim końcu</w:t>
      </w:r>
      <w:r w:rsidRPr="00B50240">
        <w:rPr>
          <w:lang w:val="pl-PL"/>
        </w:rPr>
        <w:t xml:space="preserve"> - na koniec kwartału rentowności</w:t>
      </w:r>
      <w:r w:rsidRPr="00B50240" w:rsidDel="0064738C">
        <w:rPr>
          <w:lang w:val="pl-PL"/>
        </w:rPr>
        <w:t xml:space="preserve"> </w:t>
      </w:r>
      <w:r w:rsidRPr="00B50240">
        <w:rPr>
          <w:lang w:val="pl-PL"/>
        </w:rPr>
        <w:t xml:space="preserve">obligacji 2-, 5- i 10-letnich wyniosły odpowiednio </w:t>
      </w:r>
      <w:r w:rsidRPr="00D84F7D">
        <w:rPr>
          <w:lang w:val="pl-PL"/>
        </w:rPr>
        <w:t>5,</w:t>
      </w:r>
      <w:r>
        <w:rPr>
          <w:lang w:val="pl-PL"/>
        </w:rPr>
        <w:t>1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0,1 pp.), 5,</w:t>
      </w:r>
      <w:r>
        <w:rPr>
          <w:lang w:val="pl-PL"/>
        </w:rPr>
        <w:t>6</w:t>
      </w:r>
      <w:r w:rsidRPr="00D84F7D">
        <w:rPr>
          <w:lang w:val="pl-PL"/>
        </w:rPr>
        <w:t>% (+0,</w:t>
      </w:r>
      <w:r>
        <w:rPr>
          <w:lang w:val="pl-PL"/>
        </w:rPr>
        <w:t>2</w:t>
      </w:r>
      <w:r w:rsidRPr="00D84F7D">
        <w:rPr>
          <w:lang w:val="pl-PL"/>
        </w:rPr>
        <w:t xml:space="preserve"> pp.) oraz 5,</w:t>
      </w:r>
      <w:r>
        <w:rPr>
          <w:lang w:val="pl-PL"/>
        </w:rPr>
        <w:t>7</w:t>
      </w:r>
      <w:r w:rsidRPr="00D84F7D">
        <w:rPr>
          <w:lang w:val="pl-PL"/>
        </w:rPr>
        <w:t>% (+0,3 pp.),</w:t>
      </w:r>
    </w:p>
    <w:p w14:paraId="203B1B1E" w14:textId="77777777" w:rsidR="00B87C32" w:rsidRDefault="00B87C32" w:rsidP="00B87C32">
      <w:pPr>
        <w:pStyle w:val="Akapitzlist"/>
        <w:numPr>
          <w:ilvl w:val="0"/>
          <w:numId w:val="18"/>
        </w:numPr>
        <w:spacing w:after="120"/>
        <w:rPr>
          <w:lang w:val="pl-PL"/>
        </w:rPr>
      </w:pPr>
      <w:r w:rsidRPr="00D84F7D">
        <w:rPr>
          <w:lang w:val="pl-PL"/>
        </w:rPr>
        <w:t xml:space="preserve">na rynku obligacji w euro: </w:t>
      </w:r>
      <w:r w:rsidRPr="000D1FD7">
        <w:rPr>
          <w:lang w:val="pl-PL"/>
        </w:rPr>
        <w:t>spadek rentowności obligacji na krótkim końcu krzywej, wzrost na środku i długim końcu</w:t>
      </w:r>
      <w:r w:rsidRPr="00D84F7D">
        <w:rPr>
          <w:lang w:val="pl-PL"/>
        </w:rPr>
        <w:t xml:space="preserve"> - na koniec kwartału rentowności obligacji 2</w:t>
      </w:r>
      <w:r w:rsidRPr="00D84F7D">
        <w:rPr>
          <w:lang w:val="pl-PL"/>
        </w:rPr>
        <w:noBreakHyphen/>
        <w:t>, 5- i 10</w:t>
      </w:r>
      <w:r w:rsidRPr="00D84F7D">
        <w:rPr>
          <w:lang w:val="pl-PL"/>
        </w:rPr>
        <w:noBreakHyphen/>
        <w:t>letnich wyniosły odpowie</w:t>
      </w:r>
      <w:r w:rsidRPr="00D84F7D">
        <w:rPr>
          <w:lang w:val="pl-PL"/>
        </w:rPr>
        <w:softHyphen/>
        <w:t>dnio 3,</w:t>
      </w:r>
      <w:r>
        <w:rPr>
          <w:lang w:val="pl-PL"/>
        </w:rPr>
        <w:t>3</w:t>
      </w:r>
      <w:r w:rsidRPr="00D84F7D">
        <w:rPr>
          <w:lang w:val="pl-PL"/>
        </w:rPr>
        <w:t>% (</w:t>
      </w:r>
      <w:r>
        <w:rPr>
          <w:lang w:val="pl-PL"/>
        </w:rPr>
        <w:t>-</w:t>
      </w:r>
      <w:r w:rsidRPr="00D84F7D">
        <w:rPr>
          <w:lang w:val="pl-PL"/>
        </w:rPr>
        <w:t>0,</w:t>
      </w:r>
      <w:r>
        <w:rPr>
          <w:lang w:val="pl-PL"/>
        </w:rPr>
        <w:t>1</w:t>
      </w:r>
      <w:r w:rsidRPr="00D84F7D">
        <w:rPr>
          <w:lang w:val="pl-PL"/>
        </w:rPr>
        <w:t xml:space="preserve"> pp.), 3,</w:t>
      </w:r>
      <w:r>
        <w:rPr>
          <w:lang w:val="pl-PL"/>
        </w:rPr>
        <w:t>1</w:t>
      </w:r>
      <w:r w:rsidRPr="00D84F7D">
        <w:rPr>
          <w:lang w:val="pl-PL"/>
        </w:rPr>
        <w:t>% (+0,</w:t>
      </w:r>
      <w:r>
        <w:rPr>
          <w:lang w:val="pl-PL"/>
        </w:rPr>
        <w:t>1</w:t>
      </w:r>
      <w:r w:rsidRPr="00D84F7D">
        <w:rPr>
          <w:lang w:val="pl-PL"/>
        </w:rPr>
        <w:t xml:space="preserve"> pp.) oraz 3,</w:t>
      </w:r>
      <w:r>
        <w:rPr>
          <w:lang w:val="pl-PL"/>
        </w:rPr>
        <w:t>8</w:t>
      </w:r>
      <w:r w:rsidRPr="00D84F7D">
        <w:rPr>
          <w:lang w:val="pl-PL"/>
        </w:rPr>
        <w:t>% (+0,</w:t>
      </w:r>
      <w:r>
        <w:rPr>
          <w:lang w:val="pl-PL"/>
        </w:rPr>
        <w:t>1</w:t>
      </w:r>
      <w:r w:rsidRPr="00D84F7D">
        <w:rPr>
          <w:lang w:val="pl-PL"/>
        </w:rPr>
        <w:t xml:space="preserve"> pp.).  </w:t>
      </w:r>
    </w:p>
    <w:p w14:paraId="7A35DD4A" w14:textId="77777777" w:rsidR="00206279" w:rsidRPr="007E5680" w:rsidRDefault="00206279" w:rsidP="00206279">
      <w:pPr>
        <w:pStyle w:val="Akapitzlist"/>
        <w:numPr>
          <w:ilvl w:val="0"/>
          <w:numId w:val="0"/>
        </w:numPr>
        <w:spacing w:after="120"/>
        <w:ind w:left="1068"/>
        <w:rPr>
          <w:lang w:val="pl-PL"/>
        </w:rPr>
      </w:pPr>
    </w:p>
    <w:p w14:paraId="76C80C6B" w14:textId="77777777" w:rsidR="00F940F6" w:rsidRDefault="00F940F6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39149DF" w14:textId="77777777" w:rsidR="005E4D22" w:rsidRDefault="005E4D22" w:rsidP="00DA5077">
      <w:pPr>
        <w:jc w:val="center"/>
        <w:rPr>
          <w:lang w:val="pl-PL"/>
        </w:rPr>
      </w:pPr>
    </w:p>
    <w:p w14:paraId="27CBEA85" w14:textId="77777777" w:rsidR="000201C9" w:rsidRPr="00565B16" w:rsidRDefault="00DA5077" w:rsidP="002447E3">
      <w:pPr>
        <w:pStyle w:val="Nagwek1"/>
        <w:spacing w:before="1200"/>
        <w:jc w:val="center"/>
        <w:rPr>
          <w:color w:val="FFFFFF" w:themeColor="background1"/>
          <w:lang w:val="pl-PL"/>
        </w:rPr>
      </w:pPr>
      <w:bookmarkStart w:id="12" w:name="_Toc180652635"/>
      <w:r w:rsidRPr="00565B16">
        <w:rPr>
          <w:color w:val="FFFFFF" w:themeColor="background1"/>
          <w:lang w:val="pl-PL"/>
        </w:rPr>
        <w:t>ANEKS STATYSTYCZNY</w:t>
      </w:r>
      <w:bookmarkEnd w:id="12"/>
    </w:p>
    <w:sectPr w:rsidR="000201C9" w:rsidRPr="00565B16" w:rsidSect="003B1A30">
      <w:headerReference w:type="default" r:id="rId23"/>
      <w:footerReference w:type="default" r:id="rId24"/>
      <w:headerReference w:type="first" r:id="rId25"/>
      <w:pgSz w:w="11906" w:h="16838"/>
      <w:pgMar w:top="1701" w:right="1418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AA3D" w14:textId="77777777" w:rsidR="008442EA" w:rsidRDefault="008442EA" w:rsidP="005745E4">
      <w:r>
        <w:separator/>
      </w:r>
    </w:p>
  </w:endnote>
  <w:endnote w:type="continuationSeparator" w:id="0">
    <w:p w14:paraId="79F0A65C" w14:textId="77777777" w:rsidR="008442EA" w:rsidRDefault="008442EA" w:rsidP="0057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A0F" w14:textId="00349527" w:rsidR="0033111E" w:rsidRPr="0097040B" w:rsidRDefault="0097040B" w:rsidP="005745E4">
    <w:pPr>
      <w:pStyle w:val="Stopka"/>
      <w:rPr>
        <w:lang w:val="pl-PL"/>
      </w:rPr>
    </w:pPr>
    <w:r>
      <w:rPr>
        <w:lang w:val="pl-PL"/>
      </w:rPr>
      <w:t xml:space="preserve">Informacja kwartalna </w:t>
    </w:r>
    <w:r w:rsidR="00CD0A7A">
      <w:rPr>
        <w:lang w:val="pl-PL"/>
      </w:rPr>
      <w:t>I</w:t>
    </w:r>
    <w:r w:rsidR="0032189A">
      <w:rPr>
        <w:lang w:val="pl-PL"/>
      </w:rPr>
      <w:t>I</w:t>
    </w:r>
    <w:r>
      <w:rPr>
        <w:lang w:val="pl-PL"/>
      </w:rPr>
      <w:t xml:space="preserve"> kw. 202</w:t>
    </w:r>
    <w:r w:rsidR="00BE6D95">
      <w:rPr>
        <w:lang w:val="pl-PL"/>
      </w:rPr>
      <w:t>4</w:t>
    </w:r>
    <w:r>
      <w:rPr>
        <w:lang w:val="pl-PL"/>
      </w:rPr>
      <w:t xml:space="preserve"> r.</w:t>
    </w:r>
    <w:r w:rsidRPr="0097040B">
      <w:rPr>
        <w:lang w:val="pl-PL"/>
      </w:rPr>
      <w:ptab w:relativeTo="margin" w:alignment="center" w:leader="none"/>
    </w:r>
    <w:r w:rsidRPr="0097040B">
      <w:rPr>
        <w:lang w:val="pl-PL"/>
      </w:rPr>
      <w:ptab w:relativeTo="margin" w:alignment="right" w:leader="none"/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t xml:space="preserve">str. </w:t>
    </w:r>
    <w:r w:rsidRPr="0097040B">
      <w:rPr>
        <w:rFonts w:asciiTheme="minorHAnsi" w:eastAsiaTheme="minorEastAsia" w:hAnsiTheme="minorHAnsi"/>
        <w:sz w:val="22"/>
        <w:lang w:val="pl-PL"/>
      </w:rPr>
      <w:fldChar w:fldCharType="begin"/>
    </w:r>
    <w:r w:rsidRPr="0097040B">
      <w:rPr>
        <w:lang w:val="pl-PL"/>
      </w:rPr>
      <w:instrText>PAGE    \* MERGEFORMAT</w:instrText>
    </w:r>
    <w:r w:rsidRPr="0097040B">
      <w:rPr>
        <w:rFonts w:asciiTheme="minorHAnsi" w:eastAsiaTheme="minorEastAsia" w:hAnsiTheme="minorHAnsi"/>
        <w:sz w:val="22"/>
        <w:lang w:val="pl-PL"/>
      </w:rPr>
      <w:fldChar w:fldCharType="separate"/>
    </w:r>
    <w:r w:rsidR="006B1D5C" w:rsidRPr="006B1D5C">
      <w:rPr>
        <w:rFonts w:asciiTheme="majorHAnsi" w:eastAsiaTheme="majorEastAsia" w:hAnsiTheme="majorHAnsi" w:cstheme="majorBidi"/>
        <w:noProof/>
        <w:sz w:val="28"/>
        <w:szCs w:val="28"/>
        <w:lang w:val="pl-PL"/>
      </w:rPr>
      <w:t>10</w:t>
    </w:r>
    <w:r w:rsidRPr="0097040B">
      <w:rPr>
        <w:rFonts w:asciiTheme="majorHAnsi" w:eastAsiaTheme="majorEastAsia" w:hAnsiTheme="majorHAnsi" w:cstheme="majorBidi"/>
        <w:sz w:val="28"/>
        <w:szCs w:val="2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695F" w14:textId="77777777" w:rsidR="008442EA" w:rsidRDefault="008442EA" w:rsidP="005745E4">
      <w:r>
        <w:separator/>
      </w:r>
    </w:p>
  </w:footnote>
  <w:footnote w:type="continuationSeparator" w:id="0">
    <w:p w14:paraId="3266EB0F" w14:textId="77777777" w:rsidR="008442EA" w:rsidRDefault="008442EA" w:rsidP="0057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73F" w14:textId="7E1384DE" w:rsidR="0097040B" w:rsidRDefault="0097040B">
    <w:pPr>
      <w:pStyle w:val="Nagwek"/>
      <w:jc w:val="right"/>
    </w:pPr>
  </w:p>
  <w:p w14:paraId="6A471524" w14:textId="77777777" w:rsidR="0097040B" w:rsidRDefault="00970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15B0" w14:textId="7988A6D6" w:rsidR="0033111E" w:rsidRDefault="00FD1A60" w:rsidP="005745E4">
    <w:pPr>
      <w:pStyle w:val="Nagwek"/>
    </w:pPr>
    <w:r w:rsidRPr="009C0B1C">
      <w:rPr>
        <w:noProof/>
        <w:lang w:val="pl-PL" w:eastAsia="pl-PL"/>
      </w:rPr>
      <w:drawing>
        <wp:inline distT="0" distB="0" distL="0" distR="0" wp14:anchorId="0A7553BC" wp14:editId="71D6A2DA">
          <wp:extent cx="1333500" cy="656648"/>
          <wp:effectExtent l="0" t="0" r="0" b="0"/>
          <wp:docPr id="1" name="Obraz 1" title="Logo Ministerstwa Fina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CE6"/>
    <w:multiLevelType w:val="hybridMultilevel"/>
    <w:tmpl w:val="D07E215C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D08"/>
    <w:multiLevelType w:val="hybridMultilevel"/>
    <w:tmpl w:val="565C9C46"/>
    <w:lvl w:ilvl="0" w:tplc="090EE0C6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288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3E515D"/>
    <w:multiLevelType w:val="hybridMultilevel"/>
    <w:tmpl w:val="24B0F3A8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2EA"/>
    <w:multiLevelType w:val="hybridMultilevel"/>
    <w:tmpl w:val="3B38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F06"/>
    <w:multiLevelType w:val="hybridMultilevel"/>
    <w:tmpl w:val="FC8E7BC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3741"/>
    <w:multiLevelType w:val="hybridMultilevel"/>
    <w:tmpl w:val="366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1E72"/>
    <w:multiLevelType w:val="hybridMultilevel"/>
    <w:tmpl w:val="555294FA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625"/>
    <w:multiLevelType w:val="hybridMultilevel"/>
    <w:tmpl w:val="7D967954"/>
    <w:lvl w:ilvl="0" w:tplc="090EE0C6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B5121B"/>
      </w:rPr>
    </w:lvl>
    <w:lvl w:ilvl="1" w:tplc="041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" w15:restartNumberingAfterBreak="0">
    <w:nsid w:val="447E4A2E"/>
    <w:multiLevelType w:val="hybridMultilevel"/>
    <w:tmpl w:val="9AA07D58"/>
    <w:lvl w:ilvl="0" w:tplc="090EE0C6">
      <w:start w:val="1"/>
      <w:numFmt w:val="bullet"/>
      <w:pStyle w:val="Akapitzlist"/>
      <w:lvlText w:val=""/>
      <w:lvlJc w:val="left"/>
      <w:pPr>
        <w:ind w:left="717" w:hanging="360"/>
      </w:pPr>
      <w:rPr>
        <w:rFonts w:ascii="Symbol" w:hAnsi="Symbol" w:cs="Symbol" w:hint="default"/>
        <w:color w:val="B5121B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AD74AE"/>
    <w:multiLevelType w:val="hybridMultilevel"/>
    <w:tmpl w:val="F0B4AAFA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6FFA"/>
    <w:multiLevelType w:val="hybridMultilevel"/>
    <w:tmpl w:val="22D22D5C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074CA"/>
    <w:multiLevelType w:val="hybridMultilevel"/>
    <w:tmpl w:val="3E8C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77F4"/>
    <w:multiLevelType w:val="hybridMultilevel"/>
    <w:tmpl w:val="51441264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FF1"/>
    <w:multiLevelType w:val="hybridMultilevel"/>
    <w:tmpl w:val="E4901F78"/>
    <w:lvl w:ilvl="0" w:tplc="F93624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15B8"/>
    <w:multiLevelType w:val="hybridMultilevel"/>
    <w:tmpl w:val="E2E06436"/>
    <w:lvl w:ilvl="0" w:tplc="36A4905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5121B"/>
      </w:rPr>
    </w:lvl>
    <w:lvl w:ilvl="1" w:tplc="8F1E07AE">
      <w:start w:val="1"/>
      <w:numFmt w:val="bullet"/>
      <w:lvlText w:val="•"/>
      <w:lvlJc w:val="left"/>
      <w:pPr>
        <w:ind w:left="1440" w:hanging="360"/>
      </w:pPr>
      <w:rPr>
        <w:rFonts w:ascii="Raleway" w:hAnsi="Raleway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5C8"/>
    <w:multiLevelType w:val="hybridMultilevel"/>
    <w:tmpl w:val="C480E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B56"/>
    <w:multiLevelType w:val="hybridMultilevel"/>
    <w:tmpl w:val="966A05CC"/>
    <w:lvl w:ilvl="0" w:tplc="D46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A479D"/>
    <w:multiLevelType w:val="hybridMultilevel"/>
    <w:tmpl w:val="3B7ED1BE"/>
    <w:lvl w:ilvl="0" w:tplc="C108FB5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B5121B"/>
      </w:rPr>
    </w:lvl>
    <w:lvl w:ilvl="1" w:tplc="F936242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7"/>
  </w:num>
  <w:num w:numId="12">
    <w:abstractNumId w:val="13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50"/>
    <w:rsid w:val="00002CC6"/>
    <w:rsid w:val="00015B8F"/>
    <w:rsid w:val="000165BF"/>
    <w:rsid w:val="000201C9"/>
    <w:rsid w:val="00032D08"/>
    <w:rsid w:val="00051143"/>
    <w:rsid w:val="0007023D"/>
    <w:rsid w:val="000955D5"/>
    <w:rsid w:val="00095730"/>
    <w:rsid w:val="000A336D"/>
    <w:rsid w:val="000B05E6"/>
    <w:rsid w:val="000C6A78"/>
    <w:rsid w:val="000D2E61"/>
    <w:rsid w:val="000D4857"/>
    <w:rsid w:val="000F011C"/>
    <w:rsid w:val="000F4EDC"/>
    <w:rsid w:val="00101E8B"/>
    <w:rsid w:val="001038D9"/>
    <w:rsid w:val="00104700"/>
    <w:rsid w:val="001211D9"/>
    <w:rsid w:val="00146BF2"/>
    <w:rsid w:val="0014705F"/>
    <w:rsid w:val="00147CD6"/>
    <w:rsid w:val="00160037"/>
    <w:rsid w:val="00172F8E"/>
    <w:rsid w:val="00175555"/>
    <w:rsid w:val="00177244"/>
    <w:rsid w:val="00192521"/>
    <w:rsid w:val="001A6240"/>
    <w:rsid w:val="001A6801"/>
    <w:rsid w:val="001C341D"/>
    <w:rsid w:val="001C43E4"/>
    <w:rsid w:val="001C606E"/>
    <w:rsid w:val="001D28E4"/>
    <w:rsid w:val="001D2F50"/>
    <w:rsid w:val="001E6450"/>
    <w:rsid w:val="00201367"/>
    <w:rsid w:val="00206279"/>
    <w:rsid w:val="00215920"/>
    <w:rsid w:val="002302CF"/>
    <w:rsid w:val="00231C6E"/>
    <w:rsid w:val="00231FA8"/>
    <w:rsid w:val="00237EBC"/>
    <w:rsid w:val="0024027B"/>
    <w:rsid w:val="002447E3"/>
    <w:rsid w:val="0029181F"/>
    <w:rsid w:val="002934AC"/>
    <w:rsid w:val="002A3CD2"/>
    <w:rsid w:val="002B66F8"/>
    <w:rsid w:val="002C6208"/>
    <w:rsid w:val="002D0255"/>
    <w:rsid w:val="002D1DBE"/>
    <w:rsid w:val="002E02E8"/>
    <w:rsid w:val="002E2938"/>
    <w:rsid w:val="002E65EA"/>
    <w:rsid w:val="002E76C7"/>
    <w:rsid w:val="003019AF"/>
    <w:rsid w:val="00307666"/>
    <w:rsid w:val="0031366B"/>
    <w:rsid w:val="0032189A"/>
    <w:rsid w:val="0033111E"/>
    <w:rsid w:val="00347556"/>
    <w:rsid w:val="003537E0"/>
    <w:rsid w:val="003545C1"/>
    <w:rsid w:val="003615EA"/>
    <w:rsid w:val="003629EE"/>
    <w:rsid w:val="003718B3"/>
    <w:rsid w:val="00373BB5"/>
    <w:rsid w:val="003813D9"/>
    <w:rsid w:val="003900DE"/>
    <w:rsid w:val="003A178C"/>
    <w:rsid w:val="003A2907"/>
    <w:rsid w:val="003A4003"/>
    <w:rsid w:val="003B1A30"/>
    <w:rsid w:val="003C09B6"/>
    <w:rsid w:val="003D524A"/>
    <w:rsid w:val="003F1C4E"/>
    <w:rsid w:val="003F73D3"/>
    <w:rsid w:val="003F7DC9"/>
    <w:rsid w:val="00413A13"/>
    <w:rsid w:val="00422932"/>
    <w:rsid w:val="0043376D"/>
    <w:rsid w:val="00481372"/>
    <w:rsid w:val="004A0776"/>
    <w:rsid w:val="004A0A8C"/>
    <w:rsid w:val="004A4A9B"/>
    <w:rsid w:val="004B0C67"/>
    <w:rsid w:val="004D116B"/>
    <w:rsid w:val="004E5DEB"/>
    <w:rsid w:val="004F4226"/>
    <w:rsid w:val="00511B31"/>
    <w:rsid w:val="00534637"/>
    <w:rsid w:val="00541173"/>
    <w:rsid w:val="00546DF9"/>
    <w:rsid w:val="005539AA"/>
    <w:rsid w:val="0056065B"/>
    <w:rsid w:val="00565B16"/>
    <w:rsid w:val="005745E4"/>
    <w:rsid w:val="00577E65"/>
    <w:rsid w:val="005815D9"/>
    <w:rsid w:val="005877CD"/>
    <w:rsid w:val="0059058E"/>
    <w:rsid w:val="00596738"/>
    <w:rsid w:val="005A6209"/>
    <w:rsid w:val="005B3200"/>
    <w:rsid w:val="005C3049"/>
    <w:rsid w:val="005C5B52"/>
    <w:rsid w:val="005D179A"/>
    <w:rsid w:val="005E4D22"/>
    <w:rsid w:val="005E7339"/>
    <w:rsid w:val="005F1F5E"/>
    <w:rsid w:val="00610CFB"/>
    <w:rsid w:val="006336FD"/>
    <w:rsid w:val="00641E69"/>
    <w:rsid w:val="006934FD"/>
    <w:rsid w:val="006B1D5C"/>
    <w:rsid w:val="006B55FE"/>
    <w:rsid w:val="006B5D5C"/>
    <w:rsid w:val="006B69DB"/>
    <w:rsid w:val="006C15AF"/>
    <w:rsid w:val="006E327A"/>
    <w:rsid w:val="00700112"/>
    <w:rsid w:val="00700C2E"/>
    <w:rsid w:val="007116A9"/>
    <w:rsid w:val="00712C7A"/>
    <w:rsid w:val="00731EA3"/>
    <w:rsid w:val="00733234"/>
    <w:rsid w:val="0073390A"/>
    <w:rsid w:val="00741FB2"/>
    <w:rsid w:val="00745200"/>
    <w:rsid w:val="007502E4"/>
    <w:rsid w:val="007708B3"/>
    <w:rsid w:val="007843A9"/>
    <w:rsid w:val="007A6B88"/>
    <w:rsid w:val="007C1C55"/>
    <w:rsid w:val="00801205"/>
    <w:rsid w:val="00816ED1"/>
    <w:rsid w:val="008216F8"/>
    <w:rsid w:val="00842D18"/>
    <w:rsid w:val="008442EA"/>
    <w:rsid w:val="008B4157"/>
    <w:rsid w:val="008B59FD"/>
    <w:rsid w:val="008C2607"/>
    <w:rsid w:val="008D3A26"/>
    <w:rsid w:val="008D4421"/>
    <w:rsid w:val="008F2224"/>
    <w:rsid w:val="00907B52"/>
    <w:rsid w:val="00913DA5"/>
    <w:rsid w:val="009167E0"/>
    <w:rsid w:val="00932619"/>
    <w:rsid w:val="00935724"/>
    <w:rsid w:val="009434DB"/>
    <w:rsid w:val="0097040B"/>
    <w:rsid w:val="00972F87"/>
    <w:rsid w:val="0098499A"/>
    <w:rsid w:val="00997CF8"/>
    <w:rsid w:val="009C0B1C"/>
    <w:rsid w:val="009C2F53"/>
    <w:rsid w:val="009D48E1"/>
    <w:rsid w:val="009E1E89"/>
    <w:rsid w:val="009E7777"/>
    <w:rsid w:val="009F1463"/>
    <w:rsid w:val="00A04F3F"/>
    <w:rsid w:val="00A12D17"/>
    <w:rsid w:val="00A216F3"/>
    <w:rsid w:val="00A402C9"/>
    <w:rsid w:val="00A41220"/>
    <w:rsid w:val="00A44319"/>
    <w:rsid w:val="00A56C6D"/>
    <w:rsid w:val="00A637C7"/>
    <w:rsid w:val="00A77757"/>
    <w:rsid w:val="00A806F9"/>
    <w:rsid w:val="00AC42A5"/>
    <w:rsid w:val="00AC664F"/>
    <w:rsid w:val="00AC7E37"/>
    <w:rsid w:val="00AD21FF"/>
    <w:rsid w:val="00AD4080"/>
    <w:rsid w:val="00AF3A1A"/>
    <w:rsid w:val="00AF60F7"/>
    <w:rsid w:val="00B11397"/>
    <w:rsid w:val="00B12864"/>
    <w:rsid w:val="00B23B58"/>
    <w:rsid w:val="00B37D63"/>
    <w:rsid w:val="00B41BFF"/>
    <w:rsid w:val="00B56D9D"/>
    <w:rsid w:val="00B61B89"/>
    <w:rsid w:val="00B62053"/>
    <w:rsid w:val="00B662B0"/>
    <w:rsid w:val="00B67B44"/>
    <w:rsid w:val="00B75D5F"/>
    <w:rsid w:val="00B803D1"/>
    <w:rsid w:val="00B80DE5"/>
    <w:rsid w:val="00B87C32"/>
    <w:rsid w:val="00B96A54"/>
    <w:rsid w:val="00BA61B2"/>
    <w:rsid w:val="00BB4181"/>
    <w:rsid w:val="00BC60E4"/>
    <w:rsid w:val="00BD0DAB"/>
    <w:rsid w:val="00BD776D"/>
    <w:rsid w:val="00BE6D95"/>
    <w:rsid w:val="00BF574E"/>
    <w:rsid w:val="00BF735D"/>
    <w:rsid w:val="00C21A63"/>
    <w:rsid w:val="00C25FEC"/>
    <w:rsid w:val="00C335D3"/>
    <w:rsid w:val="00C42526"/>
    <w:rsid w:val="00C55B0C"/>
    <w:rsid w:val="00C61A6C"/>
    <w:rsid w:val="00C61C91"/>
    <w:rsid w:val="00CA7362"/>
    <w:rsid w:val="00CB4B55"/>
    <w:rsid w:val="00CB604D"/>
    <w:rsid w:val="00CC318E"/>
    <w:rsid w:val="00CC4589"/>
    <w:rsid w:val="00CC7BA5"/>
    <w:rsid w:val="00CD0A7A"/>
    <w:rsid w:val="00CD4D71"/>
    <w:rsid w:val="00CE3197"/>
    <w:rsid w:val="00CE5253"/>
    <w:rsid w:val="00CE75FF"/>
    <w:rsid w:val="00CF3B72"/>
    <w:rsid w:val="00CF7C6C"/>
    <w:rsid w:val="00D071A5"/>
    <w:rsid w:val="00D22485"/>
    <w:rsid w:val="00D3383D"/>
    <w:rsid w:val="00D33902"/>
    <w:rsid w:val="00D3562F"/>
    <w:rsid w:val="00D40321"/>
    <w:rsid w:val="00D46979"/>
    <w:rsid w:val="00D542AD"/>
    <w:rsid w:val="00D622A0"/>
    <w:rsid w:val="00D62402"/>
    <w:rsid w:val="00D7288E"/>
    <w:rsid w:val="00D73672"/>
    <w:rsid w:val="00D850FB"/>
    <w:rsid w:val="00D919CD"/>
    <w:rsid w:val="00D92AAD"/>
    <w:rsid w:val="00DA5077"/>
    <w:rsid w:val="00DB4588"/>
    <w:rsid w:val="00DD7187"/>
    <w:rsid w:val="00DE04FA"/>
    <w:rsid w:val="00DE5427"/>
    <w:rsid w:val="00E043F3"/>
    <w:rsid w:val="00E10C03"/>
    <w:rsid w:val="00E220B2"/>
    <w:rsid w:val="00E36055"/>
    <w:rsid w:val="00E514EF"/>
    <w:rsid w:val="00E554DD"/>
    <w:rsid w:val="00E570F2"/>
    <w:rsid w:val="00E679BB"/>
    <w:rsid w:val="00E83E89"/>
    <w:rsid w:val="00E9428E"/>
    <w:rsid w:val="00EB44EA"/>
    <w:rsid w:val="00EE7BC3"/>
    <w:rsid w:val="00F031E8"/>
    <w:rsid w:val="00F45B2A"/>
    <w:rsid w:val="00F55AEA"/>
    <w:rsid w:val="00F577BB"/>
    <w:rsid w:val="00F64A72"/>
    <w:rsid w:val="00F940F6"/>
    <w:rsid w:val="00FA05DB"/>
    <w:rsid w:val="00FA5B8B"/>
    <w:rsid w:val="00FA6F0D"/>
    <w:rsid w:val="00FA7521"/>
    <w:rsid w:val="00FD1A60"/>
    <w:rsid w:val="00FE0840"/>
    <w:rsid w:val="00FE26A2"/>
    <w:rsid w:val="00FE4A7A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66D84"/>
  <w15:chartTrackingRefBased/>
  <w15:docId w15:val="{095308EA-E459-46AA-96E9-316369D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55"/>
    <w:pPr>
      <w:spacing w:after="240" w:line="360" w:lineRule="auto"/>
    </w:pPr>
    <w:rPr>
      <w:rFonts w:ascii="Lato" w:hAnsi="Lato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D22"/>
    <w:pPr>
      <w:keepNext/>
      <w:keepLines/>
      <w:spacing w:before="360" w:after="120"/>
      <w:jc w:val="both"/>
      <w:outlineLvl w:val="0"/>
    </w:pPr>
    <w:rPr>
      <w:rFonts w:eastAsiaTheme="majorEastAsia" w:cstheme="majorBidi"/>
      <w:b/>
      <w:color w:val="B5121B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6F9"/>
    <w:pPr>
      <w:keepNext/>
      <w:keepLines/>
      <w:spacing w:before="40" w:after="120"/>
      <w:outlineLvl w:val="1"/>
    </w:pPr>
    <w:rPr>
      <w:rFonts w:eastAsiaTheme="majorEastAsia" w:cstheme="majorBidi"/>
      <w:b/>
      <w:color w:val="B5121B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525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5114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1143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2AD"/>
    <w:pPr>
      <w:spacing w:after="0" w:line="240" w:lineRule="auto"/>
      <w:contextualSpacing/>
    </w:pPr>
    <w:rPr>
      <w:rFonts w:eastAsiaTheme="majorEastAsia" w:cstheme="majorBidi"/>
      <w:b/>
      <w:color w:val="B5121B"/>
      <w:spacing w:val="-10"/>
      <w:kern w:val="28"/>
      <w:sz w:val="6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2AD"/>
    <w:rPr>
      <w:rFonts w:ascii="Lato" w:eastAsiaTheme="majorEastAsia" w:hAnsi="Lato" w:cstheme="majorBidi"/>
      <w:b/>
      <w:color w:val="B5121B"/>
      <w:spacing w:val="-10"/>
      <w:kern w:val="28"/>
      <w:sz w:val="68"/>
      <w:szCs w:val="56"/>
      <w:lang w:val="en-GB"/>
    </w:rPr>
  </w:style>
  <w:style w:type="paragraph" w:customStyle="1" w:styleId="Objanieniapodatkowe">
    <w:name w:val="Objaśnienia podatkowe"/>
    <w:basedOn w:val="Tytu"/>
    <w:qFormat/>
    <w:rsid w:val="002E76C7"/>
    <w:rPr>
      <w:rFonts w:ascii="Calibri" w:hAnsi="Calibri"/>
      <w:b w:val="0"/>
      <w:sz w:val="72"/>
    </w:rPr>
  </w:style>
  <w:style w:type="paragraph" w:customStyle="1" w:styleId="dataobjanienia">
    <w:name w:val="data objaśnienia"/>
    <w:basedOn w:val="Objanieniapodatkowe"/>
    <w:autoRedefine/>
    <w:qFormat/>
    <w:rsid w:val="003B1A30"/>
    <w:rPr>
      <w:rFonts w:asciiTheme="majorHAnsi" w:hAnsiTheme="majorHAnsi"/>
      <w:b/>
    </w:rPr>
  </w:style>
  <w:style w:type="paragraph" w:customStyle="1" w:styleId="Objanianezagadnienie">
    <w:name w:val="Objaśniane zagadnienie"/>
    <w:basedOn w:val="dataobjanienia"/>
    <w:autoRedefine/>
    <w:qFormat/>
    <w:rsid w:val="007843A9"/>
    <w:rPr>
      <w:rFonts w:asciiTheme="minorHAnsi" w:hAnsiTheme="minorHAnsi"/>
      <w:b w:val="0"/>
      <w:color w:val="auto"/>
      <w:sz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E4D22"/>
    <w:rPr>
      <w:rFonts w:ascii="Lato" w:eastAsiaTheme="majorEastAsia" w:hAnsi="Lato" w:cstheme="majorBidi"/>
      <w:b/>
      <w:color w:val="B5121B"/>
      <w:sz w:val="36"/>
      <w:szCs w:val="36"/>
      <w:lang w:val="en-GB"/>
    </w:rPr>
  </w:style>
  <w:style w:type="paragraph" w:customStyle="1" w:styleId="Objanienia-nagwek1">
    <w:name w:val="Objaśnienia - nagłówek 1"/>
    <w:basedOn w:val="Nagwek1"/>
    <w:rsid w:val="00AF3A1A"/>
    <w:rPr>
      <w:rFonts w:asciiTheme="minorHAnsi" w:hAnsiTheme="minorHAnsi"/>
      <w:b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A806F9"/>
    <w:rPr>
      <w:rFonts w:ascii="Lato" w:eastAsiaTheme="majorEastAsia" w:hAnsi="Lato" w:cstheme="majorBidi"/>
      <w:b/>
      <w:color w:val="B5121B"/>
      <w:sz w:val="28"/>
      <w:szCs w:val="26"/>
      <w:lang w:val="en-GB"/>
    </w:rPr>
  </w:style>
  <w:style w:type="paragraph" w:customStyle="1" w:styleId="Objanienia-Nagwek2">
    <w:name w:val="Objaśnienia - Nagłówek 2"/>
    <w:basedOn w:val="Nagwek2"/>
    <w:rsid w:val="004A0A8C"/>
    <w:rPr>
      <w:rFonts w:asciiTheme="minorHAnsi" w:hAnsiTheme="minorHAnsi"/>
    </w:rPr>
  </w:style>
  <w:style w:type="paragraph" w:styleId="Akapitzlist">
    <w:name w:val="List Paragraph"/>
    <w:basedOn w:val="Normalny"/>
    <w:uiPriority w:val="34"/>
    <w:qFormat/>
    <w:rsid w:val="003615EA"/>
    <w:pPr>
      <w:numPr>
        <w:numId w:val="9"/>
      </w:numPr>
      <w:contextualSpacing/>
    </w:pPr>
  </w:style>
  <w:style w:type="character" w:styleId="Wyrnienieintensywne">
    <w:name w:val="Intense Emphasis"/>
    <w:aliases w:val="Objaśnienia - Tekst wyróżniony,przykład,szczególny przypadek"/>
    <w:basedOn w:val="Domylnaczcionkaakapitu"/>
    <w:uiPriority w:val="21"/>
    <w:qFormat/>
    <w:rsid w:val="005745E4"/>
    <w:rPr>
      <w:b/>
      <w:i w:val="0"/>
      <w:iCs/>
      <w:color w:val="B5121B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1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11E"/>
  </w:style>
  <w:style w:type="paragraph" w:styleId="Stopka">
    <w:name w:val="footer"/>
    <w:basedOn w:val="Normalny"/>
    <w:link w:val="StopkaZnak"/>
    <w:uiPriority w:val="99"/>
    <w:unhideWhenUsed/>
    <w:rsid w:val="00331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11E"/>
  </w:style>
  <w:style w:type="paragraph" w:styleId="Nagwekspisutreci">
    <w:name w:val="TOC Heading"/>
    <w:basedOn w:val="Nagwek1"/>
    <w:next w:val="Normalny"/>
    <w:uiPriority w:val="39"/>
    <w:unhideWhenUsed/>
    <w:qFormat/>
    <w:rsid w:val="004A0A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0A8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A0A8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A0A8C"/>
    <w:rPr>
      <w:color w:val="0563C1" w:themeColor="hyperlink"/>
      <w:u w:val="single"/>
    </w:rPr>
  </w:style>
  <w:style w:type="paragraph" w:customStyle="1" w:styleId="Objanienia-nagwek3">
    <w:name w:val="Objaśnienia - nagłówek 3"/>
    <w:basedOn w:val="Normalny"/>
    <w:link w:val="Objanienia-nagwek3Znak"/>
    <w:rsid w:val="004A0A8C"/>
    <w:pPr>
      <w:spacing w:after="0"/>
      <w:jc w:val="both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5253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Objanienia-nagwek3Znak">
    <w:name w:val="Objaśnienia - nagłówek 3 Znak"/>
    <w:basedOn w:val="Domylnaczcionkaakapitu"/>
    <w:link w:val="Objanienia-nagwek3"/>
    <w:rsid w:val="004A0A8C"/>
    <w:rPr>
      <w:b/>
      <w:bCs/>
    </w:rPr>
  </w:style>
  <w:style w:type="paragraph" w:styleId="Spistreci3">
    <w:name w:val="toc 3"/>
    <w:basedOn w:val="Normalny"/>
    <w:next w:val="Normalny"/>
    <w:autoRedefine/>
    <w:uiPriority w:val="39"/>
    <w:unhideWhenUsed/>
    <w:rsid w:val="00CE5253"/>
    <w:pPr>
      <w:spacing w:after="100"/>
      <w:ind w:left="440"/>
    </w:pPr>
  </w:style>
  <w:style w:type="paragraph" w:customStyle="1" w:styleId="Objanienia-przypisdolny">
    <w:name w:val="Objaśnienia - przypis dolny"/>
    <w:basedOn w:val="Tekstprzypisudolnego"/>
    <w:link w:val="Objanienia-przypisdolnyZnak"/>
    <w:autoRedefine/>
    <w:qFormat/>
    <w:rsid w:val="00733234"/>
    <w:pPr>
      <w:jc w:val="both"/>
    </w:pPr>
  </w:style>
  <w:style w:type="character" w:customStyle="1" w:styleId="Objanienia-przypisdolnyZnak">
    <w:name w:val="Objaśnienia - przypis dolny Znak"/>
    <w:basedOn w:val="TekstprzypisudolnegoZnak"/>
    <w:link w:val="Objanienia-przypisdolny"/>
    <w:rsid w:val="00733234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CF"/>
    <w:pPr>
      <w:numPr>
        <w:ilvl w:val="1"/>
      </w:numPr>
      <w:spacing w:before="360" w:after="160"/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2CF"/>
    <w:rPr>
      <w:rFonts w:ascii="Lato" w:eastAsiaTheme="minorEastAsia" w:hAnsi="Lato"/>
      <w:b/>
      <w:color w:val="000000" w:themeColor="text1"/>
      <w:spacing w:val="15"/>
      <w:sz w:val="28"/>
      <w:lang w:val="en-GB"/>
    </w:rPr>
  </w:style>
  <w:style w:type="character" w:styleId="Odwoanieintensywne">
    <w:name w:val="Intense Reference"/>
    <w:basedOn w:val="Domylnaczcionkaakapitu"/>
    <w:uiPriority w:val="32"/>
    <w:qFormat/>
    <w:rsid w:val="0098499A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2E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3D"/>
    <w:rPr>
      <w:rFonts w:ascii="Lato" w:hAnsi="Lato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3D"/>
    <w:rPr>
      <w:rFonts w:ascii="Lato" w:hAnsi="Lato"/>
      <w:b/>
      <w:bCs/>
      <w:sz w:val="20"/>
      <w:szCs w:val="20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D736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C2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hyperlink" Target="https://www.gov.pl/web/finanse/szacunkowe-wykonanie-budzetu" TargetMode="External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dane-fiskalne-na-potrzeby-nadzoru-budzetowego-ue" TargetMode="External"/><Relationship Id="rId17" Type="http://schemas.openxmlformats.org/officeDocument/2006/relationships/chart" Target="charts/chart1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finanse/budzety-jst" TargetMode="Externa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browser/view/gov_10q_ggnfa/default/table?lang=e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ane.gov.pl/pl/knowledgebase/useful-materials/trezor-api-interfejs-programistyczny-dla-systemu-trezor?lang=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c.europa.eu/eurostat/databrowser/view/gov_10a_exp/default/table?lang=en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databrowser/view/gov_10a_main/default/table?lang=en" TargetMode="External"/><Relationship Id="rId14" Type="http://schemas.openxmlformats.org/officeDocument/2006/relationships/hyperlink" Target="https://www.gov.pl/web/finanse/sprawozdania-operatywne-miesieczne" TargetMode="External"/><Relationship Id="rId22" Type="http://schemas.openxmlformats.org/officeDocument/2006/relationships/chart" Target="charts/chart6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BV\Desktop\Obja&#347;nienia%20podatkowe%20-%20og&#243;lny%20szablon%20MF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33578019355369E-2"/>
          <c:y val="3.0360475680062927E-2"/>
          <c:w val="0.93979933110367897"/>
          <c:h val="0.7996261396310503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Arkusz1!$M$2</c:f>
              <c:strCache>
                <c:ptCount val="1"/>
                <c:pt idx="0">
                  <c:v>wynik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multiLvlStrRef>
              <c:f>Arkusz1!$K$3:$L$14</c:f>
              <c:multiLvlStrCache>
                <c:ptCount val="12"/>
                <c:lvl>
                  <c:pt idx="0">
                    <c:v>III kw.</c:v>
                  </c:pt>
                  <c:pt idx="1">
                    <c:v>IV kw.</c:v>
                  </c:pt>
                  <c:pt idx="2">
                    <c:v>I kw.</c:v>
                  </c:pt>
                  <c:pt idx="3">
                    <c:v>II kw.</c:v>
                  </c:pt>
                  <c:pt idx="4">
                    <c:v>III kw.</c:v>
                  </c:pt>
                  <c:pt idx="5">
                    <c:v>IV kw.</c:v>
                  </c:pt>
                  <c:pt idx="6">
                    <c:v>I kw.</c:v>
                  </c:pt>
                  <c:pt idx="7">
                    <c:v>II kw.</c:v>
                  </c:pt>
                  <c:pt idx="8">
                    <c:v>III kw.</c:v>
                  </c:pt>
                  <c:pt idx="9">
                    <c:v>IV kw.</c:v>
                  </c:pt>
                  <c:pt idx="10">
                    <c:v>I kw.</c:v>
                  </c:pt>
                  <c:pt idx="11">
                    <c:v>II kw.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6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Arkusz1!$M$3:$M$14</c:f>
              <c:numCache>
                <c:formatCode>#\ ##0.0</c:formatCode>
                <c:ptCount val="12"/>
                <c:pt idx="0">
                  <c:v>0.5</c:v>
                </c:pt>
                <c:pt idx="1">
                  <c:v>-5.2</c:v>
                </c:pt>
                <c:pt idx="2">
                  <c:v>0.4</c:v>
                </c:pt>
                <c:pt idx="3">
                  <c:v>-0.7</c:v>
                </c:pt>
                <c:pt idx="4">
                  <c:v>-2.6</c:v>
                </c:pt>
                <c:pt idx="5">
                  <c:v>-9.6</c:v>
                </c:pt>
                <c:pt idx="6">
                  <c:v>-0.9</c:v>
                </c:pt>
                <c:pt idx="7">
                  <c:v>-3.5</c:v>
                </c:pt>
                <c:pt idx="8">
                  <c:v>-5.4</c:v>
                </c:pt>
                <c:pt idx="9">
                  <c:v>-10.5</c:v>
                </c:pt>
                <c:pt idx="10">
                  <c:v>-0.4</c:v>
                </c:pt>
                <c:pt idx="11">
                  <c:v>-7.3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4F-4BF9-911E-767FBEFD0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632112"/>
        <c:axId val="904624272"/>
      </c:barChart>
      <c:lineChart>
        <c:grouping val="standard"/>
        <c:varyColors val="0"/>
        <c:ser>
          <c:idx val="4"/>
          <c:order val="1"/>
          <c:tx>
            <c:strRef>
              <c:f>Arkusz1!$N$2</c:f>
              <c:strCache>
                <c:ptCount val="1"/>
                <c:pt idx="0">
                  <c:v>wynik pierwotny</c:v>
                </c:pt>
              </c:strCache>
            </c:strRef>
          </c:tx>
          <c:spPr>
            <a:ln w="44450">
              <a:solidFill>
                <a:srgbClr val="00863D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Arkusz1!$N$3:$N$14</c:f>
              <c:numCache>
                <c:formatCode>#\ ##0.0</c:formatCode>
                <c:ptCount val="12"/>
                <c:pt idx="0">
                  <c:v>1.7328574245403152</c:v>
                </c:pt>
                <c:pt idx="1">
                  <c:v>-4.3080702186040796</c:v>
                </c:pt>
                <c:pt idx="2">
                  <c:v>1.4411292606519652</c:v>
                </c:pt>
                <c:pt idx="3">
                  <c:v>0.70297433620298533</c:v>
                </c:pt>
                <c:pt idx="4">
                  <c:v>-1.0105194590721751</c:v>
                </c:pt>
                <c:pt idx="5">
                  <c:v>-7.5680821886987335</c:v>
                </c:pt>
                <c:pt idx="6">
                  <c:v>0.45001927313567608</c:v>
                </c:pt>
                <c:pt idx="7">
                  <c:v>-1.1804451087522045</c:v>
                </c:pt>
                <c:pt idx="8">
                  <c:v>-3.2059243911366546</c:v>
                </c:pt>
                <c:pt idx="9">
                  <c:v>-8.0468551705016669</c:v>
                </c:pt>
                <c:pt idx="10">
                  <c:v>1.7339251836369123</c:v>
                </c:pt>
                <c:pt idx="11">
                  <c:v>-4.9461916800414816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4F-4BF9-911E-767FBEFD0F4D}"/>
            </c:ext>
          </c:extLst>
        </c:ser>
        <c:ser>
          <c:idx val="5"/>
          <c:order val="2"/>
          <c:tx>
            <c:strRef>
              <c:f>Arkusz1!$O$2</c:f>
              <c:strCache>
                <c:ptCount val="1"/>
                <c:pt idx="0">
                  <c:v>wynik w ujęciu roku płynnego</c:v>
                </c:pt>
              </c:strCache>
            </c:strRef>
          </c:tx>
          <c:spPr>
            <a:ln w="4445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[2]dane!$A$60:$B$71</c:f>
              <c:multiLvlStrCache>
                <c:ptCount val="1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</c:lvl>
                <c:lvl>
                  <c:pt idx="1">
                    <c:v>2013</c:v>
                  </c:pt>
                  <c:pt idx="3">
                    <c:v>2013</c:v>
                  </c:pt>
                  <c:pt idx="7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Arkusz1!$O$3:$O$14</c:f>
              <c:numCache>
                <c:formatCode>#\ ##0.0</c:formatCode>
                <c:ptCount val="12"/>
                <c:pt idx="0">
                  <c:v>-1.9739020046988247</c:v>
                </c:pt>
                <c:pt idx="1">
                  <c:v>-1.7656315479701101</c:v>
                </c:pt>
                <c:pt idx="2">
                  <c:v>-1.3910728678115292</c:v>
                </c:pt>
                <c:pt idx="3">
                  <c:v>-1.3418346644137675</c:v>
                </c:pt>
                <c:pt idx="4">
                  <c:v>-2.0883023572086152</c:v>
                </c:pt>
                <c:pt idx="5">
                  <c:v>-3.4635441465040442</c:v>
                </c:pt>
                <c:pt idx="6">
                  <c:v>-3.6592564595867092</c:v>
                </c:pt>
                <c:pt idx="7">
                  <c:v>-4.262562469311507</c:v>
                </c:pt>
                <c:pt idx="8">
                  <c:v>-4.9392768624182732</c:v>
                </c:pt>
                <c:pt idx="9">
                  <c:v>-5.2764456789339667</c:v>
                </c:pt>
                <c:pt idx="10">
                  <c:v>-5.102039038599572</c:v>
                </c:pt>
                <c:pt idx="11">
                  <c:v>-6.0341015110237395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E4F-4BF9-911E-767FBEFD0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632112"/>
        <c:axId val="904624272"/>
      </c:lineChart>
      <c:catAx>
        <c:axId val="904632112"/>
        <c:scaling>
          <c:orientation val="minMax"/>
        </c:scaling>
        <c:delete val="0"/>
        <c:axPos val="b"/>
        <c:numFmt formatCode="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24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462427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Lato" panose="020F0502020204030203" pitchFamily="34" charset="-18"/>
              </a:defRPr>
            </a:pPr>
            <a:endParaRPr lang="pl-PL"/>
          </a:p>
        </c:txPr>
        <c:crossAx val="9046321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8895930167660597E-2"/>
          <c:y val="0.70902905374557534"/>
          <c:w val="0.51789709172259513"/>
          <c:h val="0.1084834683983448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+mj-lt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91968600404568E-2"/>
          <c:y val="1.5316811084321163E-2"/>
          <c:w val="0.94114393418943443"/>
          <c:h val="0.97523219814241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1-AFEA-4385-924B-D916CF096EC7}"/>
              </c:ext>
            </c:extLst>
          </c:dPt>
          <c:dPt>
            <c:idx val="1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3-AFEA-4385-924B-D916CF096EC7}"/>
              </c:ext>
            </c:extLst>
          </c:dPt>
          <c:dPt>
            <c:idx val="2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5-AFEA-4385-924B-D916CF096EC7}"/>
              </c:ext>
            </c:extLst>
          </c:dPt>
          <c:dPt>
            <c:idx val="3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7-AFEA-4385-924B-D916CF096EC7}"/>
              </c:ext>
            </c:extLst>
          </c:dPt>
          <c:dPt>
            <c:idx val="5"/>
            <c:invertIfNegative val="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9-AFEA-4385-924B-D916CF096EC7}"/>
              </c:ext>
            </c:extLst>
          </c:dPt>
          <c:cat>
            <c:strRef>
              <c:f>Arkusz1!$M$50:$M$54</c:f>
              <c:strCache>
                <c:ptCount val="5"/>
                <c:pt idx="0">
                  <c:v>składki na ubezpieczenia społeczne</c:v>
                </c:pt>
                <c:pt idx="1">
                  <c:v>podatki dochodowe</c:v>
                </c:pt>
                <c:pt idx="2">
                  <c:v>VAT</c:v>
                </c:pt>
                <c:pt idx="3">
                  <c:v>pozostałe podatki</c:v>
                </c:pt>
                <c:pt idx="4">
                  <c:v>inne dochody niepodatkowe</c:v>
                </c:pt>
              </c:strCache>
            </c:strRef>
          </c:cat>
          <c:val>
            <c:numRef>
              <c:f>Arkusz1!$N$50:$N$54</c:f>
              <c:numCache>
                <c:formatCode>0.0%</c:formatCode>
                <c:ptCount val="5"/>
                <c:pt idx="0">
                  <c:v>0.3727046250112877</c:v>
                </c:pt>
                <c:pt idx="1">
                  <c:v>0.14443399784339661</c:v>
                </c:pt>
                <c:pt idx="2">
                  <c:v>0.18691271068049869</c:v>
                </c:pt>
                <c:pt idx="3">
                  <c:v>0.1730328961696386</c:v>
                </c:pt>
                <c:pt idx="4">
                  <c:v>0.12291577029517846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FEA-4385-924B-D916CF096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8976"/>
        <c:axId val="904633288"/>
      </c:barChart>
      <c:catAx>
        <c:axId val="90462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3288"/>
        <c:crosses val="autoZero"/>
        <c:auto val="1"/>
        <c:lblAlgn val="ctr"/>
        <c:lblOffset val="100"/>
        <c:noMultiLvlLbl val="0"/>
      </c:catAx>
      <c:valAx>
        <c:axId val="90463328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904628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61680865837432"/>
          <c:y val="5.9518079028680025E-2"/>
          <c:w val="0.90635451505016718"/>
          <c:h val="0.70370370370370372"/>
        </c:manualLayout>
      </c:layout>
      <c:lineChart>
        <c:grouping val="standard"/>
        <c:varyColors val="0"/>
        <c:ser>
          <c:idx val="1"/>
          <c:order val="0"/>
          <c:tx>
            <c:v>VAT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'baza VAT'!$C$109:$D$121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7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'baza VAT'!$I$109:$I$121</c:f>
              <c:numCache>
                <c:formatCode>0.0%</c:formatCode>
                <c:ptCount val="13"/>
                <c:pt idx="0">
                  <c:v>1.2397526629791551</c:v>
                </c:pt>
                <c:pt idx="1">
                  <c:v>1.1139091012990971</c:v>
                </c:pt>
                <c:pt idx="2">
                  <c:v>1.1915132853584278</c:v>
                </c:pt>
                <c:pt idx="3">
                  <c:v>1.004661190263906</c:v>
                </c:pt>
                <c:pt idx="4">
                  <c:v>1.0457305137479296</c:v>
                </c:pt>
                <c:pt idx="5">
                  <c:v>1.0128600543715587</c:v>
                </c:pt>
                <c:pt idx="6">
                  <c:v>0.92652381777508352</c:v>
                </c:pt>
                <c:pt idx="7">
                  <c:v>1.2584099664743185</c:v>
                </c:pt>
                <c:pt idx="8">
                  <c:v>1.0535805451536151</c:v>
                </c:pt>
                <c:pt idx="9">
                  <c:v>1.1074179121334351</c:v>
                </c:pt>
                <c:pt idx="10">
                  <c:v>1.0800925873274869</c:v>
                </c:pt>
                <c:pt idx="11">
                  <c:v>1.1704348629365198</c:v>
                </c:pt>
                <c:pt idx="12">
                  <c:v>1.2444977727156565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F4-4E63-835E-E7472386E14B}"/>
            </c:ext>
          </c:extLst>
        </c:ser>
        <c:ser>
          <c:idx val="2"/>
          <c:order val="1"/>
          <c:tx>
            <c:v>VAT w ujęciu roku płynnego</c:v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multiLvlStrRef>
              <c:f>'baza VAT'!$C$109:$D$121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7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'baza VAT'!$J$109:$J$121</c:f>
              <c:numCache>
                <c:formatCode>0.0%</c:formatCode>
                <c:ptCount val="13"/>
                <c:pt idx="0">
                  <c:v>1.1924051068121391</c:v>
                </c:pt>
                <c:pt idx="1">
                  <c:v>1.1842326543708441</c:v>
                </c:pt>
                <c:pt idx="2">
                  <c:v>1.2106644296745606</c:v>
                </c:pt>
                <c:pt idx="3">
                  <c:v>1.1372281417565338</c:v>
                </c:pt>
                <c:pt idx="4">
                  <c:v>1.0942613513162156</c:v>
                </c:pt>
                <c:pt idx="5">
                  <c:v>1.0672062773852358</c:v>
                </c:pt>
                <c:pt idx="6">
                  <c:v>0.99224844380434396</c:v>
                </c:pt>
                <c:pt idx="7">
                  <c:v>1.0448130945493179</c:v>
                </c:pt>
                <c:pt idx="8">
                  <c:v>1.0466729568035193</c:v>
                </c:pt>
                <c:pt idx="9">
                  <c:v>1.0710769637244024</c:v>
                </c:pt>
                <c:pt idx="10">
                  <c:v>1.1182223530698931</c:v>
                </c:pt>
                <c:pt idx="11">
                  <c:v>1.1034581818971554</c:v>
                </c:pt>
                <c:pt idx="12">
                  <c:v>1.1481562288476301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F4-4E63-835E-E7472386E14B}"/>
            </c:ext>
          </c:extLst>
        </c:ser>
        <c:ser>
          <c:idx val="0"/>
          <c:order val="2"/>
          <c:tx>
            <c:v>Seria 1</c:v>
          </c:tx>
          <c:spPr>
            <a:ln w="19050"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multiLvlStrRef>
              <c:f>'baza VAT'!$C$109:$D$121</c:f>
              <c:multiLvlStrCache>
                <c:ptCount val="13"/>
                <c:lvl>
                  <c:pt idx="0">
                    <c:v>II kw.</c:v>
                  </c:pt>
                  <c:pt idx="1">
                    <c:v>III kw.</c:v>
                  </c:pt>
                  <c:pt idx="2">
                    <c:v>IV kw.</c:v>
                  </c:pt>
                  <c:pt idx="3">
                    <c:v>I kw.</c:v>
                  </c:pt>
                  <c:pt idx="4">
                    <c:v>II kw.</c:v>
                  </c:pt>
                  <c:pt idx="5">
                    <c:v>III kw.</c:v>
                  </c:pt>
                  <c:pt idx="6">
                    <c:v>IV kw.</c:v>
                  </c:pt>
                  <c:pt idx="7">
                    <c:v>I kw.</c:v>
                  </c:pt>
                  <c:pt idx="8">
                    <c:v>II kw.</c:v>
                  </c:pt>
                  <c:pt idx="9">
                    <c:v>III kw.</c:v>
                  </c:pt>
                  <c:pt idx="10">
                    <c:v>IV kw.</c:v>
                  </c:pt>
                  <c:pt idx="11">
                    <c:v>I kw.</c:v>
                  </c:pt>
                  <c:pt idx="12">
                    <c:v>II kw.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  <c:pt idx="7">
                    <c:v>2023</c:v>
                  </c:pt>
                  <c:pt idx="11">
                    <c:v>2024</c:v>
                  </c:pt>
                </c:lvl>
              </c:multiLvlStrCache>
            </c:multiLvlStrRef>
          </c:cat>
          <c:val>
            <c:numRef>
              <c:f>'baza VAT'!$K$109:$K$121</c:f>
              <c:numCache>
                <c:formatCode>0.0%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5F4-4E63-835E-E7472386E1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2606399"/>
        <c:axId val="1"/>
      </c:lineChart>
      <c:catAx>
        <c:axId val="111260639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pl-PL"/>
          </a:p>
        </c:txPr>
        <c:crossAx val="1"/>
        <c:crosses val="autoZero"/>
        <c:auto val="1"/>
        <c:lblAlgn val="ctr"/>
        <c:lblOffset val="0"/>
        <c:tickMarkSkip val="1"/>
        <c:noMultiLvlLbl val="0"/>
      </c:catAx>
      <c:valAx>
        <c:axId val="1"/>
        <c:scaling>
          <c:orientation val="minMax"/>
          <c:max val="1.4"/>
          <c:min val="0.8"/>
        </c:scaling>
        <c:delete val="0"/>
        <c:axPos val="l"/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112606399"/>
        <c:crosses val="autoZero"/>
        <c:crossBetween val="between"/>
        <c:majorUnit val="0.1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38054189531496524"/>
          <c:y val="5.2959501557632398E-2"/>
          <c:w val="0.59261249680714612"/>
          <c:h val="0.16510903426791276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Lato" panose="020F0502020204030203" pitchFamily="34" charset="-18"/>
          <a:ea typeface="Garamond"/>
          <a:cs typeface="Garamond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964086465128485E-2"/>
          <c:y val="0"/>
          <c:w val="0.93583735678643609"/>
          <c:h val="0.9502824748170459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8000"/>
              </a:solidFill>
            </c:spPr>
            <c:extLst>
              <c:ext xmlns:c16="http://schemas.microsoft.com/office/drawing/2014/chart" uri="{C3380CC4-5D6E-409C-BE32-E72D297353CC}">
                <c16:uniqueId val="{00000001-F3D7-4E78-8457-2678ABDB6ACB}"/>
              </c:ext>
            </c:extLst>
          </c:dPt>
          <c:dPt>
            <c:idx val="1"/>
            <c:invertIfNegative val="0"/>
            <c:bubble3D val="0"/>
            <c:spPr>
              <a:solidFill>
                <a:srgbClr val="E31837"/>
              </a:solidFill>
            </c:spPr>
            <c:extLst>
              <c:ext xmlns:c16="http://schemas.microsoft.com/office/drawing/2014/chart" uri="{C3380CC4-5D6E-409C-BE32-E72D297353CC}">
                <c16:uniqueId val="{00000003-F3D7-4E78-8457-2678ABDB6ACB}"/>
              </c:ext>
            </c:extLst>
          </c:dPt>
          <c:dPt>
            <c:idx val="2"/>
            <c:invertIfNegative val="0"/>
            <c:bubble3D val="0"/>
            <c:spPr>
              <a:solidFill>
                <a:srgbClr val="ADAFB2"/>
              </a:solidFill>
            </c:spPr>
            <c:extLst>
              <c:ext xmlns:c16="http://schemas.microsoft.com/office/drawing/2014/chart" uri="{C3380CC4-5D6E-409C-BE32-E72D297353CC}">
                <c16:uniqueId val="{00000005-F3D7-4E78-8457-2678ABDB6ACB}"/>
              </c:ext>
            </c:extLst>
          </c:dPt>
          <c:dPt>
            <c:idx val="3"/>
            <c:invertIfNegative val="0"/>
            <c:bubble3D val="0"/>
            <c:spPr>
              <a:solidFill>
                <a:srgbClr val="660066"/>
              </a:solidFill>
            </c:spPr>
            <c:extLst>
              <c:ext xmlns:c16="http://schemas.microsoft.com/office/drawing/2014/chart" uri="{C3380CC4-5D6E-409C-BE32-E72D297353CC}">
                <c16:uniqueId val="{00000007-F3D7-4E78-8457-2678ABDB6ACB}"/>
              </c:ext>
            </c:extLst>
          </c:dPt>
          <c:dPt>
            <c:idx val="4"/>
            <c:invertIfNegative val="0"/>
            <c:bubble3D val="0"/>
            <c:spPr>
              <a:solidFill>
                <a:srgbClr val="FFB547"/>
              </a:solidFill>
            </c:spPr>
            <c:extLst>
              <c:ext xmlns:c16="http://schemas.microsoft.com/office/drawing/2014/chart" uri="{C3380CC4-5D6E-409C-BE32-E72D297353CC}">
                <c16:uniqueId val="{00000009-F3D7-4E78-8457-2678ABDB6ACB}"/>
              </c:ext>
            </c:extLst>
          </c:dPt>
          <c:dPt>
            <c:idx val="5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B-F3D7-4E78-8457-2678ABDB6ACB}"/>
              </c:ext>
            </c:extLst>
          </c:dPt>
          <c:cat>
            <c:strRef>
              <c:f>Arkusz1!$Q$50:$Q$55</c:f>
              <c:strCache>
                <c:ptCount val="6"/>
                <c:pt idx="0">
                  <c:v>świadczenia socjalne</c:v>
                </c:pt>
                <c:pt idx="1">
                  <c:v>koszty pracy</c:v>
                </c:pt>
                <c:pt idx="2">
                  <c:v>zużycie pośrednie</c:v>
                </c:pt>
                <c:pt idx="3">
                  <c:v>inwestycje</c:v>
                </c:pt>
                <c:pt idx="4">
                  <c:v>odsetki</c:v>
                </c:pt>
                <c:pt idx="5">
                  <c:v>pozostałe</c:v>
                </c:pt>
              </c:strCache>
            </c:strRef>
          </c:cat>
          <c:val>
            <c:numRef>
              <c:f>Arkusz1!$R$50:$R$55</c:f>
              <c:numCache>
                <c:formatCode>0.0%</c:formatCode>
                <c:ptCount val="6"/>
                <c:pt idx="0">
                  <c:v>0.42613733290571754</c:v>
                </c:pt>
                <c:pt idx="1">
                  <c:v>0.22533077673679108</c:v>
                </c:pt>
                <c:pt idx="2">
                  <c:v>0.12351272725618508</c:v>
                </c:pt>
                <c:pt idx="3">
                  <c:v>9.1050319915750591E-2</c:v>
                </c:pt>
                <c:pt idx="4">
                  <c:v>4.6821654645658912E-2</c:v>
                </c:pt>
                <c:pt idx="5">
                  <c:v>8.714718853989678E-2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3D7-4E78-8457-2678ABDB6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04625056"/>
        <c:axId val="904634072"/>
      </c:barChart>
      <c:catAx>
        <c:axId val="9046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34072"/>
        <c:crosses val="autoZero"/>
        <c:auto val="1"/>
        <c:lblAlgn val="ctr"/>
        <c:lblOffset val="100"/>
        <c:noMultiLvlLbl val="0"/>
      </c:catAx>
      <c:valAx>
        <c:axId val="90463407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Lato" panose="020F0502020204030203" pitchFamily="34" charset="-18"/>
              </a:defRPr>
            </a:pPr>
            <a:endParaRPr lang="pl-PL"/>
          </a:p>
        </c:txPr>
        <c:crossAx val="9046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>
      <a:bevelT w="0" h="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3715377174383746E-2"/>
          <c:y val="3.2364206450431102E-2"/>
          <c:w val="0.80705595611020819"/>
          <c:h val="0.85664351738641364"/>
        </c:manualLayout>
      </c:layout>
      <c:barChart>
        <c:barDir val="col"/>
        <c:grouping val="stacked"/>
        <c:varyColors val="0"/>
        <c:ser>
          <c:idx val="3"/>
          <c:order val="1"/>
          <c:tx>
            <c:strRef>
              <c:f>dane!$A$3</c:f>
              <c:strCache>
                <c:ptCount val="1"/>
                <c:pt idx="0">
                  <c:v>mld zł</c:v>
                </c:pt>
              </c:strCache>
            </c:strRef>
          </c:tx>
          <c:spPr>
            <a:solidFill>
              <a:srgbClr val="E31837"/>
            </a:solidFill>
            <a:ln w="25400">
              <a:noFill/>
            </a:ln>
          </c:spPr>
          <c:invertIfNegative val="0"/>
          <c:cat>
            <c:strRef>
              <c:f>dane!$B$1:$M$1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I kw.
2024</c:v>
                </c:pt>
                <c:pt idx="11">
                  <c:v>II kw.
2024</c:v>
                </c:pt>
              </c:strCache>
            </c:strRef>
          </c:cat>
          <c:val>
            <c:numRef>
              <c:f>dane!$B$3:$M$3</c:f>
              <c:numCache>
                <c:formatCode>0.0</c:formatCode>
                <c:ptCount val="12"/>
                <c:pt idx="0">
                  <c:v>874.41675876114709</c:v>
                </c:pt>
                <c:pt idx="1">
                  <c:v>923.89350733267963</c:v>
                </c:pt>
                <c:pt idx="2">
                  <c:v>1010.0218675759083</c:v>
                </c:pt>
                <c:pt idx="3">
                  <c:v>1007.289617289917</c:v>
                </c:pt>
                <c:pt idx="4">
                  <c:v>1035.8602763932663</c:v>
                </c:pt>
                <c:pt idx="5">
                  <c:v>1046.1518371711734</c:v>
                </c:pt>
                <c:pt idx="6">
                  <c:v>1337.0431032803742</c:v>
                </c:pt>
                <c:pt idx="7">
                  <c:v>1410.9660897979431</c:v>
                </c:pt>
                <c:pt idx="8">
                  <c:v>1512.7777018135562</c:v>
                </c:pt>
                <c:pt idx="9">
                  <c:v>1691.2162246461146</c:v>
                </c:pt>
                <c:pt idx="10">
                  <c:v>1772.0390562327416</c:v>
                </c:pt>
                <c:pt idx="11">
                  <c:v>1824.5035077599116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52-46DF-862D-48E2C8CC9F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414294496"/>
        <c:axId val="414305080"/>
      </c:barChart>
      <c:lineChart>
        <c:grouping val="standard"/>
        <c:varyColors val="0"/>
        <c:ser>
          <c:idx val="1"/>
          <c:order val="0"/>
          <c:tx>
            <c:strRef>
              <c:f>dane!$A$2</c:f>
              <c:strCache>
                <c:ptCount val="1"/>
                <c:pt idx="0">
                  <c:v>% PKB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dane!$B$1:$M$1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I kw.
2024</c:v>
                </c:pt>
                <c:pt idx="11">
                  <c:v>II kw.
2024</c:v>
                </c:pt>
              </c:strCache>
            </c:strRef>
          </c:cat>
          <c:val>
            <c:numRef>
              <c:f>dane!$B$2:$M$2</c:f>
              <c:numCache>
                <c:formatCode>0.0%</c:formatCode>
                <c:ptCount val="12"/>
                <c:pt idx="0">
                  <c:v>0.5112995136556262</c:v>
                </c:pt>
                <c:pt idx="1">
                  <c:v>0.51056138789933903</c:v>
                </c:pt>
                <c:pt idx="2">
                  <c:v>0.54128805953820469</c:v>
                </c:pt>
                <c:pt idx="3">
                  <c:v>0.5044428372134302</c:v>
                </c:pt>
                <c:pt idx="4">
                  <c:v>0.48233681634004411</c:v>
                </c:pt>
                <c:pt idx="5">
                  <c:v>0.45211060372689627</c:v>
                </c:pt>
                <c:pt idx="6">
                  <c:v>0.56584621044668848</c:v>
                </c:pt>
                <c:pt idx="7">
                  <c:v>0.53013584345397746</c:v>
                </c:pt>
                <c:pt idx="8">
                  <c:v>0.48785903923555035</c:v>
                </c:pt>
                <c:pt idx="9">
                  <c:v>0.49718110678358618</c:v>
                </c:pt>
                <c:pt idx="10">
                  <c:v>0.51453292828775277</c:v>
                </c:pt>
                <c:pt idx="11">
                  <c:v>0.52333739164324056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52-46DF-862D-48E2C8CC9F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292928"/>
        <c:axId val="414294888"/>
      </c:lineChart>
      <c:catAx>
        <c:axId val="414294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Lato" panose="020F0502020204030203" pitchFamily="34" charset="-18"/>
              </a:defRPr>
            </a:pPr>
            <a:endParaRPr lang="pl-PL"/>
          </a:p>
        </c:txPr>
        <c:crossAx val="414305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4305080"/>
        <c:scaling>
          <c:orientation val="minMax"/>
          <c:max val="20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Lato" panose="020F0502020204030203" pitchFamily="34" charset="-18"/>
              </a:defRPr>
            </a:pPr>
            <a:endParaRPr lang="pl-PL"/>
          </a:p>
        </c:txPr>
        <c:crossAx val="414294496"/>
        <c:crosses val="autoZero"/>
        <c:crossBetween val="between"/>
        <c:majorUnit val="200"/>
      </c:valAx>
      <c:catAx>
        <c:axId val="4142929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4294888"/>
        <c:crosses val="autoZero"/>
        <c:auto val="1"/>
        <c:lblAlgn val="ctr"/>
        <c:lblOffset val="100"/>
        <c:noMultiLvlLbl val="0"/>
      </c:catAx>
      <c:valAx>
        <c:axId val="414294888"/>
        <c:scaling>
          <c:orientation val="minMax"/>
          <c:max val="1"/>
        </c:scaling>
        <c:delete val="0"/>
        <c:axPos val="r"/>
        <c:numFmt formatCode="0%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Lato" panose="020F0502020204030203" pitchFamily="34" charset="-18"/>
              </a:defRPr>
            </a:pPr>
            <a:endParaRPr lang="pl-PL"/>
          </a:p>
        </c:txPr>
        <c:crossAx val="414292928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3768646121725854E-2"/>
          <c:y val="3.6921756296044404E-2"/>
          <c:w val="0.41030827226334843"/>
          <c:h val="8.004626241938422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>
              <a:latin typeface="Lato" panose="020F0502020204030203" pitchFamily="34" charset="-18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331036451629566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dane!$A$215:$B$238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2023</c:v>
                  </c:pt>
                  <c:pt idx="18">
                    <c:v>2024</c:v>
                  </c:pt>
                </c:lvl>
              </c:multiLvlStrCache>
            </c:multiLvlStrRef>
          </c:cat>
          <c:val>
            <c:numRef>
              <c:f>dzienne!$I$3403:$I$3905</c:f>
              <c:numCache>
                <c:formatCode>0.00%</c:formatCode>
                <c:ptCount val="503"/>
                <c:pt idx="0">
                  <c:v>7.6299999999999993E-2</c:v>
                </c:pt>
                <c:pt idx="1">
                  <c:v>7.690000000000001E-2</c:v>
                </c:pt>
                <c:pt idx="2">
                  <c:v>7.7600000000000002E-2</c:v>
                </c:pt>
                <c:pt idx="3">
                  <c:v>7.7950000000000005E-2</c:v>
                </c:pt>
                <c:pt idx="4">
                  <c:v>7.9500000000000001E-2</c:v>
                </c:pt>
                <c:pt idx="5">
                  <c:v>7.7199999999999991E-2</c:v>
                </c:pt>
                <c:pt idx="6">
                  <c:v>7.46E-2</c:v>
                </c:pt>
                <c:pt idx="7">
                  <c:v>7.6600000000000001E-2</c:v>
                </c:pt>
                <c:pt idx="8">
                  <c:v>7.9000000000000001E-2</c:v>
                </c:pt>
                <c:pt idx="9">
                  <c:v>7.9899999999999999E-2</c:v>
                </c:pt>
                <c:pt idx="10">
                  <c:v>7.8399999999999997E-2</c:v>
                </c:pt>
                <c:pt idx="11">
                  <c:v>7.6799999999999993E-2</c:v>
                </c:pt>
                <c:pt idx="12">
                  <c:v>7.6799999999999993E-2</c:v>
                </c:pt>
                <c:pt idx="13">
                  <c:v>7.5499999999999998E-2</c:v>
                </c:pt>
                <c:pt idx="14">
                  <c:v>7.2400000000000006E-2</c:v>
                </c:pt>
                <c:pt idx="15">
                  <c:v>7.0999999999999994E-2</c:v>
                </c:pt>
                <c:pt idx="16">
                  <c:v>6.9199999999999998E-2</c:v>
                </c:pt>
                <c:pt idx="17">
                  <c:v>6.7500000000000004E-2</c:v>
                </c:pt>
                <c:pt idx="18">
                  <c:v>6.8199999999999997E-2</c:v>
                </c:pt>
                <c:pt idx="19">
                  <c:v>6.9199999999999998E-2</c:v>
                </c:pt>
                <c:pt idx="20">
                  <c:v>6.7099999999999993E-2</c:v>
                </c:pt>
                <c:pt idx="21">
                  <c:v>6.6400000000000001E-2</c:v>
                </c:pt>
                <c:pt idx="22">
                  <c:v>6.7400000000000002E-2</c:v>
                </c:pt>
                <c:pt idx="23">
                  <c:v>7.0400000000000004E-2</c:v>
                </c:pt>
                <c:pt idx="24">
                  <c:v>6.83E-2</c:v>
                </c:pt>
                <c:pt idx="25">
                  <c:v>6.59E-2</c:v>
                </c:pt>
                <c:pt idx="26">
                  <c:v>6.59E-2</c:v>
                </c:pt>
                <c:pt idx="27">
                  <c:v>6.6400000000000001E-2</c:v>
                </c:pt>
                <c:pt idx="28">
                  <c:v>6.5799999999999997E-2</c:v>
                </c:pt>
                <c:pt idx="29">
                  <c:v>6.5000000000000002E-2</c:v>
                </c:pt>
                <c:pt idx="30">
                  <c:v>6.4500000000000002E-2</c:v>
                </c:pt>
                <c:pt idx="31">
                  <c:v>6.59E-2</c:v>
                </c:pt>
                <c:pt idx="32">
                  <c:v>6.8400000000000002E-2</c:v>
                </c:pt>
                <c:pt idx="33">
                  <c:v>6.7699999999999996E-2</c:v>
                </c:pt>
                <c:pt idx="34">
                  <c:v>6.8499999999999991E-2</c:v>
                </c:pt>
                <c:pt idx="35">
                  <c:v>7.0499999999999993E-2</c:v>
                </c:pt>
                <c:pt idx="36">
                  <c:v>7.0900000000000005E-2</c:v>
                </c:pt>
                <c:pt idx="37">
                  <c:v>7.1800000000000003E-2</c:v>
                </c:pt>
                <c:pt idx="38">
                  <c:v>7.1800000000000003E-2</c:v>
                </c:pt>
                <c:pt idx="39">
                  <c:v>7.3300000000000004E-2</c:v>
                </c:pt>
                <c:pt idx="40">
                  <c:v>7.4299999999999991E-2</c:v>
                </c:pt>
                <c:pt idx="41">
                  <c:v>7.0800000000000002E-2</c:v>
                </c:pt>
                <c:pt idx="42">
                  <c:v>7.1099999999999997E-2</c:v>
                </c:pt>
                <c:pt idx="43">
                  <c:v>7.0699999999999999E-2</c:v>
                </c:pt>
                <c:pt idx="44">
                  <c:v>6.8499999999999991E-2</c:v>
                </c:pt>
                <c:pt idx="45">
                  <c:v>6.8499999999999991E-2</c:v>
                </c:pt>
                <c:pt idx="46">
                  <c:v>6.7900000000000002E-2</c:v>
                </c:pt>
                <c:pt idx="47">
                  <c:v>6.7400000000000002E-2</c:v>
                </c:pt>
                <c:pt idx="48">
                  <c:v>6.6699999999999995E-2</c:v>
                </c:pt>
                <c:pt idx="49">
                  <c:v>6.6400000000000001E-2</c:v>
                </c:pt>
                <c:pt idx="50">
                  <c:v>6.3299999999999995E-2</c:v>
                </c:pt>
                <c:pt idx="51">
                  <c:v>6.3399999999999998E-2</c:v>
                </c:pt>
                <c:pt idx="52">
                  <c:v>6.54E-2</c:v>
                </c:pt>
                <c:pt idx="53">
                  <c:v>6.6299999999999998E-2</c:v>
                </c:pt>
                <c:pt idx="54">
                  <c:v>6.6100000000000006E-2</c:v>
                </c:pt>
                <c:pt idx="55">
                  <c:v>6.59E-2</c:v>
                </c:pt>
                <c:pt idx="56">
                  <c:v>6.6000000000000003E-2</c:v>
                </c:pt>
                <c:pt idx="57">
                  <c:v>6.5000000000000002E-2</c:v>
                </c:pt>
                <c:pt idx="58">
                  <c:v>6.6799999999999998E-2</c:v>
                </c:pt>
                <c:pt idx="59">
                  <c:v>6.6799999999999998E-2</c:v>
                </c:pt>
                <c:pt idx="60">
                  <c:v>6.8499999999999991E-2</c:v>
                </c:pt>
                <c:pt idx="61">
                  <c:v>6.8900000000000003E-2</c:v>
                </c:pt>
                <c:pt idx="62">
                  <c:v>7.1099999999999997E-2</c:v>
                </c:pt>
                <c:pt idx="63">
                  <c:v>7.3370000000000005E-2</c:v>
                </c:pt>
                <c:pt idx="64">
                  <c:v>7.4299999999999991E-2</c:v>
                </c:pt>
                <c:pt idx="65">
                  <c:v>7.4499999999999997E-2</c:v>
                </c:pt>
                <c:pt idx="66">
                  <c:v>7.3399999999999993E-2</c:v>
                </c:pt>
                <c:pt idx="67">
                  <c:v>7.2999999999999995E-2</c:v>
                </c:pt>
                <c:pt idx="68">
                  <c:v>7.3499999999999996E-2</c:v>
                </c:pt>
                <c:pt idx="69">
                  <c:v>7.3800000000000004E-2</c:v>
                </c:pt>
                <c:pt idx="70">
                  <c:v>7.5700000000000003E-2</c:v>
                </c:pt>
                <c:pt idx="71">
                  <c:v>7.8100000000000003E-2</c:v>
                </c:pt>
                <c:pt idx="72">
                  <c:v>8.1500000000000003E-2</c:v>
                </c:pt>
                <c:pt idx="73">
                  <c:v>7.9299999999999995E-2</c:v>
                </c:pt>
                <c:pt idx="74">
                  <c:v>8.14E-2</c:v>
                </c:pt>
                <c:pt idx="75">
                  <c:v>8.4100000000000008E-2</c:v>
                </c:pt>
                <c:pt idx="76">
                  <c:v>8.6500000000000007E-2</c:v>
                </c:pt>
                <c:pt idx="77">
                  <c:v>8.7599999999999997E-2</c:v>
                </c:pt>
                <c:pt idx="78">
                  <c:v>9.01E-2</c:v>
                </c:pt>
                <c:pt idx="79">
                  <c:v>9.0999999999999998E-2</c:v>
                </c:pt>
                <c:pt idx="80">
                  <c:v>8.6300000000000002E-2</c:v>
                </c:pt>
                <c:pt idx="81">
                  <c:v>8.3499999999999991E-2</c:v>
                </c:pt>
                <c:pt idx="82">
                  <c:v>8.2200000000000009E-2</c:v>
                </c:pt>
                <c:pt idx="83">
                  <c:v>8.14E-2</c:v>
                </c:pt>
                <c:pt idx="84">
                  <c:v>8.3800000000000013E-2</c:v>
                </c:pt>
                <c:pt idx="85">
                  <c:v>8.6400000000000005E-2</c:v>
                </c:pt>
                <c:pt idx="86">
                  <c:v>8.6599999999999996E-2</c:v>
                </c:pt>
                <c:pt idx="87">
                  <c:v>8.4499999999999992E-2</c:v>
                </c:pt>
                <c:pt idx="88">
                  <c:v>8.2100000000000006E-2</c:v>
                </c:pt>
                <c:pt idx="89">
                  <c:v>8.09E-2</c:v>
                </c:pt>
                <c:pt idx="90">
                  <c:v>8.0199999999999994E-2</c:v>
                </c:pt>
                <c:pt idx="91">
                  <c:v>7.8E-2</c:v>
                </c:pt>
                <c:pt idx="92">
                  <c:v>7.3700000000000002E-2</c:v>
                </c:pt>
                <c:pt idx="93">
                  <c:v>7.2099999999999997E-2</c:v>
                </c:pt>
                <c:pt idx="94">
                  <c:v>7.0599999999999996E-2</c:v>
                </c:pt>
                <c:pt idx="95">
                  <c:v>7.1399999999999991E-2</c:v>
                </c:pt>
                <c:pt idx="96">
                  <c:v>7.2999999999999995E-2</c:v>
                </c:pt>
                <c:pt idx="97">
                  <c:v>7.3200000000000001E-2</c:v>
                </c:pt>
                <c:pt idx="98">
                  <c:v>7.2700000000000001E-2</c:v>
                </c:pt>
                <c:pt idx="99">
                  <c:v>7.1099999999999997E-2</c:v>
                </c:pt>
                <c:pt idx="100">
                  <c:v>7.1399999999999991E-2</c:v>
                </c:pt>
                <c:pt idx="101">
                  <c:v>6.9900000000000004E-2</c:v>
                </c:pt>
                <c:pt idx="102">
                  <c:v>7.2099999999999997E-2</c:v>
                </c:pt>
                <c:pt idx="103">
                  <c:v>7.0999999999999994E-2</c:v>
                </c:pt>
                <c:pt idx="104">
                  <c:v>7.0699999999999999E-2</c:v>
                </c:pt>
                <c:pt idx="105">
                  <c:v>7.0499999999999993E-2</c:v>
                </c:pt>
                <c:pt idx="106">
                  <c:v>6.8199999999999997E-2</c:v>
                </c:pt>
                <c:pt idx="107">
                  <c:v>6.7900000000000002E-2</c:v>
                </c:pt>
                <c:pt idx="108">
                  <c:v>6.9900000000000004E-2</c:v>
                </c:pt>
                <c:pt idx="109">
                  <c:v>6.9199999999999998E-2</c:v>
                </c:pt>
                <c:pt idx="110">
                  <c:v>6.83E-2</c:v>
                </c:pt>
                <c:pt idx="111">
                  <c:v>6.8099999999999994E-2</c:v>
                </c:pt>
                <c:pt idx="112">
                  <c:v>6.8199999999999997E-2</c:v>
                </c:pt>
                <c:pt idx="113">
                  <c:v>6.9699999999999998E-2</c:v>
                </c:pt>
                <c:pt idx="114">
                  <c:v>6.8400000000000002E-2</c:v>
                </c:pt>
                <c:pt idx="115">
                  <c:v>6.8099999999999994E-2</c:v>
                </c:pt>
                <c:pt idx="116">
                  <c:v>6.8199999999999997E-2</c:v>
                </c:pt>
                <c:pt idx="117">
                  <c:v>6.93E-2</c:v>
                </c:pt>
                <c:pt idx="118">
                  <c:v>7.0099999999999996E-2</c:v>
                </c:pt>
                <c:pt idx="119">
                  <c:v>6.8199999999999997E-2</c:v>
                </c:pt>
                <c:pt idx="120">
                  <c:v>6.7000000000000004E-2</c:v>
                </c:pt>
                <c:pt idx="121">
                  <c:v>6.7799999999999999E-2</c:v>
                </c:pt>
                <c:pt idx="122">
                  <c:v>6.7799999999999999E-2</c:v>
                </c:pt>
                <c:pt idx="123">
                  <c:v>6.7400000000000002E-2</c:v>
                </c:pt>
                <c:pt idx="124">
                  <c:v>6.7199999999999996E-2</c:v>
                </c:pt>
                <c:pt idx="125">
                  <c:v>6.8000000000000005E-2</c:v>
                </c:pt>
                <c:pt idx="126">
                  <c:v>6.8000000000000005E-2</c:v>
                </c:pt>
                <c:pt idx="127">
                  <c:v>6.6299999999999998E-2</c:v>
                </c:pt>
                <c:pt idx="128">
                  <c:v>6.4899999999999999E-2</c:v>
                </c:pt>
                <c:pt idx="129">
                  <c:v>6.3299999999999995E-2</c:v>
                </c:pt>
                <c:pt idx="130">
                  <c:v>6.2100000000000002E-2</c:v>
                </c:pt>
                <c:pt idx="131">
                  <c:v>5.9800000000000006E-2</c:v>
                </c:pt>
                <c:pt idx="132">
                  <c:v>6.0199999999999997E-2</c:v>
                </c:pt>
                <c:pt idx="133">
                  <c:v>5.8700000000000002E-2</c:v>
                </c:pt>
                <c:pt idx="134">
                  <c:v>5.8600000000000006E-2</c:v>
                </c:pt>
                <c:pt idx="135">
                  <c:v>5.9500000000000004E-2</c:v>
                </c:pt>
                <c:pt idx="136">
                  <c:v>5.9500000000000004E-2</c:v>
                </c:pt>
                <c:pt idx="137">
                  <c:v>5.9200000000000003E-2</c:v>
                </c:pt>
                <c:pt idx="138">
                  <c:v>5.8099999999999999E-2</c:v>
                </c:pt>
                <c:pt idx="139">
                  <c:v>5.91E-2</c:v>
                </c:pt>
                <c:pt idx="140">
                  <c:v>5.9900000000000002E-2</c:v>
                </c:pt>
                <c:pt idx="141">
                  <c:v>6.1100000000000002E-2</c:v>
                </c:pt>
                <c:pt idx="142">
                  <c:v>6.1100000000000002E-2</c:v>
                </c:pt>
                <c:pt idx="143">
                  <c:v>5.9800000000000006E-2</c:v>
                </c:pt>
                <c:pt idx="144">
                  <c:v>6.0400000000000002E-2</c:v>
                </c:pt>
                <c:pt idx="145">
                  <c:v>5.96E-2</c:v>
                </c:pt>
                <c:pt idx="146">
                  <c:v>6.0299999999999999E-2</c:v>
                </c:pt>
                <c:pt idx="147">
                  <c:v>6.0899999999999996E-2</c:v>
                </c:pt>
                <c:pt idx="148">
                  <c:v>6.0400000000000002E-2</c:v>
                </c:pt>
                <c:pt idx="149">
                  <c:v>5.91E-2</c:v>
                </c:pt>
                <c:pt idx="150">
                  <c:v>5.8600000000000006E-2</c:v>
                </c:pt>
                <c:pt idx="151">
                  <c:v>6.0499999999999998E-2</c:v>
                </c:pt>
                <c:pt idx="152">
                  <c:v>6.2100000000000002E-2</c:v>
                </c:pt>
                <c:pt idx="153">
                  <c:v>6.13E-2</c:v>
                </c:pt>
                <c:pt idx="154">
                  <c:v>6.0899999999999996E-2</c:v>
                </c:pt>
                <c:pt idx="155">
                  <c:v>6.2699999999999992E-2</c:v>
                </c:pt>
                <c:pt idx="156">
                  <c:v>6.2300000000000001E-2</c:v>
                </c:pt>
                <c:pt idx="157">
                  <c:v>6.2800000000000009E-2</c:v>
                </c:pt>
                <c:pt idx="158">
                  <c:v>6.2800000000000009E-2</c:v>
                </c:pt>
                <c:pt idx="159">
                  <c:v>6.4299999999999996E-2</c:v>
                </c:pt>
                <c:pt idx="160">
                  <c:v>6.3799999999999996E-2</c:v>
                </c:pt>
                <c:pt idx="161">
                  <c:v>6.4399999999999999E-2</c:v>
                </c:pt>
                <c:pt idx="162">
                  <c:v>6.4600000000000005E-2</c:v>
                </c:pt>
                <c:pt idx="163">
                  <c:v>6.4399999999999999E-2</c:v>
                </c:pt>
                <c:pt idx="164">
                  <c:v>6.3799999999999996E-2</c:v>
                </c:pt>
                <c:pt idx="165">
                  <c:v>6.3700000000000007E-2</c:v>
                </c:pt>
                <c:pt idx="166">
                  <c:v>6.3200000000000006E-2</c:v>
                </c:pt>
                <c:pt idx="167">
                  <c:v>6.2699999999999992E-2</c:v>
                </c:pt>
                <c:pt idx="168">
                  <c:v>6.3200000000000006E-2</c:v>
                </c:pt>
                <c:pt idx="169">
                  <c:v>6.480000000000001E-2</c:v>
                </c:pt>
                <c:pt idx="170">
                  <c:v>6.3600000000000004E-2</c:v>
                </c:pt>
                <c:pt idx="171">
                  <c:v>6.2800000000000009E-2</c:v>
                </c:pt>
                <c:pt idx="172">
                  <c:v>6.3099999999999989E-2</c:v>
                </c:pt>
                <c:pt idx="173">
                  <c:v>6.1900000000000004E-2</c:v>
                </c:pt>
                <c:pt idx="174">
                  <c:v>6.2100000000000002E-2</c:v>
                </c:pt>
                <c:pt idx="175">
                  <c:v>6.1600000000000002E-2</c:v>
                </c:pt>
                <c:pt idx="176">
                  <c:v>0.06</c:v>
                </c:pt>
                <c:pt idx="177">
                  <c:v>6.0599999999999994E-2</c:v>
                </c:pt>
                <c:pt idx="178">
                  <c:v>0.06</c:v>
                </c:pt>
                <c:pt idx="179">
                  <c:v>5.8799999999999998E-2</c:v>
                </c:pt>
                <c:pt idx="180">
                  <c:v>5.96E-2</c:v>
                </c:pt>
                <c:pt idx="181">
                  <c:v>5.8400000000000001E-2</c:v>
                </c:pt>
                <c:pt idx="182">
                  <c:v>5.8799999999999998E-2</c:v>
                </c:pt>
                <c:pt idx="183">
                  <c:v>5.91E-2</c:v>
                </c:pt>
                <c:pt idx="184">
                  <c:v>5.9500000000000004E-2</c:v>
                </c:pt>
                <c:pt idx="185">
                  <c:v>5.96E-2</c:v>
                </c:pt>
                <c:pt idx="186">
                  <c:v>6.0299999999999999E-2</c:v>
                </c:pt>
                <c:pt idx="187">
                  <c:v>6.0599999999999994E-2</c:v>
                </c:pt>
                <c:pt idx="188">
                  <c:v>6.08E-2</c:v>
                </c:pt>
                <c:pt idx="189">
                  <c:v>6.0599999999999994E-2</c:v>
                </c:pt>
                <c:pt idx="190">
                  <c:v>6.1200000000000004E-2</c:v>
                </c:pt>
                <c:pt idx="191">
                  <c:v>6.1200000000000004E-2</c:v>
                </c:pt>
                <c:pt idx="192">
                  <c:v>6.2100000000000002E-2</c:v>
                </c:pt>
                <c:pt idx="193">
                  <c:v>6.08E-2</c:v>
                </c:pt>
                <c:pt idx="194">
                  <c:v>6.1399999999999996E-2</c:v>
                </c:pt>
                <c:pt idx="195">
                  <c:v>6.0670000000000002E-2</c:v>
                </c:pt>
                <c:pt idx="196">
                  <c:v>6.1500000000000006E-2</c:v>
                </c:pt>
                <c:pt idx="197">
                  <c:v>6.2199999999999998E-2</c:v>
                </c:pt>
                <c:pt idx="198">
                  <c:v>6.2199999999999998E-2</c:v>
                </c:pt>
                <c:pt idx="199">
                  <c:v>6.1699999999999998E-2</c:v>
                </c:pt>
                <c:pt idx="200">
                  <c:v>6.1900000000000004E-2</c:v>
                </c:pt>
                <c:pt idx="201">
                  <c:v>6.1799999999999994E-2</c:v>
                </c:pt>
                <c:pt idx="202">
                  <c:v>6.2E-2</c:v>
                </c:pt>
                <c:pt idx="203">
                  <c:v>6.1500000000000006E-2</c:v>
                </c:pt>
                <c:pt idx="204">
                  <c:v>6.13E-2</c:v>
                </c:pt>
                <c:pt idx="205">
                  <c:v>6.0700000000000004E-2</c:v>
                </c:pt>
                <c:pt idx="206">
                  <c:v>5.9900000000000002E-2</c:v>
                </c:pt>
                <c:pt idx="207">
                  <c:v>5.9800000000000006E-2</c:v>
                </c:pt>
                <c:pt idx="208">
                  <c:v>5.9200000000000003E-2</c:v>
                </c:pt>
                <c:pt idx="209">
                  <c:v>5.8600000000000006E-2</c:v>
                </c:pt>
                <c:pt idx="210">
                  <c:v>5.8600000000000006E-2</c:v>
                </c:pt>
                <c:pt idx="211">
                  <c:v>5.8099999999999999E-2</c:v>
                </c:pt>
                <c:pt idx="212">
                  <c:v>5.79E-2</c:v>
                </c:pt>
                <c:pt idx="213">
                  <c:v>5.7599999999999998E-2</c:v>
                </c:pt>
                <c:pt idx="214">
                  <c:v>5.79E-2</c:v>
                </c:pt>
                <c:pt idx="215">
                  <c:v>5.7800000000000004E-2</c:v>
                </c:pt>
                <c:pt idx="216">
                  <c:v>5.7800000000000004E-2</c:v>
                </c:pt>
                <c:pt idx="217">
                  <c:v>5.7800000000000004E-2</c:v>
                </c:pt>
                <c:pt idx="218">
                  <c:v>5.8799999999999998E-2</c:v>
                </c:pt>
                <c:pt idx="219">
                  <c:v>5.9000000000000004E-2</c:v>
                </c:pt>
                <c:pt idx="220">
                  <c:v>5.9000000000000004E-2</c:v>
                </c:pt>
                <c:pt idx="221">
                  <c:v>6.0299999999999999E-2</c:v>
                </c:pt>
                <c:pt idx="222">
                  <c:v>5.9699999999999996E-2</c:v>
                </c:pt>
                <c:pt idx="223">
                  <c:v>0.06</c:v>
                </c:pt>
                <c:pt idx="224">
                  <c:v>6.0299999999999999E-2</c:v>
                </c:pt>
                <c:pt idx="225">
                  <c:v>6.0199999999999997E-2</c:v>
                </c:pt>
                <c:pt idx="226">
                  <c:v>6.08E-2</c:v>
                </c:pt>
                <c:pt idx="227">
                  <c:v>6.0899999999999996E-2</c:v>
                </c:pt>
                <c:pt idx="228">
                  <c:v>6.0499999999999998E-2</c:v>
                </c:pt>
                <c:pt idx="229">
                  <c:v>5.9299999999999999E-2</c:v>
                </c:pt>
                <c:pt idx="230">
                  <c:v>5.9699999999999996E-2</c:v>
                </c:pt>
                <c:pt idx="231">
                  <c:v>5.9800000000000006E-2</c:v>
                </c:pt>
                <c:pt idx="232">
                  <c:v>6.0199999999999997E-2</c:v>
                </c:pt>
                <c:pt idx="233">
                  <c:v>5.9699999999999996E-2</c:v>
                </c:pt>
                <c:pt idx="234">
                  <c:v>5.9500000000000004E-2</c:v>
                </c:pt>
                <c:pt idx="235">
                  <c:v>5.96E-2</c:v>
                </c:pt>
                <c:pt idx="236">
                  <c:v>5.9500000000000004E-2</c:v>
                </c:pt>
                <c:pt idx="237">
                  <c:v>5.9299999999999999E-2</c:v>
                </c:pt>
                <c:pt idx="238">
                  <c:v>5.9200000000000003E-2</c:v>
                </c:pt>
                <c:pt idx="239">
                  <c:v>0.06</c:v>
                </c:pt>
                <c:pt idx="240">
                  <c:v>5.9900000000000002E-2</c:v>
                </c:pt>
                <c:pt idx="241">
                  <c:v>6.0100000000000001E-2</c:v>
                </c:pt>
                <c:pt idx="242">
                  <c:v>5.9900000000000002E-2</c:v>
                </c:pt>
                <c:pt idx="243">
                  <c:v>5.96E-2</c:v>
                </c:pt>
                <c:pt idx="244">
                  <c:v>5.9500000000000004E-2</c:v>
                </c:pt>
                <c:pt idx="245">
                  <c:v>5.9400000000000001E-2</c:v>
                </c:pt>
                <c:pt idx="246">
                  <c:v>5.9200000000000003E-2</c:v>
                </c:pt>
                <c:pt idx="247">
                  <c:v>5.8499999999999996E-2</c:v>
                </c:pt>
                <c:pt idx="248">
                  <c:v>5.8400000000000001E-2</c:v>
                </c:pt>
                <c:pt idx="249">
                  <c:v>5.9299999999999999E-2</c:v>
                </c:pt>
                <c:pt idx="250">
                  <c:v>5.9299999999999999E-2</c:v>
                </c:pt>
                <c:pt idx="251">
                  <c:v>5.8400000000000001E-2</c:v>
                </c:pt>
                <c:pt idx="252">
                  <c:v>5.8099999999999999E-2</c:v>
                </c:pt>
                <c:pt idx="253">
                  <c:v>5.7599999999999998E-2</c:v>
                </c:pt>
                <c:pt idx="254">
                  <c:v>5.7999999999999996E-2</c:v>
                </c:pt>
                <c:pt idx="255">
                  <c:v>5.96E-2</c:v>
                </c:pt>
                <c:pt idx="256">
                  <c:v>5.8400000000000001E-2</c:v>
                </c:pt>
                <c:pt idx="257">
                  <c:v>5.6500000000000002E-2</c:v>
                </c:pt>
                <c:pt idx="258">
                  <c:v>5.5999999999999994E-2</c:v>
                </c:pt>
                <c:pt idx="259">
                  <c:v>5.4299999999999994E-2</c:v>
                </c:pt>
                <c:pt idx="260">
                  <c:v>5.2300000000000006E-2</c:v>
                </c:pt>
                <c:pt idx="261">
                  <c:v>5.33E-2</c:v>
                </c:pt>
                <c:pt idx="262">
                  <c:v>5.2600000000000001E-2</c:v>
                </c:pt>
                <c:pt idx="263">
                  <c:v>5.2600000000000001E-2</c:v>
                </c:pt>
                <c:pt idx="264">
                  <c:v>5.3899999999999997E-2</c:v>
                </c:pt>
                <c:pt idx="265">
                  <c:v>5.4400000000000004E-2</c:v>
                </c:pt>
                <c:pt idx="266">
                  <c:v>5.45E-2</c:v>
                </c:pt>
                <c:pt idx="267">
                  <c:v>5.4000000000000006E-2</c:v>
                </c:pt>
                <c:pt idx="268">
                  <c:v>5.4699999999999999E-2</c:v>
                </c:pt>
                <c:pt idx="269">
                  <c:v>5.4900000000000004E-2</c:v>
                </c:pt>
                <c:pt idx="270">
                  <c:v>5.4699999999999999E-2</c:v>
                </c:pt>
                <c:pt idx="271">
                  <c:v>5.45E-2</c:v>
                </c:pt>
                <c:pt idx="272">
                  <c:v>5.4000000000000006E-2</c:v>
                </c:pt>
                <c:pt idx="273">
                  <c:v>5.45E-2</c:v>
                </c:pt>
                <c:pt idx="274">
                  <c:v>5.4600000000000003E-2</c:v>
                </c:pt>
                <c:pt idx="275">
                  <c:v>5.5500000000000001E-2</c:v>
                </c:pt>
                <c:pt idx="276">
                  <c:v>5.45E-2</c:v>
                </c:pt>
                <c:pt idx="277">
                  <c:v>5.4299999999999994E-2</c:v>
                </c:pt>
                <c:pt idx="278">
                  <c:v>5.3899999999999997E-2</c:v>
                </c:pt>
                <c:pt idx="279">
                  <c:v>5.3540000000000004E-2</c:v>
                </c:pt>
                <c:pt idx="280">
                  <c:v>5.3600000000000002E-2</c:v>
                </c:pt>
                <c:pt idx="281">
                  <c:v>5.3899999999999997E-2</c:v>
                </c:pt>
                <c:pt idx="282">
                  <c:v>5.4199999999999998E-2</c:v>
                </c:pt>
                <c:pt idx="283">
                  <c:v>5.4299999999999994E-2</c:v>
                </c:pt>
                <c:pt idx="284">
                  <c:v>5.4800000000000001E-2</c:v>
                </c:pt>
                <c:pt idx="285">
                  <c:v>5.4600000000000003E-2</c:v>
                </c:pt>
                <c:pt idx="286">
                  <c:v>5.4600000000000003E-2</c:v>
                </c:pt>
                <c:pt idx="287">
                  <c:v>5.3800000000000001E-2</c:v>
                </c:pt>
                <c:pt idx="288">
                  <c:v>5.3399999999999996E-2</c:v>
                </c:pt>
                <c:pt idx="289">
                  <c:v>5.3600000000000002E-2</c:v>
                </c:pt>
                <c:pt idx="290">
                  <c:v>5.4000000000000006E-2</c:v>
                </c:pt>
                <c:pt idx="291">
                  <c:v>5.4100000000000002E-2</c:v>
                </c:pt>
                <c:pt idx="292">
                  <c:v>5.3800000000000001E-2</c:v>
                </c:pt>
                <c:pt idx="293">
                  <c:v>5.3099999999999994E-2</c:v>
                </c:pt>
                <c:pt idx="294">
                  <c:v>5.4100000000000002E-2</c:v>
                </c:pt>
                <c:pt idx="295">
                  <c:v>5.3200000000000004E-2</c:v>
                </c:pt>
                <c:pt idx="296">
                  <c:v>5.3600000000000002E-2</c:v>
                </c:pt>
                <c:pt idx="297">
                  <c:v>5.3600000000000002E-2</c:v>
                </c:pt>
                <c:pt idx="298">
                  <c:v>5.2400000000000002E-2</c:v>
                </c:pt>
                <c:pt idx="299">
                  <c:v>5.0999999999999997E-2</c:v>
                </c:pt>
                <c:pt idx="300">
                  <c:v>4.87E-2</c:v>
                </c:pt>
                <c:pt idx="301">
                  <c:v>4.7300000000000002E-2</c:v>
                </c:pt>
                <c:pt idx="302">
                  <c:v>4.7699999999999992E-2</c:v>
                </c:pt>
                <c:pt idx="303">
                  <c:v>4.8300000000000003E-2</c:v>
                </c:pt>
                <c:pt idx="304">
                  <c:v>4.8899999999999999E-2</c:v>
                </c:pt>
                <c:pt idx="305">
                  <c:v>4.87E-2</c:v>
                </c:pt>
                <c:pt idx="306">
                  <c:v>4.8899999999999999E-2</c:v>
                </c:pt>
                <c:pt idx="307">
                  <c:v>4.9400000000000006E-2</c:v>
                </c:pt>
                <c:pt idx="308">
                  <c:v>5.0199999999999995E-2</c:v>
                </c:pt>
                <c:pt idx="309">
                  <c:v>5.1500000000000004E-2</c:v>
                </c:pt>
                <c:pt idx="310">
                  <c:v>5.0999999999999997E-2</c:v>
                </c:pt>
                <c:pt idx="311">
                  <c:v>5.0799999999999998E-2</c:v>
                </c:pt>
                <c:pt idx="312">
                  <c:v>5.0799999999999998E-2</c:v>
                </c:pt>
                <c:pt idx="313">
                  <c:v>5.0199999999999995E-2</c:v>
                </c:pt>
                <c:pt idx="314">
                  <c:v>5.1799999999999999E-2</c:v>
                </c:pt>
                <c:pt idx="315">
                  <c:v>5.0700000000000002E-2</c:v>
                </c:pt>
                <c:pt idx="316">
                  <c:v>5.0300000000000004E-2</c:v>
                </c:pt>
                <c:pt idx="317">
                  <c:v>4.9699999999999994E-2</c:v>
                </c:pt>
                <c:pt idx="318">
                  <c:v>5.2000000000000005E-2</c:v>
                </c:pt>
                <c:pt idx="319">
                  <c:v>5.1799999999999999E-2</c:v>
                </c:pt>
                <c:pt idx="320">
                  <c:v>5.2400000000000002E-2</c:v>
                </c:pt>
                <c:pt idx="321">
                  <c:v>5.2499999999999998E-2</c:v>
                </c:pt>
                <c:pt idx="322">
                  <c:v>5.1900000000000002E-2</c:v>
                </c:pt>
                <c:pt idx="323">
                  <c:v>5.21E-2</c:v>
                </c:pt>
                <c:pt idx="324">
                  <c:v>5.28E-2</c:v>
                </c:pt>
                <c:pt idx="325">
                  <c:v>5.28E-2</c:v>
                </c:pt>
                <c:pt idx="326">
                  <c:v>5.4600000000000003E-2</c:v>
                </c:pt>
                <c:pt idx="327">
                  <c:v>5.3600000000000002E-2</c:v>
                </c:pt>
                <c:pt idx="328">
                  <c:v>5.28E-2</c:v>
                </c:pt>
                <c:pt idx="329">
                  <c:v>5.2999999999999999E-2</c:v>
                </c:pt>
                <c:pt idx="330">
                  <c:v>5.3200000000000004E-2</c:v>
                </c:pt>
                <c:pt idx="331">
                  <c:v>5.3499999999999999E-2</c:v>
                </c:pt>
                <c:pt idx="332">
                  <c:v>5.33E-2</c:v>
                </c:pt>
                <c:pt idx="333">
                  <c:v>5.2000000000000005E-2</c:v>
                </c:pt>
                <c:pt idx="334">
                  <c:v>5.2000000000000005E-2</c:v>
                </c:pt>
                <c:pt idx="335">
                  <c:v>5.2400000000000002E-2</c:v>
                </c:pt>
                <c:pt idx="336">
                  <c:v>5.2300000000000006E-2</c:v>
                </c:pt>
                <c:pt idx="337">
                  <c:v>5.1500000000000004E-2</c:v>
                </c:pt>
                <c:pt idx="338">
                  <c:v>5.1699999999999996E-2</c:v>
                </c:pt>
                <c:pt idx="339">
                  <c:v>5.2199999999999996E-2</c:v>
                </c:pt>
                <c:pt idx="340">
                  <c:v>5.2000000000000005E-2</c:v>
                </c:pt>
                <c:pt idx="341">
                  <c:v>5.2000000000000005E-2</c:v>
                </c:pt>
                <c:pt idx="342">
                  <c:v>5.28E-2</c:v>
                </c:pt>
                <c:pt idx="343">
                  <c:v>5.3699999999999998E-2</c:v>
                </c:pt>
                <c:pt idx="344">
                  <c:v>5.3600000000000002E-2</c:v>
                </c:pt>
                <c:pt idx="345">
                  <c:v>5.45E-2</c:v>
                </c:pt>
                <c:pt idx="346">
                  <c:v>5.3899999999999997E-2</c:v>
                </c:pt>
                <c:pt idx="347">
                  <c:v>5.4199999999999998E-2</c:v>
                </c:pt>
                <c:pt idx="348">
                  <c:v>5.3200000000000004E-2</c:v>
                </c:pt>
                <c:pt idx="349">
                  <c:v>5.33E-2</c:v>
                </c:pt>
                <c:pt idx="350">
                  <c:v>5.3800000000000001E-2</c:v>
                </c:pt>
                <c:pt idx="351">
                  <c:v>5.4299999999999994E-2</c:v>
                </c:pt>
                <c:pt idx="352">
                  <c:v>5.3699999999999998E-2</c:v>
                </c:pt>
                <c:pt idx="353">
                  <c:v>5.5199999999999999E-2</c:v>
                </c:pt>
                <c:pt idx="354">
                  <c:v>5.4299999999999994E-2</c:v>
                </c:pt>
                <c:pt idx="355">
                  <c:v>5.4100000000000002E-2</c:v>
                </c:pt>
                <c:pt idx="356">
                  <c:v>5.3699999999999998E-2</c:v>
                </c:pt>
                <c:pt idx="357">
                  <c:v>5.3399999999999996E-2</c:v>
                </c:pt>
                <c:pt idx="358">
                  <c:v>5.3699999999999998E-2</c:v>
                </c:pt>
                <c:pt idx="359">
                  <c:v>5.3699999999999998E-2</c:v>
                </c:pt>
                <c:pt idx="360">
                  <c:v>5.3600000000000002E-2</c:v>
                </c:pt>
                <c:pt idx="361">
                  <c:v>5.3200000000000004E-2</c:v>
                </c:pt>
                <c:pt idx="362">
                  <c:v>5.2900000000000003E-2</c:v>
                </c:pt>
                <c:pt idx="363">
                  <c:v>5.16E-2</c:v>
                </c:pt>
                <c:pt idx="364">
                  <c:v>5.2400000000000002E-2</c:v>
                </c:pt>
                <c:pt idx="365">
                  <c:v>5.2400000000000002E-2</c:v>
                </c:pt>
                <c:pt idx="366">
                  <c:v>5.0599999999999999E-2</c:v>
                </c:pt>
                <c:pt idx="367">
                  <c:v>5.1399999999999994E-2</c:v>
                </c:pt>
                <c:pt idx="368">
                  <c:v>5.0499999999999996E-2</c:v>
                </c:pt>
                <c:pt idx="369">
                  <c:v>5.0499999999999996E-2</c:v>
                </c:pt>
                <c:pt idx="370">
                  <c:v>5.04E-2</c:v>
                </c:pt>
                <c:pt idx="371">
                  <c:v>5.0199999999999995E-2</c:v>
                </c:pt>
                <c:pt idx="372">
                  <c:v>4.9400000000000006E-2</c:v>
                </c:pt>
                <c:pt idx="373">
                  <c:v>5.1399999999999994E-2</c:v>
                </c:pt>
                <c:pt idx="374">
                  <c:v>5.0700000000000002E-2</c:v>
                </c:pt>
                <c:pt idx="375">
                  <c:v>5.0799999999999998E-2</c:v>
                </c:pt>
                <c:pt idx="376">
                  <c:v>5.0999999999999997E-2</c:v>
                </c:pt>
                <c:pt idx="377">
                  <c:v>5.0799999999999998E-2</c:v>
                </c:pt>
                <c:pt idx="378">
                  <c:v>5.1799999999999999E-2</c:v>
                </c:pt>
                <c:pt idx="379">
                  <c:v>5.0900000000000001E-2</c:v>
                </c:pt>
                <c:pt idx="380">
                  <c:v>5.0599999999999999E-2</c:v>
                </c:pt>
                <c:pt idx="381">
                  <c:v>4.99E-2</c:v>
                </c:pt>
                <c:pt idx="382">
                  <c:v>4.9100000000000005E-2</c:v>
                </c:pt>
                <c:pt idx="383">
                  <c:v>4.8600000000000004E-2</c:v>
                </c:pt>
                <c:pt idx="384">
                  <c:v>4.9299999999999997E-2</c:v>
                </c:pt>
                <c:pt idx="385">
                  <c:v>4.9800000000000004E-2</c:v>
                </c:pt>
                <c:pt idx="386">
                  <c:v>4.9500000000000002E-2</c:v>
                </c:pt>
                <c:pt idx="387">
                  <c:v>5.1699999999999996E-2</c:v>
                </c:pt>
                <c:pt idx="388">
                  <c:v>5.0999999999999997E-2</c:v>
                </c:pt>
                <c:pt idx="389">
                  <c:v>5.1200000000000002E-2</c:v>
                </c:pt>
                <c:pt idx="390">
                  <c:v>5.1100000000000007E-2</c:v>
                </c:pt>
                <c:pt idx="391">
                  <c:v>5.0849999999999999E-2</c:v>
                </c:pt>
                <c:pt idx="392">
                  <c:v>5.0499999999999996E-2</c:v>
                </c:pt>
                <c:pt idx="393">
                  <c:v>5.0300000000000004E-2</c:v>
                </c:pt>
                <c:pt idx="394">
                  <c:v>5.0799999999999998E-2</c:v>
                </c:pt>
                <c:pt idx="395">
                  <c:v>5.1299999999999998E-2</c:v>
                </c:pt>
                <c:pt idx="396">
                  <c:v>5.1299999999999998E-2</c:v>
                </c:pt>
                <c:pt idx="397">
                  <c:v>5.1299999999999998E-2</c:v>
                </c:pt>
                <c:pt idx="398">
                  <c:v>5.1299999999999998E-2</c:v>
                </c:pt>
                <c:pt idx="399">
                  <c:v>5.16E-2</c:v>
                </c:pt>
                <c:pt idx="400">
                  <c:v>5.1799999999999999E-2</c:v>
                </c:pt>
                <c:pt idx="401">
                  <c:v>5.1299999999999998E-2</c:v>
                </c:pt>
                <c:pt idx="402">
                  <c:v>5.1399999999999994E-2</c:v>
                </c:pt>
                <c:pt idx="403">
                  <c:v>5.1500000000000004E-2</c:v>
                </c:pt>
                <c:pt idx="404">
                  <c:v>5.1500000000000004E-2</c:v>
                </c:pt>
                <c:pt idx="405">
                  <c:v>5.1699999999999996E-2</c:v>
                </c:pt>
                <c:pt idx="406">
                  <c:v>5.0700000000000002E-2</c:v>
                </c:pt>
                <c:pt idx="407">
                  <c:v>0.05</c:v>
                </c:pt>
                <c:pt idx="408">
                  <c:v>0.05</c:v>
                </c:pt>
                <c:pt idx="409">
                  <c:v>5.0700000000000002E-2</c:v>
                </c:pt>
                <c:pt idx="410">
                  <c:v>5.0300000000000004E-2</c:v>
                </c:pt>
                <c:pt idx="411">
                  <c:v>5.0499999999999996E-2</c:v>
                </c:pt>
                <c:pt idx="412">
                  <c:v>5.0300000000000004E-2</c:v>
                </c:pt>
                <c:pt idx="413">
                  <c:v>4.99E-2</c:v>
                </c:pt>
                <c:pt idx="414">
                  <c:v>4.99E-2</c:v>
                </c:pt>
                <c:pt idx="415">
                  <c:v>5.0099999999999999E-2</c:v>
                </c:pt>
                <c:pt idx="416">
                  <c:v>4.99E-2</c:v>
                </c:pt>
                <c:pt idx="417">
                  <c:v>0.05</c:v>
                </c:pt>
                <c:pt idx="418">
                  <c:v>5.0199999999999995E-2</c:v>
                </c:pt>
                <c:pt idx="419">
                  <c:v>5.0300000000000004E-2</c:v>
                </c:pt>
                <c:pt idx="420">
                  <c:v>5.0700000000000002E-2</c:v>
                </c:pt>
                <c:pt idx="421">
                  <c:v>5.0700000000000002E-2</c:v>
                </c:pt>
                <c:pt idx="422">
                  <c:v>5.0199999999999995E-2</c:v>
                </c:pt>
                <c:pt idx="423">
                  <c:v>5.0199999999999995E-2</c:v>
                </c:pt>
                <c:pt idx="424">
                  <c:v>5.0599999999999999E-2</c:v>
                </c:pt>
                <c:pt idx="425">
                  <c:v>5.0900000000000001E-2</c:v>
                </c:pt>
                <c:pt idx="426">
                  <c:v>5.0999999999999997E-2</c:v>
                </c:pt>
                <c:pt idx="427">
                  <c:v>5.04E-2</c:v>
                </c:pt>
                <c:pt idx="428">
                  <c:v>5.0999999999999997E-2</c:v>
                </c:pt>
                <c:pt idx="429">
                  <c:v>5.1299999999999998E-2</c:v>
                </c:pt>
                <c:pt idx="430">
                  <c:v>5.16E-2</c:v>
                </c:pt>
                <c:pt idx="431">
                  <c:v>5.1200000000000002E-2</c:v>
                </c:pt>
                <c:pt idx="432">
                  <c:v>5.1699999999999996E-2</c:v>
                </c:pt>
                <c:pt idx="433">
                  <c:v>5.1699999999999996E-2</c:v>
                </c:pt>
                <c:pt idx="434">
                  <c:v>5.16E-2</c:v>
                </c:pt>
                <c:pt idx="435">
                  <c:v>5.1500000000000004E-2</c:v>
                </c:pt>
                <c:pt idx="436">
                  <c:v>5.2400000000000002E-2</c:v>
                </c:pt>
                <c:pt idx="437">
                  <c:v>5.2499999999999998E-2</c:v>
                </c:pt>
                <c:pt idx="438">
                  <c:v>5.2300000000000006E-2</c:v>
                </c:pt>
                <c:pt idx="439">
                  <c:v>5.16E-2</c:v>
                </c:pt>
                <c:pt idx="440">
                  <c:v>5.1699999999999996E-2</c:v>
                </c:pt>
                <c:pt idx="441">
                  <c:v>5.167999999999999E-2</c:v>
                </c:pt>
                <c:pt idx="442">
                  <c:v>5.21E-2</c:v>
                </c:pt>
                <c:pt idx="443">
                  <c:v>5.21E-2</c:v>
                </c:pt>
                <c:pt idx="444">
                  <c:v>5.1500000000000004E-2</c:v>
                </c:pt>
                <c:pt idx="445">
                  <c:v>5.1799999999999999E-2</c:v>
                </c:pt>
                <c:pt idx="446">
                  <c:v>5.2199999999999996E-2</c:v>
                </c:pt>
                <c:pt idx="447">
                  <c:v>5.2000000000000005E-2</c:v>
                </c:pt>
                <c:pt idx="448">
                  <c:v>5.2499999999999998E-2</c:v>
                </c:pt>
                <c:pt idx="449">
                  <c:v>5.2900000000000003E-2</c:v>
                </c:pt>
                <c:pt idx="450">
                  <c:v>5.28E-2</c:v>
                </c:pt>
                <c:pt idx="451">
                  <c:v>5.3600000000000002E-2</c:v>
                </c:pt>
                <c:pt idx="452">
                  <c:v>5.4199999999999998E-2</c:v>
                </c:pt>
                <c:pt idx="453">
                  <c:v>5.33E-2</c:v>
                </c:pt>
                <c:pt idx="454">
                  <c:v>5.2699999999999997E-2</c:v>
                </c:pt>
                <c:pt idx="455">
                  <c:v>5.3399999999999996E-2</c:v>
                </c:pt>
                <c:pt idx="456">
                  <c:v>5.2699999999999997E-2</c:v>
                </c:pt>
                <c:pt idx="457">
                  <c:v>5.2999999999999999E-2</c:v>
                </c:pt>
                <c:pt idx="458">
                  <c:v>5.28E-2</c:v>
                </c:pt>
                <c:pt idx="459">
                  <c:v>5.4299999999999994E-2</c:v>
                </c:pt>
                <c:pt idx="460">
                  <c:v>5.3200000000000004E-2</c:v>
                </c:pt>
                <c:pt idx="461">
                  <c:v>5.3499999999999999E-2</c:v>
                </c:pt>
                <c:pt idx="462">
                  <c:v>5.3800000000000001E-2</c:v>
                </c:pt>
                <c:pt idx="463">
                  <c:v>5.3699999999999998E-2</c:v>
                </c:pt>
                <c:pt idx="464">
                  <c:v>5.3499999999999999E-2</c:v>
                </c:pt>
                <c:pt idx="465">
                  <c:v>5.3499999999999999E-2</c:v>
                </c:pt>
                <c:pt idx="466">
                  <c:v>5.3800000000000001E-2</c:v>
                </c:pt>
                <c:pt idx="467">
                  <c:v>5.4100000000000002E-2</c:v>
                </c:pt>
                <c:pt idx="468">
                  <c:v>5.3960000000000001E-2</c:v>
                </c:pt>
                <c:pt idx="469">
                  <c:v>5.4199999999999998E-2</c:v>
                </c:pt>
                <c:pt idx="470">
                  <c:v>5.3800000000000001E-2</c:v>
                </c:pt>
                <c:pt idx="471">
                  <c:v>5.3499999999999999E-2</c:v>
                </c:pt>
                <c:pt idx="472">
                  <c:v>5.3499999999999999E-2</c:v>
                </c:pt>
                <c:pt idx="473">
                  <c:v>5.3699999999999998E-2</c:v>
                </c:pt>
                <c:pt idx="474">
                  <c:v>5.33E-2</c:v>
                </c:pt>
                <c:pt idx="475">
                  <c:v>5.3499999999999999E-2</c:v>
                </c:pt>
                <c:pt idx="476">
                  <c:v>5.4000000000000006E-2</c:v>
                </c:pt>
                <c:pt idx="477">
                  <c:v>5.4000000000000006E-2</c:v>
                </c:pt>
                <c:pt idx="478">
                  <c:v>5.3899999999999997E-2</c:v>
                </c:pt>
                <c:pt idx="479">
                  <c:v>5.3600000000000002E-2</c:v>
                </c:pt>
                <c:pt idx="480">
                  <c:v>5.33E-2</c:v>
                </c:pt>
                <c:pt idx="481">
                  <c:v>5.33E-2</c:v>
                </c:pt>
                <c:pt idx="482">
                  <c:v>5.2499999999999998E-2</c:v>
                </c:pt>
                <c:pt idx="483">
                  <c:v>5.21E-2</c:v>
                </c:pt>
                <c:pt idx="484">
                  <c:v>5.2000000000000005E-2</c:v>
                </c:pt>
                <c:pt idx="485">
                  <c:v>5.1500000000000004E-2</c:v>
                </c:pt>
                <c:pt idx="486">
                  <c:v>5.2000000000000005E-2</c:v>
                </c:pt>
                <c:pt idx="487">
                  <c:v>5.2400000000000002E-2</c:v>
                </c:pt>
                <c:pt idx="488">
                  <c:v>5.3099999999999994E-2</c:v>
                </c:pt>
                <c:pt idx="489">
                  <c:v>5.2900000000000003E-2</c:v>
                </c:pt>
                <c:pt idx="490">
                  <c:v>5.2000000000000005E-2</c:v>
                </c:pt>
                <c:pt idx="491">
                  <c:v>5.2400000000000002E-2</c:v>
                </c:pt>
                <c:pt idx="492">
                  <c:v>5.28E-2</c:v>
                </c:pt>
                <c:pt idx="493">
                  <c:v>5.3099999999999994E-2</c:v>
                </c:pt>
                <c:pt idx="494">
                  <c:v>5.2300000000000006E-2</c:v>
                </c:pt>
                <c:pt idx="495">
                  <c:v>5.21E-2</c:v>
                </c:pt>
                <c:pt idx="496">
                  <c:v>5.2000000000000005E-2</c:v>
                </c:pt>
                <c:pt idx="497">
                  <c:v>5.1900000000000002E-2</c:v>
                </c:pt>
                <c:pt idx="498">
                  <c:v>5.1699999999999996E-2</c:v>
                </c:pt>
                <c:pt idx="499">
                  <c:v>5.1299999999999998E-2</c:v>
                </c:pt>
                <c:pt idx="500">
                  <c:v>5.16E-2</c:v>
                </c:pt>
                <c:pt idx="501">
                  <c:v>5.1200000000000002E-2</c:v>
                </c:pt>
                <c:pt idx="502">
                  <c:v>5.1299999999999998E-2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F6-4C16-B3D9-1714FA54C2F8}"/>
            </c:ext>
          </c:extLst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dane!$A$215:$B$238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2023</c:v>
                  </c:pt>
                  <c:pt idx="18">
                    <c:v>2024</c:v>
                  </c:pt>
                </c:lvl>
              </c:multiLvlStrCache>
            </c:multiLvlStrRef>
          </c:cat>
          <c:val>
            <c:numRef>
              <c:f>dzienne!$H$3403:$H$3905</c:f>
              <c:numCache>
                <c:formatCode>0.00%</c:formatCode>
                <c:ptCount val="503"/>
                <c:pt idx="0">
                  <c:v>6.9699999999999998E-2</c:v>
                </c:pt>
                <c:pt idx="1">
                  <c:v>7.0199999999999999E-2</c:v>
                </c:pt>
                <c:pt idx="2">
                  <c:v>7.2300000000000003E-2</c:v>
                </c:pt>
                <c:pt idx="3">
                  <c:v>7.1970000000000006E-2</c:v>
                </c:pt>
                <c:pt idx="4">
                  <c:v>7.1989999999999998E-2</c:v>
                </c:pt>
                <c:pt idx="5">
                  <c:v>7.1199999999999999E-2</c:v>
                </c:pt>
                <c:pt idx="6">
                  <c:v>6.8600000000000008E-2</c:v>
                </c:pt>
                <c:pt idx="7">
                  <c:v>7.0499999999999993E-2</c:v>
                </c:pt>
                <c:pt idx="8">
                  <c:v>7.22E-2</c:v>
                </c:pt>
                <c:pt idx="9">
                  <c:v>7.2800000000000004E-2</c:v>
                </c:pt>
                <c:pt idx="10">
                  <c:v>7.1599999999999997E-2</c:v>
                </c:pt>
                <c:pt idx="11">
                  <c:v>7.0699999999999999E-2</c:v>
                </c:pt>
                <c:pt idx="12">
                  <c:v>7.0800000000000002E-2</c:v>
                </c:pt>
                <c:pt idx="13">
                  <c:v>6.9699999999999998E-2</c:v>
                </c:pt>
                <c:pt idx="14">
                  <c:v>6.59E-2</c:v>
                </c:pt>
                <c:pt idx="15">
                  <c:v>6.2129999999999998E-2</c:v>
                </c:pt>
                <c:pt idx="16">
                  <c:v>6.2E-2</c:v>
                </c:pt>
                <c:pt idx="17">
                  <c:v>6.13E-2</c:v>
                </c:pt>
                <c:pt idx="18">
                  <c:v>6.2300000000000001E-2</c:v>
                </c:pt>
                <c:pt idx="19">
                  <c:v>6.25E-2</c:v>
                </c:pt>
                <c:pt idx="20">
                  <c:v>5.9660000000000005E-2</c:v>
                </c:pt>
                <c:pt idx="21">
                  <c:v>5.8700000000000002E-2</c:v>
                </c:pt>
                <c:pt idx="22">
                  <c:v>6.0700000000000004E-2</c:v>
                </c:pt>
                <c:pt idx="23">
                  <c:v>6.3500000000000001E-2</c:v>
                </c:pt>
                <c:pt idx="24">
                  <c:v>6.1399999999999996E-2</c:v>
                </c:pt>
                <c:pt idx="25">
                  <c:v>6.0299999999999999E-2</c:v>
                </c:pt>
                <c:pt idx="26">
                  <c:v>5.9699999999999996E-2</c:v>
                </c:pt>
                <c:pt idx="27">
                  <c:v>6.0599999999999994E-2</c:v>
                </c:pt>
                <c:pt idx="28">
                  <c:v>5.96E-2</c:v>
                </c:pt>
                <c:pt idx="29">
                  <c:v>5.79E-2</c:v>
                </c:pt>
                <c:pt idx="30">
                  <c:v>5.7099999999999998E-2</c:v>
                </c:pt>
                <c:pt idx="31">
                  <c:v>5.8499999999999996E-2</c:v>
                </c:pt>
                <c:pt idx="32">
                  <c:v>6.0700000000000004E-2</c:v>
                </c:pt>
                <c:pt idx="33">
                  <c:v>6.1699999999999998E-2</c:v>
                </c:pt>
                <c:pt idx="34">
                  <c:v>6.3399999999999998E-2</c:v>
                </c:pt>
                <c:pt idx="35">
                  <c:v>6.5000000000000002E-2</c:v>
                </c:pt>
                <c:pt idx="36">
                  <c:v>6.6400000000000001E-2</c:v>
                </c:pt>
                <c:pt idx="37">
                  <c:v>6.7400000000000002E-2</c:v>
                </c:pt>
                <c:pt idx="38">
                  <c:v>6.6600000000000006E-2</c:v>
                </c:pt>
                <c:pt idx="39">
                  <c:v>6.7000000000000004E-2</c:v>
                </c:pt>
                <c:pt idx="40">
                  <c:v>6.8600000000000008E-2</c:v>
                </c:pt>
                <c:pt idx="41">
                  <c:v>6.6600000000000006E-2</c:v>
                </c:pt>
                <c:pt idx="42">
                  <c:v>6.7199999999999996E-2</c:v>
                </c:pt>
                <c:pt idx="43">
                  <c:v>6.7099999999999993E-2</c:v>
                </c:pt>
                <c:pt idx="44">
                  <c:v>6.5700000000000008E-2</c:v>
                </c:pt>
                <c:pt idx="45">
                  <c:v>6.6699999999999995E-2</c:v>
                </c:pt>
                <c:pt idx="46">
                  <c:v>6.6699999999999995E-2</c:v>
                </c:pt>
                <c:pt idx="47">
                  <c:v>6.5700000000000008E-2</c:v>
                </c:pt>
                <c:pt idx="48">
                  <c:v>6.4699999999999994E-2</c:v>
                </c:pt>
                <c:pt idx="49">
                  <c:v>6.4000000000000001E-2</c:v>
                </c:pt>
                <c:pt idx="50">
                  <c:v>6.25E-2</c:v>
                </c:pt>
                <c:pt idx="51">
                  <c:v>6.2600000000000003E-2</c:v>
                </c:pt>
                <c:pt idx="52">
                  <c:v>6.4000000000000001E-2</c:v>
                </c:pt>
                <c:pt idx="53">
                  <c:v>6.5299999999999997E-2</c:v>
                </c:pt>
                <c:pt idx="54">
                  <c:v>6.5099999999999991E-2</c:v>
                </c:pt>
                <c:pt idx="55">
                  <c:v>6.5299999999999997E-2</c:v>
                </c:pt>
                <c:pt idx="56">
                  <c:v>6.54E-2</c:v>
                </c:pt>
                <c:pt idx="57">
                  <c:v>6.4699999999999994E-2</c:v>
                </c:pt>
                <c:pt idx="58">
                  <c:v>6.5799999999999997E-2</c:v>
                </c:pt>
                <c:pt idx="59">
                  <c:v>6.7699999999999996E-2</c:v>
                </c:pt>
                <c:pt idx="60">
                  <c:v>7.1099999999999997E-2</c:v>
                </c:pt>
                <c:pt idx="61">
                  <c:v>7.1599999999999997E-2</c:v>
                </c:pt>
                <c:pt idx="62">
                  <c:v>7.2800000000000004E-2</c:v>
                </c:pt>
                <c:pt idx="63">
                  <c:v>7.4679999999999996E-2</c:v>
                </c:pt>
                <c:pt idx="64">
                  <c:v>7.3899999999999993E-2</c:v>
                </c:pt>
                <c:pt idx="65">
                  <c:v>7.2999999999999995E-2</c:v>
                </c:pt>
                <c:pt idx="66">
                  <c:v>7.1800000000000003E-2</c:v>
                </c:pt>
                <c:pt idx="67">
                  <c:v>7.3399999999999993E-2</c:v>
                </c:pt>
                <c:pt idx="68">
                  <c:v>7.400000000000001E-2</c:v>
                </c:pt>
                <c:pt idx="69">
                  <c:v>7.5700000000000003E-2</c:v>
                </c:pt>
                <c:pt idx="70">
                  <c:v>7.7300000000000008E-2</c:v>
                </c:pt>
                <c:pt idx="71">
                  <c:v>0.08</c:v>
                </c:pt>
                <c:pt idx="72">
                  <c:v>8.3199999999999996E-2</c:v>
                </c:pt>
                <c:pt idx="73">
                  <c:v>8.0199999999999994E-2</c:v>
                </c:pt>
                <c:pt idx="74">
                  <c:v>0.08</c:v>
                </c:pt>
                <c:pt idx="75">
                  <c:v>8.2599999999999993E-2</c:v>
                </c:pt>
                <c:pt idx="76">
                  <c:v>8.48E-2</c:v>
                </c:pt>
                <c:pt idx="77">
                  <c:v>8.6800000000000002E-2</c:v>
                </c:pt>
                <c:pt idx="78">
                  <c:v>8.8599999999999998E-2</c:v>
                </c:pt>
                <c:pt idx="79">
                  <c:v>9.0399999999999994E-2</c:v>
                </c:pt>
                <c:pt idx="80">
                  <c:v>8.5900000000000004E-2</c:v>
                </c:pt>
                <c:pt idx="81">
                  <c:v>8.2799999999999999E-2</c:v>
                </c:pt>
                <c:pt idx="82">
                  <c:v>8.1900000000000001E-2</c:v>
                </c:pt>
                <c:pt idx="83">
                  <c:v>8.14E-2</c:v>
                </c:pt>
                <c:pt idx="84">
                  <c:v>8.3599999999999994E-2</c:v>
                </c:pt>
                <c:pt idx="85">
                  <c:v>8.6300000000000002E-2</c:v>
                </c:pt>
                <c:pt idx="86">
                  <c:v>8.5800000000000001E-2</c:v>
                </c:pt>
                <c:pt idx="87">
                  <c:v>8.5699999999999998E-2</c:v>
                </c:pt>
                <c:pt idx="88">
                  <c:v>8.4600000000000009E-2</c:v>
                </c:pt>
                <c:pt idx="89">
                  <c:v>8.2299999999999998E-2</c:v>
                </c:pt>
                <c:pt idx="90">
                  <c:v>8.1099999999999992E-2</c:v>
                </c:pt>
                <c:pt idx="91">
                  <c:v>7.9699999999999993E-2</c:v>
                </c:pt>
                <c:pt idx="92">
                  <c:v>7.7100000000000002E-2</c:v>
                </c:pt>
                <c:pt idx="93">
                  <c:v>7.4800000000000005E-2</c:v>
                </c:pt>
                <c:pt idx="94">
                  <c:v>7.2499999999999995E-2</c:v>
                </c:pt>
                <c:pt idx="95">
                  <c:v>7.2599999999999998E-2</c:v>
                </c:pt>
                <c:pt idx="96">
                  <c:v>7.400000000000001E-2</c:v>
                </c:pt>
                <c:pt idx="97">
                  <c:v>7.3499999999999996E-2</c:v>
                </c:pt>
                <c:pt idx="98">
                  <c:v>7.3399999999999993E-2</c:v>
                </c:pt>
                <c:pt idx="99">
                  <c:v>7.0800000000000002E-2</c:v>
                </c:pt>
                <c:pt idx="100">
                  <c:v>7.1300000000000002E-2</c:v>
                </c:pt>
                <c:pt idx="101">
                  <c:v>6.9599999999999995E-2</c:v>
                </c:pt>
                <c:pt idx="102">
                  <c:v>7.22E-2</c:v>
                </c:pt>
                <c:pt idx="103">
                  <c:v>7.0900000000000005E-2</c:v>
                </c:pt>
                <c:pt idx="104">
                  <c:v>7.0199999999999999E-2</c:v>
                </c:pt>
                <c:pt idx="105">
                  <c:v>6.9699999999999998E-2</c:v>
                </c:pt>
                <c:pt idx="106">
                  <c:v>6.6900000000000001E-2</c:v>
                </c:pt>
                <c:pt idx="107">
                  <c:v>6.6799999999999998E-2</c:v>
                </c:pt>
                <c:pt idx="108">
                  <c:v>6.9599999999999995E-2</c:v>
                </c:pt>
                <c:pt idx="109">
                  <c:v>6.83E-2</c:v>
                </c:pt>
                <c:pt idx="110">
                  <c:v>6.6900000000000001E-2</c:v>
                </c:pt>
                <c:pt idx="111">
                  <c:v>6.6199999999999995E-2</c:v>
                </c:pt>
                <c:pt idx="112">
                  <c:v>6.6199999999999995E-2</c:v>
                </c:pt>
                <c:pt idx="113">
                  <c:v>6.6600000000000006E-2</c:v>
                </c:pt>
                <c:pt idx="114">
                  <c:v>6.6199999999999995E-2</c:v>
                </c:pt>
                <c:pt idx="115">
                  <c:v>6.5299999999999997E-2</c:v>
                </c:pt>
                <c:pt idx="116">
                  <c:v>6.6299999999999998E-2</c:v>
                </c:pt>
                <c:pt idx="117">
                  <c:v>6.8000000000000005E-2</c:v>
                </c:pt>
                <c:pt idx="118">
                  <c:v>6.9199999999999998E-2</c:v>
                </c:pt>
                <c:pt idx="119">
                  <c:v>6.8900000000000003E-2</c:v>
                </c:pt>
                <c:pt idx="120">
                  <c:v>6.7299999999999999E-2</c:v>
                </c:pt>
                <c:pt idx="121">
                  <c:v>6.8400000000000002E-2</c:v>
                </c:pt>
                <c:pt idx="122">
                  <c:v>6.8699999999999997E-2</c:v>
                </c:pt>
                <c:pt idx="123">
                  <c:v>6.8499999999999991E-2</c:v>
                </c:pt>
                <c:pt idx="124">
                  <c:v>6.8699999999999997E-2</c:v>
                </c:pt>
                <c:pt idx="125">
                  <c:v>6.9599999999999995E-2</c:v>
                </c:pt>
                <c:pt idx="126">
                  <c:v>6.9199999999999998E-2</c:v>
                </c:pt>
                <c:pt idx="127">
                  <c:v>6.7299999999999999E-2</c:v>
                </c:pt>
                <c:pt idx="128">
                  <c:v>6.5599999999999992E-2</c:v>
                </c:pt>
                <c:pt idx="129">
                  <c:v>6.3200000000000006E-2</c:v>
                </c:pt>
                <c:pt idx="130">
                  <c:v>6.1200000000000004E-2</c:v>
                </c:pt>
                <c:pt idx="131">
                  <c:v>5.7099999999999998E-2</c:v>
                </c:pt>
                <c:pt idx="132">
                  <c:v>5.9400000000000001E-2</c:v>
                </c:pt>
                <c:pt idx="133">
                  <c:v>5.8700000000000002E-2</c:v>
                </c:pt>
                <c:pt idx="134">
                  <c:v>5.8099999999999999E-2</c:v>
                </c:pt>
                <c:pt idx="135">
                  <c:v>5.96E-2</c:v>
                </c:pt>
                <c:pt idx="136">
                  <c:v>5.9900000000000002E-2</c:v>
                </c:pt>
                <c:pt idx="137">
                  <c:v>0.06</c:v>
                </c:pt>
                <c:pt idx="138">
                  <c:v>5.7500000000000002E-2</c:v>
                </c:pt>
                <c:pt idx="139">
                  <c:v>5.8600000000000006E-2</c:v>
                </c:pt>
                <c:pt idx="140">
                  <c:v>5.9400000000000001E-2</c:v>
                </c:pt>
                <c:pt idx="141">
                  <c:v>6.0299999999999999E-2</c:v>
                </c:pt>
                <c:pt idx="142">
                  <c:v>6.0199999999999997E-2</c:v>
                </c:pt>
                <c:pt idx="143">
                  <c:v>5.9299999999999999E-2</c:v>
                </c:pt>
                <c:pt idx="144">
                  <c:v>5.9200000000000003E-2</c:v>
                </c:pt>
                <c:pt idx="145">
                  <c:v>5.8299999999999998E-2</c:v>
                </c:pt>
                <c:pt idx="146">
                  <c:v>5.9000000000000004E-2</c:v>
                </c:pt>
                <c:pt idx="147">
                  <c:v>5.9800000000000006E-2</c:v>
                </c:pt>
                <c:pt idx="148">
                  <c:v>5.9000000000000004E-2</c:v>
                </c:pt>
                <c:pt idx="149">
                  <c:v>5.6900000000000006E-2</c:v>
                </c:pt>
                <c:pt idx="150">
                  <c:v>5.6299999999999996E-2</c:v>
                </c:pt>
                <c:pt idx="151">
                  <c:v>5.8700000000000002E-2</c:v>
                </c:pt>
                <c:pt idx="152">
                  <c:v>6.0199999999999997E-2</c:v>
                </c:pt>
                <c:pt idx="153">
                  <c:v>5.96E-2</c:v>
                </c:pt>
                <c:pt idx="154">
                  <c:v>5.8499999999999996E-2</c:v>
                </c:pt>
                <c:pt idx="155">
                  <c:v>6.0499999999999998E-2</c:v>
                </c:pt>
                <c:pt idx="156">
                  <c:v>6.1500000000000006E-2</c:v>
                </c:pt>
                <c:pt idx="157">
                  <c:v>6.1600000000000002E-2</c:v>
                </c:pt>
                <c:pt idx="158">
                  <c:v>6.1399999999999996E-2</c:v>
                </c:pt>
                <c:pt idx="159">
                  <c:v>6.4000000000000001E-2</c:v>
                </c:pt>
                <c:pt idx="160">
                  <c:v>6.4600000000000005E-2</c:v>
                </c:pt>
                <c:pt idx="161">
                  <c:v>6.5299999999999997E-2</c:v>
                </c:pt>
                <c:pt idx="162">
                  <c:v>6.7199999999999996E-2</c:v>
                </c:pt>
                <c:pt idx="163">
                  <c:v>6.6299999999999998E-2</c:v>
                </c:pt>
                <c:pt idx="164">
                  <c:v>6.5799999999999997E-2</c:v>
                </c:pt>
                <c:pt idx="165">
                  <c:v>6.5700000000000008E-2</c:v>
                </c:pt>
                <c:pt idx="166">
                  <c:v>6.5099999999999991E-2</c:v>
                </c:pt>
                <c:pt idx="167">
                  <c:v>6.4600000000000005E-2</c:v>
                </c:pt>
                <c:pt idx="168">
                  <c:v>6.54E-2</c:v>
                </c:pt>
                <c:pt idx="169">
                  <c:v>6.6600000000000006E-2</c:v>
                </c:pt>
                <c:pt idx="170">
                  <c:v>6.5500000000000003E-2</c:v>
                </c:pt>
                <c:pt idx="171">
                  <c:v>6.4399999999999999E-2</c:v>
                </c:pt>
                <c:pt idx="172">
                  <c:v>6.4100000000000004E-2</c:v>
                </c:pt>
                <c:pt idx="173">
                  <c:v>6.3099999999999989E-2</c:v>
                </c:pt>
                <c:pt idx="174">
                  <c:v>6.25E-2</c:v>
                </c:pt>
                <c:pt idx="175">
                  <c:v>6.1699999999999998E-2</c:v>
                </c:pt>
                <c:pt idx="176">
                  <c:v>5.9900000000000002E-2</c:v>
                </c:pt>
                <c:pt idx="177">
                  <c:v>6.1699999999999998E-2</c:v>
                </c:pt>
                <c:pt idx="178">
                  <c:v>6.0400000000000002E-2</c:v>
                </c:pt>
                <c:pt idx="179">
                  <c:v>5.9200000000000003E-2</c:v>
                </c:pt>
                <c:pt idx="180">
                  <c:v>5.91E-2</c:v>
                </c:pt>
                <c:pt idx="181">
                  <c:v>5.8499999999999996E-2</c:v>
                </c:pt>
                <c:pt idx="182">
                  <c:v>5.9299999999999999E-2</c:v>
                </c:pt>
                <c:pt idx="183">
                  <c:v>5.9299999999999999E-2</c:v>
                </c:pt>
                <c:pt idx="184">
                  <c:v>5.9200000000000003E-2</c:v>
                </c:pt>
                <c:pt idx="185">
                  <c:v>5.9299999999999999E-2</c:v>
                </c:pt>
                <c:pt idx="186">
                  <c:v>5.9900000000000002E-2</c:v>
                </c:pt>
                <c:pt idx="187">
                  <c:v>6.0499999999999998E-2</c:v>
                </c:pt>
                <c:pt idx="188">
                  <c:v>0.06</c:v>
                </c:pt>
                <c:pt idx="189">
                  <c:v>5.9900000000000002E-2</c:v>
                </c:pt>
                <c:pt idx="190">
                  <c:v>5.9800000000000006E-2</c:v>
                </c:pt>
                <c:pt idx="191">
                  <c:v>0.06</c:v>
                </c:pt>
                <c:pt idx="192">
                  <c:v>6.1200000000000004E-2</c:v>
                </c:pt>
                <c:pt idx="193">
                  <c:v>6.08E-2</c:v>
                </c:pt>
                <c:pt idx="194">
                  <c:v>6.0700000000000004E-2</c:v>
                </c:pt>
                <c:pt idx="195">
                  <c:v>6.0220000000000003E-2</c:v>
                </c:pt>
                <c:pt idx="196">
                  <c:v>6.1200000000000004E-2</c:v>
                </c:pt>
                <c:pt idx="197">
                  <c:v>6.1600000000000002E-2</c:v>
                </c:pt>
                <c:pt idx="198">
                  <c:v>6.1900000000000004E-2</c:v>
                </c:pt>
                <c:pt idx="199">
                  <c:v>6.1799999999999994E-2</c:v>
                </c:pt>
                <c:pt idx="200">
                  <c:v>6.1399999999999996E-2</c:v>
                </c:pt>
                <c:pt idx="201">
                  <c:v>6.1399999999999996E-2</c:v>
                </c:pt>
                <c:pt idx="202">
                  <c:v>6.1699999999999998E-2</c:v>
                </c:pt>
                <c:pt idx="203">
                  <c:v>6.1399999999999996E-2</c:v>
                </c:pt>
                <c:pt idx="204">
                  <c:v>6.0899999999999996E-2</c:v>
                </c:pt>
                <c:pt idx="205">
                  <c:v>6.0299999999999999E-2</c:v>
                </c:pt>
                <c:pt idx="206">
                  <c:v>5.9500000000000004E-2</c:v>
                </c:pt>
                <c:pt idx="207">
                  <c:v>5.9699999999999996E-2</c:v>
                </c:pt>
                <c:pt idx="208">
                  <c:v>5.9800000000000006E-2</c:v>
                </c:pt>
                <c:pt idx="209">
                  <c:v>5.8799999999999998E-2</c:v>
                </c:pt>
                <c:pt idx="210">
                  <c:v>5.8600000000000006E-2</c:v>
                </c:pt>
                <c:pt idx="211">
                  <c:v>5.8299999999999998E-2</c:v>
                </c:pt>
                <c:pt idx="212">
                  <c:v>5.8499999999999996E-2</c:v>
                </c:pt>
                <c:pt idx="213">
                  <c:v>5.7999999999999996E-2</c:v>
                </c:pt>
                <c:pt idx="214">
                  <c:v>5.7500000000000002E-2</c:v>
                </c:pt>
                <c:pt idx="215">
                  <c:v>5.7500000000000002E-2</c:v>
                </c:pt>
                <c:pt idx="216">
                  <c:v>5.7599999999999998E-2</c:v>
                </c:pt>
                <c:pt idx="217">
                  <c:v>5.7200000000000001E-2</c:v>
                </c:pt>
                <c:pt idx="218">
                  <c:v>5.8600000000000006E-2</c:v>
                </c:pt>
                <c:pt idx="219">
                  <c:v>5.9500000000000004E-2</c:v>
                </c:pt>
                <c:pt idx="220">
                  <c:v>5.9200000000000003E-2</c:v>
                </c:pt>
                <c:pt idx="221">
                  <c:v>5.9800000000000006E-2</c:v>
                </c:pt>
                <c:pt idx="222">
                  <c:v>5.9299999999999999E-2</c:v>
                </c:pt>
                <c:pt idx="223">
                  <c:v>6.0100000000000001E-2</c:v>
                </c:pt>
                <c:pt idx="224">
                  <c:v>6.0400000000000002E-2</c:v>
                </c:pt>
                <c:pt idx="225">
                  <c:v>6.0299999999999999E-2</c:v>
                </c:pt>
                <c:pt idx="226">
                  <c:v>6.1399999999999996E-2</c:v>
                </c:pt>
                <c:pt idx="227">
                  <c:v>6.13E-2</c:v>
                </c:pt>
                <c:pt idx="228">
                  <c:v>6.0700000000000004E-2</c:v>
                </c:pt>
                <c:pt idx="229">
                  <c:v>6.0199999999999997E-2</c:v>
                </c:pt>
                <c:pt idx="230">
                  <c:v>5.9200000000000003E-2</c:v>
                </c:pt>
                <c:pt idx="231">
                  <c:v>5.7999999999999996E-2</c:v>
                </c:pt>
                <c:pt idx="232">
                  <c:v>5.8499999999999996E-2</c:v>
                </c:pt>
                <c:pt idx="233">
                  <c:v>5.79E-2</c:v>
                </c:pt>
                <c:pt idx="234">
                  <c:v>5.7800000000000004E-2</c:v>
                </c:pt>
                <c:pt idx="235">
                  <c:v>5.8499999999999996E-2</c:v>
                </c:pt>
                <c:pt idx="236">
                  <c:v>5.7300000000000004E-2</c:v>
                </c:pt>
                <c:pt idx="237">
                  <c:v>5.7800000000000004E-2</c:v>
                </c:pt>
                <c:pt idx="238">
                  <c:v>5.8200000000000002E-2</c:v>
                </c:pt>
                <c:pt idx="239">
                  <c:v>5.8799999999999998E-2</c:v>
                </c:pt>
                <c:pt idx="240">
                  <c:v>5.9299999999999999E-2</c:v>
                </c:pt>
                <c:pt idx="241">
                  <c:v>5.9400000000000001E-2</c:v>
                </c:pt>
                <c:pt idx="242">
                  <c:v>5.9299999999999999E-2</c:v>
                </c:pt>
                <c:pt idx="243">
                  <c:v>5.8700000000000002E-2</c:v>
                </c:pt>
                <c:pt idx="244">
                  <c:v>5.8700000000000002E-2</c:v>
                </c:pt>
                <c:pt idx="245">
                  <c:v>5.8299999999999998E-2</c:v>
                </c:pt>
                <c:pt idx="246">
                  <c:v>5.7200000000000001E-2</c:v>
                </c:pt>
                <c:pt idx="247">
                  <c:v>5.6399999999999999E-2</c:v>
                </c:pt>
                <c:pt idx="248">
                  <c:v>5.6299999999999996E-2</c:v>
                </c:pt>
                <c:pt idx="249">
                  <c:v>5.7300000000000004E-2</c:v>
                </c:pt>
                <c:pt idx="250">
                  <c:v>5.7099999999999998E-2</c:v>
                </c:pt>
                <c:pt idx="251">
                  <c:v>5.6500000000000002E-2</c:v>
                </c:pt>
                <c:pt idx="252">
                  <c:v>5.6100000000000004E-2</c:v>
                </c:pt>
                <c:pt idx="253">
                  <c:v>5.5899999999999998E-2</c:v>
                </c:pt>
                <c:pt idx="254">
                  <c:v>5.5999999999999994E-2</c:v>
                </c:pt>
                <c:pt idx="255">
                  <c:v>5.8299999999999998E-2</c:v>
                </c:pt>
                <c:pt idx="256">
                  <c:v>5.7500000000000002E-2</c:v>
                </c:pt>
                <c:pt idx="257">
                  <c:v>5.5999999999999994E-2</c:v>
                </c:pt>
                <c:pt idx="258">
                  <c:v>5.5899999999999998E-2</c:v>
                </c:pt>
                <c:pt idx="259">
                  <c:v>5.4100000000000002E-2</c:v>
                </c:pt>
                <c:pt idx="260">
                  <c:v>5.2999999999999999E-2</c:v>
                </c:pt>
                <c:pt idx="261">
                  <c:v>5.33E-2</c:v>
                </c:pt>
                <c:pt idx="262">
                  <c:v>5.2400000000000002E-2</c:v>
                </c:pt>
                <c:pt idx="263">
                  <c:v>5.1399999999999994E-2</c:v>
                </c:pt>
                <c:pt idx="264">
                  <c:v>5.2300000000000006E-2</c:v>
                </c:pt>
                <c:pt idx="265">
                  <c:v>5.3499999999999999E-2</c:v>
                </c:pt>
                <c:pt idx="266">
                  <c:v>5.2999999999999999E-2</c:v>
                </c:pt>
                <c:pt idx="267">
                  <c:v>5.2600000000000001E-2</c:v>
                </c:pt>
                <c:pt idx="268">
                  <c:v>5.28E-2</c:v>
                </c:pt>
                <c:pt idx="269">
                  <c:v>5.3499999999999999E-2</c:v>
                </c:pt>
                <c:pt idx="270">
                  <c:v>5.2900000000000003E-2</c:v>
                </c:pt>
                <c:pt idx="271">
                  <c:v>5.3499999999999999E-2</c:v>
                </c:pt>
                <c:pt idx="272">
                  <c:v>5.2999999999999999E-2</c:v>
                </c:pt>
                <c:pt idx="273">
                  <c:v>5.3399999999999996E-2</c:v>
                </c:pt>
                <c:pt idx="274">
                  <c:v>5.3399999999999996E-2</c:v>
                </c:pt>
                <c:pt idx="275">
                  <c:v>5.4600000000000003E-2</c:v>
                </c:pt>
                <c:pt idx="276">
                  <c:v>5.3600000000000002E-2</c:v>
                </c:pt>
                <c:pt idx="277">
                  <c:v>5.3699999999999998E-2</c:v>
                </c:pt>
                <c:pt idx="278">
                  <c:v>5.28E-2</c:v>
                </c:pt>
                <c:pt idx="279">
                  <c:v>5.289E-2</c:v>
                </c:pt>
                <c:pt idx="280">
                  <c:v>5.2600000000000001E-2</c:v>
                </c:pt>
                <c:pt idx="281">
                  <c:v>5.2900000000000003E-2</c:v>
                </c:pt>
                <c:pt idx="282">
                  <c:v>5.3600000000000002E-2</c:v>
                </c:pt>
                <c:pt idx="283">
                  <c:v>5.3399999999999996E-2</c:v>
                </c:pt>
                <c:pt idx="284">
                  <c:v>5.4800000000000001E-2</c:v>
                </c:pt>
                <c:pt idx="285">
                  <c:v>5.5099999999999996E-2</c:v>
                </c:pt>
                <c:pt idx="286">
                  <c:v>5.5599999999999997E-2</c:v>
                </c:pt>
                <c:pt idx="287">
                  <c:v>5.5399999999999998E-2</c:v>
                </c:pt>
                <c:pt idx="288">
                  <c:v>5.45E-2</c:v>
                </c:pt>
                <c:pt idx="289">
                  <c:v>5.4000000000000006E-2</c:v>
                </c:pt>
                <c:pt idx="290">
                  <c:v>5.4600000000000003E-2</c:v>
                </c:pt>
                <c:pt idx="291">
                  <c:v>5.5E-2</c:v>
                </c:pt>
                <c:pt idx="292">
                  <c:v>5.45E-2</c:v>
                </c:pt>
                <c:pt idx="293">
                  <c:v>5.33E-2</c:v>
                </c:pt>
                <c:pt idx="294">
                  <c:v>5.3699999999999998E-2</c:v>
                </c:pt>
                <c:pt idx="295">
                  <c:v>5.3800000000000001E-2</c:v>
                </c:pt>
                <c:pt idx="296">
                  <c:v>5.3899999999999997E-2</c:v>
                </c:pt>
                <c:pt idx="297">
                  <c:v>5.3399999999999996E-2</c:v>
                </c:pt>
                <c:pt idx="298">
                  <c:v>5.357E-2</c:v>
                </c:pt>
                <c:pt idx="299">
                  <c:v>5.3399999999999996E-2</c:v>
                </c:pt>
                <c:pt idx="300">
                  <c:v>5.1200000000000002E-2</c:v>
                </c:pt>
                <c:pt idx="301">
                  <c:v>5.0199999999999995E-2</c:v>
                </c:pt>
                <c:pt idx="302">
                  <c:v>5.1200000000000002E-2</c:v>
                </c:pt>
                <c:pt idx="303">
                  <c:v>5.1699999999999996E-2</c:v>
                </c:pt>
                <c:pt idx="304">
                  <c:v>5.1500000000000004E-2</c:v>
                </c:pt>
                <c:pt idx="305">
                  <c:v>5.1399999999999994E-2</c:v>
                </c:pt>
                <c:pt idx="306">
                  <c:v>5.16E-2</c:v>
                </c:pt>
                <c:pt idx="307">
                  <c:v>5.1699999999999996E-2</c:v>
                </c:pt>
                <c:pt idx="308">
                  <c:v>5.1799999999999999E-2</c:v>
                </c:pt>
                <c:pt idx="309">
                  <c:v>5.2699999999999997E-2</c:v>
                </c:pt>
                <c:pt idx="310">
                  <c:v>5.2600000000000001E-2</c:v>
                </c:pt>
                <c:pt idx="311">
                  <c:v>5.2499999999999998E-2</c:v>
                </c:pt>
                <c:pt idx="312">
                  <c:v>5.2199999999999996E-2</c:v>
                </c:pt>
                <c:pt idx="313">
                  <c:v>5.1900000000000002E-2</c:v>
                </c:pt>
                <c:pt idx="314">
                  <c:v>5.3099999999999994E-2</c:v>
                </c:pt>
                <c:pt idx="315">
                  <c:v>5.2600000000000001E-2</c:v>
                </c:pt>
                <c:pt idx="316">
                  <c:v>5.2300000000000006E-2</c:v>
                </c:pt>
                <c:pt idx="317">
                  <c:v>5.21E-2</c:v>
                </c:pt>
                <c:pt idx="318">
                  <c:v>5.3699999999999998E-2</c:v>
                </c:pt>
                <c:pt idx="319">
                  <c:v>5.4400000000000004E-2</c:v>
                </c:pt>
                <c:pt idx="320">
                  <c:v>5.4800000000000001E-2</c:v>
                </c:pt>
                <c:pt idx="321">
                  <c:v>5.4800000000000001E-2</c:v>
                </c:pt>
                <c:pt idx="322">
                  <c:v>5.4199999999999998E-2</c:v>
                </c:pt>
                <c:pt idx="323">
                  <c:v>5.4000000000000006E-2</c:v>
                </c:pt>
                <c:pt idx="324">
                  <c:v>5.4199999999999998E-2</c:v>
                </c:pt>
                <c:pt idx="325">
                  <c:v>5.4199999999999998E-2</c:v>
                </c:pt>
                <c:pt idx="326">
                  <c:v>5.3800000000000001E-2</c:v>
                </c:pt>
                <c:pt idx="327">
                  <c:v>5.4100000000000002E-2</c:v>
                </c:pt>
                <c:pt idx="328">
                  <c:v>5.4100000000000002E-2</c:v>
                </c:pt>
                <c:pt idx="329">
                  <c:v>5.57E-2</c:v>
                </c:pt>
                <c:pt idx="330">
                  <c:v>5.5999999999999994E-2</c:v>
                </c:pt>
                <c:pt idx="331">
                  <c:v>5.7200000000000001E-2</c:v>
                </c:pt>
                <c:pt idx="332">
                  <c:v>5.6100000000000004E-2</c:v>
                </c:pt>
                <c:pt idx="333">
                  <c:v>5.5599999999999997E-2</c:v>
                </c:pt>
                <c:pt idx="334">
                  <c:v>5.4600000000000003E-2</c:v>
                </c:pt>
                <c:pt idx="335">
                  <c:v>5.4100000000000002E-2</c:v>
                </c:pt>
                <c:pt idx="336">
                  <c:v>5.3800000000000001E-2</c:v>
                </c:pt>
                <c:pt idx="337">
                  <c:v>5.2999999999999999E-2</c:v>
                </c:pt>
                <c:pt idx="338">
                  <c:v>5.2400000000000002E-2</c:v>
                </c:pt>
                <c:pt idx="339">
                  <c:v>5.1900000000000002E-2</c:v>
                </c:pt>
                <c:pt idx="340">
                  <c:v>5.2000000000000005E-2</c:v>
                </c:pt>
                <c:pt idx="341">
                  <c:v>5.21E-2</c:v>
                </c:pt>
                <c:pt idx="342">
                  <c:v>5.2699999999999997E-2</c:v>
                </c:pt>
                <c:pt idx="343">
                  <c:v>5.4100000000000002E-2</c:v>
                </c:pt>
                <c:pt idx="344">
                  <c:v>5.45E-2</c:v>
                </c:pt>
                <c:pt idx="345">
                  <c:v>5.5300000000000002E-2</c:v>
                </c:pt>
                <c:pt idx="346">
                  <c:v>5.4000000000000006E-2</c:v>
                </c:pt>
                <c:pt idx="347">
                  <c:v>5.4299999999999994E-2</c:v>
                </c:pt>
                <c:pt idx="348">
                  <c:v>5.3200000000000004E-2</c:v>
                </c:pt>
                <c:pt idx="349">
                  <c:v>5.3099999999999994E-2</c:v>
                </c:pt>
                <c:pt idx="350">
                  <c:v>5.3099999999999994E-2</c:v>
                </c:pt>
                <c:pt idx="351">
                  <c:v>5.2900000000000003E-2</c:v>
                </c:pt>
                <c:pt idx="352">
                  <c:v>5.3600000000000002E-2</c:v>
                </c:pt>
                <c:pt idx="353">
                  <c:v>5.4299999999999994E-2</c:v>
                </c:pt>
                <c:pt idx="354">
                  <c:v>5.4400000000000004E-2</c:v>
                </c:pt>
                <c:pt idx="355">
                  <c:v>5.4299999999999994E-2</c:v>
                </c:pt>
                <c:pt idx="356">
                  <c:v>5.4000000000000006E-2</c:v>
                </c:pt>
                <c:pt idx="357">
                  <c:v>5.3499999999999999E-2</c:v>
                </c:pt>
                <c:pt idx="358">
                  <c:v>5.3600000000000002E-2</c:v>
                </c:pt>
                <c:pt idx="359">
                  <c:v>5.2900000000000003E-2</c:v>
                </c:pt>
                <c:pt idx="360">
                  <c:v>5.2600000000000001E-2</c:v>
                </c:pt>
                <c:pt idx="361">
                  <c:v>5.1399999999999994E-2</c:v>
                </c:pt>
                <c:pt idx="362">
                  <c:v>5.0599999999999999E-2</c:v>
                </c:pt>
                <c:pt idx="363">
                  <c:v>5.04E-2</c:v>
                </c:pt>
                <c:pt idx="364">
                  <c:v>5.0700000000000002E-2</c:v>
                </c:pt>
                <c:pt idx="365">
                  <c:v>5.0900000000000001E-2</c:v>
                </c:pt>
                <c:pt idx="366">
                  <c:v>5.0700000000000002E-2</c:v>
                </c:pt>
                <c:pt idx="367">
                  <c:v>5.0499999999999996E-2</c:v>
                </c:pt>
                <c:pt idx="368">
                  <c:v>4.8899999999999999E-2</c:v>
                </c:pt>
                <c:pt idx="369">
                  <c:v>4.8000000000000001E-2</c:v>
                </c:pt>
                <c:pt idx="370">
                  <c:v>4.8899999999999999E-2</c:v>
                </c:pt>
                <c:pt idx="371">
                  <c:v>4.8099999999999997E-2</c:v>
                </c:pt>
                <c:pt idx="372">
                  <c:v>4.8000000000000001E-2</c:v>
                </c:pt>
                <c:pt idx="373">
                  <c:v>4.9500000000000002E-2</c:v>
                </c:pt>
                <c:pt idx="374">
                  <c:v>4.99E-2</c:v>
                </c:pt>
                <c:pt idx="375">
                  <c:v>0.05</c:v>
                </c:pt>
                <c:pt idx="376">
                  <c:v>5.0099999999999999E-2</c:v>
                </c:pt>
                <c:pt idx="377">
                  <c:v>5.0199999999999995E-2</c:v>
                </c:pt>
                <c:pt idx="378">
                  <c:v>5.1799999999999999E-2</c:v>
                </c:pt>
                <c:pt idx="379">
                  <c:v>5.16E-2</c:v>
                </c:pt>
                <c:pt idx="380">
                  <c:v>5.1200000000000002E-2</c:v>
                </c:pt>
                <c:pt idx="381">
                  <c:v>5.04E-2</c:v>
                </c:pt>
                <c:pt idx="382">
                  <c:v>4.9699999999999994E-2</c:v>
                </c:pt>
                <c:pt idx="383">
                  <c:v>4.8799999999999996E-2</c:v>
                </c:pt>
                <c:pt idx="384">
                  <c:v>4.9599999999999998E-2</c:v>
                </c:pt>
                <c:pt idx="385">
                  <c:v>4.9100000000000005E-2</c:v>
                </c:pt>
                <c:pt idx="386">
                  <c:v>4.87E-2</c:v>
                </c:pt>
                <c:pt idx="387">
                  <c:v>4.99E-2</c:v>
                </c:pt>
                <c:pt idx="388">
                  <c:v>5.0499999999999996E-2</c:v>
                </c:pt>
                <c:pt idx="389">
                  <c:v>5.0700000000000002E-2</c:v>
                </c:pt>
                <c:pt idx="390">
                  <c:v>5.0599999999999999E-2</c:v>
                </c:pt>
                <c:pt idx="391">
                  <c:v>5.1159999999999997E-2</c:v>
                </c:pt>
                <c:pt idx="392">
                  <c:v>5.04E-2</c:v>
                </c:pt>
                <c:pt idx="393">
                  <c:v>5.0900000000000001E-2</c:v>
                </c:pt>
                <c:pt idx="394">
                  <c:v>5.1799999999999999E-2</c:v>
                </c:pt>
                <c:pt idx="395">
                  <c:v>5.2199999999999996E-2</c:v>
                </c:pt>
                <c:pt idx="396">
                  <c:v>5.2300000000000006E-2</c:v>
                </c:pt>
                <c:pt idx="397">
                  <c:v>5.21E-2</c:v>
                </c:pt>
                <c:pt idx="398">
                  <c:v>5.1500000000000004E-2</c:v>
                </c:pt>
                <c:pt idx="399">
                  <c:v>5.0300000000000004E-2</c:v>
                </c:pt>
                <c:pt idx="400">
                  <c:v>4.99E-2</c:v>
                </c:pt>
                <c:pt idx="401">
                  <c:v>5.0799999999999998E-2</c:v>
                </c:pt>
                <c:pt idx="402">
                  <c:v>5.2199999999999996E-2</c:v>
                </c:pt>
                <c:pt idx="403">
                  <c:v>5.2000000000000005E-2</c:v>
                </c:pt>
                <c:pt idx="404">
                  <c:v>5.2000000000000005E-2</c:v>
                </c:pt>
                <c:pt idx="405">
                  <c:v>5.33E-2</c:v>
                </c:pt>
                <c:pt idx="406">
                  <c:v>5.2400000000000002E-2</c:v>
                </c:pt>
                <c:pt idx="407">
                  <c:v>5.2900000000000003E-2</c:v>
                </c:pt>
                <c:pt idx="408">
                  <c:v>5.2900000000000003E-2</c:v>
                </c:pt>
                <c:pt idx="409">
                  <c:v>5.2600000000000001E-2</c:v>
                </c:pt>
                <c:pt idx="410">
                  <c:v>5.1900000000000002E-2</c:v>
                </c:pt>
                <c:pt idx="411">
                  <c:v>5.2900000000000003E-2</c:v>
                </c:pt>
                <c:pt idx="412">
                  <c:v>5.2900000000000003E-2</c:v>
                </c:pt>
                <c:pt idx="413">
                  <c:v>5.2600000000000001E-2</c:v>
                </c:pt>
                <c:pt idx="414">
                  <c:v>5.2400000000000002E-2</c:v>
                </c:pt>
                <c:pt idx="415">
                  <c:v>5.2000000000000005E-2</c:v>
                </c:pt>
                <c:pt idx="416">
                  <c:v>5.1699999999999996E-2</c:v>
                </c:pt>
                <c:pt idx="417">
                  <c:v>5.16E-2</c:v>
                </c:pt>
                <c:pt idx="418">
                  <c:v>5.21E-2</c:v>
                </c:pt>
                <c:pt idx="419">
                  <c:v>5.2300000000000006E-2</c:v>
                </c:pt>
                <c:pt idx="420">
                  <c:v>5.21E-2</c:v>
                </c:pt>
                <c:pt idx="421">
                  <c:v>5.1900000000000002E-2</c:v>
                </c:pt>
                <c:pt idx="422">
                  <c:v>5.1399999999999994E-2</c:v>
                </c:pt>
                <c:pt idx="423">
                  <c:v>5.1100000000000007E-2</c:v>
                </c:pt>
                <c:pt idx="424">
                  <c:v>5.1200000000000002E-2</c:v>
                </c:pt>
                <c:pt idx="425">
                  <c:v>5.1900000000000002E-2</c:v>
                </c:pt>
                <c:pt idx="426">
                  <c:v>5.1500000000000004E-2</c:v>
                </c:pt>
                <c:pt idx="427">
                  <c:v>5.1699999999999996E-2</c:v>
                </c:pt>
                <c:pt idx="428">
                  <c:v>5.2400000000000002E-2</c:v>
                </c:pt>
                <c:pt idx="429">
                  <c:v>5.2600000000000001E-2</c:v>
                </c:pt>
                <c:pt idx="430">
                  <c:v>5.3200000000000004E-2</c:v>
                </c:pt>
                <c:pt idx="431">
                  <c:v>5.2900000000000003E-2</c:v>
                </c:pt>
                <c:pt idx="432">
                  <c:v>5.3899999999999997E-2</c:v>
                </c:pt>
                <c:pt idx="433">
                  <c:v>5.3600000000000002E-2</c:v>
                </c:pt>
                <c:pt idx="434">
                  <c:v>5.3600000000000002E-2</c:v>
                </c:pt>
                <c:pt idx="435">
                  <c:v>5.3800000000000001E-2</c:v>
                </c:pt>
                <c:pt idx="436">
                  <c:v>5.4299999999999994E-2</c:v>
                </c:pt>
                <c:pt idx="437">
                  <c:v>5.4800000000000001E-2</c:v>
                </c:pt>
                <c:pt idx="438">
                  <c:v>5.4600000000000003E-2</c:v>
                </c:pt>
                <c:pt idx="439">
                  <c:v>5.3899999999999997E-2</c:v>
                </c:pt>
                <c:pt idx="440">
                  <c:v>5.3499999999999999E-2</c:v>
                </c:pt>
                <c:pt idx="441">
                  <c:v>5.3440000000000001E-2</c:v>
                </c:pt>
                <c:pt idx="442">
                  <c:v>5.3899999999999997E-2</c:v>
                </c:pt>
                <c:pt idx="443">
                  <c:v>5.3899999999999997E-2</c:v>
                </c:pt>
                <c:pt idx="444">
                  <c:v>5.33E-2</c:v>
                </c:pt>
                <c:pt idx="445">
                  <c:v>5.3800000000000001E-2</c:v>
                </c:pt>
                <c:pt idx="446">
                  <c:v>5.4600000000000003E-2</c:v>
                </c:pt>
                <c:pt idx="447">
                  <c:v>5.4400000000000004E-2</c:v>
                </c:pt>
                <c:pt idx="448">
                  <c:v>5.5199999999999999E-2</c:v>
                </c:pt>
                <c:pt idx="449">
                  <c:v>5.5800000000000002E-2</c:v>
                </c:pt>
                <c:pt idx="450">
                  <c:v>5.5399999999999998E-2</c:v>
                </c:pt>
                <c:pt idx="451">
                  <c:v>5.6299999999999996E-2</c:v>
                </c:pt>
                <c:pt idx="452">
                  <c:v>5.7000000000000002E-2</c:v>
                </c:pt>
                <c:pt idx="453">
                  <c:v>5.6299999999999996E-2</c:v>
                </c:pt>
                <c:pt idx="454">
                  <c:v>5.57E-2</c:v>
                </c:pt>
                <c:pt idx="455">
                  <c:v>5.6900000000000006E-2</c:v>
                </c:pt>
                <c:pt idx="456">
                  <c:v>5.6100000000000004E-2</c:v>
                </c:pt>
                <c:pt idx="457">
                  <c:v>5.5899999999999998E-2</c:v>
                </c:pt>
                <c:pt idx="458">
                  <c:v>5.5899999999999998E-2</c:v>
                </c:pt>
                <c:pt idx="459">
                  <c:v>5.6799999999999996E-2</c:v>
                </c:pt>
                <c:pt idx="460">
                  <c:v>5.5999999999999994E-2</c:v>
                </c:pt>
                <c:pt idx="461">
                  <c:v>5.5800000000000002E-2</c:v>
                </c:pt>
                <c:pt idx="462">
                  <c:v>5.5800000000000002E-2</c:v>
                </c:pt>
                <c:pt idx="463">
                  <c:v>5.5899999999999998E-2</c:v>
                </c:pt>
                <c:pt idx="464">
                  <c:v>5.4699999999999999E-2</c:v>
                </c:pt>
                <c:pt idx="465">
                  <c:v>5.4400000000000004E-2</c:v>
                </c:pt>
                <c:pt idx="466">
                  <c:v>5.4600000000000003E-2</c:v>
                </c:pt>
                <c:pt idx="467">
                  <c:v>5.4800000000000001E-2</c:v>
                </c:pt>
                <c:pt idx="468">
                  <c:v>5.4870000000000002E-2</c:v>
                </c:pt>
                <c:pt idx="469">
                  <c:v>5.5300000000000002E-2</c:v>
                </c:pt>
                <c:pt idx="470">
                  <c:v>5.5999999999999994E-2</c:v>
                </c:pt>
                <c:pt idx="471">
                  <c:v>5.5099999999999996E-2</c:v>
                </c:pt>
                <c:pt idx="472">
                  <c:v>5.4800000000000001E-2</c:v>
                </c:pt>
                <c:pt idx="473">
                  <c:v>5.5199999999999999E-2</c:v>
                </c:pt>
                <c:pt idx="474">
                  <c:v>5.5E-2</c:v>
                </c:pt>
                <c:pt idx="475">
                  <c:v>5.4900000000000004E-2</c:v>
                </c:pt>
                <c:pt idx="476">
                  <c:v>5.5099999999999996E-2</c:v>
                </c:pt>
                <c:pt idx="477">
                  <c:v>5.6100000000000004E-2</c:v>
                </c:pt>
                <c:pt idx="478">
                  <c:v>5.6900000000000006E-2</c:v>
                </c:pt>
                <c:pt idx="479">
                  <c:v>5.6900000000000006E-2</c:v>
                </c:pt>
                <c:pt idx="480">
                  <c:v>5.7200000000000001E-2</c:v>
                </c:pt>
                <c:pt idx="481">
                  <c:v>5.6600000000000004E-2</c:v>
                </c:pt>
                <c:pt idx="482">
                  <c:v>5.5800000000000002E-2</c:v>
                </c:pt>
                <c:pt idx="483">
                  <c:v>5.5300000000000002E-2</c:v>
                </c:pt>
                <c:pt idx="484">
                  <c:v>5.4800000000000001E-2</c:v>
                </c:pt>
                <c:pt idx="485">
                  <c:v>5.4699999999999999E-2</c:v>
                </c:pt>
                <c:pt idx="486">
                  <c:v>5.5099999999999996E-2</c:v>
                </c:pt>
                <c:pt idx="487">
                  <c:v>5.5500000000000001E-2</c:v>
                </c:pt>
                <c:pt idx="488">
                  <c:v>5.62E-2</c:v>
                </c:pt>
                <c:pt idx="489">
                  <c:v>5.6799999999999996E-2</c:v>
                </c:pt>
                <c:pt idx="490">
                  <c:v>5.5999999999999994E-2</c:v>
                </c:pt>
                <c:pt idx="491">
                  <c:v>5.5999999999999994E-2</c:v>
                </c:pt>
                <c:pt idx="492">
                  <c:v>5.6600000000000004E-2</c:v>
                </c:pt>
                <c:pt idx="493">
                  <c:v>5.6900000000000006E-2</c:v>
                </c:pt>
                <c:pt idx="494">
                  <c:v>5.62E-2</c:v>
                </c:pt>
                <c:pt idx="495">
                  <c:v>5.6299999999999996E-2</c:v>
                </c:pt>
                <c:pt idx="496">
                  <c:v>5.6399999999999999E-2</c:v>
                </c:pt>
                <c:pt idx="497">
                  <c:v>5.5800000000000002E-2</c:v>
                </c:pt>
                <c:pt idx="498">
                  <c:v>5.5599999999999997E-2</c:v>
                </c:pt>
                <c:pt idx="499">
                  <c:v>5.5399999999999998E-2</c:v>
                </c:pt>
                <c:pt idx="500">
                  <c:v>5.57E-2</c:v>
                </c:pt>
                <c:pt idx="501">
                  <c:v>5.5500000000000001E-2</c:v>
                </c:pt>
                <c:pt idx="502">
                  <c:v>5.5500000000000001E-2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F6-4C16-B3D9-1714FA54C2F8}"/>
            </c:ext>
          </c:extLst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dane!$A$215:$B$238</c:f>
              <c:multiLvlStrCache>
                <c:ptCount val="24"/>
                <c:lvl>
                  <c:pt idx="0">
                    <c:v>7m</c:v>
                  </c:pt>
                  <c:pt idx="1">
                    <c:v>8m</c:v>
                  </c:pt>
                  <c:pt idx="2">
                    <c:v>9m</c:v>
                  </c:pt>
                  <c:pt idx="3">
                    <c:v>10m</c:v>
                  </c:pt>
                  <c:pt idx="4">
                    <c:v>11m</c:v>
                  </c:pt>
                  <c:pt idx="5">
                    <c:v>12m</c:v>
                  </c:pt>
                  <c:pt idx="6">
                    <c:v>1m</c:v>
                  </c:pt>
                  <c:pt idx="7">
                    <c:v>2m</c:v>
                  </c:pt>
                  <c:pt idx="8">
                    <c:v>3m</c:v>
                  </c:pt>
                  <c:pt idx="9">
                    <c:v>4m</c:v>
                  </c:pt>
                  <c:pt idx="10">
                    <c:v>5m</c:v>
                  </c:pt>
                  <c:pt idx="11">
                    <c:v>6m</c:v>
                  </c:pt>
                  <c:pt idx="12">
                    <c:v>7m</c:v>
                  </c:pt>
                  <c:pt idx="13">
                    <c:v>8m</c:v>
                  </c:pt>
                  <c:pt idx="14">
                    <c:v>9m</c:v>
                  </c:pt>
                  <c:pt idx="15">
                    <c:v>10m</c:v>
                  </c:pt>
                  <c:pt idx="16">
                    <c:v>11m</c:v>
                  </c:pt>
                  <c:pt idx="17">
                    <c:v>12m</c:v>
                  </c:pt>
                  <c:pt idx="18">
                    <c:v>1m</c:v>
                  </c:pt>
                  <c:pt idx="19">
                    <c:v>2m</c:v>
                  </c:pt>
                  <c:pt idx="20">
                    <c:v>3m</c:v>
                  </c:pt>
                  <c:pt idx="21">
                    <c:v>4m</c:v>
                  </c:pt>
                  <c:pt idx="22">
                    <c:v>5m</c:v>
                  </c:pt>
                  <c:pt idx="23">
                    <c:v>6m</c:v>
                  </c:pt>
                </c:lvl>
                <c:lvl>
                  <c:pt idx="6">
                    <c:v>2023</c:v>
                  </c:pt>
                  <c:pt idx="18">
                    <c:v>2024</c:v>
                  </c:pt>
                </c:lvl>
              </c:multiLvlStrCache>
            </c:multiLvlStrRef>
          </c:cat>
          <c:val>
            <c:numRef>
              <c:f>dzienne!$G$3403:$G$3905</c:f>
              <c:numCache>
                <c:formatCode>0.00%</c:formatCode>
                <c:ptCount val="503"/>
                <c:pt idx="0">
                  <c:v>6.5599999999999992E-2</c:v>
                </c:pt>
                <c:pt idx="1">
                  <c:v>6.59E-2</c:v>
                </c:pt>
                <c:pt idx="2">
                  <c:v>6.7400000000000002E-2</c:v>
                </c:pt>
                <c:pt idx="3">
                  <c:v>6.701E-2</c:v>
                </c:pt>
                <c:pt idx="4">
                  <c:v>6.7720000000000002E-2</c:v>
                </c:pt>
                <c:pt idx="5">
                  <c:v>6.7000000000000004E-2</c:v>
                </c:pt>
                <c:pt idx="6">
                  <c:v>6.5500000000000003E-2</c:v>
                </c:pt>
                <c:pt idx="7">
                  <c:v>6.6900000000000001E-2</c:v>
                </c:pt>
                <c:pt idx="8">
                  <c:v>6.8499999999999991E-2</c:v>
                </c:pt>
                <c:pt idx="9">
                  <c:v>6.9199999999999998E-2</c:v>
                </c:pt>
                <c:pt idx="10">
                  <c:v>6.7900000000000002E-2</c:v>
                </c:pt>
                <c:pt idx="11">
                  <c:v>6.7099999999999993E-2</c:v>
                </c:pt>
                <c:pt idx="12">
                  <c:v>6.7099999999999993E-2</c:v>
                </c:pt>
                <c:pt idx="13">
                  <c:v>6.5700000000000008E-2</c:v>
                </c:pt>
                <c:pt idx="14">
                  <c:v>6.2800000000000009E-2</c:v>
                </c:pt>
                <c:pt idx="15">
                  <c:v>5.9500000000000004E-2</c:v>
                </c:pt>
                <c:pt idx="16">
                  <c:v>5.9000000000000004E-2</c:v>
                </c:pt>
                <c:pt idx="17">
                  <c:v>5.7599999999999998E-2</c:v>
                </c:pt>
                <c:pt idx="18">
                  <c:v>5.8600000000000006E-2</c:v>
                </c:pt>
                <c:pt idx="19">
                  <c:v>5.8200000000000002E-2</c:v>
                </c:pt>
                <c:pt idx="20">
                  <c:v>5.5E-2</c:v>
                </c:pt>
                <c:pt idx="21">
                  <c:v>5.3800000000000001E-2</c:v>
                </c:pt>
                <c:pt idx="22">
                  <c:v>5.57E-2</c:v>
                </c:pt>
                <c:pt idx="23">
                  <c:v>5.8299999999999998E-2</c:v>
                </c:pt>
                <c:pt idx="24">
                  <c:v>5.6299999999999996E-2</c:v>
                </c:pt>
                <c:pt idx="25">
                  <c:v>5.5300000000000002E-2</c:v>
                </c:pt>
                <c:pt idx="26">
                  <c:v>5.5099999999999996E-2</c:v>
                </c:pt>
                <c:pt idx="27">
                  <c:v>5.5800000000000002E-2</c:v>
                </c:pt>
                <c:pt idx="28">
                  <c:v>5.5E-2</c:v>
                </c:pt>
                <c:pt idx="29">
                  <c:v>5.4100000000000002E-2</c:v>
                </c:pt>
                <c:pt idx="30">
                  <c:v>5.3800000000000001E-2</c:v>
                </c:pt>
                <c:pt idx="31">
                  <c:v>5.5199999999999999E-2</c:v>
                </c:pt>
                <c:pt idx="32">
                  <c:v>5.7300000000000004E-2</c:v>
                </c:pt>
                <c:pt idx="33">
                  <c:v>5.8299999999999998E-2</c:v>
                </c:pt>
                <c:pt idx="34">
                  <c:v>6.0100000000000001E-2</c:v>
                </c:pt>
                <c:pt idx="35">
                  <c:v>6.1500000000000006E-2</c:v>
                </c:pt>
                <c:pt idx="36">
                  <c:v>6.2899999999999998E-2</c:v>
                </c:pt>
                <c:pt idx="37">
                  <c:v>6.4100000000000004E-2</c:v>
                </c:pt>
                <c:pt idx="38">
                  <c:v>6.25E-2</c:v>
                </c:pt>
                <c:pt idx="39">
                  <c:v>6.2800000000000009E-2</c:v>
                </c:pt>
                <c:pt idx="40">
                  <c:v>6.3500000000000001E-2</c:v>
                </c:pt>
                <c:pt idx="41">
                  <c:v>6.1500000000000006E-2</c:v>
                </c:pt>
                <c:pt idx="42">
                  <c:v>6.1799999999999994E-2</c:v>
                </c:pt>
                <c:pt idx="43">
                  <c:v>6.1500000000000006E-2</c:v>
                </c:pt>
                <c:pt idx="44">
                  <c:v>6.0400000000000002E-2</c:v>
                </c:pt>
                <c:pt idx="45">
                  <c:v>6.1399999999999996E-2</c:v>
                </c:pt>
                <c:pt idx="46">
                  <c:v>6.1900000000000004E-2</c:v>
                </c:pt>
                <c:pt idx="47">
                  <c:v>6.13E-2</c:v>
                </c:pt>
                <c:pt idx="48">
                  <c:v>6.0700000000000004E-2</c:v>
                </c:pt>
                <c:pt idx="49">
                  <c:v>6.0199999999999997E-2</c:v>
                </c:pt>
                <c:pt idx="50">
                  <c:v>5.8700000000000002E-2</c:v>
                </c:pt>
                <c:pt idx="51">
                  <c:v>5.8700000000000002E-2</c:v>
                </c:pt>
                <c:pt idx="52">
                  <c:v>5.9900000000000002E-2</c:v>
                </c:pt>
                <c:pt idx="53">
                  <c:v>6.0299999999999999E-2</c:v>
                </c:pt>
                <c:pt idx="54">
                  <c:v>6.1500000000000006E-2</c:v>
                </c:pt>
                <c:pt idx="55">
                  <c:v>6.1399999999999996E-2</c:v>
                </c:pt>
                <c:pt idx="56">
                  <c:v>6.1900000000000004E-2</c:v>
                </c:pt>
                <c:pt idx="57">
                  <c:v>6.1100000000000002E-2</c:v>
                </c:pt>
                <c:pt idx="58">
                  <c:v>6.2400000000000004E-2</c:v>
                </c:pt>
                <c:pt idx="59">
                  <c:v>6.4500000000000002E-2</c:v>
                </c:pt>
                <c:pt idx="60">
                  <c:v>6.8400000000000002E-2</c:v>
                </c:pt>
                <c:pt idx="61">
                  <c:v>6.8900000000000003E-2</c:v>
                </c:pt>
                <c:pt idx="62">
                  <c:v>7.0499999999999993E-2</c:v>
                </c:pt>
                <c:pt idx="63">
                  <c:v>7.3700000000000002E-2</c:v>
                </c:pt>
                <c:pt idx="64">
                  <c:v>7.1300000000000002E-2</c:v>
                </c:pt>
                <c:pt idx="65">
                  <c:v>7.0099999999999996E-2</c:v>
                </c:pt>
                <c:pt idx="66">
                  <c:v>6.9199999999999998E-2</c:v>
                </c:pt>
                <c:pt idx="67">
                  <c:v>7.1099999999999997E-2</c:v>
                </c:pt>
                <c:pt idx="68">
                  <c:v>7.1800000000000003E-2</c:v>
                </c:pt>
                <c:pt idx="69">
                  <c:v>7.3800000000000004E-2</c:v>
                </c:pt>
                <c:pt idx="70">
                  <c:v>7.5499999999999998E-2</c:v>
                </c:pt>
                <c:pt idx="71">
                  <c:v>7.8200000000000006E-2</c:v>
                </c:pt>
                <c:pt idx="72">
                  <c:v>8.1699999999999995E-2</c:v>
                </c:pt>
                <c:pt idx="73">
                  <c:v>7.8200000000000006E-2</c:v>
                </c:pt>
                <c:pt idx="74">
                  <c:v>7.7600000000000002E-2</c:v>
                </c:pt>
                <c:pt idx="75">
                  <c:v>8.0100000000000005E-2</c:v>
                </c:pt>
                <c:pt idx="76">
                  <c:v>8.1799999999999998E-2</c:v>
                </c:pt>
                <c:pt idx="77">
                  <c:v>8.4199999999999997E-2</c:v>
                </c:pt>
                <c:pt idx="78">
                  <c:v>8.5800000000000001E-2</c:v>
                </c:pt>
                <c:pt idx="79">
                  <c:v>8.8100000000000012E-2</c:v>
                </c:pt>
                <c:pt idx="80">
                  <c:v>8.3199999999999996E-2</c:v>
                </c:pt>
                <c:pt idx="81">
                  <c:v>8.0600000000000005E-2</c:v>
                </c:pt>
                <c:pt idx="82">
                  <c:v>8.0299999999999996E-2</c:v>
                </c:pt>
                <c:pt idx="83">
                  <c:v>7.9299999999999995E-2</c:v>
                </c:pt>
                <c:pt idx="84">
                  <c:v>8.1199999999999994E-2</c:v>
                </c:pt>
                <c:pt idx="85">
                  <c:v>8.3900000000000002E-2</c:v>
                </c:pt>
                <c:pt idx="86">
                  <c:v>8.2899999999999988E-2</c:v>
                </c:pt>
                <c:pt idx="87">
                  <c:v>8.3499999999999991E-2</c:v>
                </c:pt>
                <c:pt idx="88">
                  <c:v>8.2500000000000004E-2</c:v>
                </c:pt>
                <c:pt idx="89">
                  <c:v>7.9600000000000004E-2</c:v>
                </c:pt>
                <c:pt idx="90">
                  <c:v>7.8299999999999995E-2</c:v>
                </c:pt>
                <c:pt idx="91">
                  <c:v>7.7199999999999991E-2</c:v>
                </c:pt>
                <c:pt idx="92">
                  <c:v>7.4299999999999991E-2</c:v>
                </c:pt>
                <c:pt idx="93">
                  <c:v>7.22E-2</c:v>
                </c:pt>
                <c:pt idx="94">
                  <c:v>7.0300000000000001E-2</c:v>
                </c:pt>
                <c:pt idx="95">
                  <c:v>7.0199999999999999E-2</c:v>
                </c:pt>
                <c:pt idx="96">
                  <c:v>7.2099999999999997E-2</c:v>
                </c:pt>
                <c:pt idx="97">
                  <c:v>7.0900000000000005E-2</c:v>
                </c:pt>
                <c:pt idx="98">
                  <c:v>7.0699999999999999E-2</c:v>
                </c:pt>
                <c:pt idx="99">
                  <c:v>6.8499999999999991E-2</c:v>
                </c:pt>
                <c:pt idx="100">
                  <c:v>6.8199999999999997E-2</c:v>
                </c:pt>
                <c:pt idx="101">
                  <c:v>6.6900000000000001E-2</c:v>
                </c:pt>
                <c:pt idx="102">
                  <c:v>6.9500000000000006E-2</c:v>
                </c:pt>
                <c:pt idx="103">
                  <c:v>6.7900000000000002E-2</c:v>
                </c:pt>
                <c:pt idx="104">
                  <c:v>6.7699999999999996E-2</c:v>
                </c:pt>
                <c:pt idx="105">
                  <c:v>6.7099999999999993E-2</c:v>
                </c:pt>
                <c:pt idx="106">
                  <c:v>6.4299999999999996E-2</c:v>
                </c:pt>
                <c:pt idx="107">
                  <c:v>6.4100000000000004E-2</c:v>
                </c:pt>
                <c:pt idx="108">
                  <c:v>6.7199999999999996E-2</c:v>
                </c:pt>
                <c:pt idx="109">
                  <c:v>6.6400000000000001E-2</c:v>
                </c:pt>
                <c:pt idx="110">
                  <c:v>6.54E-2</c:v>
                </c:pt>
                <c:pt idx="111">
                  <c:v>6.4899999999999999E-2</c:v>
                </c:pt>
                <c:pt idx="112">
                  <c:v>6.5099999999999991E-2</c:v>
                </c:pt>
                <c:pt idx="113">
                  <c:v>6.6100000000000006E-2</c:v>
                </c:pt>
                <c:pt idx="114">
                  <c:v>6.5299999999999997E-2</c:v>
                </c:pt>
                <c:pt idx="115">
                  <c:v>6.4500000000000002E-2</c:v>
                </c:pt>
                <c:pt idx="116">
                  <c:v>6.5599999999999992E-2</c:v>
                </c:pt>
                <c:pt idx="117">
                  <c:v>6.7099999999999993E-2</c:v>
                </c:pt>
                <c:pt idx="118">
                  <c:v>6.8499999999999991E-2</c:v>
                </c:pt>
                <c:pt idx="119">
                  <c:v>6.8099999999999994E-2</c:v>
                </c:pt>
                <c:pt idx="120">
                  <c:v>6.59E-2</c:v>
                </c:pt>
                <c:pt idx="121">
                  <c:v>6.7400000000000002E-2</c:v>
                </c:pt>
                <c:pt idx="122">
                  <c:v>6.7900000000000002E-2</c:v>
                </c:pt>
                <c:pt idx="123">
                  <c:v>6.7900000000000002E-2</c:v>
                </c:pt>
                <c:pt idx="124">
                  <c:v>6.7900000000000002E-2</c:v>
                </c:pt>
                <c:pt idx="125">
                  <c:v>6.9500000000000006E-2</c:v>
                </c:pt>
                <c:pt idx="126">
                  <c:v>6.9199999999999998E-2</c:v>
                </c:pt>
                <c:pt idx="127">
                  <c:v>6.7799999999999999E-2</c:v>
                </c:pt>
                <c:pt idx="128">
                  <c:v>6.6000000000000003E-2</c:v>
                </c:pt>
                <c:pt idx="129">
                  <c:v>6.4199999999999993E-2</c:v>
                </c:pt>
                <c:pt idx="130">
                  <c:v>6.2300000000000001E-2</c:v>
                </c:pt>
                <c:pt idx="131">
                  <c:v>5.8700000000000002E-2</c:v>
                </c:pt>
                <c:pt idx="132">
                  <c:v>6.0599999999999994E-2</c:v>
                </c:pt>
                <c:pt idx="133">
                  <c:v>5.9500000000000004E-2</c:v>
                </c:pt>
                <c:pt idx="134">
                  <c:v>5.9299999999999999E-2</c:v>
                </c:pt>
                <c:pt idx="135">
                  <c:v>0.06</c:v>
                </c:pt>
                <c:pt idx="136">
                  <c:v>6.0400000000000002E-2</c:v>
                </c:pt>
                <c:pt idx="137">
                  <c:v>6.0599999999999994E-2</c:v>
                </c:pt>
                <c:pt idx="138">
                  <c:v>5.8099999999999999E-2</c:v>
                </c:pt>
                <c:pt idx="139">
                  <c:v>5.9500000000000004E-2</c:v>
                </c:pt>
                <c:pt idx="140">
                  <c:v>5.9800000000000006E-2</c:v>
                </c:pt>
                <c:pt idx="141">
                  <c:v>6.0499999999999998E-2</c:v>
                </c:pt>
                <c:pt idx="142">
                  <c:v>6.0400000000000002E-2</c:v>
                </c:pt>
                <c:pt idx="143">
                  <c:v>5.9299999999999999E-2</c:v>
                </c:pt>
                <c:pt idx="144">
                  <c:v>5.8899999999999994E-2</c:v>
                </c:pt>
                <c:pt idx="145">
                  <c:v>5.7800000000000004E-2</c:v>
                </c:pt>
                <c:pt idx="146">
                  <c:v>6.0100000000000001E-2</c:v>
                </c:pt>
                <c:pt idx="147">
                  <c:v>6.0599999999999994E-2</c:v>
                </c:pt>
                <c:pt idx="148">
                  <c:v>0.06</c:v>
                </c:pt>
                <c:pt idx="149">
                  <c:v>5.7999999999999996E-2</c:v>
                </c:pt>
                <c:pt idx="150">
                  <c:v>5.74E-2</c:v>
                </c:pt>
                <c:pt idx="151">
                  <c:v>5.9299999999999999E-2</c:v>
                </c:pt>
                <c:pt idx="152">
                  <c:v>6.1200000000000004E-2</c:v>
                </c:pt>
                <c:pt idx="153">
                  <c:v>6.0299999999999999E-2</c:v>
                </c:pt>
                <c:pt idx="154">
                  <c:v>5.8799999999999998E-2</c:v>
                </c:pt>
                <c:pt idx="155">
                  <c:v>6.08E-2</c:v>
                </c:pt>
                <c:pt idx="156">
                  <c:v>6.1399999999999996E-2</c:v>
                </c:pt>
                <c:pt idx="157">
                  <c:v>6.1500000000000006E-2</c:v>
                </c:pt>
                <c:pt idx="158">
                  <c:v>6.1500000000000006E-2</c:v>
                </c:pt>
                <c:pt idx="159">
                  <c:v>6.3700000000000007E-2</c:v>
                </c:pt>
                <c:pt idx="160">
                  <c:v>6.480000000000001E-2</c:v>
                </c:pt>
                <c:pt idx="161">
                  <c:v>6.5700000000000008E-2</c:v>
                </c:pt>
                <c:pt idx="162">
                  <c:v>6.7299999999999999E-2</c:v>
                </c:pt>
                <c:pt idx="163">
                  <c:v>6.6400000000000001E-2</c:v>
                </c:pt>
                <c:pt idx="164">
                  <c:v>6.6299999999999998E-2</c:v>
                </c:pt>
                <c:pt idx="165">
                  <c:v>6.6000000000000003E-2</c:v>
                </c:pt>
                <c:pt idx="166">
                  <c:v>6.5500000000000003E-2</c:v>
                </c:pt>
                <c:pt idx="167">
                  <c:v>6.5299999999999997E-2</c:v>
                </c:pt>
                <c:pt idx="168">
                  <c:v>6.59E-2</c:v>
                </c:pt>
                <c:pt idx="169">
                  <c:v>6.6799999999999998E-2</c:v>
                </c:pt>
                <c:pt idx="170">
                  <c:v>6.54E-2</c:v>
                </c:pt>
                <c:pt idx="171">
                  <c:v>6.4299999999999996E-2</c:v>
                </c:pt>
                <c:pt idx="172">
                  <c:v>6.3899999999999998E-2</c:v>
                </c:pt>
                <c:pt idx="173">
                  <c:v>6.2899999999999998E-2</c:v>
                </c:pt>
                <c:pt idx="174">
                  <c:v>6.2699999999999992E-2</c:v>
                </c:pt>
                <c:pt idx="175">
                  <c:v>6.1600000000000002E-2</c:v>
                </c:pt>
                <c:pt idx="176">
                  <c:v>6.0100000000000001E-2</c:v>
                </c:pt>
                <c:pt idx="177">
                  <c:v>6.2199999999999998E-2</c:v>
                </c:pt>
                <c:pt idx="178">
                  <c:v>6.1200000000000004E-2</c:v>
                </c:pt>
                <c:pt idx="179">
                  <c:v>6.0299999999999999E-2</c:v>
                </c:pt>
                <c:pt idx="180">
                  <c:v>6.0100000000000001E-2</c:v>
                </c:pt>
                <c:pt idx="181">
                  <c:v>5.9400000000000001E-2</c:v>
                </c:pt>
                <c:pt idx="182">
                  <c:v>6.0100000000000001E-2</c:v>
                </c:pt>
                <c:pt idx="183">
                  <c:v>6.0100000000000001E-2</c:v>
                </c:pt>
                <c:pt idx="184">
                  <c:v>5.96E-2</c:v>
                </c:pt>
                <c:pt idx="185">
                  <c:v>5.9800000000000006E-2</c:v>
                </c:pt>
                <c:pt idx="186">
                  <c:v>6.0499999999999998E-2</c:v>
                </c:pt>
                <c:pt idx="187">
                  <c:v>6.0899999999999996E-2</c:v>
                </c:pt>
                <c:pt idx="188">
                  <c:v>6.0700000000000004E-2</c:v>
                </c:pt>
                <c:pt idx="189">
                  <c:v>6.08E-2</c:v>
                </c:pt>
                <c:pt idx="190">
                  <c:v>6.0299999999999999E-2</c:v>
                </c:pt>
                <c:pt idx="191">
                  <c:v>6.0599999999999994E-2</c:v>
                </c:pt>
                <c:pt idx="192">
                  <c:v>6.1100000000000002E-2</c:v>
                </c:pt>
                <c:pt idx="193">
                  <c:v>6.0899999999999996E-2</c:v>
                </c:pt>
                <c:pt idx="194">
                  <c:v>6.08E-2</c:v>
                </c:pt>
                <c:pt idx="195">
                  <c:v>6.0720000000000003E-2</c:v>
                </c:pt>
                <c:pt idx="196">
                  <c:v>6.1600000000000002E-2</c:v>
                </c:pt>
                <c:pt idx="197">
                  <c:v>6.2100000000000002E-2</c:v>
                </c:pt>
                <c:pt idx="198">
                  <c:v>6.2400000000000004E-2</c:v>
                </c:pt>
                <c:pt idx="199">
                  <c:v>6.2E-2</c:v>
                </c:pt>
                <c:pt idx="200">
                  <c:v>6.1900000000000004E-2</c:v>
                </c:pt>
                <c:pt idx="201">
                  <c:v>6.1600000000000002E-2</c:v>
                </c:pt>
                <c:pt idx="202">
                  <c:v>6.1799999999999994E-2</c:v>
                </c:pt>
                <c:pt idx="203">
                  <c:v>6.1200000000000004E-2</c:v>
                </c:pt>
                <c:pt idx="204">
                  <c:v>6.08E-2</c:v>
                </c:pt>
                <c:pt idx="205">
                  <c:v>6.0199999999999997E-2</c:v>
                </c:pt>
                <c:pt idx="206">
                  <c:v>5.9299999999999999E-2</c:v>
                </c:pt>
                <c:pt idx="207">
                  <c:v>5.9699999999999996E-2</c:v>
                </c:pt>
                <c:pt idx="208">
                  <c:v>5.9800000000000006E-2</c:v>
                </c:pt>
                <c:pt idx="209">
                  <c:v>5.8899999999999994E-2</c:v>
                </c:pt>
                <c:pt idx="210">
                  <c:v>5.8499999999999996E-2</c:v>
                </c:pt>
                <c:pt idx="211">
                  <c:v>5.8099999999999999E-2</c:v>
                </c:pt>
                <c:pt idx="212">
                  <c:v>5.8400000000000001E-2</c:v>
                </c:pt>
                <c:pt idx="213">
                  <c:v>5.8400000000000001E-2</c:v>
                </c:pt>
                <c:pt idx="214">
                  <c:v>5.8200000000000002E-2</c:v>
                </c:pt>
                <c:pt idx="215">
                  <c:v>5.79E-2</c:v>
                </c:pt>
                <c:pt idx="216">
                  <c:v>5.7599999999999998E-2</c:v>
                </c:pt>
                <c:pt idx="217">
                  <c:v>5.7500000000000002E-2</c:v>
                </c:pt>
                <c:pt idx="218">
                  <c:v>5.8600000000000006E-2</c:v>
                </c:pt>
                <c:pt idx="219">
                  <c:v>5.9699999999999996E-2</c:v>
                </c:pt>
                <c:pt idx="220">
                  <c:v>5.9400000000000001E-2</c:v>
                </c:pt>
                <c:pt idx="221">
                  <c:v>6.0100000000000001E-2</c:v>
                </c:pt>
                <c:pt idx="222">
                  <c:v>5.9800000000000006E-2</c:v>
                </c:pt>
                <c:pt idx="223">
                  <c:v>6.0599999999999994E-2</c:v>
                </c:pt>
                <c:pt idx="224">
                  <c:v>6.0999999999999999E-2</c:v>
                </c:pt>
                <c:pt idx="225">
                  <c:v>6.0899999999999996E-2</c:v>
                </c:pt>
                <c:pt idx="226">
                  <c:v>6.1699999999999998E-2</c:v>
                </c:pt>
                <c:pt idx="227">
                  <c:v>6.1900000000000004E-2</c:v>
                </c:pt>
                <c:pt idx="228">
                  <c:v>6.0999999999999999E-2</c:v>
                </c:pt>
                <c:pt idx="229">
                  <c:v>6.0700000000000004E-2</c:v>
                </c:pt>
                <c:pt idx="230">
                  <c:v>6.0499999999999998E-2</c:v>
                </c:pt>
                <c:pt idx="231">
                  <c:v>5.9699999999999996E-2</c:v>
                </c:pt>
                <c:pt idx="232">
                  <c:v>0.06</c:v>
                </c:pt>
                <c:pt idx="233">
                  <c:v>5.9500000000000004E-2</c:v>
                </c:pt>
                <c:pt idx="234">
                  <c:v>5.9400000000000001E-2</c:v>
                </c:pt>
                <c:pt idx="235">
                  <c:v>6.0100000000000001E-2</c:v>
                </c:pt>
                <c:pt idx="236">
                  <c:v>5.91E-2</c:v>
                </c:pt>
                <c:pt idx="237">
                  <c:v>5.9400000000000001E-2</c:v>
                </c:pt>
                <c:pt idx="238">
                  <c:v>5.9800000000000006E-2</c:v>
                </c:pt>
                <c:pt idx="239">
                  <c:v>6.0199999999999997E-2</c:v>
                </c:pt>
                <c:pt idx="240">
                  <c:v>6.0700000000000004E-2</c:v>
                </c:pt>
                <c:pt idx="241">
                  <c:v>6.0700000000000004E-2</c:v>
                </c:pt>
                <c:pt idx="242">
                  <c:v>6.0400000000000002E-2</c:v>
                </c:pt>
                <c:pt idx="243">
                  <c:v>5.9800000000000006E-2</c:v>
                </c:pt>
                <c:pt idx="244">
                  <c:v>5.9900000000000002E-2</c:v>
                </c:pt>
                <c:pt idx="245">
                  <c:v>5.9400000000000001E-2</c:v>
                </c:pt>
                <c:pt idx="246">
                  <c:v>5.8299999999999998E-2</c:v>
                </c:pt>
                <c:pt idx="247">
                  <c:v>5.79E-2</c:v>
                </c:pt>
                <c:pt idx="248">
                  <c:v>5.7800000000000004E-2</c:v>
                </c:pt>
                <c:pt idx="249">
                  <c:v>5.8400000000000001E-2</c:v>
                </c:pt>
                <c:pt idx="250">
                  <c:v>5.8200000000000002E-2</c:v>
                </c:pt>
                <c:pt idx="251">
                  <c:v>5.7699999999999994E-2</c:v>
                </c:pt>
                <c:pt idx="252">
                  <c:v>5.7300000000000004E-2</c:v>
                </c:pt>
                <c:pt idx="253">
                  <c:v>5.7099999999999998E-2</c:v>
                </c:pt>
                <c:pt idx="254">
                  <c:v>5.7200000000000001E-2</c:v>
                </c:pt>
                <c:pt idx="255">
                  <c:v>5.9000000000000004E-2</c:v>
                </c:pt>
                <c:pt idx="256">
                  <c:v>5.8299999999999998E-2</c:v>
                </c:pt>
                <c:pt idx="257">
                  <c:v>5.74E-2</c:v>
                </c:pt>
                <c:pt idx="258">
                  <c:v>5.7300000000000004E-2</c:v>
                </c:pt>
                <c:pt idx="259">
                  <c:v>5.6299999999999996E-2</c:v>
                </c:pt>
                <c:pt idx="260">
                  <c:v>5.5599999999999997E-2</c:v>
                </c:pt>
                <c:pt idx="261">
                  <c:v>5.57E-2</c:v>
                </c:pt>
                <c:pt idx="262">
                  <c:v>5.4699999999999999E-2</c:v>
                </c:pt>
                <c:pt idx="263">
                  <c:v>5.3399999999999996E-2</c:v>
                </c:pt>
                <c:pt idx="264">
                  <c:v>5.4199999999999998E-2</c:v>
                </c:pt>
                <c:pt idx="265">
                  <c:v>5.4900000000000004E-2</c:v>
                </c:pt>
                <c:pt idx="266">
                  <c:v>5.45E-2</c:v>
                </c:pt>
                <c:pt idx="267">
                  <c:v>5.4100000000000002E-2</c:v>
                </c:pt>
                <c:pt idx="268">
                  <c:v>5.4299999999999994E-2</c:v>
                </c:pt>
                <c:pt idx="269">
                  <c:v>5.4699999999999999E-2</c:v>
                </c:pt>
                <c:pt idx="270">
                  <c:v>5.4100000000000002E-2</c:v>
                </c:pt>
                <c:pt idx="271">
                  <c:v>5.5099999999999996E-2</c:v>
                </c:pt>
                <c:pt idx="272">
                  <c:v>5.4400000000000004E-2</c:v>
                </c:pt>
                <c:pt idx="273">
                  <c:v>5.4600000000000003E-2</c:v>
                </c:pt>
                <c:pt idx="274">
                  <c:v>5.4800000000000001E-2</c:v>
                </c:pt>
                <c:pt idx="275">
                  <c:v>5.6299999999999996E-2</c:v>
                </c:pt>
                <c:pt idx="276">
                  <c:v>5.5599999999999997E-2</c:v>
                </c:pt>
                <c:pt idx="277">
                  <c:v>5.5999999999999994E-2</c:v>
                </c:pt>
                <c:pt idx="278">
                  <c:v>5.5300000000000002E-2</c:v>
                </c:pt>
                <c:pt idx="279">
                  <c:v>5.5210000000000002E-2</c:v>
                </c:pt>
                <c:pt idx="280">
                  <c:v>5.5099999999999996E-2</c:v>
                </c:pt>
                <c:pt idx="281">
                  <c:v>5.5399999999999998E-2</c:v>
                </c:pt>
                <c:pt idx="282">
                  <c:v>5.5800000000000002E-2</c:v>
                </c:pt>
                <c:pt idx="283">
                  <c:v>5.5599999999999997E-2</c:v>
                </c:pt>
                <c:pt idx="284">
                  <c:v>5.7000000000000002E-2</c:v>
                </c:pt>
                <c:pt idx="285">
                  <c:v>5.7200000000000001E-2</c:v>
                </c:pt>
                <c:pt idx="286">
                  <c:v>5.8099999999999999E-2</c:v>
                </c:pt>
                <c:pt idx="287">
                  <c:v>5.7599999999999998E-2</c:v>
                </c:pt>
                <c:pt idx="288">
                  <c:v>5.67E-2</c:v>
                </c:pt>
                <c:pt idx="289">
                  <c:v>5.62E-2</c:v>
                </c:pt>
                <c:pt idx="290">
                  <c:v>5.7000000000000002E-2</c:v>
                </c:pt>
                <c:pt idx="291">
                  <c:v>5.7500000000000002E-2</c:v>
                </c:pt>
                <c:pt idx="292">
                  <c:v>5.6500000000000002E-2</c:v>
                </c:pt>
                <c:pt idx="293">
                  <c:v>5.5800000000000002E-2</c:v>
                </c:pt>
                <c:pt idx="294">
                  <c:v>5.6100000000000004E-2</c:v>
                </c:pt>
                <c:pt idx="295">
                  <c:v>5.62E-2</c:v>
                </c:pt>
                <c:pt idx="296">
                  <c:v>5.62E-2</c:v>
                </c:pt>
                <c:pt idx="297">
                  <c:v>5.57E-2</c:v>
                </c:pt>
                <c:pt idx="298">
                  <c:v>5.5739999999999998E-2</c:v>
                </c:pt>
                <c:pt idx="299">
                  <c:v>5.74E-2</c:v>
                </c:pt>
                <c:pt idx="300">
                  <c:v>5.5999999999999994E-2</c:v>
                </c:pt>
                <c:pt idx="301">
                  <c:v>5.5399999999999998E-2</c:v>
                </c:pt>
                <c:pt idx="302">
                  <c:v>5.62E-2</c:v>
                </c:pt>
                <c:pt idx="303">
                  <c:v>5.6399999999999999E-2</c:v>
                </c:pt>
                <c:pt idx="304">
                  <c:v>5.6299999999999996E-2</c:v>
                </c:pt>
                <c:pt idx="305">
                  <c:v>5.6100000000000004E-2</c:v>
                </c:pt>
                <c:pt idx="306">
                  <c:v>5.62E-2</c:v>
                </c:pt>
                <c:pt idx="307">
                  <c:v>5.6900000000000006E-2</c:v>
                </c:pt>
                <c:pt idx="308">
                  <c:v>5.67E-2</c:v>
                </c:pt>
                <c:pt idx="309">
                  <c:v>5.8099999999999999E-2</c:v>
                </c:pt>
                <c:pt idx="310">
                  <c:v>5.79E-2</c:v>
                </c:pt>
                <c:pt idx="311">
                  <c:v>5.8299999999999998E-2</c:v>
                </c:pt>
                <c:pt idx="312">
                  <c:v>5.7999999999999996E-2</c:v>
                </c:pt>
                <c:pt idx="313">
                  <c:v>5.8400000000000001E-2</c:v>
                </c:pt>
                <c:pt idx="314">
                  <c:v>5.96E-2</c:v>
                </c:pt>
                <c:pt idx="315">
                  <c:v>5.9000000000000004E-2</c:v>
                </c:pt>
                <c:pt idx="316">
                  <c:v>5.91E-2</c:v>
                </c:pt>
                <c:pt idx="317">
                  <c:v>5.8700000000000002E-2</c:v>
                </c:pt>
                <c:pt idx="318">
                  <c:v>0.06</c:v>
                </c:pt>
                <c:pt idx="319">
                  <c:v>5.9800000000000006E-2</c:v>
                </c:pt>
                <c:pt idx="320">
                  <c:v>6.0100000000000001E-2</c:v>
                </c:pt>
                <c:pt idx="321">
                  <c:v>0.06</c:v>
                </c:pt>
                <c:pt idx="322">
                  <c:v>5.9299999999999999E-2</c:v>
                </c:pt>
                <c:pt idx="323">
                  <c:v>5.79E-2</c:v>
                </c:pt>
                <c:pt idx="324">
                  <c:v>5.79E-2</c:v>
                </c:pt>
                <c:pt idx="325">
                  <c:v>5.8400000000000001E-2</c:v>
                </c:pt>
                <c:pt idx="326">
                  <c:v>5.6600000000000004E-2</c:v>
                </c:pt>
                <c:pt idx="327">
                  <c:v>5.7699999999999994E-2</c:v>
                </c:pt>
                <c:pt idx="328">
                  <c:v>5.7599999999999998E-2</c:v>
                </c:pt>
                <c:pt idx="329">
                  <c:v>5.9200000000000003E-2</c:v>
                </c:pt>
                <c:pt idx="330">
                  <c:v>5.96E-2</c:v>
                </c:pt>
                <c:pt idx="331">
                  <c:v>6.08E-2</c:v>
                </c:pt>
                <c:pt idx="332">
                  <c:v>5.9400000000000001E-2</c:v>
                </c:pt>
                <c:pt idx="333">
                  <c:v>5.9299999999999999E-2</c:v>
                </c:pt>
                <c:pt idx="334">
                  <c:v>5.8200000000000002E-2</c:v>
                </c:pt>
                <c:pt idx="335">
                  <c:v>5.79E-2</c:v>
                </c:pt>
                <c:pt idx="336">
                  <c:v>5.7599999999999998E-2</c:v>
                </c:pt>
                <c:pt idx="337">
                  <c:v>5.67E-2</c:v>
                </c:pt>
                <c:pt idx="338">
                  <c:v>5.5899999999999998E-2</c:v>
                </c:pt>
                <c:pt idx="339">
                  <c:v>5.5300000000000002E-2</c:v>
                </c:pt>
                <c:pt idx="340">
                  <c:v>5.5500000000000001E-2</c:v>
                </c:pt>
                <c:pt idx="341">
                  <c:v>5.5199999999999999E-2</c:v>
                </c:pt>
                <c:pt idx="342">
                  <c:v>5.5E-2</c:v>
                </c:pt>
                <c:pt idx="343">
                  <c:v>5.5999999999999994E-2</c:v>
                </c:pt>
                <c:pt idx="344">
                  <c:v>5.6399999999999999E-2</c:v>
                </c:pt>
                <c:pt idx="345">
                  <c:v>5.74E-2</c:v>
                </c:pt>
                <c:pt idx="346">
                  <c:v>5.62E-2</c:v>
                </c:pt>
                <c:pt idx="347">
                  <c:v>5.5999999999999994E-2</c:v>
                </c:pt>
                <c:pt idx="348">
                  <c:v>5.4699999999999999E-2</c:v>
                </c:pt>
                <c:pt idx="349">
                  <c:v>5.4900000000000004E-2</c:v>
                </c:pt>
                <c:pt idx="350">
                  <c:v>5.5199999999999999E-2</c:v>
                </c:pt>
                <c:pt idx="351">
                  <c:v>5.4800000000000001E-2</c:v>
                </c:pt>
                <c:pt idx="352">
                  <c:v>5.5399999999999998E-2</c:v>
                </c:pt>
                <c:pt idx="353">
                  <c:v>5.5999999999999994E-2</c:v>
                </c:pt>
                <c:pt idx="354">
                  <c:v>5.6299999999999996E-2</c:v>
                </c:pt>
                <c:pt idx="355">
                  <c:v>5.62E-2</c:v>
                </c:pt>
                <c:pt idx="356">
                  <c:v>5.5599999999999997E-2</c:v>
                </c:pt>
                <c:pt idx="357">
                  <c:v>5.4900000000000004E-2</c:v>
                </c:pt>
                <c:pt idx="358">
                  <c:v>5.5199999999999999E-2</c:v>
                </c:pt>
                <c:pt idx="359">
                  <c:v>5.4699999999999999E-2</c:v>
                </c:pt>
                <c:pt idx="360">
                  <c:v>5.4699999999999999E-2</c:v>
                </c:pt>
                <c:pt idx="361">
                  <c:v>5.45E-2</c:v>
                </c:pt>
                <c:pt idx="362">
                  <c:v>5.3499999999999999E-2</c:v>
                </c:pt>
                <c:pt idx="363">
                  <c:v>5.3499999999999999E-2</c:v>
                </c:pt>
                <c:pt idx="364">
                  <c:v>5.3699999999999998E-2</c:v>
                </c:pt>
                <c:pt idx="365">
                  <c:v>5.4000000000000006E-2</c:v>
                </c:pt>
                <c:pt idx="366">
                  <c:v>5.3200000000000004E-2</c:v>
                </c:pt>
                <c:pt idx="367">
                  <c:v>5.3099999999999994E-2</c:v>
                </c:pt>
                <c:pt idx="368">
                  <c:v>5.1399999999999994E-2</c:v>
                </c:pt>
                <c:pt idx="369">
                  <c:v>5.04E-2</c:v>
                </c:pt>
                <c:pt idx="370">
                  <c:v>5.0999999999999997E-2</c:v>
                </c:pt>
                <c:pt idx="371">
                  <c:v>5.0199999999999995E-2</c:v>
                </c:pt>
                <c:pt idx="372">
                  <c:v>5.0099999999999999E-2</c:v>
                </c:pt>
                <c:pt idx="373">
                  <c:v>5.1299999999999998E-2</c:v>
                </c:pt>
                <c:pt idx="374">
                  <c:v>5.1699999999999996E-2</c:v>
                </c:pt>
                <c:pt idx="375">
                  <c:v>5.2000000000000005E-2</c:v>
                </c:pt>
                <c:pt idx="376">
                  <c:v>5.1900000000000002E-2</c:v>
                </c:pt>
                <c:pt idx="377">
                  <c:v>5.1900000000000002E-2</c:v>
                </c:pt>
                <c:pt idx="378">
                  <c:v>5.3099999999999994E-2</c:v>
                </c:pt>
                <c:pt idx="379">
                  <c:v>5.3099999999999994E-2</c:v>
                </c:pt>
                <c:pt idx="380">
                  <c:v>5.2999999999999999E-2</c:v>
                </c:pt>
                <c:pt idx="381">
                  <c:v>5.2600000000000001E-2</c:v>
                </c:pt>
                <c:pt idx="382">
                  <c:v>5.21E-2</c:v>
                </c:pt>
                <c:pt idx="383">
                  <c:v>5.1399999999999994E-2</c:v>
                </c:pt>
                <c:pt idx="384">
                  <c:v>5.1799999999999999E-2</c:v>
                </c:pt>
                <c:pt idx="385">
                  <c:v>5.1100000000000007E-2</c:v>
                </c:pt>
                <c:pt idx="386">
                  <c:v>5.0499999999999996E-2</c:v>
                </c:pt>
                <c:pt idx="387">
                  <c:v>5.1399999999999994E-2</c:v>
                </c:pt>
                <c:pt idx="388">
                  <c:v>5.21E-2</c:v>
                </c:pt>
                <c:pt idx="389">
                  <c:v>5.2600000000000001E-2</c:v>
                </c:pt>
                <c:pt idx="390">
                  <c:v>5.2499999999999998E-2</c:v>
                </c:pt>
                <c:pt idx="391">
                  <c:v>5.3190000000000001E-2</c:v>
                </c:pt>
                <c:pt idx="392">
                  <c:v>5.2499999999999998E-2</c:v>
                </c:pt>
                <c:pt idx="393">
                  <c:v>5.3099999999999994E-2</c:v>
                </c:pt>
                <c:pt idx="394">
                  <c:v>5.4000000000000006E-2</c:v>
                </c:pt>
                <c:pt idx="395">
                  <c:v>5.4100000000000002E-2</c:v>
                </c:pt>
                <c:pt idx="396">
                  <c:v>5.4199999999999998E-2</c:v>
                </c:pt>
                <c:pt idx="397">
                  <c:v>5.4299999999999994E-2</c:v>
                </c:pt>
                <c:pt idx="398">
                  <c:v>5.3699999999999998E-2</c:v>
                </c:pt>
                <c:pt idx="399">
                  <c:v>5.2199999999999996E-2</c:v>
                </c:pt>
                <c:pt idx="400">
                  <c:v>5.16E-2</c:v>
                </c:pt>
                <c:pt idx="401">
                  <c:v>5.2499999999999998E-2</c:v>
                </c:pt>
                <c:pt idx="402">
                  <c:v>5.3600000000000002E-2</c:v>
                </c:pt>
                <c:pt idx="403">
                  <c:v>5.3099999999999994E-2</c:v>
                </c:pt>
                <c:pt idx="404">
                  <c:v>5.3399999999999996E-2</c:v>
                </c:pt>
                <c:pt idx="405">
                  <c:v>5.4400000000000004E-2</c:v>
                </c:pt>
                <c:pt idx="406">
                  <c:v>5.3600000000000002E-2</c:v>
                </c:pt>
                <c:pt idx="407">
                  <c:v>5.4299999999999994E-2</c:v>
                </c:pt>
                <c:pt idx="408">
                  <c:v>5.4699999999999999E-2</c:v>
                </c:pt>
                <c:pt idx="409">
                  <c:v>5.4400000000000004E-2</c:v>
                </c:pt>
                <c:pt idx="410">
                  <c:v>5.3800000000000001E-2</c:v>
                </c:pt>
                <c:pt idx="411">
                  <c:v>5.4600000000000003E-2</c:v>
                </c:pt>
                <c:pt idx="412">
                  <c:v>5.5099999999999996E-2</c:v>
                </c:pt>
                <c:pt idx="413">
                  <c:v>5.45E-2</c:v>
                </c:pt>
                <c:pt idx="414">
                  <c:v>5.4600000000000003E-2</c:v>
                </c:pt>
                <c:pt idx="415">
                  <c:v>5.4000000000000006E-2</c:v>
                </c:pt>
                <c:pt idx="416">
                  <c:v>5.3499999999999999E-2</c:v>
                </c:pt>
                <c:pt idx="417">
                  <c:v>5.33E-2</c:v>
                </c:pt>
                <c:pt idx="418">
                  <c:v>5.3600000000000002E-2</c:v>
                </c:pt>
                <c:pt idx="419">
                  <c:v>5.3600000000000002E-2</c:v>
                </c:pt>
                <c:pt idx="420">
                  <c:v>5.3399999999999996E-2</c:v>
                </c:pt>
                <c:pt idx="421">
                  <c:v>5.28E-2</c:v>
                </c:pt>
                <c:pt idx="422">
                  <c:v>5.2499999999999998E-2</c:v>
                </c:pt>
                <c:pt idx="423">
                  <c:v>5.2300000000000006E-2</c:v>
                </c:pt>
                <c:pt idx="424">
                  <c:v>5.2600000000000001E-2</c:v>
                </c:pt>
                <c:pt idx="425">
                  <c:v>5.3099999999999994E-2</c:v>
                </c:pt>
                <c:pt idx="426">
                  <c:v>5.2699999999999997E-2</c:v>
                </c:pt>
                <c:pt idx="427">
                  <c:v>5.3200000000000004E-2</c:v>
                </c:pt>
                <c:pt idx="428">
                  <c:v>5.4000000000000006E-2</c:v>
                </c:pt>
                <c:pt idx="429">
                  <c:v>5.4199999999999998E-2</c:v>
                </c:pt>
                <c:pt idx="430">
                  <c:v>5.4699999999999999E-2</c:v>
                </c:pt>
                <c:pt idx="431">
                  <c:v>5.45E-2</c:v>
                </c:pt>
                <c:pt idx="432">
                  <c:v>5.5500000000000001E-2</c:v>
                </c:pt>
                <c:pt idx="433">
                  <c:v>5.5099999999999996E-2</c:v>
                </c:pt>
                <c:pt idx="434">
                  <c:v>5.4900000000000004E-2</c:v>
                </c:pt>
                <c:pt idx="435">
                  <c:v>5.4800000000000001E-2</c:v>
                </c:pt>
                <c:pt idx="436">
                  <c:v>5.5399999999999998E-2</c:v>
                </c:pt>
                <c:pt idx="437">
                  <c:v>5.6100000000000004E-2</c:v>
                </c:pt>
                <c:pt idx="438">
                  <c:v>5.5599999999999997E-2</c:v>
                </c:pt>
                <c:pt idx="439">
                  <c:v>5.4900000000000004E-2</c:v>
                </c:pt>
                <c:pt idx="440">
                  <c:v>5.4299999999999994E-2</c:v>
                </c:pt>
                <c:pt idx="441">
                  <c:v>5.4440000000000002E-2</c:v>
                </c:pt>
                <c:pt idx="442">
                  <c:v>5.5199999999999999E-2</c:v>
                </c:pt>
                <c:pt idx="443">
                  <c:v>5.5199999999999999E-2</c:v>
                </c:pt>
                <c:pt idx="444">
                  <c:v>5.45E-2</c:v>
                </c:pt>
                <c:pt idx="445">
                  <c:v>5.5199999999999999E-2</c:v>
                </c:pt>
                <c:pt idx="446">
                  <c:v>5.5800000000000002E-2</c:v>
                </c:pt>
                <c:pt idx="447">
                  <c:v>5.5500000000000001E-2</c:v>
                </c:pt>
                <c:pt idx="448">
                  <c:v>5.62E-2</c:v>
                </c:pt>
                <c:pt idx="449">
                  <c:v>5.7000000000000002E-2</c:v>
                </c:pt>
                <c:pt idx="450">
                  <c:v>5.6600000000000004E-2</c:v>
                </c:pt>
                <c:pt idx="451">
                  <c:v>5.79E-2</c:v>
                </c:pt>
                <c:pt idx="452">
                  <c:v>5.8799999999999998E-2</c:v>
                </c:pt>
                <c:pt idx="453">
                  <c:v>5.7999999999999996E-2</c:v>
                </c:pt>
                <c:pt idx="454">
                  <c:v>5.74E-2</c:v>
                </c:pt>
                <c:pt idx="455">
                  <c:v>5.8499999999999996E-2</c:v>
                </c:pt>
                <c:pt idx="456">
                  <c:v>5.79E-2</c:v>
                </c:pt>
                <c:pt idx="457">
                  <c:v>5.7500000000000002E-2</c:v>
                </c:pt>
                <c:pt idx="458">
                  <c:v>5.7500000000000002E-2</c:v>
                </c:pt>
                <c:pt idx="459">
                  <c:v>5.8299999999999998E-2</c:v>
                </c:pt>
                <c:pt idx="460">
                  <c:v>5.7699999999999994E-2</c:v>
                </c:pt>
                <c:pt idx="461">
                  <c:v>5.79E-2</c:v>
                </c:pt>
                <c:pt idx="462">
                  <c:v>5.7599999999999998E-2</c:v>
                </c:pt>
                <c:pt idx="463">
                  <c:v>5.7500000000000002E-2</c:v>
                </c:pt>
                <c:pt idx="464">
                  <c:v>5.67E-2</c:v>
                </c:pt>
                <c:pt idx="465">
                  <c:v>5.6100000000000004E-2</c:v>
                </c:pt>
                <c:pt idx="466">
                  <c:v>5.62E-2</c:v>
                </c:pt>
                <c:pt idx="467">
                  <c:v>5.6500000000000002E-2</c:v>
                </c:pt>
                <c:pt idx="468">
                  <c:v>5.6459999999999996E-2</c:v>
                </c:pt>
                <c:pt idx="469">
                  <c:v>5.6900000000000006E-2</c:v>
                </c:pt>
                <c:pt idx="470">
                  <c:v>5.7500000000000002E-2</c:v>
                </c:pt>
                <c:pt idx="471">
                  <c:v>5.6799999999999996E-2</c:v>
                </c:pt>
                <c:pt idx="472">
                  <c:v>5.6900000000000006E-2</c:v>
                </c:pt>
                <c:pt idx="473">
                  <c:v>5.7200000000000001E-2</c:v>
                </c:pt>
                <c:pt idx="474">
                  <c:v>5.7500000000000002E-2</c:v>
                </c:pt>
                <c:pt idx="475">
                  <c:v>5.74E-2</c:v>
                </c:pt>
                <c:pt idx="476">
                  <c:v>5.74E-2</c:v>
                </c:pt>
                <c:pt idx="477">
                  <c:v>5.8099999999999999E-2</c:v>
                </c:pt>
                <c:pt idx="478">
                  <c:v>5.9000000000000004E-2</c:v>
                </c:pt>
                <c:pt idx="479">
                  <c:v>5.8700000000000002E-2</c:v>
                </c:pt>
                <c:pt idx="480">
                  <c:v>5.9000000000000004E-2</c:v>
                </c:pt>
                <c:pt idx="481">
                  <c:v>5.8299999999999998E-2</c:v>
                </c:pt>
                <c:pt idx="482">
                  <c:v>5.7699999999999994E-2</c:v>
                </c:pt>
                <c:pt idx="483">
                  <c:v>5.7000000000000002E-2</c:v>
                </c:pt>
                <c:pt idx="484">
                  <c:v>5.6799999999999996E-2</c:v>
                </c:pt>
                <c:pt idx="485">
                  <c:v>5.6799999999999996E-2</c:v>
                </c:pt>
                <c:pt idx="486">
                  <c:v>5.6900000000000006E-2</c:v>
                </c:pt>
                <c:pt idx="487">
                  <c:v>5.7500000000000002E-2</c:v>
                </c:pt>
                <c:pt idx="488">
                  <c:v>5.8099999999999999E-2</c:v>
                </c:pt>
                <c:pt idx="489">
                  <c:v>5.8200000000000002E-2</c:v>
                </c:pt>
                <c:pt idx="490">
                  <c:v>5.7300000000000004E-2</c:v>
                </c:pt>
                <c:pt idx="491">
                  <c:v>5.7599999999999998E-2</c:v>
                </c:pt>
                <c:pt idx="492">
                  <c:v>5.7999999999999996E-2</c:v>
                </c:pt>
                <c:pt idx="493">
                  <c:v>5.8400000000000001E-2</c:v>
                </c:pt>
                <c:pt idx="494">
                  <c:v>5.7800000000000004E-2</c:v>
                </c:pt>
                <c:pt idx="495">
                  <c:v>5.7800000000000004E-2</c:v>
                </c:pt>
                <c:pt idx="496">
                  <c:v>5.8200000000000002E-2</c:v>
                </c:pt>
                <c:pt idx="497">
                  <c:v>5.7699999999999994E-2</c:v>
                </c:pt>
                <c:pt idx="498">
                  <c:v>5.74E-2</c:v>
                </c:pt>
                <c:pt idx="499">
                  <c:v>5.7200000000000001E-2</c:v>
                </c:pt>
                <c:pt idx="500">
                  <c:v>5.7599999999999998E-2</c:v>
                </c:pt>
                <c:pt idx="501">
                  <c:v>5.74E-2</c:v>
                </c:pt>
                <c:pt idx="502">
                  <c:v>5.7300000000000004E-2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F6-4C16-B3D9-1714FA54C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3059008"/>
        <c:axId val="1303052344"/>
      </c:lineChart>
      <c:catAx>
        <c:axId val="1303059008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1303052344"/>
        <c:crossesAt val="5.000000000000001E-3"/>
        <c:auto val="1"/>
        <c:lblAlgn val="ctr"/>
        <c:lblOffset val="0"/>
        <c:tickLblSkip val="2"/>
        <c:tickMarkSkip val="1"/>
        <c:noMultiLvlLbl val="0"/>
      </c:catAx>
      <c:valAx>
        <c:axId val="1303052344"/>
        <c:scaling>
          <c:orientation val="minMax"/>
          <c:max val="0.1"/>
          <c:min val="4.0000000000000008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ato" panose="020F0502020204030203" pitchFamily="34" charset="-18"/>
                <a:ea typeface="Arial Narrow"/>
                <a:cs typeface="Arial Narrow"/>
              </a:defRPr>
            </a:pPr>
            <a:endParaRPr lang="pl-PL"/>
          </a:p>
        </c:txPr>
        <c:crossAx val="1303059008"/>
        <c:crosses val="autoZero"/>
        <c:crossBetween val="between"/>
        <c:majorUnit val="1.0000000000000002E-2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9006294003767722"/>
          <c:y val="9.4089171500422675E-2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Lato" panose="020F0502020204030203" pitchFamily="34" charset="-18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0.08356</cdr:x>
      <cdr:y>0.8554</cdr:y>
    </cdr:from>
    <cdr:to>
      <cdr:x>1</cdr:x>
      <cdr:y>0.99385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445B33E7-9253-4AE5-B8DA-2ACFD4B6790F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/>
      </cdr:blipFill>
      <cdr:spPr>
        <a:xfrm xmlns:a="http://schemas.openxmlformats.org/drawingml/2006/main">
          <a:off x="481260" y="3217778"/>
          <a:ext cx="5278190" cy="52081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387E-C44A-49B9-AB9C-494CD9FF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Objaśnienia podatkowe - ogólny szablon MF</Template>
  <TotalTime>7</TotalTime>
  <Pages>16</Pages>
  <Words>2387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 Anna</dc:creator>
  <cp:keywords/>
  <dc:description/>
  <cp:lastModifiedBy>Izdebska Agnieszka</cp:lastModifiedBy>
  <cp:revision>4</cp:revision>
  <cp:lastPrinted>2024-07-31T08:14:00Z</cp:lastPrinted>
  <dcterms:created xsi:type="dcterms:W3CDTF">2024-10-29T10:53:00Z</dcterms:created>
  <dcterms:modified xsi:type="dcterms:W3CDTF">2024-10-29T10:59:00Z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UxC4dwLulzfINJ8nQH+xvX5LNGipWa4BRSZhPgxsCvkO5bT1TUXA8pFPPNtbR0eX12nutXzRhxCIpsxUm2MQYQ==</vt:lpwstr>
  </property>
  <property fmtid="{D5CDD505-2E9C-101B-9397-08002B2CF9AE}" pid="4" name="MFClassificationDate">
    <vt:lpwstr>2023-06-02T11:51:01.2985657+02:00</vt:lpwstr>
  </property>
  <property fmtid="{D5CDD505-2E9C-101B-9397-08002B2CF9AE}" pid="5" name="MFClassifiedBySID">
    <vt:lpwstr>UxC4dwLulzfINJ8nQH+xvX5LNGipWa4BRSZhPgxsCvm42mrIC/DSDv0ggS+FjUN/2v1BBotkLlY5aAiEhoi6ue54e+U1VL9VW4cbi+DeQ1VebKfiNeh1KW2i8LH7vszL</vt:lpwstr>
  </property>
  <property fmtid="{D5CDD505-2E9C-101B-9397-08002B2CF9AE}" pid="6" name="MFGRNItemId">
    <vt:lpwstr>GRN-1155d689-b555-40c8-a4d1-f3b6f31e69d1</vt:lpwstr>
  </property>
  <property fmtid="{D5CDD505-2E9C-101B-9397-08002B2CF9AE}" pid="7" name="MFHash">
    <vt:lpwstr>KPeG/+tkC1sCYso7vqKymYBVPFFej05QvoWdLVTm3FY=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