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56" w:rsidRPr="000959E2" w:rsidRDefault="000644F2" w:rsidP="000959E2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0959E2" w:rsidRPr="000959E2">
        <w:rPr>
          <w:rFonts w:ascii="Arial" w:hAnsi="Arial" w:cs="Arial"/>
          <w:sz w:val="20"/>
          <w:szCs w:val="20"/>
        </w:rPr>
        <w:tab/>
      </w:r>
    </w:p>
    <w:p w:rsidR="001B1D56" w:rsidRPr="000959E2" w:rsidRDefault="000644F2">
      <w:pPr>
        <w:rPr>
          <w:rFonts w:ascii="Arial" w:hAnsi="Arial" w:cs="Arial"/>
          <w:sz w:val="20"/>
          <w:szCs w:val="20"/>
        </w:rPr>
      </w:pP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7B641F" w:rsidRDefault="007B641F">
      <w:pPr>
        <w:rPr>
          <w:rFonts w:ascii="Arial" w:hAnsi="Arial" w:cs="Arial"/>
          <w:sz w:val="20"/>
          <w:szCs w:val="20"/>
        </w:rPr>
      </w:pPr>
      <w:bookmarkStart w:id="0" w:name="bookmark0"/>
    </w:p>
    <w:p w:rsidR="007B641F" w:rsidRDefault="000644F2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>PM 9/3 (2)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7B641F" w:rsidRDefault="000644F2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</w:p>
    <w:bookmarkEnd w:id="0"/>
    <w:p w:rsidR="001B1D56" w:rsidRPr="000959E2" w:rsidRDefault="000644F2">
      <w:pPr>
        <w:rPr>
          <w:rFonts w:ascii="Arial" w:hAnsi="Arial" w:cs="Arial"/>
          <w:sz w:val="20"/>
          <w:szCs w:val="20"/>
        </w:rPr>
      </w:pP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7B641F" w:rsidRDefault="007B641F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1B1D56" w:rsidRPr="007B641F" w:rsidRDefault="000644F2">
      <w:pPr>
        <w:outlineLvl w:val="0"/>
        <w:rPr>
          <w:rFonts w:ascii="Arial" w:hAnsi="Arial" w:cs="Arial"/>
          <w:b/>
          <w:sz w:val="20"/>
          <w:szCs w:val="20"/>
        </w:rPr>
      </w:pPr>
      <w:proofErr w:type="spellStart"/>
      <w:r w:rsidRPr="00C31138">
        <w:rPr>
          <w:rFonts w:ascii="Arial" w:hAnsi="Arial" w:cs="Arial"/>
          <w:b/>
          <w:i/>
          <w:sz w:val="20"/>
          <w:szCs w:val="20"/>
          <w:lang w:val="pl-PL"/>
        </w:rPr>
        <w:t>Ralstonia</w:t>
      </w:r>
      <w:proofErr w:type="spellEnd"/>
      <w:r w:rsidRPr="00C31138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b/>
          <w:i/>
          <w:sz w:val="20"/>
          <w:szCs w:val="20"/>
          <w:lang w:val="pl-PL"/>
        </w:rPr>
        <w:t>solanacearum</w:t>
      </w:r>
      <w:proofErr w:type="spellEnd"/>
    </w:p>
    <w:p w:rsidR="007B641F" w:rsidRDefault="007B641F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1B1D56" w:rsidRPr="007B641F" w:rsidRDefault="000644F2">
      <w:pPr>
        <w:outlineLvl w:val="1"/>
        <w:rPr>
          <w:rFonts w:ascii="Arial" w:hAnsi="Arial" w:cs="Arial"/>
          <w:b/>
          <w:sz w:val="20"/>
          <w:szCs w:val="20"/>
        </w:rPr>
      </w:pPr>
      <w:r w:rsidRPr="00C31138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1B1D56" w:rsidRPr="000959E2" w:rsidRDefault="000644F2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 xml:space="preserve">Niniejszy standard opisuje krajowy ustawowy system zwalczania </w:t>
      </w: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Ralstonia</w:t>
      </w:r>
      <w:proofErr w:type="spellEnd"/>
      <w:r w:rsidRPr="00C3113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zawierający wytyczne w sprawie nadzoru nad tym patogenem, ograniczania jego rozprzestrzeniania i tępienia w przypadku wykrycia.</w:t>
      </w:r>
    </w:p>
    <w:p w:rsidR="007B641F" w:rsidRDefault="007B641F">
      <w:pPr>
        <w:outlineLvl w:val="1"/>
        <w:rPr>
          <w:rFonts w:ascii="Arial" w:hAnsi="Arial" w:cs="Arial"/>
          <w:sz w:val="20"/>
          <w:szCs w:val="20"/>
        </w:rPr>
      </w:pPr>
      <w:bookmarkStart w:id="3" w:name="bookmark3"/>
    </w:p>
    <w:p w:rsidR="007B641F" w:rsidRPr="007B641F" w:rsidRDefault="000644F2" w:rsidP="007B641F">
      <w:pPr>
        <w:outlineLvl w:val="1"/>
        <w:rPr>
          <w:rFonts w:ascii="Arial" w:hAnsi="Arial" w:cs="Arial"/>
          <w:b/>
          <w:sz w:val="20"/>
          <w:szCs w:val="20"/>
        </w:rPr>
      </w:pPr>
      <w:r w:rsidRPr="00C31138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7B641F" w:rsidRPr="000959E2" w:rsidRDefault="000644F2" w:rsidP="007B641F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>Po raz pierwszy zatwierdzono 2003-09.</w:t>
      </w:r>
    </w:p>
    <w:p w:rsidR="007B641F" w:rsidRPr="000959E2" w:rsidRDefault="000644F2" w:rsidP="007B641F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>Nowelizacja zatwierdzona 2011-09.</w:t>
      </w:r>
    </w:p>
    <w:p w:rsidR="007B641F" w:rsidRPr="007B641F" w:rsidRDefault="007B641F">
      <w:pPr>
        <w:outlineLvl w:val="1"/>
        <w:rPr>
          <w:rFonts w:ascii="Arial" w:hAnsi="Arial" w:cs="Arial"/>
          <w:b/>
          <w:sz w:val="20"/>
          <w:szCs w:val="20"/>
        </w:rPr>
      </w:pPr>
    </w:p>
    <w:bookmarkEnd w:id="3"/>
    <w:p w:rsidR="001B1D56" w:rsidRPr="007B641F" w:rsidRDefault="000644F2">
      <w:pPr>
        <w:outlineLvl w:val="1"/>
        <w:rPr>
          <w:rFonts w:ascii="Arial" w:hAnsi="Arial" w:cs="Arial"/>
          <w:b/>
          <w:sz w:val="20"/>
          <w:szCs w:val="20"/>
        </w:rPr>
      </w:pPr>
      <w:r w:rsidRPr="00C31138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1B1D56" w:rsidRPr="000959E2" w:rsidRDefault="000644F2">
      <w:pPr>
        <w:rPr>
          <w:rFonts w:ascii="Arial" w:hAnsi="Arial" w:cs="Arial"/>
          <w:sz w:val="20"/>
          <w:szCs w:val="20"/>
        </w:rPr>
      </w:pP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Ralstonia</w:t>
      </w:r>
      <w:proofErr w:type="spellEnd"/>
      <w:r w:rsidRPr="00C3113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jest agrofagiem wpisanym na listę A2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, którego rasa 3 wywołująca śluzaka ziemniaka i bakteryjne więdnięcie pomidora </w:t>
      </w:r>
      <w:r w:rsidR="00C31138" w:rsidRPr="00C31138">
        <w:rPr>
          <w:rFonts w:ascii="Arial" w:hAnsi="Arial" w:cs="Arial"/>
          <w:sz w:val="20"/>
          <w:szCs w:val="20"/>
          <w:lang w:val="pl-PL"/>
        </w:rPr>
        <w:t>jest organizmem o szczególnym znaczeniu</w:t>
      </w:r>
      <w:r w:rsidRPr="00C31138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>Rozprzestrzenianiu się tego agrofaga w regionie zapobiega się głównie przez stosowanie międzynarodowych środków fitosanitarnych i kwalifikację produkcji sadzeniaków ziemniaka.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>Jeżeli kraj może wykazać, że jest wolny od tego agrofaga lub utworzyć na swoim terytorium obszary wolne od niego, wtedy ziemniaki i rośliny z takich terenów nie będą podlegać restrykcjom, które w innym wypadku są stosowane przeciwko śluzakowi.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Wymagania obowiązujące przy tworzeniu obszarów wolnych od agrofaga opisano w Standardzie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PM 3/61 (1) (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>, 2004a).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PM 8/1 </w:t>
      </w:r>
      <w:r w:rsidRPr="00C31138">
        <w:rPr>
          <w:rFonts w:ascii="Arial" w:hAnsi="Arial" w:cs="Arial"/>
          <w:i/>
          <w:sz w:val="20"/>
          <w:szCs w:val="20"/>
          <w:lang w:val="pl-PL"/>
        </w:rPr>
        <w:t>Szczegółowe środki fitosanitarne dla ziemniaka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 podaje szczegółowe wymagania dla towarów pochodzących z ziemniaków odnośnie </w:t>
      </w:r>
      <w:r w:rsidRPr="00C31138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>, 2004b).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Niniejszy standard opisuje podstawy krajowego ustawowego systemu zwalczania służącego ograniczeniu rozprzestrzeniania się i wytępieniu </w:t>
      </w:r>
      <w:r w:rsidRPr="00C31138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C31138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>.</w:t>
      </w:r>
    </w:p>
    <w:p w:rsidR="007B641F" w:rsidRDefault="007B641F">
      <w:pPr>
        <w:outlineLvl w:val="1"/>
        <w:rPr>
          <w:rFonts w:ascii="Arial" w:hAnsi="Arial" w:cs="Arial"/>
          <w:b/>
          <w:sz w:val="20"/>
          <w:szCs w:val="20"/>
        </w:rPr>
      </w:pPr>
      <w:bookmarkStart w:id="4" w:name="bookmark4"/>
    </w:p>
    <w:bookmarkEnd w:id="4"/>
    <w:p w:rsidR="001B1D56" w:rsidRPr="007B641F" w:rsidRDefault="000644F2">
      <w:pPr>
        <w:outlineLvl w:val="1"/>
        <w:rPr>
          <w:rFonts w:ascii="Arial" w:hAnsi="Arial" w:cs="Arial"/>
          <w:b/>
          <w:sz w:val="20"/>
          <w:szCs w:val="20"/>
        </w:rPr>
      </w:pPr>
      <w:r w:rsidRPr="00C31138">
        <w:rPr>
          <w:rFonts w:ascii="Arial" w:hAnsi="Arial" w:cs="Arial"/>
          <w:b/>
          <w:sz w:val="20"/>
          <w:szCs w:val="20"/>
          <w:lang w:val="pl-PL"/>
        </w:rPr>
        <w:t>Ogólny opis systemu</w:t>
      </w:r>
    </w:p>
    <w:p w:rsidR="001B1D56" w:rsidRPr="000959E2" w:rsidRDefault="000644F2">
      <w:pPr>
        <w:rPr>
          <w:rFonts w:ascii="Arial" w:hAnsi="Arial" w:cs="Arial"/>
          <w:sz w:val="20"/>
          <w:szCs w:val="20"/>
        </w:rPr>
      </w:pPr>
      <w:r w:rsidRPr="00C31138">
        <w:rPr>
          <w:rFonts w:ascii="Arial" w:hAnsi="Arial" w:cs="Arial"/>
          <w:sz w:val="20"/>
          <w:szCs w:val="20"/>
          <w:lang w:val="pl-PL"/>
        </w:rPr>
        <w:t xml:space="preserve">Zaleca się wprowadzenie we wszystkich krajach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krajowego ustawowego systemu zwalczania, którego celem będzie nadzór, ograniczenie rozprzestrzeniania i wytępienie organizmu w razie jego wystąpienia, i który da odpowiednie gwarancje pozwalające na eksport ziemniaków w regionie, zgodnie ze Standardem </w:t>
      </w:r>
      <w:proofErr w:type="spellStart"/>
      <w:r w:rsidRPr="00C3113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31138">
        <w:rPr>
          <w:rFonts w:ascii="Arial" w:hAnsi="Arial" w:cs="Arial"/>
          <w:sz w:val="20"/>
          <w:szCs w:val="20"/>
          <w:lang w:val="pl-PL"/>
        </w:rPr>
        <w:t xml:space="preserve"> PM 8/1.</w:t>
      </w:r>
      <w:r w:rsidR="000959E2" w:rsidRPr="000644F2">
        <w:rPr>
          <w:rFonts w:ascii="Arial" w:hAnsi="Arial" w:cs="Arial"/>
          <w:sz w:val="20"/>
          <w:szCs w:val="20"/>
        </w:rPr>
        <w:t xml:space="preserve"> 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System ten opisano w niniejszym standardzie i uwzględnia on </w:t>
      </w:r>
      <w:r w:rsidR="00C31138" w:rsidRPr="00C31138">
        <w:rPr>
          <w:rFonts w:ascii="Arial" w:hAnsi="Arial" w:cs="Arial"/>
          <w:sz w:val="20"/>
          <w:szCs w:val="20"/>
          <w:lang w:val="pl-PL"/>
        </w:rPr>
        <w:t xml:space="preserve">stosowne przepisy dyrektywy Rady </w:t>
      </w:r>
      <w:proofErr w:type="spellStart"/>
      <w:r w:rsidR="00C31138" w:rsidRPr="00C31138">
        <w:rPr>
          <w:rFonts w:ascii="Arial" w:hAnsi="Arial" w:cs="Arial"/>
          <w:sz w:val="20"/>
          <w:szCs w:val="20"/>
          <w:lang w:val="pl-PL"/>
        </w:rPr>
        <w:t>UE</w:t>
      </w:r>
      <w:proofErr w:type="spellEnd"/>
      <w:r w:rsidR="00C31138" w:rsidRPr="00C31138">
        <w:rPr>
          <w:rFonts w:ascii="Arial" w:hAnsi="Arial" w:cs="Arial"/>
          <w:sz w:val="20"/>
          <w:szCs w:val="20"/>
          <w:lang w:val="pl-PL"/>
        </w:rPr>
        <w:t xml:space="preserve"> 98/57/WE znowelizowanej</w:t>
      </w:r>
      <w:r w:rsidRPr="00C31138">
        <w:rPr>
          <w:rFonts w:ascii="Arial" w:hAnsi="Arial" w:cs="Arial"/>
          <w:sz w:val="20"/>
          <w:szCs w:val="20"/>
          <w:lang w:val="pl-PL"/>
        </w:rPr>
        <w:t xml:space="preserve"> dyrektywą Komisji 2006/63/WE (EU, 1993,2006).</w:t>
      </w:r>
      <w:r w:rsidR="000959E2" w:rsidRPr="000644F2">
        <w:rPr>
          <w:rFonts w:ascii="Arial" w:hAnsi="Arial" w:cs="Arial"/>
          <w:sz w:val="20"/>
          <w:szCs w:val="20"/>
        </w:rPr>
        <w:t xml:space="preserve"> </w:t>
      </w:r>
      <w:r w:rsidR="00B37387" w:rsidRPr="001E33DB">
        <w:rPr>
          <w:rFonts w:ascii="Arial" w:hAnsi="Arial" w:cs="Arial"/>
          <w:sz w:val="20"/>
          <w:szCs w:val="20"/>
          <w:lang w:val="pl-PL"/>
        </w:rPr>
        <w:t xml:space="preserve">Zaleca się również zagrożonym krajom członkowskim </w:t>
      </w:r>
      <w:proofErr w:type="spellStart"/>
      <w:r w:rsidR="00B37387"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B37387" w:rsidRPr="001E33DB">
        <w:rPr>
          <w:rFonts w:ascii="Arial" w:hAnsi="Arial" w:cs="Arial"/>
          <w:sz w:val="20"/>
          <w:szCs w:val="20"/>
          <w:lang w:val="pl-PL"/>
        </w:rPr>
        <w:t xml:space="preserve"> opracowanie planów awaryjnych na wypadek wystąpienia agrofaga (w oparciu o Standard </w:t>
      </w:r>
      <w:proofErr w:type="spellStart"/>
      <w:r w:rsidR="00B37387"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B37387" w:rsidRPr="001E33DB">
        <w:rPr>
          <w:rFonts w:ascii="Arial" w:hAnsi="Arial" w:cs="Arial"/>
          <w:sz w:val="20"/>
          <w:szCs w:val="20"/>
          <w:lang w:val="pl-PL"/>
        </w:rPr>
        <w:t xml:space="preserve"> PM 9/10 </w:t>
      </w:r>
      <w:r w:rsidR="00B37387" w:rsidRPr="001E33DB">
        <w:rPr>
          <w:rFonts w:ascii="Arial" w:hAnsi="Arial" w:cs="Arial"/>
          <w:i/>
          <w:sz w:val="20"/>
          <w:szCs w:val="20"/>
          <w:lang w:val="pl-PL"/>
        </w:rPr>
        <w:t>Elementy wspólne planów awaryjnych</w:t>
      </w:r>
      <w:r w:rsidR="00B37387" w:rsidRPr="001E33DB">
        <w:rPr>
          <w:rFonts w:ascii="Arial" w:hAnsi="Arial" w:cs="Arial"/>
          <w:sz w:val="20"/>
          <w:szCs w:val="20"/>
          <w:lang w:val="pl-PL"/>
        </w:rPr>
        <w:t>) określających niezbędne rozwiązania organizacyjne i operacyjne pozwalające zwalczyć ognisko choroby.</w:t>
      </w:r>
    </w:p>
    <w:p w:rsidR="001B1D56" w:rsidRPr="000959E2" w:rsidRDefault="00B37387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In</w:t>
      </w:r>
      <w:r w:rsidR="001E33DB" w:rsidRPr="001E33DB">
        <w:rPr>
          <w:rFonts w:ascii="Arial" w:hAnsi="Arial" w:cs="Arial"/>
          <w:sz w:val="20"/>
          <w:szCs w:val="20"/>
          <w:lang w:val="pl-PL"/>
        </w:rPr>
        <w:t>spekcja wzrokowa bulw ziemniaka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 jest środkiem niewystarczającym dla zapobieżenia rozprzestrzenianiu się śluzaka, ponieważ choroba ta często występuje w formie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latentnej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Zwalczanie śluzaka opiera się zatem głównie na stosowaniu kwalifikowanych sadzeniaków ziemniaka i badaniu prób sadzeniaków z wykorzystaniem międzynarodowo przyjętych metod wykrywania i identyfikacji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W przypadku wykrycia choroby należy zastosować środki zmierzające do ograniczenia jej rozprzestrzeniania się i wytępienia z systemu produkcji, zwłaszcza przez wyznaczenie obszaru nadzorowanego i wprowadzenie kilkuletnich restrykcji na uprawę roślin żywicielskich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(i zwalczanie samosiewów ziemniaka).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Kluczowym elementem zwalczania choroby jest ścisłe przestrzeganie zasad higieny.</w:t>
      </w:r>
    </w:p>
    <w:p w:rsidR="001B1D56" w:rsidRPr="000959E2" w:rsidRDefault="00B37387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Ralstonia</w:t>
      </w:r>
      <w:proofErr w:type="spellEnd"/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może również bytować w ciekach wodnych porażając i namnażając się w roślinach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porastających brzegi.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Wykorzystywanie porażonej wody do nawadniania było przyczyną wielu porażeń zarówno ziemniaków, jak i pomidorów w regionie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Dlatego należy zakazać nawadniania roślin żywicielskich wodą z porażonych cieków wodnych.</w:t>
      </w:r>
    </w:p>
    <w:p w:rsidR="001B1D56" w:rsidRPr="000959E2" w:rsidRDefault="00B37387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Krajowy ustawowy system zwalczania ma za zadanie umożliwić krajom, które wykażą jego stosowanie eksport ziemniaków i innych roślin na tych samych zasadach, co kraje, które wykażą brak występowania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na swoim terytorium.</w:t>
      </w:r>
    </w:p>
    <w:p w:rsidR="007B641F" w:rsidRDefault="007B641F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1B1D56" w:rsidRPr="007B641F" w:rsidRDefault="00B37387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lastRenderedPageBreak/>
        <w:t>System zwalczania</w:t>
      </w:r>
    </w:p>
    <w:p w:rsidR="001B1D56" w:rsidRPr="000959E2" w:rsidRDefault="00B37387">
      <w:pPr>
        <w:ind w:left="360" w:hanging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System zwalczania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ma cztery cele:</w:t>
      </w:r>
    </w:p>
    <w:p w:rsidR="001B1D56" w:rsidRPr="001E33DB" w:rsidRDefault="00B37387" w:rsidP="001E33DB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ustalenie, czy agrofag jest obecny w kraju, a jeśli tak, to zlokalizowanie go i określenie jego występowania.</w:t>
      </w:r>
    </w:p>
    <w:p w:rsidR="001B1D56" w:rsidRPr="001E33DB" w:rsidRDefault="00B37387" w:rsidP="001E33DB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zapobieżenie rozprzestrzenianiu się agrofaga.</w:t>
      </w:r>
    </w:p>
    <w:p w:rsidR="001B1D56" w:rsidRPr="001E33DB" w:rsidRDefault="00B37387" w:rsidP="001E33DB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wytępienie ognisk.</w:t>
      </w:r>
    </w:p>
    <w:p w:rsidR="001B1D56" w:rsidRPr="001E33DB" w:rsidRDefault="00B37387" w:rsidP="001E33DB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wytępienie agrofaga z systemów produkcji ziemniaków na terenach, gdzie on występuje.</w:t>
      </w:r>
    </w:p>
    <w:p w:rsidR="007B641F" w:rsidRDefault="007B641F">
      <w:pPr>
        <w:tabs>
          <w:tab w:val="left" w:pos="289"/>
        </w:tabs>
        <w:outlineLvl w:val="1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1B1D56" w:rsidRPr="001E33DB" w:rsidRDefault="00B37387" w:rsidP="001E33DB">
      <w:pPr>
        <w:pStyle w:val="Akapitzlist"/>
        <w:numPr>
          <w:ilvl w:val="0"/>
          <w:numId w:val="4"/>
        </w:numPr>
        <w:tabs>
          <w:tab w:val="left" w:pos="289"/>
        </w:tabs>
        <w:outlineLvl w:val="1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Nadzór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B37387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Przetrzymywanie i manipulacja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powinny być zakazane, za wyjątkiem podmiotów licencjonowanych;</w:t>
      </w:r>
      <w:r w:rsidR="000959E2" w:rsidRPr="00B37387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patrz Standard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PM 3/64 (1) </w:t>
      </w:r>
      <w:r w:rsidRPr="001E33DB">
        <w:rPr>
          <w:rFonts w:ascii="Arial" w:hAnsi="Arial" w:cs="Arial"/>
          <w:i/>
          <w:sz w:val="20"/>
          <w:szCs w:val="20"/>
          <w:lang w:val="pl-PL"/>
        </w:rPr>
        <w:t>Międzynarodowy import organizmów szkodliwych lub potencjalnych organizmów szkodliwych roślin</w:t>
      </w:r>
      <w:r w:rsidRPr="001E33DB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należy uznać za organizm podlegający notyfikacji.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Wszystkie osoby podejrzewające lub mające wiedzę o obecności choroby powinny poinformować o tym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.</w:t>
      </w:r>
    </w:p>
    <w:p w:rsidR="001B1D56" w:rsidRPr="000959E2" w:rsidRDefault="00B37387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Nadzór nad występowaniem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w kraju lub na obszarze, gdzie nie znane jest występowanie </w:t>
      </w:r>
      <w:r w:rsidR="00C323A8" w:rsidRPr="001E33DB">
        <w:rPr>
          <w:rFonts w:ascii="Arial" w:hAnsi="Arial" w:cs="Arial"/>
          <w:sz w:val="20"/>
          <w:szCs w:val="20"/>
          <w:lang w:val="pl-PL"/>
        </w:rPr>
        <w:t xml:space="preserve">śluzaka </w:t>
      </w:r>
      <w:r w:rsidRPr="001E33DB">
        <w:rPr>
          <w:rFonts w:ascii="Arial" w:hAnsi="Arial" w:cs="Arial"/>
          <w:sz w:val="20"/>
          <w:szCs w:val="20"/>
          <w:lang w:val="pl-PL"/>
        </w:rPr>
        <w:t>zazwyczaj opiera się na systematycznej lustracji poszukiwawczej.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="00C323A8" w:rsidRPr="001E33DB">
        <w:rPr>
          <w:rFonts w:ascii="Arial" w:hAnsi="Arial" w:cs="Arial"/>
          <w:sz w:val="20"/>
          <w:szCs w:val="20"/>
          <w:lang w:val="pl-PL"/>
        </w:rPr>
        <w:t>Intensywność nadzoru powinna być ustalona na podstawie oceny ryzyka i gwarantować, że cały system produkcji będzie wolny od tego organizmu.</w:t>
      </w:r>
    </w:p>
    <w:p w:rsidR="001B1D56" w:rsidRPr="000959E2" w:rsidRDefault="00C323A8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Należy lustrować ziemniaki, pomidory, wody powierzchniowe oraz, ewentualnie, inne rośliny żywicielskie.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Ponadto pożądane może być prowadzenie ukierunkowanych lustracji ścieków z zakładów przemysłowego przerobu lub pakowalni, ale decyzję o zastosowaniu tego środka należy podjąć w oparciu o ocenę ryzyka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reintrodukcji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agrofaga do </w:t>
      </w:r>
      <w:r w:rsidR="001E33DB" w:rsidRPr="001E33DB">
        <w:rPr>
          <w:rFonts w:ascii="Arial" w:hAnsi="Arial" w:cs="Arial"/>
          <w:sz w:val="20"/>
          <w:szCs w:val="20"/>
          <w:lang w:val="pl-PL"/>
        </w:rPr>
        <w:t xml:space="preserve">upraw </w:t>
      </w:r>
      <w:r w:rsidRPr="001E33DB">
        <w:rPr>
          <w:rFonts w:ascii="Arial" w:hAnsi="Arial" w:cs="Arial"/>
          <w:sz w:val="20"/>
          <w:szCs w:val="20"/>
          <w:lang w:val="pl-PL"/>
        </w:rPr>
        <w:t>ziemniaków lub pomidorów.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Lustracje powinny obejmować następujące elementy:</w:t>
      </w:r>
    </w:p>
    <w:p w:rsidR="007B641F" w:rsidRDefault="007B641F">
      <w:pPr>
        <w:tabs>
          <w:tab w:val="left" w:pos="337"/>
        </w:tabs>
        <w:outlineLvl w:val="2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1B1D56" w:rsidRPr="001E33DB" w:rsidRDefault="00C323A8" w:rsidP="001E33DB">
      <w:pPr>
        <w:pStyle w:val="Akapitzlist"/>
        <w:numPr>
          <w:ilvl w:val="1"/>
          <w:numId w:val="4"/>
        </w:numPr>
        <w:tabs>
          <w:tab w:val="left" w:pos="337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Ziemniak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C323A8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 przypadku sadzeniaków lustracje najlepiej jest prowadzić na bulwach w przechowalni.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przypadku pobierania prób bulw z pola (np. wczesnych ziemniaków), najlepiej jest robić to tuż przed zbiorem.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Próby należy pobierać losowo, aby zagwarantować ich reprezentatywność i wiarygodność wyników.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Jedna próba do analizy nie powinna zawierać więcej, niż 200 bulw.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Ponadto, inspekcję wzrokową można przeprowadzić na innych próbach krojąc bulwy w części przystolonowej, a w przypadku roślin na polu skontrolować je wzrokowo w odpowiednich terminach na obecność typowych objawów choroby.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nr 31 </w:t>
      </w:r>
      <w:r w:rsidRPr="001E33DB">
        <w:rPr>
          <w:rFonts w:ascii="Arial" w:hAnsi="Arial" w:cs="Arial"/>
          <w:i/>
          <w:sz w:val="20"/>
          <w:szCs w:val="20"/>
          <w:lang w:val="pl-PL"/>
        </w:rPr>
        <w:t>Metodyki pobierania prób z przesyłek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 może zostać wykorzystany jako podstawa do ustalania wielkości prób i określa prawdopodobieństwo wykrycia przy danej wielkości próby.</w:t>
      </w:r>
    </w:p>
    <w:p w:rsidR="001B1D56" w:rsidRPr="000959E2" w:rsidRDefault="00C323A8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 przypadku innych rodzajów ziemniaków należy w odpowiednich terminach prowadzić inspekcje wzrokowe upraw na polu w poszukiwaniu typowych objawów choroby.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przypadku stwierdzenia podejrzanych objawów choroby należy pobrać próby do badania.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Ponadto, należy badać ziemniaki po zbiorze.</w:t>
      </w:r>
    </w:p>
    <w:p w:rsidR="007B641F" w:rsidRDefault="007B641F">
      <w:pPr>
        <w:tabs>
          <w:tab w:val="left" w:pos="322"/>
        </w:tabs>
        <w:outlineLvl w:val="2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1B1D56" w:rsidRPr="001E33DB" w:rsidRDefault="009C00D7" w:rsidP="001E33DB">
      <w:pPr>
        <w:pStyle w:val="Akapitzlist"/>
        <w:numPr>
          <w:ilvl w:val="1"/>
          <w:numId w:val="4"/>
        </w:numPr>
        <w:tabs>
          <w:tab w:val="left" w:pos="322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Pomidor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9C00D7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Uprawy pomidorów (pod gołym niebem i pod osłonami) należy poddać inspekcji wzrokowej w okresie aktywnego wzrostu.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przypadku stwierdzenia podejrzanych objawów choroby należy pobrać próby do badania.</w:t>
      </w:r>
    </w:p>
    <w:p w:rsidR="007B641F" w:rsidRDefault="007B641F">
      <w:pPr>
        <w:tabs>
          <w:tab w:val="left" w:pos="327"/>
        </w:tabs>
        <w:outlineLvl w:val="2"/>
        <w:rPr>
          <w:rFonts w:ascii="Arial" w:hAnsi="Arial" w:cs="Arial"/>
          <w:sz w:val="20"/>
          <w:szCs w:val="20"/>
        </w:rPr>
      </w:pPr>
      <w:bookmarkStart w:id="9" w:name="bookmark10"/>
    </w:p>
    <w:bookmarkEnd w:id="9"/>
    <w:p w:rsidR="001B1D56" w:rsidRPr="001E33DB" w:rsidRDefault="009C00D7" w:rsidP="001E33DB">
      <w:pPr>
        <w:pStyle w:val="Akapitzlist"/>
        <w:numPr>
          <w:ilvl w:val="1"/>
          <w:numId w:val="4"/>
        </w:numPr>
        <w:tabs>
          <w:tab w:val="left" w:pos="327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Wody powierzchniowe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9C00D7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color w:val="auto"/>
          <w:sz w:val="20"/>
          <w:szCs w:val="20"/>
          <w:lang w:val="pl-PL"/>
        </w:rPr>
        <w:t>Należy pobrać próby wód powierzchniowych wykorzystywanych do nawadniania, zraszania lub opryskiwania roślin żywicielskich, zwłaszcza w pobliżu porażonych pól i miejsc zrzutu odpadów z zakładów przemysłowego przerobu i pakowalni ziemniaków oraz ścieków komunalnych.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Próby wód powierzchniowych należy pobierać w pobliżu roślin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, jeżeli one występują.</w:t>
      </w:r>
    </w:p>
    <w:p w:rsidR="001B1D56" w:rsidRPr="000959E2" w:rsidRDefault="009C00D7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Należy pamiętać, że największą pewność wykrycia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w wodach powierzchniowych uzyskuje się późną wiosną, latem i wczesną jesienią, kiedy temperatura wody przekracza 15°C.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Wielokrotne pobieranie prób w różnych terminach, w podanym wyżej okresie i w wyznaczonych miejscach próbobrania zwiększy możliwość wykrycia przez ograniczenie wpływu zmian warunków atmosferycznych (np. po obfitych opadach zwiększony przepływ wody może zmniejszyć wykrywalność).</w:t>
      </w:r>
    </w:p>
    <w:p w:rsidR="007B641F" w:rsidRDefault="007B641F">
      <w:pPr>
        <w:tabs>
          <w:tab w:val="left" w:pos="312"/>
        </w:tabs>
        <w:outlineLvl w:val="2"/>
        <w:rPr>
          <w:rFonts w:ascii="Arial" w:hAnsi="Arial" w:cs="Arial"/>
          <w:sz w:val="20"/>
          <w:szCs w:val="20"/>
        </w:rPr>
      </w:pPr>
      <w:bookmarkStart w:id="10" w:name="bookmark11"/>
    </w:p>
    <w:bookmarkEnd w:id="10"/>
    <w:p w:rsidR="001B1D56" w:rsidRPr="001E33DB" w:rsidRDefault="009C00D7" w:rsidP="001E33DB">
      <w:pPr>
        <w:pStyle w:val="Akapitzlist"/>
        <w:numPr>
          <w:ilvl w:val="1"/>
          <w:numId w:val="4"/>
        </w:numPr>
        <w:tabs>
          <w:tab w:val="left" w:pos="312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lastRenderedPageBreak/>
        <w:t>Inne rośliny żywicielskie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9C00D7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Na obszarach, gdzie zidentyfikowano ryzyko rozprzestrzeniania się </w:t>
      </w:r>
      <w:r w:rsidRPr="001E33DB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</w:t>
      </w:r>
      <w:r w:rsidR="00C11941" w:rsidRPr="001E33DB">
        <w:rPr>
          <w:rFonts w:ascii="Arial" w:hAnsi="Arial" w:cs="Arial"/>
          <w:sz w:val="20"/>
          <w:szCs w:val="20"/>
          <w:lang w:val="pl-PL"/>
        </w:rPr>
        <w:t xml:space="preserve">należy pobierać próby innych roślin żywicielskich, takich jak znane żywicielskie rośliny nieuprawne (np. </w:t>
      </w:r>
      <w:r w:rsidR="00C11941" w:rsidRPr="001E33DB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C11941" w:rsidRPr="001E33DB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="00C11941" w:rsidRPr="001E33DB">
        <w:rPr>
          <w:rFonts w:ascii="Arial" w:hAnsi="Arial" w:cs="Arial"/>
          <w:sz w:val="20"/>
          <w:szCs w:val="20"/>
          <w:lang w:val="pl-PL"/>
        </w:rPr>
        <w:t xml:space="preserve"> i </w:t>
      </w:r>
      <w:r w:rsidR="00C11941" w:rsidRPr="001E33DB">
        <w:rPr>
          <w:rFonts w:ascii="Arial" w:hAnsi="Arial" w:cs="Arial"/>
          <w:i/>
          <w:sz w:val="20"/>
          <w:szCs w:val="20"/>
          <w:lang w:val="pl-PL"/>
        </w:rPr>
        <w:t xml:space="preserve">Urtica </w:t>
      </w:r>
      <w:proofErr w:type="spellStart"/>
      <w:r w:rsidR="00C11941" w:rsidRPr="001E33DB">
        <w:rPr>
          <w:rFonts w:ascii="Arial" w:hAnsi="Arial" w:cs="Arial"/>
          <w:i/>
          <w:sz w:val="20"/>
          <w:szCs w:val="20"/>
          <w:lang w:val="pl-PL"/>
        </w:rPr>
        <w:t>dioica</w:t>
      </w:r>
      <w:proofErr w:type="spellEnd"/>
      <w:r w:rsidR="00C11941" w:rsidRPr="001E33DB">
        <w:rPr>
          <w:rFonts w:ascii="Arial" w:hAnsi="Arial" w:cs="Arial"/>
          <w:sz w:val="20"/>
          <w:szCs w:val="20"/>
          <w:lang w:val="pl-PL"/>
        </w:rPr>
        <w:t>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="00C11941" w:rsidRPr="001E33DB">
        <w:rPr>
          <w:rFonts w:ascii="Arial" w:hAnsi="Arial" w:cs="Arial"/>
          <w:sz w:val="20"/>
          <w:szCs w:val="20"/>
          <w:lang w:val="pl-PL"/>
        </w:rPr>
        <w:t xml:space="preserve">Wiadomo, że </w:t>
      </w:r>
      <w:r w:rsidR="00C11941" w:rsidRPr="001E33DB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C11941" w:rsidRPr="001E33DB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="00C11941" w:rsidRPr="001E33DB">
        <w:rPr>
          <w:rFonts w:ascii="Arial" w:hAnsi="Arial" w:cs="Arial"/>
          <w:sz w:val="20"/>
          <w:szCs w:val="20"/>
          <w:lang w:val="pl-PL"/>
        </w:rPr>
        <w:t xml:space="preserve"> jest znaczącą alternatywną rośliną żywicielską i może mieć duży wpływ na epidemiologię choroby.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="00C11941" w:rsidRPr="001E33DB">
        <w:rPr>
          <w:rFonts w:ascii="Arial" w:hAnsi="Arial" w:cs="Arial"/>
          <w:sz w:val="20"/>
          <w:szCs w:val="20"/>
          <w:lang w:val="pl-PL"/>
        </w:rPr>
        <w:t xml:space="preserve">W niektórych krajach stwierdzano również porażenie </w:t>
      </w:r>
      <w:r w:rsidR="00C11941" w:rsidRPr="001E33DB">
        <w:rPr>
          <w:rFonts w:ascii="Arial" w:hAnsi="Arial" w:cs="Arial"/>
          <w:i/>
          <w:sz w:val="20"/>
          <w:szCs w:val="20"/>
          <w:lang w:val="pl-PL"/>
        </w:rPr>
        <w:t xml:space="preserve">U. </w:t>
      </w:r>
      <w:proofErr w:type="spellStart"/>
      <w:r w:rsidR="00C11941" w:rsidRPr="001E33DB">
        <w:rPr>
          <w:rFonts w:ascii="Arial" w:hAnsi="Arial" w:cs="Arial"/>
          <w:i/>
          <w:sz w:val="20"/>
          <w:szCs w:val="20"/>
          <w:lang w:val="pl-PL"/>
        </w:rPr>
        <w:t>dioica</w:t>
      </w:r>
      <w:proofErr w:type="spellEnd"/>
      <w:r w:rsidR="00C11941" w:rsidRPr="001E33DB">
        <w:rPr>
          <w:rFonts w:ascii="Arial" w:hAnsi="Arial" w:cs="Arial"/>
          <w:sz w:val="20"/>
          <w:szCs w:val="20"/>
          <w:lang w:val="pl-PL"/>
        </w:rPr>
        <w:t>, ale znaczenie tej rośliny żywicielskiej nie jest znane.</w:t>
      </w:r>
    </w:p>
    <w:p w:rsidR="007B641F" w:rsidRDefault="007B641F">
      <w:pPr>
        <w:tabs>
          <w:tab w:val="left" w:pos="307"/>
        </w:tabs>
        <w:outlineLvl w:val="2"/>
        <w:rPr>
          <w:rFonts w:ascii="Arial" w:hAnsi="Arial" w:cs="Arial"/>
          <w:sz w:val="20"/>
          <w:szCs w:val="20"/>
        </w:rPr>
      </w:pPr>
      <w:bookmarkStart w:id="11" w:name="bookmark12"/>
    </w:p>
    <w:bookmarkEnd w:id="11"/>
    <w:p w:rsidR="001B1D56" w:rsidRPr="001E33DB" w:rsidRDefault="00C11941" w:rsidP="001E33DB">
      <w:pPr>
        <w:pStyle w:val="Akapitzlist"/>
        <w:numPr>
          <w:ilvl w:val="1"/>
          <w:numId w:val="4"/>
        </w:numPr>
        <w:tabs>
          <w:tab w:val="left" w:pos="307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Odpady stałe i ciekłe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C11941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Próby odpadów stałych i ciekłych uznanych za stwarzające ryzyko dla produkcji ziemniaków i pomidorów można pobierać z zakładów przerobu i pakowalni.</w:t>
      </w:r>
    </w:p>
    <w:p w:rsidR="007B641F" w:rsidRDefault="007B641F">
      <w:pPr>
        <w:tabs>
          <w:tab w:val="left" w:pos="317"/>
        </w:tabs>
        <w:outlineLvl w:val="2"/>
        <w:rPr>
          <w:rFonts w:ascii="Arial" w:hAnsi="Arial" w:cs="Arial"/>
          <w:sz w:val="20"/>
          <w:szCs w:val="20"/>
        </w:rPr>
      </w:pPr>
      <w:bookmarkStart w:id="12" w:name="bookmark13"/>
    </w:p>
    <w:bookmarkEnd w:id="12"/>
    <w:p w:rsidR="001B1D56" w:rsidRPr="001E33DB" w:rsidRDefault="00C11941" w:rsidP="001E33DB">
      <w:pPr>
        <w:pStyle w:val="Akapitzlist"/>
        <w:numPr>
          <w:ilvl w:val="1"/>
          <w:numId w:val="4"/>
        </w:numPr>
        <w:tabs>
          <w:tab w:val="left" w:pos="317"/>
        </w:tabs>
        <w:outlineLvl w:val="2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Wykrywanie i identyfikacja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C11941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color w:val="auto"/>
          <w:sz w:val="20"/>
          <w:szCs w:val="20"/>
          <w:lang w:val="pl-PL"/>
        </w:rPr>
        <w:t xml:space="preserve">Obróbkę, badanie prób oraz identyfikację bakterii </w:t>
      </w:r>
      <w:r w:rsidRPr="001E33DB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R. </w:t>
      </w:r>
      <w:proofErr w:type="spellStart"/>
      <w:r w:rsidRPr="001E33DB">
        <w:rPr>
          <w:rFonts w:ascii="Arial" w:hAnsi="Arial" w:cs="Arial"/>
          <w:i/>
          <w:color w:val="auto"/>
          <w:sz w:val="20"/>
          <w:szCs w:val="20"/>
          <w:lang w:val="pl-PL"/>
        </w:rPr>
        <w:t>solanacearum</w:t>
      </w:r>
      <w:proofErr w:type="spellEnd"/>
      <w:r w:rsidRPr="001E33DB">
        <w:rPr>
          <w:rFonts w:ascii="Arial" w:hAnsi="Arial" w:cs="Arial"/>
          <w:color w:val="auto"/>
          <w:sz w:val="20"/>
          <w:szCs w:val="20"/>
          <w:lang w:val="pl-PL"/>
        </w:rPr>
        <w:t xml:space="preserve"> wyekstrahowanych z prób opisano w Standardzie </w:t>
      </w:r>
      <w:proofErr w:type="spellStart"/>
      <w:r w:rsidRPr="001E33DB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color w:val="auto"/>
          <w:sz w:val="20"/>
          <w:szCs w:val="20"/>
          <w:lang w:val="pl-PL"/>
        </w:rPr>
        <w:t xml:space="preserve"> PM 7/21 (</w:t>
      </w:r>
      <w:proofErr w:type="spellStart"/>
      <w:r w:rsidRPr="001E33DB">
        <w:rPr>
          <w:rFonts w:ascii="Arial" w:hAnsi="Arial" w:cs="Arial"/>
          <w:color w:val="auto"/>
          <w:sz w:val="20"/>
          <w:szCs w:val="20"/>
          <w:lang w:val="pl-PL"/>
        </w:rPr>
        <w:t>OEPP</w:t>
      </w:r>
      <w:proofErr w:type="spellEnd"/>
      <w:r w:rsidRPr="001E33DB">
        <w:rPr>
          <w:rFonts w:ascii="Arial" w:hAnsi="Arial" w:cs="Arial"/>
          <w:color w:val="auto"/>
          <w:sz w:val="20"/>
          <w:szCs w:val="20"/>
          <w:lang w:val="pl-PL"/>
        </w:rPr>
        <w:t>/</w:t>
      </w:r>
      <w:proofErr w:type="spellStart"/>
      <w:r w:rsidRPr="001E33DB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color w:val="auto"/>
          <w:sz w:val="20"/>
          <w:szCs w:val="20"/>
          <w:lang w:val="pl-PL"/>
        </w:rPr>
        <w:t xml:space="preserve">, 2004c, w trakcie nowelizacji), który uwzględnia przepisy dyrektywy Rady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98/57/WE </w:t>
      </w:r>
      <w:r w:rsidRPr="001E33DB">
        <w:rPr>
          <w:rFonts w:ascii="Arial" w:hAnsi="Arial" w:cs="Arial"/>
          <w:color w:val="auto"/>
          <w:sz w:val="20"/>
          <w:szCs w:val="20"/>
          <w:lang w:val="pl-PL"/>
        </w:rPr>
        <w:t xml:space="preserve">znowelizowanej przez dyrektywę Komisji 2006/63/WE </w:t>
      </w:r>
      <w:r w:rsidRPr="001E33DB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UE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, 1998, 2006).</w:t>
      </w:r>
    </w:p>
    <w:p w:rsidR="007B641F" w:rsidRDefault="007B641F">
      <w:pPr>
        <w:tabs>
          <w:tab w:val="left" w:pos="283"/>
        </w:tabs>
        <w:outlineLvl w:val="1"/>
        <w:rPr>
          <w:rFonts w:ascii="Arial" w:hAnsi="Arial" w:cs="Arial"/>
          <w:sz w:val="20"/>
          <w:szCs w:val="20"/>
        </w:rPr>
      </w:pPr>
      <w:bookmarkStart w:id="13" w:name="bookmark14"/>
    </w:p>
    <w:bookmarkEnd w:id="13"/>
    <w:p w:rsidR="001B1D56" w:rsidRPr="001E33DB" w:rsidRDefault="00C11941" w:rsidP="001E33DB">
      <w:pPr>
        <w:pStyle w:val="Akapitzlist"/>
        <w:numPr>
          <w:ilvl w:val="0"/>
          <w:numId w:val="4"/>
        </w:numPr>
        <w:tabs>
          <w:tab w:val="left" w:pos="283"/>
        </w:tabs>
        <w:outlineLvl w:val="1"/>
        <w:rPr>
          <w:rFonts w:ascii="Arial" w:hAnsi="Arial" w:cs="Arial"/>
          <w:b/>
          <w:sz w:val="20"/>
          <w:szCs w:val="20"/>
        </w:rPr>
      </w:pPr>
      <w:r w:rsidRPr="001E33DB">
        <w:rPr>
          <w:rFonts w:ascii="Arial" w:hAnsi="Arial" w:cs="Arial"/>
          <w:b/>
          <w:sz w:val="20"/>
          <w:szCs w:val="20"/>
          <w:lang w:val="pl-PL"/>
        </w:rPr>
        <w:t>Ustalenie obecności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C11941">
      <w:pPr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W przypadku wykrycia lub podejrzenia wystąpienia ogniska choroby w trakcie rutynowych badań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powinna zakazać przemieszczania materiału bezpośredniego związanego ze sprawą i może podjąć inne działania zabezpieczające, takie jak zakaz przemieszczania innych ziemniaków lub innych roślin żywicielskich poza dane miejsce produkcji</w:t>
      </w:r>
      <w:r w:rsidRPr="001E33DB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1E33DB">
        <w:rPr>
          <w:rFonts w:ascii="Arial" w:hAnsi="Arial" w:cs="Arial"/>
          <w:sz w:val="20"/>
          <w:szCs w:val="20"/>
          <w:lang w:val="pl-PL"/>
        </w:rPr>
        <w:t>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 xml:space="preserve">Materiał podejrzany powinien zostać jak najszybciej poddany badaniom w celu potwierdzenia podejrzenia, zgodnie ze Standardem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PM 7/21 (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>, 2004c; w trakcie nowelizacji).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powinna przechowywać odpowiedni materiał dowodowy (np. pierwotną próbę, pierwotny ekstrakt, gotowe preparaty mikroskopowe do testu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IF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z ekstraktu, kultury organizmu, dokumentację) przez co najmniej miesiąc od zakończenia badań.</w:t>
      </w:r>
    </w:p>
    <w:p w:rsidR="001B1D56" w:rsidRPr="000959E2" w:rsidRDefault="00C11941" w:rsidP="007B641F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Jeżeli materiał stwarza ryzyko dla innego kraju,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tego kraju powinna zostać bezzwłocznie poinformowana o podejrzanych wynikach.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informacji dotyczącej wyeksportowanych partii ziemniaków należy podać co najmniej:</w:t>
      </w:r>
    </w:p>
    <w:p w:rsidR="001B1D56" w:rsidRPr="001E33DB" w:rsidRDefault="00C11941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nazwę odmiany partii ziemniaków.</w:t>
      </w:r>
    </w:p>
    <w:p w:rsidR="001B1D56" w:rsidRPr="001E33DB" w:rsidRDefault="00C11941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typ (towarowe, sadzeniaki, itp.) ziemniaków oraz w stosownych przypadkach stopień kwalifikacji.</w:t>
      </w:r>
    </w:p>
    <w:p w:rsidR="001B1D56" w:rsidRPr="001E33DB" w:rsidRDefault="00C11941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nazwy i adresy nadawcy i odbiorcy.</w:t>
      </w:r>
    </w:p>
    <w:p w:rsidR="001B1D56" w:rsidRPr="001E33DB" w:rsidRDefault="00C11941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datę dostawy partii ziemniaków.</w:t>
      </w:r>
    </w:p>
    <w:p w:rsidR="001B1D56" w:rsidRPr="001E33DB" w:rsidRDefault="00913B5C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wielkość dostarczonej partii ziemniaków.</w:t>
      </w:r>
    </w:p>
    <w:p w:rsidR="001B1D56" w:rsidRPr="000959E2" w:rsidRDefault="00913B5C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Ponadto, w miarę dostępności, należy podać numer rejestracyjny producenta lub sprzedawcy oraz kopię dowodu dostawy.</w:t>
      </w:r>
    </w:p>
    <w:p w:rsidR="001B1D56" w:rsidRPr="000959E2" w:rsidRDefault="00913B5C">
      <w:pPr>
        <w:ind w:firstLine="360"/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Jeżeli ognisko jest powiązane z materiałem z innego kraju, materiał dowodowy w postaci np. materiału i dokumentacji powinien być przetrzymywany przez okres do jednego roku, zgodnie z wymaganiami Standardu </w:t>
      </w: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nr 13 </w:t>
      </w:r>
      <w:r w:rsidRPr="001E33DB">
        <w:rPr>
          <w:rFonts w:ascii="Arial" w:hAnsi="Arial" w:cs="Arial"/>
          <w:i/>
          <w:sz w:val="20"/>
          <w:szCs w:val="20"/>
          <w:lang w:val="pl-PL"/>
        </w:rPr>
        <w:t>Wytyczne dla powiadomień o niezgodności z przepisami i działań doraźnych</w:t>
      </w:r>
      <w:r w:rsidRPr="001E33DB">
        <w:rPr>
          <w:rFonts w:ascii="Arial" w:hAnsi="Arial" w:cs="Arial"/>
          <w:sz w:val="20"/>
          <w:szCs w:val="20"/>
          <w:lang w:val="pl-PL"/>
        </w:rPr>
        <w:t>.</w:t>
      </w:r>
    </w:p>
    <w:p w:rsidR="001B1D56" w:rsidRPr="000959E2" w:rsidRDefault="00913B5C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powinna zbadać zakres i pierwotne źródło ogniska choroby.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Dochodzenie to powinno objąć pobieranie i badanie prób co najmniej wszystkich innych ziemniaków wyprodukowanych w danym miejscu produkcji i sadzeniaków spokrewnionych klonalnie.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przypadku wystąpienia ogniska w uprawie pomidorów, należy przeprowadzić dochodzenie wobec roślin pochodzących z tego samego źródła.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1E33DB">
        <w:rPr>
          <w:rFonts w:ascii="Arial" w:hAnsi="Arial" w:cs="Arial"/>
          <w:sz w:val="20"/>
          <w:szCs w:val="20"/>
          <w:lang w:val="pl-PL"/>
        </w:rPr>
        <w:t>W uzasadnionych przypadkach dochodzenie powinno również objąć:</w:t>
      </w:r>
    </w:p>
    <w:p w:rsidR="001B1D56" w:rsidRPr="001E33DB" w:rsidRDefault="00913B5C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miejsca produkcji, które miały kontakt z porażonym materiałem przez maszyny itp.</w:t>
      </w:r>
    </w:p>
    <w:p w:rsidR="001B1D56" w:rsidRPr="001E33DB" w:rsidRDefault="00913B5C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 xml:space="preserve">miejsca produkcji czerpiące wodę do </w:t>
      </w:r>
      <w:r w:rsidR="001E33DB" w:rsidRPr="001E33DB">
        <w:rPr>
          <w:rFonts w:ascii="Arial" w:hAnsi="Arial" w:cs="Arial"/>
          <w:sz w:val="20"/>
          <w:szCs w:val="20"/>
          <w:lang w:val="pl-PL"/>
        </w:rPr>
        <w:t xml:space="preserve">oprysków </w:t>
      </w:r>
      <w:r w:rsidRPr="001E33DB">
        <w:rPr>
          <w:rFonts w:ascii="Arial" w:hAnsi="Arial" w:cs="Arial"/>
          <w:sz w:val="20"/>
          <w:szCs w:val="20"/>
          <w:lang w:val="pl-PL"/>
        </w:rPr>
        <w:t>lub nawadniania z tych samych źródeł powierzchniowych lub zalane wodą ze źródła podejrzanego o porażenie lub porażonego.</w:t>
      </w:r>
    </w:p>
    <w:p w:rsidR="001B1D56" w:rsidRPr="001E33DB" w:rsidRDefault="00913B5C" w:rsidP="001E33DB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wody powierzchniowe wykorzystywane do nawadniania (rzeki, jeziora, zbiorniki, kanały itd.).</w:t>
      </w:r>
    </w:p>
    <w:p w:rsidR="001B1D56" w:rsidRPr="00913B5C" w:rsidRDefault="00913B5C" w:rsidP="00913B5C">
      <w:pPr>
        <w:rPr>
          <w:rFonts w:ascii="Arial" w:hAnsi="Arial" w:cs="Arial"/>
          <w:sz w:val="20"/>
          <w:szCs w:val="20"/>
        </w:rPr>
      </w:pPr>
      <w:proofErr w:type="spellStart"/>
      <w:r w:rsidRPr="001E33D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1E33DB">
        <w:rPr>
          <w:rFonts w:ascii="Arial" w:hAnsi="Arial" w:cs="Arial"/>
          <w:sz w:val="20"/>
          <w:szCs w:val="20"/>
          <w:lang w:val="pl-PL"/>
        </w:rPr>
        <w:t xml:space="preserve"> powinna określić jako „porażone”, odpowiednio,:</w:t>
      </w:r>
    </w:p>
    <w:p w:rsidR="001B1D56" w:rsidRPr="001E33DB" w:rsidRDefault="00913B5C" w:rsidP="001E33DB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partię, z której pobrano próbę.</w:t>
      </w:r>
    </w:p>
    <w:p w:rsidR="001B1D56" w:rsidRPr="001E33DB" w:rsidRDefault="00913B5C" w:rsidP="001E33DB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odpady z porażonej partii (np. glebę, odpady poprodukcyjne).</w:t>
      </w:r>
    </w:p>
    <w:p w:rsidR="001B1D56" w:rsidRPr="001E33DB" w:rsidRDefault="00913B5C" w:rsidP="001E33DB">
      <w:pPr>
        <w:pStyle w:val="Akapitzlist"/>
        <w:numPr>
          <w:ilvl w:val="0"/>
          <w:numId w:val="6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lastRenderedPageBreak/>
        <w:t>zanieczyszczony sprzęt i inne przedmioty (maszyny, materiał opakowaniowy, przechowalnie itd.), które zetknęły się z partią.</w:t>
      </w:r>
    </w:p>
    <w:p w:rsidR="001B1D56" w:rsidRPr="001E33DB" w:rsidRDefault="00913B5C" w:rsidP="001E33DB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1E33DB">
        <w:rPr>
          <w:rFonts w:ascii="Arial" w:hAnsi="Arial" w:cs="Arial"/>
          <w:sz w:val="20"/>
          <w:szCs w:val="20"/>
          <w:lang w:val="pl-PL"/>
        </w:rPr>
        <w:t>miejsce produkcji, gdzie wyprodukowano partię.</w:t>
      </w:r>
    </w:p>
    <w:p w:rsidR="001B1D56" w:rsidRPr="000959E2" w:rsidRDefault="00913B5C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color w:val="auto"/>
          <w:sz w:val="20"/>
          <w:szCs w:val="20"/>
          <w:lang w:val="pl-PL"/>
        </w:rPr>
        <w:t>Powinna również ustalić zasięg „prawdopodobnego porażenia”</w:t>
      </w:r>
      <w:r w:rsidRPr="002C0A41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uwzględniając</w:t>
      </w:r>
      <w:r w:rsidR="001018C4"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wszystkie pozostałe ziemniaki wyprodukowane w danym miejscu produkcji oraz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>, w uzasadnionych przypadkach, partie spokrewnione klonalnie, sadzeniaki i ziemniaki towarowe, które mogły stykać się z porażoną partią, rośliny żywicielskie, miejsca produkcji, przechowalnie</w:t>
      </w:r>
      <w:r w:rsidR="001018C4" w:rsidRPr="002C0A41">
        <w:rPr>
          <w:rFonts w:ascii="Arial" w:hAnsi="Arial" w:cs="Arial"/>
          <w:color w:val="auto"/>
          <w:sz w:val="20"/>
          <w:szCs w:val="20"/>
          <w:lang w:val="pl-PL"/>
        </w:rPr>
        <w:t>,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maszyny </w:t>
      </w:r>
      <w:r w:rsidR="001018C4" w:rsidRPr="002C0A41">
        <w:rPr>
          <w:rFonts w:ascii="Arial" w:hAnsi="Arial" w:cs="Arial"/>
          <w:color w:val="auto"/>
          <w:sz w:val="20"/>
          <w:szCs w:val="20"/>
          <w:lang w:val="pl-PL"/>
        </w:rPr>
        <w:t>i urządzenia do nawadniania/</w:t>
      </w:r>
      <w:r w:rsidR="002C0A41"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oprysków 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>powiązane z wyznaczonym ogniskiem.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18C4" w:rsidRPr="002C0A4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1018C4" w:rsidRPr="002C0A41">
        <w:rPr>
          <w:rFonts w:ascii="Arial" w:hAnsi="Arial" w:cs="Arial"/>
          <w:sz w:val="20"/>
          <w:szCs w:val="20"/>
          <w:lang w:val="pl-PL"/>
        </w:rPr>
        <w:t xml:space="preserve"> powinna wyznaczyć obszar nadzorowany obejmujący miejsca produkcji określone jako „porażone” i „prawdopodobnie porażone” oraz, w uzasadnionych przypadkach, inne miejsca produkcji znajdujące się w pobliżu wyznaczonego ogniska (np. miejsca produkcji, gdzie do nawadniania stosowano porażone wody powierzchniowe).</w:t>
      </w:r>
    </w:p>
    <w:p w:rsidR="001B1D56" w:rsidRPr="000959E2" w:rsidRDefault="001018C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W przypadku stwierdzenia porażenia wód powierzchniowych należy je uwzględnić w obszarze nadzorowanym.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 xml:space="preserve">Zakres tego działania powinien być uzależniony od wyników badania wody i uwzględniać kierunek przepływu oraz, w uzasadnionych przypadkach, obecność porażonych roślin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i innych nieuprawnych roślin żywicielskich.</w:t>
      </w:r>
    </w:p>
    <w:p w:rsidR="001B1D56" w:rsidRPr="000959E2" w:rsidRDefault="001018C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Niekiedy obszar nadzorowany może rozciągać się na inne kraje, w którym to przypadku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tych krajów będą musiały utworzyć równoważne obszary nadzorowane.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 xml:space="preserve">W wyniku tych działań zakres obszaru powiązanego z ogniskiem określony będzie nie tylko geograficznie, ale również poprzez związki produkcyjne, klonalne i wynikające z </w:t>
      </w:r>
      <w:r w:rsidR="002C0A41" w:rsidRPr="002C0A41">
        <w:rPr>
          <w:rFonts w:ascii="Arial" w:hAnsi="Arial" w:cs="Arial"/>
          <w:sz w:val="20"/>
          <w:szCs w:val="20"/>
          <w:lang w:val="pl-PL"/>
        </w:rPr>
        <w:t xml:space="preserve">układu </w:t>
      </w:r>
      <w:r w:rsidRPr="002C0A41">
        <w:rPr>
          <w:rFonts w:ascii="Arial" w:hAnsi="Arial" w:cs="Arial"/>
          <w:sz w:val="20"/>
          <w:szCs w:val="20"/>
          <w:lang w:val="pl-PL"/>
        </w:rPr>
        <w:t>wód powierzchniowych (np. rzek, kanałów).</w:t>
      </w:r>
    </w:p>
    <w:p w:rsidR="007B641F" w:rsidRDefault="007B641F">
      <w:pPr>
        <w:tabs>
          <w:tab w:val="left" w:pos="278"/>
        </w:tabs>
        <w:outlineLvl w:val="1"/>
        <w:rPr>
          <w:rFonts w:ascii="Arial" w:hAnsi="Arial" w:cs="Arial"/>
          <w:sz w:val="20"/>
          <w:szCs w:val="20"/>
        </w:rPr>
      </w:pPr>
      <w:bookmarkStart w:id="14" w:name="bookmark15"/>
    </w:p>
    <w:bookmarkEnd w:id="14"/>
    <w:p w:rsidR="001B1D56" w:rsidRPr="002C0A41" w:rsidRDefault="001018C4" w:rsidP="002C0A41">
      <w:pPr>
        <w:pStyle w:val="Akapitzlist"/>
        <w:numPr>
          <w:ilvl w:val="0"/>
          <w:numId w:val="4"/>
        </w:numPr>
        <w:tabs>
          <w:tab w:val="left" w:pos="278"/>
        </w:tabs>
        <w:outlineLvl w:val="1"/>
        <w:rPr>
          <w:rFonts w:ascii="Arial" w:hAnsi="Arial" w:cs="Arial"/>
          <w:b/>
          <w:sz w:val="20"/>
          <w:szCs w:val="20"/>
        </w:rPr>
      </w:pPr>
      <w:r w:rsidRPr="002C0A41">
        <w:rPr>
          <w:rFonts w:ascii="Arial" w:hAnsi="Arial" w:cs="Arial"/>
          <w:b/>
          <w:sz w:val="20"/>
          <w:szCs w:val="20"/>
          <w:lang w:val="pl-PL"/>
        </w:rPr>
        <w:t>Ograniczenie rozprzestrzeniania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1018C4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Należy zakazać sadzenia bulw </w:t>
      </w:r>
      <w:r w:rsidR="002C0A41" w:rsidRPr="002C0A41">
        <w:rPr>
          <w:rFonts w:ascii="Arial" w:hAnsi="Arial" w:cs="Arial"/>
          <w:sz w:val="20"/>
          <w:szCs w:val="20"/>
          <w:lang w:val="pl-PL"/>
        </w:rPr>
        <w:t xml:space="preserve">lub </w:t>
      </w:r>
      <w:r w:rsidRPr="002C0A41">
        <w:rPr>
          <w:rFonts w:ascii="Arial" w:hAnsi="Arial" w:cs="Arial"/>
          <w:sz w:val="20"/>
          <w:szCs w:val="20"/>
          <w:lang w:val="pl-PL"/>
        </w:rPr>
        <w:t>roślin określonych jako „porażone” lub „prawdopodobnie porażone”.</w:t>
      </w:r>
    </w:p>
    <w:p w:rsidR="001B1D56" w:rsidRPr="000959E2" w:rsidRDefault="001018C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Aby ograniczyć ryzyko rozprzestrzeniania się choroby przez sadzeniaki, wszystkie sadzeniaki ziemniaka przeznaczone do obrotu muszą spełniać wymogi określone w Standardzie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PM 4/28 (</w:t>
      </w:r>
      <w:r w:rsidRPr="002C0A41">
        <w:rPr>
          <w:rFonts w:ascii="Arial" w:hAnsi="Arial" w:cs="Arial"/>
          <w:i/>
          <w:sz w:val="20"/>
          <w:szCs w:val="20"/>
          <w:lang w:val="pl-PL"/>
        </w:rPr>
        <w:t>System kwalifikacji ziemniaka</w:t>
      </w:r>
      <w:r w:rsidRPr="002C0A41">
        <w:rPr>
          <w:rFonts w:ascii="Arial" w:hAnsi="Arial" w:cs="Arial"/>
          <w:sz w:val="20"/>
          <w:szCs w:val="20"/>
          <w:lang w:val="pl-PL"/>
        </w:rPr>
        <w:t>) (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, 1999), ponadto należy poddać dodatkowym badaniom na obecność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wszystkie rośliny z początkowego etapu selekcji klonalnej lub reprezentatywne próby sadzeniaków kategorii bazowej (lub wyższych stopni kwalifikacji materiału rozmnożeniowego).</w:t>
      </w:r>
    </w:p>
    <w:p w:rsidR="001B1D56" w:rsidRPr="000959E2" w:rsidRDefault="001018C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W przypadku wykrycia (i potwierdzenia w badaniach)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w systemie produkcji sadzeniaków, należy poddać badaniom na obecność tego organizmu wcześniejsze rozmnożenia materiału, łącznie z materiałem z początkowego etapu selekcji klonalnej oraz sadzeniakami w stopniu bazowym powiązanymi klonalnie.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W przypadku niestwierdzenia związków klonalnych lub kontaktowych, dochodzenie należy rozszerzyć na inny materiał bazowy powiązany klonalnie lub wcześniejsze rozmnożenia.</w:t>
      </w:r>
    </w:p>
    <w:p w:rsidR="001B1D56" w:rsidRPr="000959E2" w:rsidRDefault="001018C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W przypadku niezidentyfikowania źródła porażenia próbobranie i badanie na obecność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w systemie produkcji sadzeniaków należy zintensyfikować w oparciu o rzetelne zasady naukowe i statystyczne.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="00EC1A42" w:rsidRPr="002C0A41">
        <w:rPr>
          <w:rFonts w:ascii="Arial" w:hAnsi="Arial" w:cs="Arial"/>
          <w:sz w:val="20"/>
          <w:szCs w:val="20"/>
          <w:lang w:val="pl-PL"/>
        </w:rPr>
        <w:t>Zaleca się również pobieranie prób do badań z wszystkich partii sadzeniaków objętych systemem kwalifikacji.</w:t>
      </w:r>
    </w:p>
    <w:p w:rsidR="001B1D56" w:rsidRPr="000959E2" w:rsidRDefault="00EC1A42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Rośliny pomidora i innych roślin żywicielskich przeznaczone do przesadzenia należy poddać regularnym inspekcjom wzrokowym na obszarze nadzorowanym.</w:t>
      </w:r>
    </w:p>
    <w:p w:rsidR="001B1D56" w:rsidRPr="000959E2" w:rsidRDefault="00EC1A42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Należy zakazać nawadniania i zraszania upraw roślin żywicielskich wodą ze źródeł powierzchniowych, w której potwierdzono obecność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>.</w:t>
      </w:r>
    </w:p>
    <w:p w:rsidR="001B1D56" w:rsidRPr="000959E2" w:rsidRDefault="00EC1A42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Odpady z zakładów przemysłowego przerobu lub pakowalni ziemniaków lub pomidorów porażone </w:t>
      </w:r>
      <w:r w:rsidRPr="002C0A41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powinny być poddane procedurom zgodnym ze Standardem 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PM 3/66 </w:t>
      </w:r>
      <w:r w:rsidRPr="002C0A41">
        <w:rPr>
          <w:rFonts w:ascii="Arial" w:hAnsi="Arial" w:cs="Arial"/>
          <w:i/>
          <w:color w:val="auto"/>
          <w:sz w:val="20"/>
          <w:szCs w:val="20"/>
          <w:lang w:val="pl-PL"/>
        </w:rPr>
        <w:t>Wytyczne dla zarządzania ryzykiem fitosanitarnym spowodowanym przez odpady biologiczne pochodzenia roślinnego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w celu wyeliminowania porażenia i/lub zapobieżenia rozprzestrzenianiu (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OEPP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>/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>, 2008).</w:t>
      </w:r>
    </w:p>
    <w:p w:rsidR="007B641F" w:rsidRDefault="007B641F">
      <w:pPr>
        <w:tabs>
          <w:tab w:val="left" w:pos="283"/>
        </w:tabs>
        <w:outlineLvl w:val="1"/>
        <w:rPr>
          <w:rFonts w:ascii="Arial" w:hAnsi="Arial" w:cs="Arial"/>
          <w:sz w:val="20"/>
          <w:szCs w:val="20"/>
        </w:rPr>
      </w:pPr>
      <w:bookmarkStart w:id="15" w:name="bookmark16"/>
    </w:p>
    <w:bookmarkEnd w:id="15"/>
    <w:p w:rsidR="001B1D56" w:rsidRPr="002C0A41" w:rsidRDefault="00EC1A42" w:rsidP="002C0A41">
      <w:pPr>
        <w:pStyle w:val="Akapitzlist"/>
        <w:numPr>
          <w:ilvl w:val="0"/>
          <w:numId w:val="4"/>
        </w:numPr>
        <w:tabs>
          <w:tab w:val="left" w:pos="283"/>
        </w:tabs>
        <w:outlineLvl w:val="1"/>
        <w:rPr>
          <w:rFonts w:ascii="Arial" w:hAnsi="Arial" w:cs="Arial"/>
          <w:b/>
          <w:sz w:val="20"/>
          <w:szCs w:val="20"/>
        </w:rPr>
      </w:pPr>
      <w:r w:rsidRPr="002C0A41">
        <w:rPr>
          <w:rFonts w:ascii="Arial" w:hAnsi="Arial" w:cs="Arial"/>
          <w:b/>
          <w:sz w:val="20"/>
          <w:szCs w:val="20"/>
          <w:lang w:val="pl-PL"/>
        </w:rPr>
        <w:t>Wytępienie agrofaga w systemie produkcji ziemniaka lub pomidora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EC1A42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W celu wytępienia </w:t>
      </w:r>
      <w:r w:rsidRPr="002C0A41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2C0A41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w systemie produkcji ziemniaka należy wdrożyć program środków fitosanitarnych.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Należy postępować zgodnie z poniższymi zaleceniami.</w:t>
      </w:r>
    </w:p>
    <w:p w:rsidR="007B641F" w:rsidRDefault="007B641F">
      <w:pPr>
        <w:tabs>
          <w:tab w:val="left" w:pos="317"/>
        </w:tabs>
        <w:outlineLvl w:val="2"/>
        <w:rPr>
          <w:rFonts w:ascii="Arial" w:hAnsi="Arial" w:cs="Arial"/>
          <w:sz w:val="20"/>
          <w:szCs w:val="20"/>
        </w:rPr>
      </w:pPr>
      <w:bookmarkStart w:id="16" w:name="bookmark17"/>
    </w:p>
    <w:bookmarkEnd w:id="16"/>
    <w:p w:rsidR="001B1D56" w:rsidRPr="002C0A41" w:rsidRDefault="00EC1A42" w:rsidP="002C0A41">
      <w:pPr>
        <w:pStyle w:val="Akapitzlist"/>
        <w:numPr>
          <w:ilvl w:val="1"/>
          <w:numId w:val="4"/>
        </w:numPr>
        <w:tabs>
          <w:tab w:val="left" w:pos="317"/>
        </w:tabs>
        <w:outlineLvl w:val="2"/>
        <w:rPr>
          <w:rFonts w:ascii="Arial" w:hAnsi="Arial" w:cs="Arial"/>
          <w:b/>
          <w:sz w:val="20"/>
          <w:szCs w:val="20"/>
        </w:rPr>
      </w:pPr>
      <w:r w:rsidRPr="002C0A41">
        <w:rPr>
          <w:rFonts w:ascii="Arial" w:hAnsi="Arial" w:cs="Arial"/>
          <w:b/>
          <w:sz w:val="20"/>
          <w:szCs w:val="20"/>
          <w:lang w:val="pl-PL"/>
        </w:rPr>
        <w:t>Środki stosowane wobec materiału „porażonego” i „prawdopodobnie porażonego”</w:t>
      </w:r>
    </w:p>
    <w:p w:rsidR="007B641F" w:rsidRDefault="007B641F">
      <w:pPr>
        <w:rPr>
          <w:rFonts w:ascii="Arial" w:hAnsi="Arial" w:cs="Arial"/>
          <w:sz w:val="20"/>
          <w:szCs w:val="20"/>
        </w:rPr>
      </w:pPr>
    </w:p>
    <w:p w:rsidR="001B1D56" w:rsidRPr="000959E2" w:rsidRDefault="00EC1A42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Skuteczność poniższych metod unieszkodliwiania zalecanych dla materiału określonego jako </w:t>
      </w:r>
      <w:r w:rsidRPr="002C0A41">
        <w:rPr>
          <w:rFonts w:ascii="Arial" w:hAnsi="Arial" w:cs="Arial"/>
          <w:sz w:val="20"/>
          <w:szCs w:val="20"/>
          <w:lang w:val="pl-PL"/>
        </w:rPr>
        <w:lastRenderedPageBreak/>
        <w:t>„porażony” i „prawdopodobnie porażony” uzależniona będzie od ich dokładnego wdrożenia, które ma zagwarantować ograniczenie rozprzestrzeniania się organizmu podczas zabiegu i dokładną jego eliminację przed zwolnieniem materiału po zabiegu.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Regularny monitoring i audyt procedur unieszkodliwiania powinien zagwarantować ich wydajne i skuteczne stosowanie.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Ponadto, jeżeli materiał jest przewożony do miejsca obróbki, należy wprowadzić system czyszczenia i dezynfekcji (patrz poniżej) przynajmniej dla pojazdów użytych do transportu.</w:t>
      </w:r>
    </w:p>
    <w:p w:rsidR="007B641F" w:rsidRDefault="007B641F">
      <w:pPr>
        <w:tabs>
          <w:tab w:val="left" w:pos="428"/>
        </w:tabs>
        <w:rPr>
          <w:rFonts w:ascii="Arial" w:hAnsi="Arial" w:cs="Arial"/>
          <w:sz w:val="20"/>
          <w:szCs w:val="20"/>
        </w:rPr>
      </w:pPr>
    </w:p>
    <w:p w:rsidR="001B1D56" w:rsidRPr="002C0A41" w:rsidRDefault="00EC1A42" w:rsidP="002C0A41">
      <w:pPr>
        <w:pStyle w:val="Akapitzlist"/>
        <w:numPr>
          <w:ilvl w:val="2"/>
          <w:numId w:val="4"/>
        </w:numPr>
        <w:tabs>
          <w:tab w:val="left" w:pos="428"/>
        </w:tabs>
        <w:rPr>
          <w:rFonts w:ascii="Arial" w:hAnsi="Arial" w:cs="Arial"/>
          <w:i/>
          <w:sz w:val="20"/>
          <w:szCs w:val="20"/>
        </w:rPr>
      </w:pPr>
      <w:r w:rsidRPr="002C0A41">
        <w:rPr>
          <w:rFonts w:ascii="Arial" w:hAnsi="Arial" w:cs="Arial"/>
          <w:i/>
          <w:sz w:val="20"/>
          <w:szCs w:val="20"/>
          <w:lang w:val="pl-PL"/>
        </w:rPr>
        <w:t>Wszystkie bulwy i rośliny ziemniaka lub rośliny pomidora określone jako „porażone”</w:t>
      </w:r>
    </w:p>
    <w:p w:rsidR="001B1D56" w:rsidRPr="000959E2" w:rsidRDefault="00EC1A42" w:rsidP="007B641F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Należy je unieszkodliwić.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Możliwe sposoby unieszkodliwiania:</w:t>
      </w:r>
    </w:p>
    <w:p w:rsidR="001B1D56" w:rsidRPr="002C0A41" w:rsidRDefault="00EC1A42" w:rsidP="002C0A41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spalenie.</w:t>
      </w:r>
    </w:p>
    <w:p w:rsidR="001B1D56" w:rsidRPr="002C0A41" w:rsidRDefault="00EC1A42" w:rsidP="002C0A41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sterylizacja w wysokiej temperaturze.</w:t>
      </w:r>
    </w:p>
    <w:p w:rsidR="001B1D56" w:rsidRPr="002C0A41" w:rsidRDefault="00EC1A42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przerób przemysłowy w zakładzie wyposażonym w odpowiednie urządzenia zagospodarowania odpadów.</w:t>
      </w:r>
    </w:p>
    <w:p w:rsidR="001B1D56" w:rsidRPr="002C0A41" w:rsidRDefault="00EC1A42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kompostowanie pod nadzorem w kompostowni posiadającej urzędową aprobatę (patrz Standard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PM 3/66).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wykorzystanie jako paszy po uparowaniu.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głębokie zakopanie, jeżeli nie ma ryzyka przedostania się materiału na tereny rolne lub do wód powierzchniowych.</w:t>
      </w:r>
    </w:p>
    <w:p w:rsidR="001B1D56" w:rsidRPr="000959E2" w:rsidRDefault="00F71B04">
      <w:pPr>
        <w:ind w:left="360" w:hanging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bulwy można wykorzystać bezpośrednio jako paszę dla bydła stojącego na twardym podłożu, pod warunkiem, że odchody zwierzęce i pozostałości bulw zostaną zebrane i poddane kompostowaniu na zamkniętym terenie przez okres co najmniej 2 miesięcy i nie zostaną później wykorzystane na ziemi uprawnej.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fermentacja porażonych ziemniaków w procesie produkcji kiszonki może być wygodnym sposobem ich wstępnego przetworzenia poprzedzającym wykorzystanie jako paszy, przy zachowaniu takich samych warunków jak w przypadku bezpośredniego skarmienia bulw.</w:t>
      </w:r>
    </w:p>
    <w:p w:rsidR="001B1D56" w:rsidRPr="000959E2" w:rsidRDefault="00F71B0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Ponadto, w przypadku wykrycia porażenia uprawy podczas okresu wegetacyjnego zaleca się zniszczenie roślin (przy pomocy herbicydu np.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glifosatu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>).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>Jeżeli rośliny wykształciły bulwy, należy je zebrać i odpowiednio unieszkodliwić.</w:t>
      </w:r>
    </w:p>
    <w:p w:rsidR="001B1D56" w:rsidRPr="000959E2" w:rsidRDefault="00F71B0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Wszelkie odpady w jakikolwiek sposób powiązane z materiałem „porażonym” należy unieszkodliwić w warunkach wykluczających ryzyko dalszego rozprzestrzeniania się bakterii.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2C0A41">
        <w:rPr>
          <w:rFonts w:ascii="Arial" w:hAnsi="Arial" w:cs="Arial"/>
          <w:sz w:val="20"/>
          <w:szCs w:val="20"/>
          <w:lang w:val="pl-PL"/>
        </w:rPr>
        <w:t xml:space="preserve">Ponadto odpady płynne przed unieszkodliwieniem można podgrzać do osiągnięcia temperatury minimum 60°C w całej objętości materiału przez co najmniej 30 min. lub poddać innemu zabiegowi (zaaprobowanemu przez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>) wykluczającemu dalsze rozprzestrzenianie się bakterii.</w:t>
      </w:r>
    </w:p>
    <w:p w:rsidR="007B641F" w:rsidRDefault="007B641F">
      <w:pPr>
        <w:tabs>
          <w:tab w:val="left" w:pos="428"/>
        </w:tabs>
        <w:rPr>
          <w:rFonts w:ascii="Arial" w:hAnsi="Arial" w:cs="Arial"/>
          <w:sz w:val="20"/>
          <w:szCs w:val="20"/>
        </w:rPr>
      </w:pPr>
    </w:p>
    <w:p w:rsidR="001B1D56" w:rsidRPr="002C0A41" w:rsidRDefault="00F71B04" w:rsidP="002C0A41">
      <w:pPr>
        <w:pStyle w:val="Akapitzlist"/>
        <w:numPr>
          <w:ilvl w:val="2"/>
          <w:numId w:val="4"/>
        </w:numPr>
        <w:tabs>
          <w:tab w:val="left" w:pos="428"/>
        </w:tabs>
        <w:rPr>
          <w:rFonts w:ascii="Arial" w:hAnsi="Arial" w:cs="Arial"/>
          <w:i/>
          <w:sz w:val="20"/>
          <w:szCs w:val="20"/>
        </w:rPr>
      </w:pPr>
      <w:r w:rsidRPr="002C0A41">
        <w:rPr>
          <w:rFonts w:ascii="Arial" w:hAnsi="Arial" w:cs="Arial"/>
          <w:i/>
          <w:sz w:val="20"/>
          <w:szCs w:val="20"/>
          <w:lang w:val="pl-PL"/>
        </w:rPr>
        <w:t>Wszystkie bulwy i rośliny ziemniaka lub rośliny pomidora określone jako „prawdopodobnie porażone”</w:t>
      </w:r>
    </w:p>
    <w:p w:rsidR="00F71B04" w:rsidRDefault="00F71B04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Należy je również unieszkodliwić, zgodnie z zaleceniami w punkcie 4.1.1.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B1D56" w:rsidRPr="000959E2" w:rsidRDefault="00F71B04">
      <w:pPr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Bulwy mogą być wykorzystane jako ziemniaki towarowe do bezpośredniego spożycia pod nadzorem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>, pod warunkiem, że zostaną zapakowane i przygotowane do bezpośredniej dostawy i użycia bez konieczności przepakowania w miejscu wyposażonym w odpowiednie urządzenia do unieszkodliwiania odpadów.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Odpowiednim rozwiązaniem jest również kompostowanie w miejscu produkcji, pod warunkiem że odbywa się ono pod urzędowym nadzorem gwarantującym odpowiednie przetworzenie całego materiału przez wystawienie go na działanie temperatury co najmniej 55°C przez okres 2 tygodni bez przerwy.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Pod urzędowym nadzorem i pod warunkiem braku istotnego ryzyka wyniesienia materiału poza pole, bulwy mogą być również umieszczone na polu, z którego zostały zebrane na okres zimy i pozostawione na powierzchni do zniszczenia przez mróz.</w:t>
      </w:r>
    </w:p>
    <w:p w:rsidR="001B1D56" w:rsidRPr="002C0A41" w:rsidRDefault="00F71B04" w:rsidP="002C0A41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>Odpowiednią metodą unieszkodliwienia jest również fermentacja beztlenowa w urzędowo zatwierdzonym zakładzie produkcji biogazu, pod warunkiem, że całość materiału zostanie poddana działaniu temperatury co najmniej 55°C przez okres 24h bez przerwy i że okres przebywania w reaktorze wyniesie co najmniej 20 dni.</w:t>
      </w:r>
    </w:p>
    <w:p w:rsidR="001B1D56" w:rsidRPr="000959E2" w:rsidRDefault="00F71B04">
      <w:pPr>
        <w:ind w:firstLine="360"/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sz w:val="20"/>
          <w:szCs w:val="20"/>
          <w:lang w:val="pl-PL"/>
        </w:rPr>
        <w:t xml:space="preserve">Sprzęt i inne przedmioty sklasyfikowane jako „porażone” lub „prawdopodobnie porażone” powinny zostać dokładnie wyczyszczone i zdezynfekowane (patrz poniżej) przed dalszym użyciem (chyba, że </w:t>
      </w:r>
      <w:proofErr w:type="spellStart"/>
      <w:r w:rsidRPr="002C0A4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C0A41">
        <w:rPr>
          <w:rFonts w:ascii="Arial" w:hAnsi="Arial" w:cs="Arial"/>
          <w:sz w:val="20"/>
          <w:szCs w:val="20"/>
          <w:lang w:val="pl-PL"/>
        </w:rPr>
        <w:t xml:space="preserve"> postanowi inaczej) lub zniszczone.</w:t>
      </w:r>
    </w:p>
    <w:p w:rsidR="007B641F" w:rsidRDefault="007B641F">
      <w:pPr>
        <w:tabs>
          <w:tab w:val="left" w:pos="317"/>
        </w:tabs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17" w:name="bookmark18"/>
    </w:p>
    <w:bookmarkEnd w:id="17"/>
    <w:p w:rsidR="001B1D56" w:rsidRPr="002C0A41" w:rsidRDefault="00F71B04" w:rsidP="002C0A41">
      <w:pPr>
        <w:pStyle w:val="Akapitzlist"/>
        <w:numPr>
          <w:ilvl w:val="1"/>
          <w:numId w:val="4"/>
        </w:numPr>
        <w:tabs>
          <w:tab w:val="left" w:pos="317"/>
        </w:tabs>
        <w:outlineLvl w:val="2"/>
        <w:rPr>
          <w:rFonts w:ascii="Arial" w:hAnsi="Arial" w:cs="Arial"/>
          <w:b/>
          <w:sz w:val="20"/>
          <w:szCs w:val="20"/>
        </w:rPr>
      </w:pPr>
      <w:r w:rsidRPr="002C0A41">
        <w:rPr>
          <w:rFonts w:ascii="Arial" w:hAnsi="Arial" w:cs="Arial"/>
          <w:b/>
          <w:sz w:val="20"/>
          <w:szCs w:val="20"/>
          <w:lang w:val="pl-PL"/>
        </w:rPr>
        <w:t>Środki stosowane na obszarze nadzorowanym</w:t>
      </w:r>
    </w:p>
    <w:p w:rsidR="007B641F" w:rsidRDefault="007B641F">
      <w:pPr>
        <w:tabs>
          <w:tab w:val="left" w:pos="466"/>
        </w:tabs>
        <w:rPr>
          <w:rFonts w:ascii="Arial" w:hAnsi="Arial" w:cs="Arial"/>
          <w:sz w:val="20"/>
          <w:szCs w:val="20"/>
        </w:rPr>
      </w:pPr>
    </w:p>
    <w:p w:rsidR="007B641F" w:rsidRPr="002C0A41" w:rsidRDefault="00F71B04" w:rsidP="002C0A41">
      <w:pPr>
        <w:pStyle w:val="Akapitzlist"/>
        <w:numPr>
          <w:ilvl w:val="2"/>
          <w:numId w:val="4"/>
        </w:numPr>
        <w:tabs>
          <w:tab w:val="left" w:pos="466"/>
        </w:tabs>
        <w:rPr>
          <w:rFonts w:ascii="Arial" w:hAnsi="Arial" w:cs="Arial"/>
          <w:i/>
          <w:sz w:val="20"/>
          <w:szCs w:val="20"/>
        </w:rPr>
      </w:pPr>
      <w:r w:rsidRPr="002C0A41">
        <w:rPr>
          <w:rFonts w:ascii="Arial" w:hAnsi="Arial" w:cs="Arial"/>
          <w:i/>
          <w:sz w:val="20"/>
          <w:szCs w:val="20"/>
          <w:lang w:val="pl-PL"/>
        </w:rPr>
        <w:lastRenderedPageBreak/>
        <w:t>Środki stosowane w porażonym miejscu produkcji</w:t>
      </w:r>
      <w:r w:rsidR="000959E2" w:rsidRPr="002C0A41">
        <w:rPr>
          <w:rFonts w:ascii="Arial" w:hAnsi="Arial" w:cs="Arial"/>
          <w:i/>
          <w:sz w:val="20"/>
          <w:szCs w:val="20"/>
        </w:rPr>
        <w:t xml:space="preserve"> </w:t>
      </w:r>
    </w:p>
    <w:p w:rsidR="001B1D56" w:rsidRPr="007B641F" w:rsidRDefault="00F71B04" w:rsidP="007B641F">
      <w:pPr>
        <w:tabs>
          <w:tab w:val="left" w:pos="466"/>
        </w:tabs>
        <w:rPr>
          <w:rFonts w:ascii="Arial" w:hAnsi="Arial" w:cs="Arial"/>
          <w:sz w:val="20"/>
          <w:szCs w:val="20"/>
        </w:rPr>
      </w:pP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Wszystkie maszyny i przechowalnie, które stykały się lub mogły się stykać z ziemniakami lub innymi roślinami żywicielskimi lub polami „porażonymi” lub „prawdopodobnie porażonymi” powinny zostać bezzwłocznie </w:t>
      </w:r>
      <w:r w:rsidR="002C0A41"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dokładnie 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oczyszczone i zdezynfekowane, zgodnie ze Standardem 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PM 10/1 </w:t>
      </w:r>
      <w:r w:rsidRPr="002C0A41">
        <w:rPr>
          <w:rFonts w:ascii="Arial" w:hAnsi="Arial" w:cs="Arial"/>
          <w:i/>
          <w:color w:val="auto"/>
          <w:sz w:val="20"/>
          <w:szCs w:val="20"/>
          <w:lang w:val="pl-PL"/>
        </w:rPr>
        <w:t>Procedura dezynfekcji stosowana w produkcji ziemniaków przed ich wykorzystaniem lub przemieszczaniem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(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OEPP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>/</w:t>
      </w:r>
      <w:proofErr w:type="spellStart"/>
      <w:r w:rsidRPr="002C0A41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2C0A41">
        <w:rPr>
          <w:rFonts w:ascii="Arial" w:hAnsi="Arial" w:cs="Arial"/>
          <w:color w:val="auto"/>
          <w:sz w:val="20"/>
          <w:szCs w:val="20"/>
          <w:lang w:val="pl-PL"/>
        </w:rPr>
        <w:t>,</w:t>
      </w:r>
      <w:r w:rsidR="007B6453" w:rsidRPr="002C0A41">
        <w:rPr>
          <w:rFonts w:ascii="Arial" w:hAnsi="Arial" w:cs="Arial"/>
          <w:color w:val="auto"/>
          <w:sz w:val="20"/>
          <w:szCs w:val="20"/>
          <w:lang w:val="pl-PL"/>
        </w:rPr>
        <w:t xml:space="preserve"> 2006a</w:t>
      </w:r>
      <w:r w:rsidRPr="002C0A41">
        <w:rPr>
          <w:rFonts w:ascii="Arial" w:hAnsi="Arial" w:cs="Arial"/>
          <w:color w:val="auto"/>
          <w:sz w:val="20"/>
          <w:szCs w:val="20"/>
          <w:lang w:val="pl-PL"/>
        </w:rPr>
        <w:t>).</w:t>
      </w:r>
      <w:r w:rsidR="000959E2" w:rsidRPr="007B641F">
        <w:rPr>
          <w:rFonts w:ascii="Arial" w:hAnsi="Arial" w:cs="Arial"/>
          <w:sz w:val="20"/>
          <w:szCs w:val="20"/>
        </w:rPr>
        <w:t xml:space="preserve"> </w:t>
      </w:r>
      <w:r w:rsidR="007B6453" w:rsidRPr="002C0A41">
        <w:rPr>
          <w:rFonts w:ascii="Arial" w:hAnsi="Arial" w:cs="Arial"/>
          <w:sz w:val="20"/>
          <w:szCs w:val="20"/>
          <w:lang w:val="pl-PL"/>
        </w:rPr>
        <w:t>Ponadto, wszystkie maszyny i przechowalnie użyte w produkcji ziemniaków powinny zostać wyczyszczone i zdezynfekowane w roku porażenia i po pierwszym kolejnym roku produkcji.</w:t>
      </w:r>
    </w:p>
    <w:p w:rsidR="001B1D56" w:rsidRPr="000959E2" w:rsidRDefault="007B6453">
      <w:pPr>
        <w:ind w:firstLine="360"/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Samosiewy ziemniaka i innych naturalnych roślin żywicielskich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 xml:space="preserve"> powinny być zwalczane na wszystkich polach w miejscu produkcji.</w:t>
      </w:r>
    </w:p>
    <w:p w:rsidR="007B641F" w:rsidRDefault="007B641F">
      <w:pPr>
        <w:tabs>
          <w:tab w:val="left" w:pos="557"/>
        </w:tabs>
        <w:ind w:left="360" w:hanging="360"/>
        <w:rPr>
          <w:rFonts w:ascii="Arial" w:hAnsi="Arial" w:cs="Arial"/>
          <w:sz w:val="20"/>
          <w:szCs w:val="20"/>
        </w:rPr>
      </w:pPr>
    </w:p>
    <w:p w:rsidR="001B1D56" w:rsidRPr="004D53B0" w:rsidRDefault="007B6453" w:rsidP="004D53B0">
      <w:pPr>
        <w:pStyle w:val="Akapitzlist"/>
        <w:numPr>
          <w:ilvl w:val="3"/>
          <w:numId w:val="4"/>
        </w:numPr>
        <w:tabs>
          <w:tab w:val="left" w:pos="557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>Środki stosowane na porażonych polach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Zakaz uprawy ziemniaków, innych roślin żywicielskich organizmu i roślin stwarzających ryzyko jego rozprzestrzeniania się przez co najmniej 4 lata i do czasu stwierdzenia przez 2 kolejne lata braku samosiewów ziemniaka.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Pierwsze ziemniaki uprawiane na danym polu po stwierdzeniu porażenia mogą być wyłącznie ziemniakami towarowymi (zebrane bulwy muszą zostać poddane badaniom laboratoryjnym).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Rośliny pomidora pochodzące z pierwszej uprawy należy przebadać na obecność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 xml:space="preserve"> na odpowiednim etapie ich rozwoju.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color w:val="auto"/>
          <w:sz w:val="20"/>
          <w:szCs w:val="20"/>
          <w:lang w:val="pl-PL"/>
        </w:rPr>
        <w:t>Kolejne ziemniaki uprawiane na tym polu po odpowiednim cyklu płodozmianu mogą być sadzeniakami lub ziemniakami towarowymi; należy poddać je lustracji (w przypadku sadzeniaków niezbędne jest badanie).</w:t>
      </w:r>
    </w:p>
    <w:p w:rsidR="001B1D56" w:rsidRPr="000959E2" w:rsidRDefault="007B6453">
      <w:pPr>
        <w:ind w:left="360" w:hanging="360"/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color w:val="auto"/>
          <w:sz w:val="20"/>
          <w:szCs w:val="20"/>
          <w:lang w:val="pl-PL"/>
        </w:rPr>
        <w:t>Porażone pola można odłogować lub używać jako pastwisk</w:t>
      </w:r>
      <w:r w:rsidR="004D53B0" w:rsidRPr="004D53B0">
        <w:rPr>
          <w:rFonts w:ascii="Arial" w:hAnsi="Arial" w:cs="Arial"/>
          <w:color w:val="auto"/>
          <w:sz w:val="20"/>
          <w:szCs w:val="20"/>
          <w:lang w:val="pl-PL"/>
        </w:rPr>
        <w:t>a</w:t>
      </w:r>
      <w:r w:rsidRPr="004D53B0">
        <w:rPr>
          <w:rFonts w:ascii="Arial" w:hAnsi="Arial" w:cs="Arial"/>
          <w:color w:val="auto"/>
          <w:sz w:val="20"/>
          <w:szCs w:val="20"/>
          <w:lang w:val="pl-PL"/>
        </w:rPr>
        <w:t xml:space="preserve"> przez 3 lata, a następnie przez 2 lata pod rząd obsadzać roślinami innymi, niż żywiciele organizmu niestwarzającymi ryzyka, że organizm przeżyje lub rozprzestrzeni się.</w:t>
      </w:r>
    </w:p>
    <w:p w:rsidR="001B1D56" w:rsidRPr="004D53B0" w:rsidRDefault="007B6453" w:rsidP="004D53B0">
      <w:pPr>
        <w:pStyle w:val="Akapitzlist"/>
        <w:numPr>
          <w:ilvl w:val="0"/>
          <w:numId w:val="6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Pierwsze uprawiane ziemniaki mogą być sadzeniakami lub ziemniakami towarowymi, pod warunkiem braku stwierdzenia przez 2 lata samosiewów ziemniaka i przebadania laboratoryjnego zebranych bulw.</w:t>
      </w:r>
    </w:p>
    <w:p w:rsidR="001B1D56" w:rsidRPr="004D53B0" w:rsidRDefault="00A52BE6" w:rsidP="004D53B0">
      <w:pPr>
        <w:pStyle w:val="Akapitzlist"/>
        <w:numPr>
          <w:ilvl w:val="0"/>
          <w:numId w:val="6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Rośliny pomidora pochodzące z pierwszej uprawy należy przebadać na obecność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 xml:space="preserve"> na odpowiednim etapie ich rozwoju.</w:t>
      </w:r>
    </w:p>
    <w:p w:rsidR="007B641F" w:rsidRDefault="007B641F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A52BE6" w:rsidRPr="004D53B0" w:rsidRDefault="00A52BE6" w:rsidP="004D53B0">
      <w:pPr>
        <w:pStyle w:val="Akapitzlist"/>
        <w:numPr>
          <w:ilvl w:val="3"/>
          <w:numId w:val="4"/>
        </w:num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>Środki stosowane na innych polach</w:t>
      </w:r>
    </w:p>
    <w:p w:rsidR="001B1D56" w:rsidRPr="00A52BE6" w:rsidRDefault="00A52BE6" w:rsidP="00A52BE6">
      <w:p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Produkcja ziemniaka</w:t>
      </w:r>
    </w:p>
    <w:p w:rsidR="001B1D56" w:rsidRPr="004D53B0" w:rsidRDefault="00A52BE6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W pierwszym roku </w:t>
      </w:r>
      <w:r w:rsidR="004D53B0" w:rsidRPr="004D53B0">
        <w:rPr>
          <w:rFonts w:ascii="Arial" w:hAnsi="Arial" w:cs="Arial"/>
          <w:sz w:val="20"/>
          <w:szCs w:val="20"/>
          <w:lang w:val="pl-PL"/>
        </w:rPr>
        <w:t>możliwe są dwa rozwiązania: zakaz sadzenia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roślin żywicielskich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="004D53B0" w:rsidRPr="004D53B0">
        <w:rPr>
          <w:rFonts w:ascii="Arial" w:hAnsi="Arial" w:cs="Arial"/>
          <w:sz w:val="20"/>
          <w:szCs w:val="20"/>
          <w:lang w:val="pl-PL"/>
        </w:rPr>
        <w:t xml:space="preserve"> lub uprawa wyłącznie ziemniaków towarowych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z kwalifikowanych sadzeniaków</w:t>
      </w:r>
      <w:r w:rsidR="004D53B0" w:rsidRPr="004D53B0">
        <w:rPr>
          <w:rFonts w:ascii="Arial" w:hAnsi="Arial" w:cs="Arial"/>
          <w:sz w:val="20"/>
          <w:szCs w:val="20"/>
          <w:lang w:val="pl-PL"/>
        </w:rPr>
        <w:t xml:space="preserve"> z badaniem laboratoryjnym bulw po zbiorze</w:t>
      </w:r>
      <w:r w:rsidRPr="004D53B0">
        <w:rPr>
          <w:rFonts w:ascii="Arial" w:hAnsi="Arial" w:cs="Arial"/>
          <w:sz w:val="20"/>
          <w:szCs w:val="20"/>
          <w:lang w:val="pl-PL"/>
        </w:rPr>
        <w:t>.</w:t>
      </w:r>
    </w:p>
    <w:p w:rsidR="001B1D56" w:rsidRPr="004D53B0" w:rsidRDefault="00A52BE6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W drugim i trzecim roku dopuszcza się produkcję sadzeniaków i ziemniaków towarowych z materiału kwalifikowanego, a bulwy zebrane każdego roku produkcji ziemniaków należy poddać badaniom laboratoryjnym.</w:t>
      </w:r>
    </w:p>
    <w:p w:rsidR="00A52BE6" w:rsidRDefault="00A52BE6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Postępowanie alternatywne:</w:t>
      </w:r>
      <w:r w:rsidR="000959E2" w:rsidRPr="000959E2">
        <w:rPr>
          <w:rFonts w:ascii="Arial" w:hAnsi="Arial" w:cs="Arial"/>
          <w:sz w:val="20"/>
          <w:szCs w:val="20"/>
        </w:rPr>
        <w:t xml:space="preserve"> </w:t>
      </w:r>
      <w:r w:rsidRPr="004D53B0">
        <w:rPr>
          <w:rFonts w:ascii="Arial" w:hAnsi="Arial" w:cs="Arial"/>
          <w:sz w:val="20"/>
          <w:szCs w:val="20"/>
          <w:lang w:val="pl-PL"/>
        </w:rPr>
        <w:t>W trzecim roku zamiast kwalifikowanych sadzeniaków można użyć do sadzenia ziemniaków wyprodukowane pod urzędowym nadzorem z kwalifikowanych sadzeniaków.</w:t>
      </w:r>
      <w:r w:rsidR="000959E2" w:rsidRPr="00A52BE6">
        <w:rPr>
          <w:rFonts w:ascii="Arial" w:hAnsi="Arial" w:cs="Arial"/>
          <w:sz w:val="20"/>
          <w:szCs w:val="20"/>
        </w:rPr>
        <w:t xml:space="preserve"> </w:t>
      </w:r>
    </w:p>
    <w:p w:rsidR="001B1D56" w:rsidRPr="000959E2" w:rsidRDefault="00A52BE6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Produkcja pomidora</w:t>
      </w:r>
    </w:p>
    <w:p w:rsidR="001B1D56" w:rsidRPr="004D53B0" w:rsidRDefault="00A52BE6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W pierwszym roku można uprawiać wyłącznie rośliny na owoce.</w:t>
      </w:r>
    </w:p>
    <w:p w:rsidR="001B1D56" w:rsidRPr="004D53B0" w:rsidRDefault="00A52BE6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W drugim i trzecim roku można uprawiać rośliny przeznaczone na rośliny do sadzenia lub owoce.</w:t>
      </w:r>
    </w:p>
    <w:p w:rsidR="001B1D56" w:rsidRPr="000959E2" w:rsidRDefault="00A52BE6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Co roku należy przeprowadzić w odpowiednim terminie urzędową inspekcję uprawy w sezonie wegetacyjnym.</w:t>
      </w:r>
    </w:p>
    <w:p w:rsidR="007B641F" w:rsidRDefault="007B641F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1B1D56" w:rsidRPr="004D53B0" w:rsidRDefault="00A52BE6" w:rsidP="004D53B0">
      <w:pPr>
        <w:pStyle w:val="Akapitzlist"/>
        <w:numPr>
          <w:ilvl w:val="3"/>
          <w:numId w:val="4"/>
        </w:num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Środki stosowane wobec upraw </w:t>
      </w:r>
      <w:r w:rsidR="00F66143" w:rsidRPr="004D53B0">
        <w:rPr>
          <w:rFonts w:ascii="Arial" w:hAnsi="Arial" w:cs="Arial"/>
          <w:i/>
          <w:sz w:val="20"/>
          <w:szCs w:val="20"/>
          <w:lang w:val="pl-PL"/>
        </w:rPr>
        <w:t>pod osłonami</w:t>
      </w:r>
    </w:p>
    <w:p w:rsidR="001B1D56" w:rsidRPr="000959E2" w:rsidRDefault="00F66143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W jednostce </w:t>
      </w:r>
      <w:r w:rsidR="00DA6A55" w:rsidRPr="004D53B0">
        <w:rPr>
          <w:rFonts w:ascii="Arial" w:hAnsi="Arial" w:cs="Arial"/>
          <w:sz w:val="20"/>
          <w:szCs w:val="20"/>
          <w:lang w:val="pl-PL"/>
        </w:rPr>
        <w:t>produkcyjnej upraw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pod osłonami, gdzie możliwa jest wymiana podłoża.</w:t>
      </w:r>
    </w:p>
    <w:p w:rsidR="001B1D56" w:rsidRPr="000959E2" w:rsidRDefault="00DA6A55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Zakaz sadzenia roślin żywicielskich do momentu zastosowania w jednostce, pod urzędowym nadzorem, środków </w:t>
      </w:r>
      <w:r w:rsidR="004D53B0" w:rsidRPr="004D53B0">
        <w:rPr>
          <w:rFonts w:ascii="Arial" w:hAnsi="Arial" w:cs="Arial"/>
          <w:sz w:val="20"/>
          <w:szCs w:val="20"/>
          <w:lang w:val="pl-PL"/>
        </w:rPr>
        <w:t xml:space="preserve">mających na celu wytępienie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="004D53B0" w:rsidRPr="004D53B0">
        <w:rPr>
          <w:rFonts w:ascii="Arial" w:hAnsi="Arial" w:cs="Arial"/>
          <w:sz w:val="20"/>
          <w:szCs w:val="20"/>
          <w:lang w:val="pl-PL"/>
        </w:rPr>
        <w:t xml:space="preserve"> polegających na </w:t>
      </w:r>
      <w:r w:rsidRPr="004D53B0">
        <w:rPr>
          <w:rFonts w:ascii="Arial" w:hAnsi="Arial" w:cs="Arial"/>
          <w:sz w:val="20"/>
          <w:szCs w:val="20"/>
          <w:lang w:val="pl-PL"/>
        </w:rPr>
        <w:t>usun</w:t>
      </w:r>
      <w:r w:rsidR="004D53B0" w:rsidRPr="004D53B0">
        <w:rPr>
          <w:rFonts w:ascii="Arial" w:hAnsi="Arial" w:cs="Arial"/>
          <w:sz w:val="20"/>
          <w:szCs w:val="20"/>
          <w:lang w:val="pl-PL"/>
        </w:rPr>
        <w:t>ięciu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całości materia</w:t>
      </w:r>
      <w:r w:rsidR="004D53B0" w:rsidRPr="004D53B0">
        <w:rPr>
          <w:rFonts w:ascii="Arial" w:hAnsi="Arial" w:cs="Arial"/>
          <w:sz w:val="20"/>
          <w:szCs w:val="20"/>
          <w:lang w:val="pl-PL"/>
        </w:rPr>
        <w:t>łu roślin żywicielskich, wymianie podłoża oraz oczyszczeniu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i, w uzasadnionych</w:t>
      </w:r>
      <w:r w:rsidR="004D53B0" w:rsidRPr="004D53B0">
        <w:rPr>
          <w:rFonts w:ascii="Arial" w:hAnsi="Arial" w:cs="Arial"/>
          <w:sz w:val="20"/>
          <w:szCs w:val="20"/>
          <w:lang w:val="pl-PL"/>
        </w:rPr>
        <w:t xml:space="preserve"> przypadkach, dezynfekcji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 jednostki i sprzętu.</w:t>
      </w:r>
    </w:p>
    <w:p w:rsidR="001B1D56" w:rsidRPr="004D53B0" w:rsidRDefault="00DA6A55" w:rsidP="004D53B0">
      <w:pPr>
        <w:pStyle w:val="Akapitzlist"/>
        <w:numPr>
          <w:ilvl w:val="2"/>
          <w:numId w:val="4"/>
        </w:numPr>
        <w:tabs>
          <w:tab w:val="left" w:pos="526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>Pozostałe działania stosowane na całym obszarze nadzorowanym</w:t>
      </w:r>
      <w:r w:rsidR="007E1B22">
        <w:rPr>
          <w:rStyle w:val="Odwoanieprzypisudolnego"/>
          <w:rFonts w:ascii="Arial" w:hAnsi="Arial" w:cs="Arial"/>
          <w:i/>
          <w:sz w:val="20"/>
          <w:szCs w:val="20"/>
        </w:rPr>
        <w:footnoteReference w:id="3"/>
      </w:r>
    </w:p>
    <w:p w:rsidR="001B1D56" w:rsidRPr="004D53B0" w:rsidRDefault="00DA6A55" w:rsidP="004D53B0">
      <w:pPr>
        <w:pStyle w:val="Akapitzlist"/>
        <w:numPr>
          <w:ilvl w:val="3"/>
          <w:numId w:val="4"/>
        </w:numPr>
        <w:tabs>
          <w:tab w:val="left" w:pos="622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>W roku porażenia</w:t>
      </w:r>
    </w:p>
    <w:p w:rsidR="001B1D56" w:rsidRPr="000959E2" w:rsidRDefault="00DA6A55">
      <w:pPr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Wszystkie maszyny i przechowalnie użyte w produkcji ziemniaków lub pomidorów powinny zostać </w:t>
      </w:r>
      <w:r w:rsidRPr="004D53B0">
        <w:rPr>
          <w:rFonts w:ascii="Arial" w:hAnsi="Arial" w:cs="Arial"/>
          <w:sz w:val="20"/>
          <w:szCs w:val="20"/>
          <w:lang w:val="pl-PL"/>
        </w:rPr>
        <w:lastRenderedPageBreak/>
        <w:t>wyczyszczone i zdezynfekowane (ale w porażonych miejscach produkcji należy zastosować surowsze środki; patrz punkt 4.2.1)</w:t>
      </w:r>
    </w:p>
    <w:p w:rsidR="007E1B22" w:rsidRDefault="007E1B22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1B1D56" w:rsidRPr="004D53B0" w:rsidRDefault="00DA6A55" w:rsidP="004D53B0">
      <w:pPr>
        <w:pStyle w:val="Akapitzlist"/>
        <w:numPr>
          <w:ilvl w:val="3"/>
          <w:numId w:val="4"/>
        </w:num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4D53B0">
        <w:rPr>
          <w:rFonts w:ascii="Arial" w:hAnsi="Arial" w:cs="Arial"/>
          <w:i/>
          <w:sz w:val="20"/>
          <w:szCs w:val="20"/>
          <w:lang w:val="pl-PL"/>
        </w:rPr>
        <w:t>Przez 3 lata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Produkcja, obsługa i przechowywanie ziemniaków i pomidorów powinny podlegać urzędowemu nadzorowi.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Sadzeniaki i ziemniaki towarowe po zbiorze powinny być odseparowane lub pomiędzy operacjami manipulacji obydwoma rodzajami ziemniaków należy stosować czyszczenie i dezynfekcję.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Do sadzenia należy używać wyłącznie sadzeniaków kwalifikowanych lub ziemniaków wyprodukowanych pod urzędowym nadzorem (z zastrzeżeniem dodatkowych ograniczeń w porażonych miejscach produkcji, patrz powyżej). 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Sadzeniaki wyprodukowane w prawdopodobnie porażonych miejscach produkcji powinny być przebadane po zbiorze na obecność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R.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solanacearum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>.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Co roku należy przeprowadzić urzędową lustrację (patrz punkt 1. Nadzór).</w:t>
      </w: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Całość sadzeniaków na obszarze nadzorowanym powinna być, w uzasadnionych przypadkach, okresowo wymieniana.</w:t>
      </w:r>
    </w:p>
    <w:p w:rsidR="007E1B22" w:rsidRDefault="007E1B22">
      <w:pPr>
        <w:tabs>
          <w:tab w:val="left" w:pos="337"/>
        </w:tabs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18" w:name="bookmark19"/>
    </w:p>
    <w:bookmarkEnd w:id="18"/>
    <w:p w:rsidR="001B1D56" w:rsidRPr="004D53B0" w:rsidRDefault="00DA6A55" w:rsidP="004D53B0">
      <w:pPr>
        <w:pStyle w:val="Akapitzlist"/>
        <w:numPr>
          <w:ilvl w:val="1"/>
          <w:numId w:val="4"/>
        </w:numPr>
        <w:tabs>
          <w:tab w:val="left" w:pos="337"/>
        </w:tabs>
        <w:outlineLvl w:val="2"/>
        <w:rPr>
          <w:rFonts w:ascii="Arial" w:hAnsi="Arial" w:cs="Arial"/>
          <w:b/>
          <w:sz w:val="20"/>
          <w:szCs w:val="20"/>
        </w:rPr>
      </w:pPr>
      <w:r w:rsidRPr="004D53B0">
        <w:rPr>
          <w:rFonts w:ascii="Arial" w:hAnsi="Arial" w:cs="Arial"/>
          <w:b/>
          <w:sz w:val="20"/>
          <w:szCs w:val="20"/>
          <w:lang w:val="pl-PL"/>
        </w:rPr>
        <w:t>Środki stosowane wobec nadzorowanych wód powierzchniowych</w:t>
      </w:r>
    </w:p>
    <w:p w:rsidR="007E1B22" w:rsidRDefault="007E1B22">
      <w:pPr>
        <w:tabs>
          <w:tab w:val="left" w:pos="309"/>
        </w:tabs>
        <w:rPr>
          <w:rFonts w:ascii="Arial" w:hAnsi="Arial" w:cs="Arial"/>
          <w:sz w:val="20"/>
          <w:szCs w:val="20"/>
        </w:rPr>
      </w:pPr>
    </w:p>
    <w:p w:rsidR="001B1D56" w:rsidRPr="004D53B0" w:rsidRDefault="00DA6A55" w:rsidP="004D53B0">
      <w:pPr>
        <w:pStyle w:val="Akapitzlist"/>
        <w:numPr>
          <w:ilvl w:val="0"/>
          <w:numId w:val="6"/>
        </w:numPr>
        <w:tabs>
          <w:tab w:val="left" w:pos="30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Nadzorowanych wód powierzchniowych nie należy bez odpowiednich zabiegów używać do nawadniania ani </w:t>
      </w:r>
      <w:r w:rsidR="00A04F9B" w:rsidRPr="004D53B0">
        <w:rPr>
          <w:rFonts w:ascii="Arial" w:hAnsi="Arial" w:cs="Arial"/>
          <w:sz w:val="20"/>
          <w:szCs w:val="20"/>
          <w:lang w:val="pl-PL"/>
        </w:rPr>
        <w:t xml:space="preserve">oprysków </w:t>
      </w:r>
      <w:r w:rsidRPr="004D53B0">
        <w:rPr>
          <w:rFonts w:ascii="Arial" w:hAnsi="Arial" w:cs="Arial"/>
          <w:sz w:val="20"/>
          <w:szCs w:val="20"/>
          <w:lang w:val="pl-PL"/>
        </w:rPr>
        <w:t>roślin żywicielskich.</w:t>
      </w:r>
    </w:p>
    <w:p w:rsidR="001B1D56" w:rsidRPr="004D53B0" w:rsidRDefault="00A04F9B" w:rsidP="004D53B0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Jeżeli nadzorem objęto cały ciek wodny i istnieje prawdopodobieństwo, że pozostanie on porażony (np. ze względu na obecność porażonych roślin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>), nie ma konieczności kontynuowania badań.</w:t>
      </w:r>
      <w:r w:rsidR="000959E2" w:rsidRPr="004D53B0">
        <w:rPr>
          <w:rFonts w:ascii="Arial" w:hAnsi="Arial" w:cs="Arial"/>
          <w:sz w:val="20"/>
          <w:szCs w:val="20"/>
        </w:rPr>
        <w:t xml:space="preserve"> </w:t>
      </w:r>
      <w:r w:rsidRPr="004D53B0">
        <w:rPr>
          <w:rFonts w:ascii="Arial" w:hAnsi="Arial" w:cs="Arial"/>
          <w:sz w:val="20"/>
          <w:szCs w:val="20"/>
          <w:lang w:val="pl-PL"/>
        </w:rPr>
        <w:t xml:space="preserve">W innych sytuacjach należy pobierać próby wody do badań w obszarach nadzorowanych i ich okolicy co roku w odpowiednich terminach, zgodnie ze Standardem </w:t>
      </w:r>
      <w:proofErr w:type="spellStart"/>
      <w:r w:rsidRPr="004D53B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 xml:space="preserve"> PM 7/21 (</w:t>
      </w:r>
      <w:proofErr w:type="spellStart"/>
      <w:r w:rsidRPr="004D53B0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4D53B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>, 2004c; w trakcie nowelizacji).</w:t>
      </w:r>
    </w:p>
    <w:p w:rsidR="001B1D56" w:rsidRPr="004D53B0" w:rsidRDefault="00A04F9B" w:rsidP="004D53B0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W uzasadnionych przypadkach, wszystkie uprawy ziemniaków i pomidorów na tym obszarze należy poddawać inspekcji oraz, w przypadku sadzeniaków ziemniaka, badaniom.</w:t>
      </w:r>
    </w:p>
    <w:p w:rsidR="001B1D56" w:rsidRPr="004D53B0" w:rsidRDefault="00A04F9B" w:rsidP="004D53B0">
      <w:pPr>
        <w:pStyle w:val="Akapitzlist"/>
        <w:numPr>
          <w:ilvl w:val="0"/>
          <w:numId w:val="6"/>
        </w:numPr>
        <w:tabs>
          <w:tab w:val="left" w:pos="174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Można również badać próby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dulcamara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 xml:space="preserve"> i </w:t>
      </w:r>
      <w:r w:rsidRPr="004D53B0">
        <w:rPr>
          <w:rFonts w:ascii="Arial" w:hAnsi="Arial" w:cs="Arial"/>
          <w:i/>
          <w:sz w:val="20"/>
          <w:szCs w:val="20"/>
          <w:lang w:val="pl-PL"/>
        </w:rPr>
        <w:t xml:space="preserve">U. </w:t>
      </w:r>
      <w:proofErr w:type="spellStart"/>
      <w:r w:rsidRPr="004D53B0">
        <w:rPr>
          <w:rFonts w:ascii="Arial" w:hAnsi="Arial" w:cs="Arial"/>
          <w:i/>
          <w:sz w:val="20"/>
          <w:szCs w:val="20"/>
          <w:lang w:val="pl-PL"/>
        </w:rPr>
        <w:t>dioica</w:t>
      </w:r>
      <w:proofErr w:type="spellEnd"/>
      <w:r w:rsidRPr="004D53B0">
        <w:rPr>
          <w:rFonts w:ascii="Arial" w:hAnsi="Arial" w:cs="Arial"/>
          <w:sz w:val="20"/>
          <w:szCs w:val="20"/>
          <w:lang w:val="pl-PL"/>
        </w:rPr>
        <w:t>.</w:t>
      </w:r>
      <w:r w:rsidR="000959E2" w:rsidRPr="004D53B0">
        <w:rPr>
          <w:rFonts w:ascii="Arial" w:hAnsi="Arial" w:cs="Arial"/>
          <w:sz w:val="20"/>
          <w:szCs w:val="20"/>
        </w:rPr>
        <w:t xml:space="preserve"> </w:t>
      </w:r>
      <w:r w:rsidRPr="004D53B0">
        <w:rPr>
          <w:rFonts w:ascii="Arial" w:hAnsi="Arial" w:cs="Arial"/>
          <w:sz w:val="20"/>
          <w:szCs w:val="20"/>
          <w:lang w:val="pl-PL"/>
        </w:rPr>
        <w:t>W wyniku tych inspekcji i badań obszar nadzorowany może zostać zmodyfikowany.</w:t>
      </w:r>
    </w:p>
    <w:p w:rsidR="001B1D56" w:rsidRPr="004D53B0" w:rsidRDefault="00A04F9B" w:rsidP="004D53B0">
      <w:pPr>
        <w:pStyle w:val="Akapitzlist"/>
        <w:numPr>
          <w:ilvl w:val="0"/>
          <w:numId w:val="6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>Jeżeli istnieje prawdopodobieństwo, że uprawy roślin żywicielskich zetknęły się z wodą z porażonych źródeł powierzchniowych, należy uznać je za „prawdopodobnie porażone”.</w:t>
      </w:r>
    </w:p>
    <w:p w:rsidR="001B1D56" w:rsidRPr="004D53B0" w:rsidRDefault="004D53B0" w:rsidP="004D53B0">
      <w:pPr>
        <w:pStyle w:val="Akapitzlist"/>
        <w:numPr>
          <w:ilvl w:val="0"/>
          <w:numId w:val="6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4D53B0">
        <w:rPr>
          <w:rFonts w:ascii="Arial" w:hAnsi="Arial" w:cs="Arial"/>
          <w:sz w:val="20"/>
          <w:szCs w:val="20"/>
          <w:lang w:val="pl-PL"/>
        </w:rPr>
        <w:t xml:space="preserve">Obecnie rozważa się warunki </w:t>
      </w:r>
      <w:r w:rsidR="00A04F9B" w:rsidRPr="004D53B0">
        <w:rPr>
          <w:rFonts w:ascii="Arial" w:hAnsi="Arial" w:cs="Arial"/>
          <w:sz w:val="20"/>
          <w:szCs w:val="20"/>
          <w:lang w:val="pl-PL"/>
        </w:rPr>
        <w:t>częściowego lub całkowitego „wyrejestrowywania” obszarów nadzorowanych w przypadku uzyskania wyników negatywnych.</w:t>
      </w:r>
    </w:p>
    <w:p w:rsidR="007E1B22" w:rsidRDefault="007E1B22">
      <w:pPr>
        <w:outlineLvl w:val="1"/>
        <w:rPr>
          <w:rFonts w:ascii="Arial" w:hAnsi="Arial" w:cs="Arial"/>
          <w:sz w:val="20"/>
          <w:szCs w:val="20"/>
        </w:rPr>
      </w:pPr>
      <w:bookmarkStart w:id="19" w:name="bookmark20"/>
    </w:p>
    <w:bookmarkEnd w:id="19"/>
    <w:p w:rsidR="001B1D56" w:rsidRPr="007E1B22" w:rsidRDefault="00A04F9B">
      <w:pPr>
        <w:outlineLvl w:val="1"/>
        <w:rPr>
          <w:rFonts w:ascii="Arial" w:hAnsi="Arial" w:cs="Arial"/>
          <w:b/>
          <w:sz w:val="20"/>
          <w:szCs w:val="20"/>
        </w:rPr>
      </w:pPr>
      <w:r w:rsidRPr="004D53B0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7E1B22" w:rsidRDefault="007E1B22">
      <w:pPr>
        <w:ind w:left="360" w:hanging="360"/>
        <w:rPr>
          <w:rFonts w:ascii="Arial" w:hAnsi="Arial" w:cs="Arial"/>
          <w:sz w:val="20"/>
          <w:szCs w:val="20"/>
        </w:rPr>
      </w:pP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r w:rsidRPr="000959E2">
        <w:rPr>
          <w:rFonts w:ascii="Arial" w:hAnsi="Arial" w:cs="Arial"/>
          <w:sz w:val="20"/>
          <w:szCs w:val="20"/>
        </w:rPr>
        <w:t xml:space="preserve">EU (1998) Council Directive 98/57/EC of 20 July 1998 on the control of </w:t>
      </w:r>
      <w:proofErr w:type="spellStart"/>
      <w:r w:rsidRPr="000959E2">
        <w:rPr>
          <w:rFonts w:ascii="Arial" w:hAnsi="Arial" w:cs="Arial"/>
          <w:sz w:val="20"/>
          <w:szCs w:val="20"/>
        </w:rPr>
        <w:t>Ralstonia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9E2">
        <w:rPr>
          <w:rFonts w:ascii="Arial" w:hAnsi="Arial" w:cs="Arial"/>
          <w:sz w:val="20"/>
          <w:szCs w:val="20"/>
        </w:rPr>
        <w:t>solanacearum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(Smith) </w:t>
      </w:r>
      <w:proofErr w:type="spellStart"/>
      <w:r w:rsidRPr="000959E2">
        <w:rPr>
          <w:rFonts w:ascii="Arial" w:hAnsi="Arial" w:cs="Arial"/>
          <w:sz w:val="20"/>
          <w:szCs w:val="20"/>
        </w:rPr>
        <w:t>Yabuuchi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et al. Official Journal of the European Communities no. L235, 1-39.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r w:rsidRPr="000959E2">
        <w:rPr>
          <w:rFonts w:ascii="Arial" w:hAnsi="Arial" w:cs="Arial"/>
          <w:sz w:val="20"/>
          <w:szCs w:val="20"/>
        </w:rPr>
        <w:t xml:space="preserve">EU (2006) Commission Directive 2006/63/EC of 14 July 2006 amending the Annexes ii to VII to Council Directive 98/57/EC on the control of </w:t>
      </w:r>
      <w:proofErr w:type="spellStart"/>
      <w:r w:rsidRPr="000959E2">
        <w:rPr>
          <w:rFonts w:ascii="Arial" w:hAnsi="Arial" w:cs="Arial"/>
          <w:sz w:val="20"/>
          <w:szCs w:val="20"/>
        </w:rPr>
        <w:t>of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9E2">
        <w:rPr>
          <w:rFonts w:ascii="Arial" w:hAnsi="Arial" w:cs="Arial"/>
          <w:sz w:val="20"/>
          <w:szCs w:val="20"/>
        </w:rPr>
        <w:t>Ralstonia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9E2">
        <w:rPr>
          <w:rFonts w:ascii="Arial" w:hAnsi="Arial" w:cs="Arial"/>
          <w:sz w:val="20"/>
          <w:szCs w:val="20"/>
        </w:rPr>
        <w:t>solanacearum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(Smith) </w:t>
      </w:r>
      <w:proofErr w:type="spellStart"/>
      <w:r w:rsidRPr="000959E2">
        <w:rPr>
          <w:rFonts w:ascii="Arial" w:hAnsi="Arial" w:cs="Arial"/>
          <w:sz w:val="20"/>
          <w:szCs w:val="20"/>
        </w:rPr>
        <w:t>Yabuuchi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et al Official Journal of the European Communities no. L206, 36-106.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(1999)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4/28 Certification schemes - seed potatoes.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29, 561-567.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(2004a)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3/61(1) Pest-free areas and pest- free production and distribution systems for quarantine pests of potato.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34, 441^442.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(2004b)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8/1(1) Commodity-specific </w:t>
      </w:r>
      <w:proofErr w:type="spellStart"/>
      <w:r w:rsidRPr="000959E2">
        <w:rPr>
          <w:rFonts w:ascii="Arial" w:hAnsi="Arial" w:cs="Arial"/>
          <w:sz w:val="20"/>
          <w:szCs w:val="20"/>
        </w:rPr>
        <w:t>phytosanitary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measures - potato.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34, 459-461.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(2004c)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7/21(1) Diagnostic protocol - </w:t>
      </w:r>
      <w:proofErr w:type="spellStart"/>
      <w:r w:rsidRPr="000959E2">
        <w:rPr>
          <w:rFonts w:ascii="Arial" w:hAnsi="Arial" w:cs="Arial"/>
          <w:sz w:val="20"/>
          <w:szCs w:val="20"/>
        </w:rPr>
        <w:t>Ralstonia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9E2">
        <w:rPr>
          <w:rFonts w:ascii="Arial" w:hAnsi="Arial" w:cs="Arial"/>
          <w:sz w:val="20"/>
          <w:szCs w:val="20"/>
        </w:rPr>
        <w:t>solanacearum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34, 173-178.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(2006a)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10/1(1) Disinfection procedure in potato production.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36, 463-466.</w:t>
      </w:r>
    </w:p>
    <w:p w:rsidR="001B1D56" w:rsidRPr="000959E2" w:rsidRDefault="000959E2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(2008) 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Standards PM 3/66 Guidelines for the management of plant health risks of </w:t>
      </w:r>
      <w:proofErr w:type="spellStart"/>
      <w:r w:rsidRPr="000959E2">
        <w:rPr>
          <w:rFonts w:ascii="Arial" w:hAnsi="Arial" w:cs="Arial"/>
          <w:sz w:val="20"/>
          <w:szCs w:val="20"/>
        </w:rPr>
        <w:t>biowaste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of plant origin. Bulletin </w:t>
      </w:r>
      <w:proofErr w:type="spellStart"/>
      <w:r w:rsidRPr="000959E2">
        <w:rPr>
          <w:rFonts w:ascii="Arial" w:hAnsi="Arial" w:cs="Arial"/>
          <w:sz w:val="20"/>
          <w:szCs w:val="20"/>
        </w:rPr>
        <w:t>OEPP</w:t>
      </w:r>
      <w:proofErr w:type="spellEnd"/>
      <w:r w:rsidRPr="000959E2">
        <w:rPr>
          <w:rFonts w:ascii="Arial" w:hAnsi="Arial" w:cs="Arial"/>
          <w:sz w:val="20"/>
          <w:szCs w:val="20"/>
        </w:rPr>
        <w:t>/</w:t>
      </w:r>
      <w:proofErr w:type="spellStart"/>
      <w:r w:rsidRPr="000959E2">
        <w:rPr>
          <w:rFonts w:ascii="Arial" w:hAnsi="Arial" w:cs="Arial"/>
          <w:sz w:val="20"/>
          <w:szCs w:val="20"/>
        </w:rPr>
        <w:t>EPPO</w:t>
      </w:r>
      <w:proofErr w:type="spellEnd"/>
      <w:r w:rsidRPr="000959E2">
        <w:rPr>
          <w:rFonts w:ascii="Arial" w:hAnsi="Arial" w:cs="Arial"/>
          <w:sz w:val="20"/>
          <w:szCs w:val="20"/>
        </w:rPr>
        <w:t xml:space="preserve"> Bulletin 38, 4-9.</w:t>
      </w:r>
    </w:p>
    <w:sectPr w:rsidR="001B1D56" w:rsidRPr="000959E2" w:rsidSect="001B1D56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74" w:rsidRDefault="00675974" w:rsidP="001B1D56">
      <w:r>
        <w:separator/>
      </w:r>
    </w:p>
  </w:endnote>
  <w:endnote w:type="continuationSeparator" w:id="0">
    <w:p w:rsidR="00675974" w:rsidRDefault="00675974" w:rsidP="001B1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74" w:rsidRDefault="00675974">
      <w:r>
        <w:separator/>
      </w:r>
    </w:p>
  </w:footnote>
  <w:footnote w:type="continuationSeparator" w:id="0">
    <w:p w:rsidR="00675974" w:rsidRDefault="00675974">
      <w:r>
        <w:continuationSeparator/>
      </w:r>
    </w:p>
  </w:footnote>
  <w:footnote w:id="1">
    <w:p w:rsidR="00675974" w:rsidRPr="007B641F" w:rsidRDefault="00675974" w:rsidP="00C1194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F4B4A">
        <w:rPr>
          <w:rFonts w:ascii="Arial" w:hAnsi="Arial" w:cs="Arial"/>
          <w:lang w:val="pl-PL"/>
        </w:rPr>
        <w:t>Miejsce produkcji definiuje się jako „Nieruchomość lub zespół pól działający</w:t>
      </w:r>
      <w:r w:rsidR="00BF4B4A" w:rsidRPr="00BF4B4A">
        <w:rPr>
          <w:rFonts w:ascii="Arial" w:hAnsi="Arial" w:cs="Arial"/>
          <w:lang w:val="pl-PL"/>
        </w:rPr>
        <w:t>ch</w:t>
      </w:r>
      <w:r w:rsidRPr="00BF4B4A">
        <w:rPr>
          <w:rFonts w:ascii="Arial" w:hAnsi="Arial" w:cs="Arial"/>
          <w:lang w:val="pl-PL"/>
        </w:rPr>
        <w:t xml:space="preserve"> jako jedna jednostka produkcyjna lub rolnicza.</w:t>
      </w:r>
      <w:r w:rsidRPr="000959E2">
        <w:rPr>
          <w:rFonts w:ascii="Arial" w:hAnsi="Arial" w:cs="Arial"/>
        </w:rPr>
        <w:t xml:space="preserve"> </w:t>
      </w:r>
      <w:r w:rsidR="00BF4B4A" w:rsidRPr="00BF4B4A">
        <w:rPr>
          <w:rFonts w:ascii="Arial" w:hAnsi="Arial" w:cs="Arial"/>
          <w:lang w:val="pl-PL"/>
        </w:rPr>
        <w:t>Mogą do nich zaliczać się stanowiska produkcji traktowane odrębnie do celów fitosanitarnych” (</w:t>
      </w:r>
      <w:proofErr w:type="spellStart"/>
      <w:r w:rsidR="00BF4B4A" w:rsidRPr="00BF4B4A">
        <w:rPr>
          <w:rFonts w:ascii="Arial" w:hAnsi="Arial" w:cs="Arial"/>
          <w:lang w:val="pl-PL"/>
        </w:rPr>
        <w:t>ISPM</w:t>
      </w:r>
      <w:proofErr w:type="spellEnd"/>
      <w:r w:rsidR="00BF4B4A" w:rsidRPr="00BF4B4A">
        <w:rPr>
          <w:rFonts w:ascii="Arial" w:hAnsi="Arial" w:cs="Arial"/>
          <w:lang w:val="pl-PL"/>
        </w:rPr>
        <w:t xml:space="preserve"> 5, 2010). </w:t>
      </w:r>
    </w:p>
  </w:footnote>
  <w:footnote w:id="2">
    <w:p w:rsidR="00675974" w:rsidRPr="007B641F" w:rsidRDefault="00675974" w:rsidP="00913B5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BF4B4A" w:rsidRPr="00BF4B4A">
        <w:rPr>
          <w:rFonts w:ascii="Arial" w:hAnsi="Arial" w:cs="Arial"/>
          <w:lang w:val="pl-PL"/>
        </w:rPr>
        <w:t>Brak pozytywnych wyników badań, ale silne przekonanie, że porażenie jest możliwe.</w:t>
      </w:r>
    </w:p>
  </w:footnote>
  <w:footnote w:id="3">
    <w:p w:rsidR="00675974" w:rsidRPr="007E1B22" w:rsidRDefault="0067597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BF4B4A" w:rsidRPr="00BF4B4A">
        <w:rPr>
          <w:rFonts w:ascii="Arial" w:hAnsi="Arial" w:cs="Arial"/>
          <w:lang w:val="pl-PL"/>
        </w:rPr>
        <w:t>tzn. zarówno w „porażonych”, jak i „prawdopodobnie porażonych” miejscach produkcji.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BE"/>
    <w:multiLevelType w:val="hybridMultilevel"/>
    <w:tmpl w:val="91D87E0E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D7B7A"/>
    <w:multiLevelType w:val="hybridMultilevel"/>
    <w:tmpl w:val="AE965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63B1"/>
    <w:multiLevelType w:val="hybridMultilevel"/>
    <w:tmpl w:val="6D502FDA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A0AE4"/>
    <w:multiLevelType w:val="hybridMultilevel"/>
    <w:tmpl w:val="E4B20EE6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97FD3"/>
    <w:multiLevelType w:val="hybridMultilevel"/>
    <w:tmpl w:val="060AF6CE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60E7C"/>
    <w:multiLevelType w:val="hybridMultilevel"/>
    <w:tmpl w:val="A32E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76F5A"/>
    <w:multiLevelType w:val="hybridMultilevel"/>
    <w:tmpl w:val="36A6D064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D3703"/>
    <w:multiLevelType w:val="hybridMultilevel"/>
    <w:tmpl w:val="53101D38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C418E"/>
    <w:multiLevelType w:val="hybridMultilevel"/>
    <w:tmpl w:val="8D1E493C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040A9"/>
    <w:multiLevelType w:val="multilevel"/>
    <w:tmpl w:val="192E6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E4F5A54"/>
    <w:multiLevelType w:val="hybridMultilevel"/>
    <w:tmpl w:val="17601F98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D73B7"/>
    <w:multiLevelType w:val="hybridMultilevel"/>
    <w:tmpl w:val="F50098A6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60F43"/>
    <w:multiLevelType w:val="multilevel"/>
    <w:tmpl w:val="192E6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4183E0F"/>
    <w:multiLevelType w:val="hybridMultilevel"/>
    <w:tmpl w:val="F3B889D6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D00D4"/>
    <w:multiLevelType w:val="hybridMultilevel"/>
    <w:tmpl w:val="DF92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27E8E"/>
    <w:multiLevelType w:val="hybridMultilevel"/>
    <w:tmpl w:val="AED83904"/>
    <w:lvl w:ilvl="0" w:tplc="23A0F3B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012DA"/>
    <w:multiLevelType w:val="multilevel"/>
    <w:tmpl w:val="192E6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6"/>
  </w:num>
  <w:num w:numId="11">
    <w:abstractNumId w:val="10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1D56"/>
    <w:rsid w:val="000644F2"/>
    <w:rsid w:val="00090E42"/>
    <w:rsid w:val="000959E2"/>
    <w:rsid w:val="001018C4"/>
    <w:rsid w:val="001616A6"/>
    <w:rsid w:val="001B1D56"/>
    <w:rsid w:val="001D2361"/>
    <w:rsid w:val="001E33DB"/>
    <w:rsid w:val="00220CD3"/>
    <w:rsid w:val="002C0A41"/>
    <w:rsid w:val="00403404"/>
    <w:rsid w:val="004D53B0"/>
    <w:rsid w:val="00635E4E"/>
    <w:rsid w:val="00675974"/>
    <w:rsid w:val="007B641F"/>
    <w:rsid w:val="007B6453"/>
    <w:rsid w:val="007D0903"/>
    <w:rsid w:val="007E1B22"/>
    <w:rsid w:val="008234BD"/>
    <w:rsid w:val="00913B5C"/>
    <w:rsid w:val="009C00D7"/>
    <w:rsid w:val="00A03B35"/>
    <w:rsid w:val="00A04F9B"/>
    <w:rsid w:val="00A52BE6"/>
    <w:rsid w:val="00B37387"/>
    <w:rsid w:val="00B7200A"/>
    <w:rsid w:val="00BF4B4A"/>
    <w:rsid w:val="00C11941"/>
    <w:rsid w:val="00C31138"/>
    <w:rsid w:val="00C323A8"/>
    <w:rsid w:val="00DA6A55"/>
    <w:rsid w:val="00E978B2"/>
    <w:rsid w:val="00EC1A42"/>
    <w:rsid w:val="00F66143"/>
    <w:rsid w:val="00F7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B1D56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B1D56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7B64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B64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641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64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6CF7-0D5C-4F54-900C-7525F04F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3351</Words>
  <Characters>22807</Characters>
  <Application>Microsoft Office Word</Application>
  <DocSecurity>0</DocSecurity>
  <Lines>407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Ralstoniasolanacearum</vt:lpstr>
    </vt:vector>
  </TitlesOfParts>
  <Company/>
  <LinksUpToDate>false</LinksUpToDate>
  <CharactersWithSpaces>26015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Ralstoniasolanacearum</dc:title>
  <dc:creator>Mikołaj Malanowski</dc:creator>
  <cp:lastModifiedBy>Mikołaj Malanowski</cp:lastModifiedBy>
  <cp:revision>3</cp:revision>
  <dcterms:created xsi:type="dcterms:W3CDTF">2014-04-17T10:34:00Z</dcterms:created>
  <dcterms:modified xsi:type="dcterms:W3CDTF">2014-04-17T10:35:00Z</dcterms:modified>
</cp:coreProperties>
</file>