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945C9E">
        <w:rPr>
          <w:rStyle w:val="Pogrubienie"/>
        </w:rPr>
        <w:t>0</w:t>
      </w:r>
      <w:r w:rsidR="008865CB">
        <w:rPr>
          <w:rStyle w:val="Pogrubienie"/>
        </w:rPr>
        <w:t>4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8865CB">
        <w:rPr>
          <w:rStyle w:val="Pogrubienie"/>
        </w:rPr>
        <w:t>1296</w:t>
      </w:r>
      <w:r w:rsidR="00945C9E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876276">
        <w:rPr>
          <w:b/>
          <w:bCs/>
        </w:rPr>
        <w:t>1051</w:t>
      </w:r>
      <w:bookmarkStart w:id="0" w:name="_GoBack"/>
      <w:bookmarkEnd w:id="0"/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rowienie w obrębie lewej połowy twarzy oraz lewej kończyny górnej. Objawy wystąpiły ok. 5 minut po iniekcji, trwały ok. 30-40 minut, ustąpiły samoistnie przed opuszczeniem punktu szczepień. Pacjentka była 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asilone bóle w miejscu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wstrzyknięcia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, ogólne bóle stawowe, bóle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mięśniowe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 xml:space="preserve">brzęk tkanki podskórnej dołu pachowego lewego bez zaczerwienienia z niewielką bolesnością – węzły 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chłonne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 xml:space="preserve">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utrzymująca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 się do 48 godz., Bolesność i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powiększenie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7DD" w:rsidRPr="00DC43CF" w:rsidRDefault="00D447DD" w:rsidP="00DE622A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5B33"/>
    <w:rsid w:val="0003765D"/>
    <w:rsid w:val="00054CD6"/>
    <w:rsid w:val="00063F56"/>
    <w:rsid w:val="00065282"/>
    <w:rsid w:val="00076CD3"/>
    <w:rsid w:val="00083D25"/>
    <w:rsid w:val="00092023"/>
    <w:rsid w:val="000A48A3"/>
    <w:rsid w:val="000B001D"/>
    <w:rsid w:val="000B71CF"/>
    <w:rsid w:val="000C11DD"/>
    <w:rsid w:val="000C37F5"/>
    <w:rsid w:val="000C5196"/>
    <w:rsid w:val="000D08E1"/>
    <w:rsid w:val="000D6AD4"/>
    <w:rsid w:val="000E3785"/>
    <w:rsid w:val="00140F40"/>
    <w:rsid w:val="00190187"/>
    <w:rsid w:val="001A6AB9"/>
    <w:rsid w:val="001B11C3"/>
    <w:rsid w:val="001B3B64"/>
    <w:rsid w:val="001D6FFE"/>
    <w:rsid w:val="001E1043"/>
    <w:rsid w:val="001F5658"/>
    <w:rsid w:val="001F7D50"/>
    <w:rsid w:val="00203B7C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2994"/>
    <w:rsid w:val="002D4DAB"/>
    <w:rsid w:val="002E077D"/>
    <w:rsid w:val="002E4CFB"/>
    <w:rsid w:val="0030646A"/>
    <w:rsid w:val="003109C7"/>
    <w:rsid w:val="00327441"/>
    <w:rsid w:val="003425AB"/>
    <w:rsid w:val="00342E06"/>
    <w:rsid w:val="00366BE2"/>
    <w:rsid w:val="0038489A"/>
    <w:rsid w:val="00390CD4"/>
    <w:rsid w:val="003A0AF0"/>
    <w:rsid w:val="003B320B"/>
    <w:rsid w:val="003C53D8"/>
    <w:rsid w:val="003E3286"/>
    <w:rsid w:val="003E5EFA"/>
    <w:rsid w:val="003F2871"/>
    <w:rsid w:val="003F2C2F"/>
    <w:rsid w:val="004021C8"/>
    <w:rsid w:val="00406A04"/>
    <w:rsid w:val="00417CA1"/>
    <w:rsid w:val="00446623"/>
    <w:rsid w:val="004561D5"/>
    <w:rsid w:val="004706BB"/>
    <w:rsid w:val="00475DC1"/>
    <w:rsid w:val="00476502"/>
    <w:rsid w:val="00494E70"/>
    <w:rsid w:val="004A2522"/>
    <w:rsid w:val="004B0FBC"/>
    <w:rsid w:val="004C1BF0"/>
    <w:rsid w:val="004C4487"/>
    <w:rsid w:val="004C73D5"/>
    <w:rsid w:val="004D6892"/>
    <w:rsid w:val="004E153A"/>
    <w:rsid w:val="004E4E6E"/>
    <w:rsid w:val="004E697D"/>
    <w:rsid w:val="00502A5A"/>
    <w:rsid w:val="00507774"/>
    <w:rsid w:val="00513ACB"/>
    <w:rsid w:val="005506E6"/>
    <w:rsid w:val="00566BA3"/>
    <w:rsid w:val="00570535"/>
    <w:rsid w:val="005A4CFB"/>
    <w:rsid w:val="005A5E75"/>
    <w:rsid w:val="005B0071"/>
    <w:rsid w:val="005B7FFE"/>
    <w:rsid w:val="005D33B7"/>
    <w:rsid w:val="005D3CA5"/>
    <w:rsid w:val="005D5D03"/>
    <w:rsid w:val="005D7A0E"/>
    <w:rsid w:val="005E0FE4"/>
    <w:rsid w:val="0060228F"/>
    <w:rsid w:val="00604561"/>
    <w:rsid w:val="006121F6"/>
    <w:rsid w:val="00612AB6"/>
    <w:rsid w:val="00621EB5"/>
    <w:rsid w:val="00623C72"/>
    <w:rsid w:val="00630754"/>
    <w:rsid w:val="0063513D"/>
    <w:rsid w:val="006471C8"/>
    <w:rsid w:val="006702A1"/>
    <w:rsid w:val="00684A38"/>
    <w:rsid w:val="006A6798"/>
    <w:rsid w:val="006D1DFB"/>
    <w:rsid w:val="006E1E50"/>
    <w:rsid w:val="006E763F"/>
    <w:rsid w:val="00702E56"/>
    <w:rsid w:val="0070610A"/>
    <w:rsid w:val="007139B0"/>
    <w:rsid w:val="00713B66"/>
    <w:rsid w:val="00715068"/>
    <w:rsid w:val="007150F5"/>
    <w:rsid w:val="0071654B"/>
    <w:rsid w:val="00720CB3"/>
    <w:rsid w:val="0073496E"/>
    <w:rsid w:val="0074186A"/>
    <w:rsid w:val="00752F79"/>
    <w:rsid w:val="007619C2"/>
    <w:rsid w:val="00762C54"/>
    <w:rsid w:val="007656CA"/>
    <w:rsid w:val="0079011A"/>
    <w:rsid w:val="00791028"/>
    <w:rsid w:val="007915AE"/>
    <w:rsid w:val="007A47BD"/>
    <w:rsid w:val="007A6CF7"/>
    <w:rsid w:val="007B39A7"/>
    <w:rsid w:val="007C0922"/>
    <w:rsid w:val="007D232C"/>
    <w:rsid w:val="007E13D7"/>
    <w:rsid w:val="007E1410"/>
    <w:rsid w:val="007E3374"/>
    <w:rsid w:val="007F00FB"/>
    <w:rsid w:val="00805827"/>
    <w:rsid w:val="00826F2F"/>
    <w:rsid w:val="0084757F"/>
    <w:rsid w:val="008527EF"/>
    <w:rsid w:val="00853025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C3C2B"/>
    <w:rsid w:val="008D2DF8"/>
    <w:rsid w:val="008D352C"/>
    <w:rsid w:val="008D421A"/>
    <w:rsid w:val="008E0275"/>
    <w:rsid w:val="008F79CE"/>
    <w:rsid w:val="00901F11"/>
    <w:rsid w:val="00910D9A"/>
    <w:rsid w:val="0092558D"/>
    <w:rsid w:val="00934790"/>
    <w:rsid w:val="00945C9E"/>
    <w:rsid w:val="009564D5"/>
    <w:rsid w:val="00957503"/>
    <w:rsid w:val="009753A5"/>
    <w:rsid w:val="00984974"/>
    <w:rsid w:val="00994095"/>
    <w:rsid w:val="009A03D7"/>
    <w:rsid w:val="009A7D05"/>
    <w:rsid w:val="009B0731"/>
    <w:rsid w:val="009B2DC7"/>
    <w:rsid w:val="009C6086"/>
    <w:rsid w:val="009D07B0"/>
    <w:rsid w:val="009E035F"/>
    <w:rsid w:val="009E40EF"/>
    <w:rsid w:val="00A12536"/>
    <w:rsid w:val="00A27C90"/>
    <w:rsid w:val="00A3119F"/>
    <w:rsid w:val="00A33404"/>
    <w:rsid w:val="00A33907"/>
    <w:rsid w:val="00A40F02"/>
    <w:rsid w:val="00A45BEC"/>
    <w:rsid w:val="00A54D97"/>
    <w:rsid w:val="00A64A86"/>
    <w:rsid w:val="00A7628E"/>
    <w:rsid w:val="00A94C4E"/>
    <w:rsid w:val="00AA0975"/>
    <w:rsid w:val="00AA2F1B"/>
    <w:rsid w:val="00AB2B40"/>
    <w:rsid w:val="00AC0D09"/>
    <w:rsid w:val="00AC297F"/>
    <w:rsid w:val="00B00D77"/>
    <w:rsid w:val="00B13185"/>
    <w:rsid w:val="00B13F6D"/>
    <w:rsid w:val="00B21948"/>
    <w:rsid w:val="00B26ADD"/>
    <w:rsid w:val="00B338D8"/>
    <w:rsid w:val="00B42C08"/>
    <w:rsid w:val="00B47821"/>
    <w:rsid w:val="00B62CE2"/>
    <w:rsid w:val="00B720AD"/>
    <w:rsid w:val="00B909E2"/>
    <w:rsid w:val="00BA0C8C"/>
    <w:rsid w:val="00BA517C"/>
    <w:rsid w:val="00BA6058"/>
    <w:rsid w:val="00BB0E8E"/>
    <w:rsid w:val="00BB5577"/>
    <w:rsid w:val="00BD7A35"/>
    <w:rsid w:val="00BE20B1"/>
    <w:rsid w:val="00BF50D6"/>
    <w:rsid w:val="00BF51F5"/>
    <w:rsid w:val="00C1237B"/>
    <w:rsid w:val="00C15D85"/>
    <w:rsid w:val="00C22BC7"/>
    <w:rsid w:val="00C4341B"/>
    <w:rsid w:val="00C43809"/>
    <w:rsid w:val="00C50D0A"/>
    <w:rsid w:val="00C575C2"/>
    <w:rsid w:val="00C613CD"/>
    <w:rsid w:val="00C822A6"/>
    <w:rsid w:val="00C93202"/>
    <w:rsid w:val="00CA4B2A"/>
    <w:rsid w:val="00CB02CD"/>
    <w:rsid w:val="00CB2892"/>
    <w:rsid w:val="00CB738C"/>
    <w:rsid w:val="00CC7297"/>
    <w:rsid w:val="00CD2615"/>
    <w:rsid w:val="00CD4412"/>
    <w:rsid w:val="00CD73B6"/>
    <w:rsid w:val="00CE1DE1"/>
    <w:rsid w:val="00CE764F"/>
    <w:rsid w:val="00D06972"/>
    <w:rsid w:val="00D10B25"/>
    <w:rsid w:val="00D31957"/>
    <w:rsid w:val="00D43DB8"/>
    <w:rsid w:val="00D447DD"/>
    <w:rsid w:val="00D51192"/>
    <w:rsid w:val="00D63901"/>
    <w:rsid w:val="00D759F6"/>
    <w:rsid w:val="00D92826"/>
    <w:rsid w:val="00D97A22"/>
    <w:rsid w:val="00D97ECA"/>
    <w:rsid w:val="00DA370A"/>
    <w:rsid w:val="00DA4FE2"/>
    <w:rsid w:val="00DA6BF5"/>
    <w:rsid w:val="00DB2DC9"/>
    <w:rsid w:val="00DC04BD"/>
    <w:rsid w:val="00DC43CF"/>
    <w:rsid w:val="00DD47AE"/>
    <w:rsid w:val="00DE3581"/>
    <w:rsid w:val="00DE622A"/>
    <w:rsid w:val="00DE6546"/>
    <w:rsid w:val="00DF4751"/>
    <w:rsid w:val="00DF7DD8"/>
    <w:rsid w:val="00E07E7D"/>
    <w:rsid w:val="00E41603"/>
    <w:rsid w:val="00E418B9"/>
    <w:rsid w:val="00E43719"/>
    <w:rsid w:val="00E43772"/>
    <w:rsid w:val="00E45E98"/>
    <w:rsid w:val="00E57658"/>
    <w:rsid w:val="00E70220"/>
    <w:rsid w:val="00E702B7"/>
    <w:rsid w:val="00E75145"/>
    <w:rsid w:val="00E76FE3"/>
    <w:rsid w:val="00EA1F65"/>
    <w:rsid w:val="00EA2945"/>
    <w:rsid w:val="00EA6C58"/>
    <w:rsid w:val="00EB4540"/>
    <w:rsid w:val="00EC7E49"/>
    <w:rsid w:val="00ED5642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86D9D"/>
    <w:rsid w:val="00FA36E6"/>
    <w:rsid w:val="00FB3532"/>
    <w:rsid w:val="00FC0432"/>
    <w:rsid w:val="00FC670D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116</Pages>
  <Words>20592</Words>
  <Characters>123553</Characters>
  <Application>Microsoft Office Word</Application>
  <DocSecurity>0</DocSecurity>
  <Lines>1029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202</cp:revision>
  <cp:lastPrinted>2021-01-19T11:32:00Z</cp:lastPrinted>
  <dcterms:created xsi:type="dcterms:W3CDTF">2021-01-25T17:58:00Z</dcterms:created>
  <dcterms:modified xsi:type="dcterms:W3CDTF">2021-02-05T09:46:00Z</dcterms:modified>
</cp:coreProperties>
</file>