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65EB" w14:textId="77777777" w:rsidR="00126F7B" w:rsidRPr="00522F3E" w:rsidRDefault="00126F7B" w:rsidP="00545EA4">
      <w:pPr>
        <w:pStyle w:val="Nagwek6"/>
        <w:rPr>
          <w:sz w:val="28"/>
          <w:szCs w:val="22"/>
        </w:rPr>
      </w:pPr>
      <w:r w:rsidRPr="00522F3E">
        <w:rPr>
          <w:sz w:val="28"/>
          <w:szCs w:val="22"/>
        </w:rPr>
        <w:t>DZIAŁ 852 – POMOC SPOŁECZNA</w:t>
      </w:r>
    </w:p>
    <w:p w14:paraId="7E549CBE" w14:textId="77777777" w:rsidR="00126F7B" w:rsidRDefault="00126F7B" w:rsidP="00126F7B">
      <w:pPr>
        <w:pStyle w:val="Tekstpodstawowy"/>
        <w:rPr>
          <w:color w:val="auto"/>
          <w:szCs w:val="24"/>
        </w:rPr>
      </w:pPr>
    </w:p>
    <w:p w14:paraId="461CFD47" w14:textId="7E667909" w:rsidR="00545EA4" w:rsidRPr="00D76114" w:rsidRDefault="00545EA4" w:rsidP="00545EA4">
      <w:pPr>
        <w:spacing w:line="360" w:lineRule="auto"/>
        <w:jc w:val="both"/>
      </w:pPr>
      <w:r w:rsidRPr="00D76114">
        <w:t>Dochody</w:t>
      </w:r>
      <w:r w:rsidR="00AA2AA7">
        <w:t xml:space="preserve"> zaplanowane</w:t>
      </w:r>
      <w:r w:rsidRPr="00D76114">
        <w:t xml:space="preserve"> w</w:t>
      </w:r>
      <w:r w:rsidR="00AA2AA7">
        <w:t xml:space="preserve"> tym</w:t>
      </w:r>
      <w:r w:rsidRPr="00D76114">
        <w:t xml:space="preserve"> dziale za 2024</w:t>
      </w:r>
      <w:r w:rsidR="000A2032">
        <w:t xml:space="preserve"> </w:t>
      </w:r>
      <w:r w:rsidRPr="00D76114">
        <w:t>r.</w:t>
      </w:r>
      <w:r w:rsidR="00CF2E05">
        <w:t xml:space="preserve"> w wysokości 2.157</w:t>
      </w:r>
      <w:r w:rsidRPr="00D76114">
        <w:t xml:space="preserve"> zrealizowano w kwocie </w:t>
      </w:r>
      <w:r w:rsidR="00CF2E05">
        <w:t>2.891</w:t>
      </w:r>
      <w:r w:rsidRPr="00D76114">
        <w:t xml:space="preserve"> tys. zł, co stanowi </w:t>
      </w:r>
      <w:r>
        <w:t>1</w:t>
      </w:r>
      <w:r w:rsidR="00CF2E05">
        <w:t>34</w:t>
      </w:r>
      <w:r w:rsidRPr="00D76114">
        <w:t>% plan</w:t>
      </w:r>
      <w:r w:rsidR="00CF2E05">
        <w:t>u</w:t>
      </w:r>
      <w:r w:rsidRPr="00D76114">
        <w:t>.</w:t>
      </w:r>
    </w:p>
    <w:p w14:paraId="097AC67A" w14:textId="77777777" w:rsidR="00545EA4" w:rsidRDefault="00545EA4" w:rsidP="00A60F98">
      <w:pPr>
        <w:pStyle w:val="Tekstpodstawowy"/>
        <w:rPr>
          <w:color w:val="auto"/>
          <w:szCs w:val="24"/>
        </w:rPr>
      </w:pPr>
    </w:p>
    <w:p w14:paraId="6EA3E8EA" w14:textId="77777777" w:rsidR="00E63FE7" w:rsidRDefault="00E63FE7" w:rsidP="00A60F98">
      <w:pPr>
        <w:pStyle w:val="Tekstpodstawowy"/>
        <w:rPr>
          <w:color w:val="auto"/>
        </w:rPr>
      </w:pPr>
      <w:r>
        <w:rPr>
          <w:color w:val="auto"/>
        </w:rPr>
        <w:t>Na wykonanie dochodów złożyły się wpływy osiągnięte przez:</w:t>
      </w:r>
    </w:p>
    <w:p w14:paraId="1F15B17F" w14:textId="7A84F28F" w:rsidR="00E63FE7" w:rsidRPr="00E63FE7" w:rsidRDefault="00E63FE7" w:rsidP="00E63FE7">
      <w:pPr>
        <w:pStyle w:val="Tekstpodstawowy"/>
        <w:numPr>
          <w:ilvl w:val="0"/>
          <w:numId w:val="4"/>
        </w:numPr>
        <w:rPr>
          <w:color w:val="auto"/>
        </w:rPr>
      </w:pPr>
      <w:r>
        <w:rPr>
          <w:color w:val="auto"/>
        </w:rPr>
        <w:t>Pomorski Urząd Wojewódzki – Planowane w wysokości 35 tys. zł dochody zrealizowano w kwocie 11 tys. zł, co stanowi 31,4% planu. Pochodziły one z tytułu:</w:t>
      </w:r>
    </w:p>
    <w:p w14:paraId="1875CDE0" w14:textId="4C34E1B0" w:rsidR="00A60F98" w:rsidRPr="00821003" w:rsidRDefault="00821003" w:rsidP="00E63FE7">
      <w:pPr>
        <w:pStyle w:val="Tekstpodstawowy"/>
        <w:numPr>
          <w:ilvl w:val="1"/>
          <w:numId w:val="4"/>
        </w:numPr>
        <w:rPr>
          <w:color w:val="auto"/>
        </w:rPr>
      </w:pPr>
      <w:bookmarkStart w:id="0" w:name="_Hlk194410885"/>
      <w:r w:rsidRPr="00821003">
        <w:rPr>
          <w:color w:val="auto"/>
        </w:rPr>
        <w:t>kar administracyjnych nałożonych D</w:t>
      </w:r>
      <w:r w:rsidR="00E7131D">
        <w:rPr>
          <w:color w:val="auto"/>
        </w:rPr>
        <w:t>e</w:t>
      </w:r>
      <w:r w:rsidRPr="00821003">
        <w:rPr>
          <w:color w:val="auto"/>
        </w:rPr>
        <w:t>cyzją Wojewody Pomorskiego na osoby</w:t>
      </w:r>
      <w:r>
        <w:rPr>
          <w:color w:val="auto"/>
        </w:rPr>
        <w:t xml:space="preserve"> </w:t>
      </w:r>
      <w:r w:rsidRPr="00821003">
        <w:rPr>
          <w:color w:val="auto"/>
        </w:rPr>
        <w:t xml:space="preserve">fizyczne, na podstawie art.130 ust.2 w związku z art.131 ust.1 ustawy </w:t>
      </w:r>
      <w:r w:rsidR="002C4E26">
        <w:rPr>
          <w:color w:val="auto"/>
        </w:rPr>
        <w:br/>
      </w:r>
      <w:r w:rsidRPr="00821003">
        <w:rPr>
          <w:color w:val="auto"/>
        </w:rPr>
        <w:t>z dnia 12 marca 2004</w:t>
      </w:r>
      <w:r>
        <w:rPr>
          <w:color w:val="auto"/>
        </w:rPr>
        <w:t xml:space="preserve"> </w:t>
      </w:r>
      <w:r w:rsidRPr="00821003">
        <w:rPr>
          <w:color w:val="auto"/>
        </w:rPr>
        <w:t>r</w:t>
      </w:r>
      <w:r>
        <w:rPr>
          <w:color w:val="auto"/>
        </w:rPr>
        <w:t>.</w:t>
      </w:r>
      <w:r w:rsidR="00E63FE7">
        <w:rPr>
          <w:color w:val="auto"/>
        </w:rPr>
        <w:tab/>
      </w:r>
      <w:r w:rsidRPr="00821003">
        <w:rPr>
          <w:color w:val="auto"/>
        </w:rPr>
        <w:t>o pomocy społecznej, za prowadzenie, bez wymaganego zezwolenia placówki zapewniającej całodobową opiekę osobom niepełnosprawnym</w:t>
      </w:r>
      <w:r w:rsidR="00E63FE7">
        <w:rPr>
          <w:color w:val="auto"/>
        </w:rPr>
        <w:t xml:space="preserve"> </w:t>
      </w:r>
      <w:r w:rsidRPr="00821003">
        <w:rPr>
          <w:color w:val="auto"/>
        </w:rPr>
        <w:t xml:space="preserve">(…) </w:t>
      </w:r>
      <w:r w:rsidR="00A60F98" w:rsidRPr="00821003">
        <w:rPr>
          <w:color w:val="auto"/>
        </w:rPr>
        <w:t>- 6 tys. zł</w:t>
      </w:r>
      <w:r w:rsidR="001A7E62" w:rsidRPr="00821003">
        <w:rPr>
          <w:color w:val="auto"/>
        </w:rPr>
        <w:t>, co stanowi 18,8% planu wynosząc</w:t>
      </w:r>
      <w:r>
        <w:rPr>
          <w:color w:val="auto"/>
        </w:rPr>
        <w:t>e</w:t>
      </w:r>
      <w:r w:rsidR="001A7E62" w:rsidRPr="00821003">
        <w:rPr>
          <w:color w:val="auto"/>
        </w:rPr>
        <w:t>go 32 tys. zł</w:t>
      </w:r>
      <w:r w:rsidRPr="00821003">
        <w:rPr>
          <w:color w:val="auto"/>
        </w:rPr>
        <w:t>. Niższe od planowanego wykonanie dochodów wynika z nieskuteczności prowadzonych egzekucji</w:t>
      </w:r>
      <w:r w:rsidR="001A7E62" w:rsidRPr="00821003">
        <w:rPr>
          <w:color w:val="auto"/>
        </w:rPr>
        <w:t xml:space="preserve">; </w:t>
      </w:r>
    </w:p>
    <w:p w14:paraId="37014EA0" w14:textId="5C0A4FA1" w:rsidR="001A7E62" w:rsidRPr="00821003" w:rsidRDefault="001A7E62" w:rsidP="00E63FE7">
      <w:pPr>
        <w:pStyle w:val="Tekstpodstawowy"/>
        <w:numPr>
          <w:ilvl w:val="1"/>
          <w:numId w:val="4"/>
        </w:numPr>
        <w:rPr>
          <w:color w:val="auto"/>
        </w:rPr>
      </w:pPr>
      <w:r w:rsidRPr="00821003">
        <w:rPr>
          <w:color w:val="auto"/>
        </w:rPr>
        <w:t>pozostałych odsetek</w:t>
      </w:r>
      <w:r w:rsidR="00821003" w:rsidRPr="00821003">
        <w:rPr>
          <w:color w:val="auto"/>
        </w:rPr>
        <w:t>, w tym odsetek od wyegzekwowanej przez komornika sądowego zaległości</w:t>
      </w:r>
      <w:r w:rsidRPr="00821003">
        <w:rPr>
          <w:color w:val="auto"/>
        </w:rPr>
        <w:t xml:space="preserve"> – 5 tys. zł, co stanowi 166,7 % planu wynoszącego 3 tys. zł.</w:t>
      </w:r>
      <w:r w:rsidR="00821003" w:rsidRPr="00821003">
        <w:rPr>
          <w:color w:val="auto"/>
        </w:rPr>
        <w:t xml:space="preserve"> Wyższe od planowanego wykonanie dochodów wynika ze zwiększonej skuteczności działań egzekucyjnych;</w:t>
      </w:r>
    </w:p>
    <w:p w14:paraId="4D0D3D80" w14:textId="56E66917" w:rsidR="00E63FE7" w:rsidRDefault="00E63FE7" w:rsidP="00545EA4">
      <w:pPr>
        <w:pStyle w:val="Tekstpodstawowy"/>
        <w:numPr>
          <w:ilvl w:val="0"/>
          <w:numId w:val="4"/>
        </w:numPr>
        <w:rPr>
          <w:color w:val="auto"/>
        </w:rPr>
      </w:pPr>
      <w:r>
        <w:rPr>
          <w:color w:val="auto"/>
        </w:rPr>
        <w:t>jednostki samorządu terytorialnego – planowane w wysokości 2.122 tys. zł dochody zrealizowane w kwocie 2.880 tys. zł, co stanowi 135,7 % planu. Pochodziły one z tytułu:</w:t>
      </w:r>
    </w:p>
    <w:p w14:paraId="2C6286E9" w14:textId="3D10EAD2" w:rsidR="001A7E62" w:rsidRPr="002D78C3" w:rsidRDefault="001A7E62" w:rsidP="00E63FE7">
      <w:pPr>
        <w:pStyle w:val="Tekstpodstawowy"/>
        <w:numPr>
          <w:ilvl w:val="1"/>
          <w:numId w:val="4"/>
        </w:numPr>
        <w:rPr>
          <w:color w:val="auto"/>
        </w:rPr>
      </w:pPr>
      <w:r w:rsidRPr="002D78C3">
        <w:rPr>
          <w:color w:val="auto"/>
        </w:rPr>
        <w:t xml:space="preserve">odpłatności za usługi całodobowe świadczone w ośrodkach wsparcia osobom </w:t>
      </w:r>
      <w:r w:rsidR="00545EA4" w:rsidRPr="002D78C3">
        <w:rPr>
          <w:color w:val="auto"/>
        </w:rPr>
        <w:br/>
      </w:r>
      <w:r w:rsidRPr="002D78C3">
        <w:rPr>
          <w:color w:val="auto"/>
        </w:rPr>
        <w:t xml:space="preserve">z zaburzeniami psychicznymi – 6 tys. zł, co stanowi 85,7% planu wynoszącego </w:t>
      </w:r>
      <w:r w:rsidR="002D78C3" w:rsidRPr="002D78C3">
        <w:rPr>
          <w:color w:val="auto"/>
        </w:rPr>
        <w:br/>
      </w:r>
      <w:r w:rsidRPr="002D78C3">
        <w:rPr>
          <w:color w:val="auto"/>
        </w:rPr>
        <w:t>7 tys. zł</w:t>
      </w:r>
      <w:r w:rsidR="002D78C3" w:rsidRPr="002D78C3">
        <w:rPr>
          <w:color w:val="auto"/>
        </w:rPr>
        <w:t>;</w:t>
      </w:r>
    </w:p>
    <w:bookmarkEnd w:id="0"/>
    <w:p w14:paraId="376AB157" w14:textId="2BD23921" w:rsidR="001A7E62" w:rsidRPr="002D78C3" w:rsidRDefault="001A7E62" w:rsidP="00E63FE7">
      <w:pPr>
        <w:pStyle w:val="Tekstpodstawowy"/>
        <w:numPr>
          <w:ilvl w:val="1"/>
          <w:numId w:val="4"/>
        </w:numPr>
        <w:rPr>
          <w:color w:val="auto"/>
        </w:rPr>
      </w:pPr>
      <w:r w:rsidRPr="002D78C3">
        <w:rPr>
          <w:color w:val="auto"/>
        </w:rPr>
        <w:t>odpłatności za świadczone usługi opiekuńcze i specjalistyczne usługi opiekuńcze dla osób z zaburzeniami psychicznymi – 2.874 tys. zł, co stanowi 135,9% planu wynoszącego 2.115 tys. zł. Wyższe od planowanego wykonanie dochodów wynika ze zwiększenia się liczby osób objętych usługami opiekuńczymi.</w:t>
      </w:r>
    </w:p>
    <w:p w14:paraId="737D7BBC" w14:textId="77777777" w:rsidR="00FD1F70" w:rsidRDefault="00FD1F70" w:rsidP="00FD1F70">
      <w:pPr>
        <w:pStyle w:val="Tekstpodstawowy"/>
        <w:rPr>
          <w:color w:val="auto"/>
          <w:highlight w:val="yellow"/>
        </w:rPr>
      </w:pPr>
    </w:p>
    <w:p w14:paraId="2A819FCD" w14:textId="0AFD0E28" w:rsidR="00FD1F70" w:rsidRPr="00751E6F" w:rsidRDefault="00FD1F70" w:rsidP="00FD1F70">
      <w:pPr>
        <w:pStyle w:val="Tekstpodstawowy"/>
        <w:rPr>
          <w:color w:val="auto"/>
        </w:rPr>
      </w:pPr>
      <w:r w:rsidRPr="00751E6F">
        <w:rPr>
          <w:color w:val="auto"/>
        </w:rPr>
        <w:t>Dochody nieplanowane w wysokości 887 tys. zł. pochodziły głównie ze zwrotów dokonanych przez jednostki samorządu terytorialnego z tytułu niewykorzystanych dotacji bądź pobranych w  nadmiernej wysokości wraz z odsetkami na:</w:t>
      </w:r>
    </w:p>
    <w:p w14:paraId="2CDB94FF" w14:textId="6A7468F6" w:rsidR="00FD1F70" w:rsidRPr="00751E6F" w:rsidRDefault="00FD1F70" w:rsidP="00FD1F70">
      <w:pPr>
        <w:pStyle w:val="Tekstpodstawowy"/>
        <w:numPr>
          <w:ilvl w:val="0"/>
          <w:numId w:val="4"/>
        </w:numPr>
        <w:rPr>
          <w:color w:val="auto"/>
          <w:szCs w:val="24"/>
        </w:rPr>
      </w:pPr>
      <w:r w:rsidRPr="00751E6F">
        <w:rPr>
          <w:color w:val="auto"/>
          <w:szCs w:val="24"/>
        </w:rPr>
        <w:lastRenderedPageBreak/>
        <w:t>wypłatę zasiłków z pomocy społecznej – 775 tys. zł. (znaczna część wpływów dotyczy</w:t>
      </w:r>
      <w:r w:rsidR="000A2032">
        <w:rPr>
          <w:color w:val="auto"/>
          <w:szCs w:val="24"/>
        </w:rPr>
        <w:t>:</w:t>
      </w:r>
      <w:r w:rsidRPr="00751E6F">
        <w:rPr>
          <w:color w:val="auto"/>
          <w:szCs w:val="24"/>
        </w:rPr>
        <w:t xml:space="preserve"> zwrotów nienależnie pobranych świadczeń w związku z przyznaniem świadczeń emerytalnych i rentowych, </w:t>
      </w:r>
      <w:r w:rsidRPr="00751E6F">
        <w:rPr>
          <w:color w:val="auto"/>
        </w:rPr>
        <w:t>niepobraniem przez osoby uprawnione zasiłków,</w:t>
      </w:r>
      <w:r w:rsidRPr="00751E6F">
        <w:rPr>
          <w:color w:val="auto"/>
          <w:szCs w:val="24"/>
        </w:rPr>
        <w:t xml:space="preserve"> </w:t>
      </w:r>
      <w:r w:rsidRPr="00751E6F">
        <w:rPr>
          <w:color w:val="auto"/>
        </w:rPr>
        <w:t>uchyleniem decyzji przyznających prawo do zasiłku w wyniku podjęcia zatrudnienia powodującego zmianę sytuację materialnej klientów, uzyskania dochodów ze zbycia składników majątku osobistego, braku współpracy z pracownikiem socjalnym</w:t>
      </w:r>
      <w:r w:rsidRPr="00751E6F">
        <w:rPr>
          <w:color w:val="auto"/>
          <w:szCs w:val="24"/>
        </w:rPr>
        <w:t>);</w:t>
      </w:r>
    </w:p>
    <w:p w14:paraId="1B867AB5" w14:textId="6D0E5FB0" w:rsidR="00FD1F70" w:rsidRPr="00751E6F" w:rsidRDefault="00FD1F70" w:rsidP="00FD1F70">
      <w:pPr>
        <w:pStyle w:val="Tekstpodstawowy"/>
        <w:numPr>
          <w:ilvl w:val="0"/>
          <w:numId w:val="4"/>
        </w:numPr>
        <w:rPr>
          <w:color w:val="auto"/>
        </w:rPr>
      </w:pPr>
      <w:r w:rsidRPr="00751E6F">
        <w:rPr>
          <w:color w:val="auto"/>
          <w:szCs w:val="24"/>
        </w:rPr>
        <w:t>działalność ośrodków wsparcia – 61 tys. zł;</w:t>
      </w:r>
    </w:p>
    <w:p w14:paraId="6E002E57" w14:textId="1633EA74" w:rsidR="00FD1F70" w:rsidRPr="00751E6F" w:rsidRDefault="00FD1F70" w:rsidP="00FD1F70">
      <w:pPr>
        <w:pStyle w:val="Tekstpodstawowy"/>
        <w:numPr>
          <w:ilvl w:val="0"/>
          <w:numId w:val="4"/>
        </w:numPr>
        <w:rPr>
          <w:color w:val="auto"/>
        </w:rPr>
      </w:pPr>
      <w:r w:rsidRPr="00751E6F">
        <w:rPr>
          <w:color w:val="auto"/>
          <w:szCs w:val="24"/>
        </w:rPr>
        <w:t>pozostałe zadania z zakresu pomocy społecznej – 51 tys. zł</w:t>
      </w:r>
      <w:r w:rsidR="00F073E3" w:rsidRPr="00751E6F">
        <w:rPr>
          <w:color w:val="auto"/>
          <w:szCs w:val="24"/>
        </w:rPr>
        <w:t>.</w:t>
      </w:r>
    </w:p>
    <w:p w14:paraId="6C1023B1" w14:textId="13222270" w:rsidR="001A7E62" w:rsidRPr="001A7E62" w:rsidRDefault="001A7E62" w:rsidP="001A7E62">
      <w:pPr>
        <w:pStyle w:val="Tekstpodstawowy"/>
        <w:ind w:left="720"/>
        <w:rPr>
          <w:color w:val="auto"/>
        </w:rPr>
      </w:pPr>
    </w:p>
    <w:p w14:paraId="11D97703" w14:textId="5EF6ADD4" w:rsidR="00566838" w:rsidRDefault="00545EA4" w:rsidP="00035528">
      <w:pPr>
        <w:spacing w:after="160" w:line="360" w:lineRule="auto"/>
        <w:jc w:val="both"/>
      </w:pPr>
      <w:bookmarkStart w:id="1" w:name="_Hlk194410909"/>
      <w:r w:rsidRPr="00035528">
        <w:t xml:space="preserve">Należności na koniec 2024 r. wynoszą 3.433 tys. zł i w stosunku do roku 2023 wzrosły </w:t>
      </w:r>
      <w:r w:rsidRPr="00035528">
        <w:br/>
        <w:t>o 2.797 tys. zł</w:t>
      </w:r>
      <w:bookmarkEnd w:id="1"/>
      <w:r w:rsidR="00035528" w:rsidRPr="00035528">
        <w:t>. Wzrost należności wynika przede wszystkim ze zwiększenia się przypisu zaległości odpłatności za świadczone usługi opiekuńcze i specjalistyczne usługi opiekuńcze dla osób z zaburzeniami psychicznymi.</w:t>
      </w:r>
      <w:r w:rsidR="00035528">
        <w:t xml:space="preserve"> </w:t>
      </w:r>
    </w:p>
    <w:sectPr w:rsidR="00566838" w:rsidSect="00126F7B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8D0CB" w14:textId="77777777" w:rsidR="00AC6E92" w:rsidRDefault="00AC6E92">
      <w:r>
        <w:separator/>
      </w:r>
    </w:p>
  </w:endnote>
  <w:endnote w:type="continuationSeparator" w:id="0">
    <w:p w14:paraId="080BEE59" w14:textId="77777777" w:rsidR="00AC6E92" w:rsidRDefault="00AC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CED82" w14:textId="77777777" w:rsidR="00AC6E92" w:rsidRDefault="00AC6E92">
      <w:r>
        <w:separator/>
      </w:r>
    </w:p>
  </w:footnote>
  <w:footnote w:type="continuationSeparator" w:id="0">
    <w:p w14:paraId="5996E3E2" w14:textId="77777777" w:rsidR="00AC6E92" w:rsidRDefault="00AC6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4162" w14:textId="77777777" w:rsidR="00C55CE8" w:rsidRDefault="00C55CE8">
    <w:pPr>
      <w:pStyle w:val="Nagwek"/>
      <w:rPr>
        <w:sz w:val="20"/>
        <w:szCs w:val="20"/>
      </w:rPr>
    </w:pPr>
  </w:p>
  <w:p w14:paraId="49A057E5" w14:textId="77777777" w:rsidR="00C55CE8" w:rsidRPr="006B5589" w:rsidRDefault="00000000">
    <w:pPr>
      <w:pStyle w:val="Nagwek"/>
      <w:rPr>
        <w:sz w:val="20"/>
        <w:szCs w:val="20"/>
      </w:rPr>
    </w:pPr>
    <w:r w:rsidRPr="006B5589">
      <w:rPr>
        <w:sz w:val="20"/>
        <w:szCs w:val="20"/>
      </w:rPr>
      <w:t>cz. 85/22 – województwo pomorskie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21E3"/>
    <w:multiLevelType w:val="hybridMultilevel"/>
    <w:tmpl w:val="3E7A5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6E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A6914"/>
    <w:multiLevelType w:val="hybridMultilevel"/>
    <w:tmpl w:val="09C64CAC"/>
    <w:lvl w:ilvl="0" w:tplc="CE80B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A4B54"/>
    <w:multiLevelType w:val="hybridMultilevel"/>
    <w:tmpl w:val="37DA1F50"/>
    <w:lvl w:ilvl="0" w:tplc="DFF69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665C1"/>
    <w:multiLevelType w:val="hybridMultilevel"/>
    <w:tmpl w:val="D97E4FAA"/>
    <w:lvl w:ilvl="0" w:tplc="DFF69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291512">
    <w:abstractNumId w:val="1"/>
  </w:num>
  <w:num w:numId="2" w16cid:durableId="11959008">
    <w:abstractNumId w:val="3"/>
  </w:num>
  <w:num w:numId="3" w16cid:durableId="746616335">
    <w:abstractNumId w:val="2"/>
  </w:num>
  <w:num w:numId="4" w16cid:durableId="17793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7B"/>
    <w:rsid w:val="00035528"/>
    <w:rsid w:val="000A2032"/>
    <w:rsid w:val="00126F7B"/>
    <w:rsid w:val="001A7E62"/>
    <w:rsid w:val="001E68DB"/>
    <w:rsid w:val="00227415"/>
    <w:rsid w:val="002C4E26"/>
    <w:rsid w:val="002D4147"/>
    <w:rsid w:val="002D78C3"/>
    <w:rsid w:val="002F017A"/>
    <w:rsid w:val="00391606"/>
    <w:rsid w:val="003A509E"/>
    <w:rsid w:val="003F55F4"/>
    <w:rsid w:val="00466ED4"/>
    <w:rsid w:val="00522F3E"/>
    <w:rsid w:val="00545EA4"/>
    <w:rsid w:val="0055685C"/>
    <w:rsid w:val="00566838"/>
    <w:rsid w:val="005A0E50"/>
    <w:rsid w:val="006151DA"/>
    <w:rsid w:val="00650C6E"/>
    <w:rsid w:val="00652943"/>
    <w:rsid w:val="00701B4C"/>
    <w:rsid w:val="00751E6F"/>
    <w:rsid w:val="007D6C9F"/>
    <w:rsid w:val="00821003"/>
    <w:rsid w:val="0084403A"/>
    <w:rsid w:val="008D5778"/>
    <w:rsid w:val="0091104A"/>
    <w:rsid w:val="009E619A"/>
    <w:rsid w:val="009F084C"/>
    <w:rsid w:val="00A515FF"/>
    <w:rsid w:val="00A60F98"/>
    <w:rsid w:val="00AA2AA7"/>
    <w:rsid w:val="00AC6E92"/>
    <w:rsid w:val="00B216D0"/>
    <w:rsid w:val="00B2300B"/>
    <w:rsid w:val="00B27CFC"/>
    <w:rsid w:val="00B9796B"/>
    <w:rsid w:val="00C55CE8"/>
    <w:rsid w:val="00CB106E"/>
    <w:rsid w:val="00CF2E05"/>
    <w:rsid w:val="00DC3756"/>
    <w:rsid w:val="00E63FE7"/>
    <w:rsid w:val="00E7131D"/>
    <w:rsid w:val="00EA3B6E"/>
    <w:rsid w:val="00EA74DE"/>
    <w:rsid w:val="00F05FDB"/>
    <w:rsid w:val="00F073E3"/>
    <w:rsid w:val="00F438AA"/>
    <w:rsid w:val="00F43C8C"/>
    <w:rsid w:val="00F7641E"/>
    <w:rsid w:val="00FD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6348"/>
  <w15:chartTrackingRefBased/>
  <w15:docId w15:val="{2B2AC9C9-E16D-4119-91EA-59527412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F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6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6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6F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6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6F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2F017A"/>
    <w:pPr>
      <w:keepNext/>
      <w:keepLines/>
      <w:spacing w:before="40"/>
      <w:outlineLvl w:val="5"/>
    </w:pPr>
    <w:rPr>
      <w:rFonts w:eastAsiaTheme="majorEastAsia" w:cstheme="majorBidi"/>
      <w:b/>
      <w:iCs/>
      <w:sz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6F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6F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6F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6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6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6F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6F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6F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2F017A"/>
    <w:rPr>
      <w:rFonts w:ascii="Times New Roman" w:eastAsiaTheme="majorEastAsia" w:hAnsi="Times New Roman" w:cstheme="majorBidi"/>
      <w:b/>
      <w:iCs/>
      <w:kern w:val="0"/>
      <w:sz w:val="32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6F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6F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6F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6F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6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6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6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6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6F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6F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6F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6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6F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6F7B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126F7B"/>
    <w:pPr>
      <w:spacing w:line="360" w:lineRule="auto"/>
      <w:jc w:val="both"/>
    </w:pPr>
    <w:rPr>
      <w:color w:val="FF0000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126F7B"/>
    <w:rPr>
      <w:rFonts w:ascii="Times New Roman" w:eastAsia="Times New Roman" w:hAnsi="Times New Roman" w:cs="Times New Roman"/>
      <w:color w:val="FF0000"/>
      <w:kern w:val="0"/>
      <w:sz w:val="24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6F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6F7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rsid w:val="00126F7B"/>
    <w:pPr>
      <w:suppressAutoHyphens/>
      <w:spacing w:line="360" w:lineRule="auto"/>
      <w:jc w:val="both"/>
    </w:pPr>
    <w:rPr>
      <w:rFonts w:cs="Calibri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Peciak</dc:creator>
  <cp:keywords/>
  <dc:description/>
  <cp:lastModifiedBy>Konrad Peciak</cp:lastModifiedBy>
  <cp:revision>16</cp:revision>
  <dcterms:created xsi:type="dcterms:W3CDTF">2025-03-25T08:11:00Z</dcterms:created>
  <dcterms:modified xsi:type="dcterms:W3CDTF">2025-04-17T07:58:00Z</dcterms:modified>
</cp:coreProperties>
</file>