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B2" w:rsidRPr="009276B2" w:rsidRDefault="00D15026" w:rsidP="009276B2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  <w:r>
        <w:rPr>
          <w:rFonts w:ascii="Lato" w:hAnsi="Lato"/>
          <w:sz w:val="20"/>
        </w:rPr>
        <w:t>Przemysław Czarnek</w:t>
      </w:r>
    </w:p>
    <w:p w:rsidR="009276B2" w:rsidRPr="009276B2" w:rsidRDefault="00D15026" w:rsidP="009276B2">
      <w:pPr>
        <w:spacing w:after="0" w:line="240" w:lineRule="auto"/>
        <w:rPr>
          <w:rFonts w:ascii="Lato" w:hAnsi="Lato"/>
          <w:sz w:val="20"/>
        </w:rPr>
      </w:pPr>
    </w:p>
    <w:p w:rsidR="009276B2" w:rsidRDefault="00D15026" w:rsidP="009276B2">
      <w:pPr>
        <w:spacing w:after="0" w:line="240" w:lineRule="auto"/>
        <w:rPr>
          <w:rFonts w:ascii="Lato" w:hAnsi="Lato"/>
          <w:sz w:val="20"/>
        </w:rPr>
      </w:pPr>
    </w:p>
    <w:p w:rsidR="009276B2" w:rsidRPr="009276B2" w:rsidRDefault="00D15026" w:rsidP="009276B2">
      <w:pPr>
        <w:spacing w:after="0" w:line="240" w:lineRule="auto"/>
        <w:rPr>
          <w:rFonts w:ascii="Lato" w:hAnsi="Lato"/>
          <w:sz w:val="20"/>
        </w:rPr>
      </w:pPr>
    </w:p>
    <w:p w:rsidR="00E151F2" w:rsidRPr="00D20976" w:rsidRDefault="00D15026" w:rsidP="00E151F2">
      <w:pPr>
        <w:pStyle w:val="menfont"/>
        <w:rPr>
          <w:rFonts w:ascii="Lato" w:hAnsi="Lato"/>
          <w:sz w:val="20"/>
          <w:szCs w:val="20"/>
        </w:rPr>
      </w:pPr>
      <w:bookmarkStart w:id="1" w:name="ezdSprawaZnak"/>
      <w:r w:rsidRPr="00D20976">
        <w:rPr>
          <w:rFonts w:ascii="Lato" w:hAnsi="Lato"/>
          <w:sz w:val="20"/>
          <w:szCs w:val="20"/>
        </w:rPr>
        <w:t>DKOPP-WNP.4092.63.2023</w:t>
      </w:r>
      <w:bookmarkEnd w:id="1"/>
      <w:r w:rsidRPr="00D20976">
        <w:rPr>
          <w:rFonts w:ascii="Lato" w:hAnsi="Lato"/>
          <w:sz w:val="20"/>
          <w:szCs w:val="20"/>
        </w:rPr>
        <w:t>.</w:t>
      </w:r>
      <w:bookmarkStart w:id="2" w:name="ezdAutorInicjaly"/>
      <w:r w:rsidRPr="00D20976">
        <w:rPr>
          <w:rFonts w:ascii="Lato" w:hAnsi="Lato"/>
          <w:sz w:val="20"/>
          <w:szCs w:val="20"/>
        </w:rPr>
        <w:t>DB</w:t>
      </w:r>
      <w:bookmarkEnd w:id="2"/>
    </w:p>
    <w:p w:rsidR="00E151F2" w:rsidRPr="00D20976" w:rsidRDefault="00D15026" w:rsidP="00E151F2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3" w:name="ezdDataPodpisu"/>
      <w:r w:rsidRPr="00D20976">
        <w:rPr>
          <w:rFonts w:ascii="Lato" w:hAnsi="Lato"/>
          <w:sz w:val="20"/>
          <w:szCs w:val="20"/>
        </w:rPr>
        <w:t>16 czerwca 2023</w:t>
      </w:r>
      <w:bookmarkEnd w:id="3"/>
      <w:r w:rsidRPr="00D20976">
        <w:rPr>
          <w:rFonts w:ascii="Lato" w:hAnsi="Lato"/>
          <w:sz w:val="20"/>
          <w:szCs w:val="20"/>
        </w:rPr>
        <w:t xml:space="preserve"> r.</w:t>
      </w:r>
    </w:p>
    <w:p w:rsidR="00E151F2" w:rsidRPr="009276B2" w:rsidRDefault="00D15026" w:rsidP="00B67A08">
      <w:pPr>
        <w:spacing w:after="0" w:line="240" w:lineRule="auto"/>
        <w:rPr>
          <w:rFonts w:ascii="Lato" w:hAnsi="Lato"/>
          <w:sz w:val="20"/>
        </w:rPr>
      </w:pPr>
    </w:p>
    <w:p w:rsidR="00E151F2" w:rsidRPr="009276B2" w:rsidRDefault="00D15026" w:rsidP="00B67A08">
      <w:pPr>
        <w:spacing w:after="0" w:line="240" w:lineRule="auto"/>
        <w:rPr>
          <w:rFonts w:ascii="Lato" w:hAnsi="Lato"/>
          <w:sz w:val="20"/>
        </w:rPr>
      </w:pPr>
    </w:p>
    <w:p w:rsidR="00B27DCA" w:rsidRPr="003C1E26" w:rsidRDefault="00D15026" w:rsidP="00B67A08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  <w:r w:rsidRPr="003C1E26">
        <w:rPr>
          <w:rFonts w:ascii="Lato" w:hAnsi="Lato"/>
          <w:color w:val="000000" w:themeColor="text1"/>
          <w:sz w:val="20"/>
          <w:szCs w:val="20"/>
        </w:rPr>
        <w:t xml:space="preserve">Na podstawie art. 60 ust. 3 pkt 1 ustawy z dnia 14 grudnia 2016 r. – Prawo oświatowe (Dz.U. z 2023 r. poz. 900) ustalam następujące kierunki realizacji polityki oświatowej </w:t>
      </w:r>
      <w:r w:rsidRPr="003C1E26">
        <w:rPr>
          <w:rFonts w:ascii="Lato" w:hAnsi="Lato"/>
          <w:color w:val="000000" w:themeColor="text1"/>
          <w:sz w:val="20"/>
          <w:szCs w:val="20"/>
        </w:rPr>
        <w:t>państwa w roku szkolnym 2023/2024:</w:t>
      </w:r>
    </w:p>
    <w:p w:rsidR="00B27DCA" w:rsidRPr="003C1E26" w:rsidRDefault="00D15026" w:rsidP="00B67A08">
      <w:pPr>
        <w:pStyle w:val="menfont"/>
        <w:jc w:val="both"/>
        <w:rPr>
          <w:rFonts w:ascii="Lato" w:hAnsi="Lato"/>
          <w:sz w:val="20"/>
          <w:szCs w:val="20"/>
        </w:rPr>
      </w:pPr>
    </w:p>
    <w:p w:rsidR="00B27DCA" w:rsidRPr="003C1E26" w:rsidRDefault="00D15026" w:rsidP="00B67A08">
      <w:pPr>
        <w:pStyle w:val="menfont"/>
        <w:rPr>
          <w:rFonts w:ascii="Lato" w:hAnsi="Lato"/>
          <w:sz w:val="20"/>
          <w:szCs w:val="20"/>
        </w:rPr>
      </w:pPr>
    </w:p>
    <w:p w:rsidR="00D96F8F" w:rsidRDefault="00D15026" w:rsidP="00D96F8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</w:pPr>
      <w:r>
        <w:rPr>
          <w:rFonts w:ascii="Lato" w:hAnsi="Lato"/>
          <w:color w:val="000000" w:themeColor="text1"/>
          <w:sz w:val="20"/>
          <w:szCs w:val="20"/>
        </w:rPr>
        <w:t>Kontynuacja działań na rzecz szerszego udostępnienia kanonu i założeń edukacji klasycznej oraz sięgania do dziedzictwa cywilizacyjnego Europy, w tym wsparcie powrotu do szkół języka łacińskiego jako drugiego języka obce</w:t>
      </w:r>
      <w:r>
        <w:rPr>
          <w:rFonts w:ascii="Lato" w:hAnsi="Lato"/>
          <w:color w:val="000000" w:themeColor="text1"/>
          <w:sz w:val="20"/>
          <w:szCs w:val="20"/>
        </w:rPr>
        <w:t>go.</w:t>
      </w:r>
    </w:p>
    <w:p w:rsidR="00D96F8F" w:rsidRDefault="00D15026" w:rsidP="00D96F8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</w:pPr>
      <w:r>
        <w:rPr>
          <w:rFonts w:ascii="Lato" w:hAnsi="Lato" w:cs="Arial"/>
          <w:color w:val="000000"/>
          <w:sz w:val="20"/>
          <w:szCs w:val="20"/>
        </w:rPr>
        <w:t xml:space="preserve">Wspomaganie wychowawczej roli rodziny </w:t>
      </w:r>
      <w:r>
        <w:rPr>
          <w:rFonts w:ascii="Lato" w:hAnsi="Lato" w:cs="Arial"/>
          <w:color w:val="000000"/>
          <w:sz w:val="20"/>
          <w:szCs w:val="20"/>
        </w:rPr>
        <w:t>poprzez pomoc w kształtowaniu u </w:t>
      </w:r>
      <w:r>
        <w:rPr>
          <w:rFonts w:ascii="Lato" w:hAnsi="Lato" w:cs="Arial"/>
          <w:color w:val="000000"/>
          <w:sz w:val="20"/>
          <w:szCs w:val="20"/>
        </w:rPr>
        <w:t>wychowanków i uczniów stałych sprawności w czynieniu dobra, rzetelną diagnozę potrzeb rozwojowych dzieci i młodzieży, realizację adekwatnego programu wychowawczo-profilaktycznego ora</w:t>
      </w:r>
      <w:r>
        <w:rPr>
          <w:rFonts w:ascii="Lato" w:hAnsi="Lato" w:cs="Arial"/>
          <w:color w:val="000000"/>
          <w:sz w:val="20"/>
          <w:szCs w:val="20"/>
        </w:rPr>
        <w:t>z zajęć wychowania do życia w rodzinie</w:t>
      </w:r>
      <w:r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.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</w:pPr>
      <w:r w:rsidRPr="003C1E26">
        <w:rPr>
          <w:rFonts w:ascii="Lato" w:hAnsi="Lato" w:cs="Arial"/>
          <w:color w:val="000000"/>
          <w:sz w:val="20"/>
          <w:szCs w:val="20"/>
        </w:rPr>
        <w:t>Doskonalenie kompetencji dyrektorów szkół i na</w:t>
      </w:r>
      <w:r>
        <w:rPr>
          <w:rFonts w:ascii="Lato" w:hAnsi="Lato" w:cs="Arial"/>
          <w:color w:val="000000"/>
          <w:sz w:val="20"/>
          <w:szCs w:val="20"/>
        </w:rPr>
        <w:t>uczycieli w zakresie warunków i </w:t>
      </w:r>
      <w:r w:rsidRPr="003C1E26">
        <w:rPr>
          <w:rFonts w:ascii="Lato" w:hAnsi="Lato" w:cs="Arial"/>
          <w:color w:val="000000"/>
          <w:sz w:val="20"/>
          <w:szCs w:val="20"/>
        </w:rPr>
        <w:t>sposobu oceniania wewnątrzszkolnego</w:t>
      </w:r>
      <w:r w:rsidRPr="003C1E26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.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</w:pPr>
      <w:r w:rsidRPr="003C1E26">
        <w:rPr>
          <w:rFonts w:ascii="Lato" w:hAnsi="Lato" w:cs="Arial"/>
          <w:sz w:val="20"/>
          <w:szCs w:val="20"/>
        </w:rPr>
        <w:t xml:space="preserve">Doskonalenie kompetencji nauczycieli w pracy z uczniem </w:t>
      </w:r>
      <w:r>
        <w:rPr>
          <w:rFonts w:ascii="Lato" w:hAnsi="Lato" w:cs="Arial"/>
          <w:sz w:val="20"/>
          <w:szCs w:val="20"/>
        </w:rPr>
        <w:t xml:space="preserve">z doświadczeniem migracyjnym, w </w:t>
      </w:r>
      <w:r w:rsidRPr="003C1E26">
        <w:rPr>
          <w:rFonts w:ascii="Lato" w:hAnsi="Lato" w:cs="Arial"/>
          <w:sz w:val="20"/>
          <w:szCs w:val="20"/>
        </w:rPr>
        <w:t>tym w zakresie</w:t>
      </w:r>
      <w:r w:rsidRPr="003C1E26">
        <w:rPr>
          <w:rFonts w:ascii="Lato" w:hAnsi="Lato" w:cs="Arial"/>
          <w:sz w:val="20"/>
          <w:szCs w:val="20"/>
        </w:rPr>
        <w:t xml:space="preserve"> nauczania języka polskiego jako języka obcego</w:t>
      </w:r>
      <w:r w:rsidRPr="003C1E26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.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C1E26">
        <w:rPr>
          <w:rFonts w:ascii="Lato" w:hAnsi="Lato" w:cs="Arial"/>
          <w:color w:val="000000"/>
          <w:sz w:val="20"/>
          <w:szCs w:val="20"/>
        </w:rPr>
        <w:t>Rozwój kształcenia zawodowego i uczenia się w miejscu pracy w partnerstwie z przedstawicielami branż.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</w:pPr>
      <w:r w:rsidRPr="003C1E26">
        <w:rPr>
          <w:rFonts w:ascii="Lato" w:hAnsi="Lato"/>
          <w:color w:val="000000" w:themeColor="text1"/>
          <w:sz w:val="20"/>
          <w:szCs w:val="20"/>
        </w:rPr>
        <w:t>Podnoszenie jakości wsparcia dla dzieci, uczniów i rodzin udzielanego w systemie oświaty poprzez rozwijani</w:t>
      </w:r>
      <w:r w:rsidRPr="003C1E26">
        <w:rPr>
          <w:rFonts w:ascii="Lato" w:hAnsi="Lato"/>
          <w:color w:val="000000" w:themeColor="text1"/>
          <w:sz w:val="20"/>
          <w:szCs w:val="20"/>
        </w:rPr>
        <w:t>e współpracy wewnąt</w:t>
      </w:r>
      <w:r>
        <w:rPr>
          <w:rFonts w:ascii="Lato" w:hAnsi="Lato"/>
          <w:color w:val="000000" w:themeColor="text1"/>
          <w:sz w:val="20"/>
          <w:szCs w:val="20"/>
        </w:rPr>
        <w:t>rz- i międzyszkolnej, a także z </w:t>
      </w:r>
      <w:r w:rsidRPr="003C1E26">
        <w:rPr>
          <w:rFonts w:ascii="Lato" w:hAnsi="Lato"/>
          <w:color w:val="000000" w:themeColor="text1"/>
          <w:sz w:val="20"/>
          <w:szCs w:val="20"/>
        </w:rPr>
        <w:t>podmiotami działającymi w innych sektorach, w tym w zakresie wczesne</w:t>
      </w:r>
      <w:r>
        <w:rPr>
          <w:rFonts w:ascii="Lato" w:hAnsi="Lato"/>
          <w:color w:val="000000" w:themeColor="text1"/>
          <w:sz w:val="20"/>
          <w:szCs w:val="20"/>
        </w:rPr>
        <w:t xml:space="preserve">go wspomagania rozwoju dzieci i </w:t>
      </w:r>
      <w:r w:rsidRPr="003C1E26">
        <w:rPr>
          <w:rFonts w:ascii="Lato" w:hAnsi="Lato"/>
          <w:color w:val="000000" w:themeColor="text1"/>
          <w:sz w:val="20"/>
          <w:szCs w:val="20"/>
        </w:rPr>
        <w:t>wsparcia rodziny.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Lato" w:hAnsi="Lato" w:cs="Arial"/>
          <w:color w:val="000000" w:themeColor="text1"/>
          <w:sz w:val="20"/>
          <w:szCs w:val="20"/>
        </w:rPr>
      </w:pPr>
      <w:r w:rsidRPr="003C1E26">
        <w:rPr>
          <w:rFonts w:ascii="Lato" w:hAnsi="Lato" w:cs="Arial"/>
          <w:color w:val="000000" w:themeColor="text1"/>
          <w:sz w:val="20"/>
          <w:szCs w:val="20"/>
        </w:rPr>
        <w:t>Wspieranie nauczycieli w podejmowaniu inicjatyw/</w:t>
      </w:r>
      <w:r>
        <w:rPr>
          <w:rFonts w:ascii="Lato" w:hAnsi="Lato" w:cs="Arial"/>
          <w:color w:val="000000" w:themeColor="text1"/>
          <w:sz w:val="20"/>
          <w:szCs w:val="20"/>
        </w:rPr>
        <w:t>działań w zakresie zachęcania i </w:t>
      </w:r>
      <w:r w:rsidRPr="003C1E26">
        <w:rPr>
          <w:rFonts w:ascii="Lato" w:hAnsi="Lato" w:cs="Arial"/>
          <w:color w:val="000000" w:themeColor="text1"/>
          <w:sz w:val="20"/>
          <w:szCs w:val="20"/>
        </w:rPr>
        <w:t>wspierania uczniów do rozwijania ich aktywności fizycznej</w:t>
      </w:r>
      <w:r w:rsidRPr="003C1E26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. 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Lato" w:hAnsi="Lato" w:cs="Arial"/>
          <w:color w:val="000000" w:themeColor="text1"/>
          <w:sz w:val="20"/>
          <w:szCs w:val="20"/>
        </w:rPr>
      </w:pPr>
      <w:r w:rsidRPr="003C1E26">
        <w:rPr>
          <w:rFonts w:ascii="Lato" w:hAnsi="Lato" w:cs="Arial"/>
          <w:color w:val="000000"/>
          <w:sz w:val="20"/>
          <w:szCs w:val="20"/>
        </w:rPr>
        <w:t>Wspieranie rozwoju umiejętności cyfrowych uczniów i nauczycieli, ze szczególnym uwzględnieniem bezpiecznego poruszania się w sieci oraz krytycznej analizy informacji dostępnych w Internecie. Popra</w:t>
      </w:r>
      <w:r w:rsidRPr="003C1E26">
        <w:rPr>
          <w:rFonts w:ascii="Lato" w:hAnsi="Lato" w:cs="Arial"/>
          <w:color w:val="000000"/>
          <w:sz w:val="20"/>
          <w:szCs w:val="20"/>
        </w:rPr>
        <w:t>wne metodycznie wykorzystywanie przez nauczycieli narzędzi i materiałów dostępnych w sieci, w szczególności opartych na sztucznej inteligencji.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Lato" w:hAnsi="Lato" w:cs="Arial"/>
          <w:color w:val="000000" w:themeColor="text1"/>
          <w:sz w:val="20"/>
          <w:szCs w:val="20"/>
        </w:rPr>
      </w:pPr>
      <w:r w:rsidRPr="003C1E26">
        <w:rPr>
          <w:rFonts w:ascii="Lato" w:hAnsi="Lato" w:cs="Arial"/>
          <w:color w:val="000000"/>
          <w:sz w:val="20"/>
          <w:szCs w:val="20"/>
        </w:rPr>
        <w:t>Rozwijanie umiejętności uczniów i nauczycieli z wykor</w:t>
      </w:r>
      <w:r>
        <w:rPr>
          <w:rFonts w:ascii="Lato" w:hAnsi="Lato" w:cs="Arial"/>
          <w:color w:val="000000"/>
          <w:sz w:val="20"/>
          <w:szCs w:val="20"/>
        </w:rPr>
        <w:t>zystaniem sprzętu zakupionego w </w:t>
      </w:r>
      <w:r w:rsidRPr="003C1E26">
        <w:rPr>
          <w:rFonts w:ascii="Lato" w:hAnsi="Lato" w:cs="Arial"/>
          <w:color w:val="000000"/>
          <w:sz w:val="20"/>
          <w:szCs w:val="20"/>
        </w:rPr>
        <w:t>ramach programu „Laboratori</w:t>
      </w:r>
      <w:r w:rsidRPr="003C1E26">
        <w:rPr>
          <w:rFonts w:ascii="Lato" w:hAnsi="Lato" w:cs="Arial"/>
          <w:color w:val="000000"/>
          <w:sz w:val="20"/>
          <w:szCs w:val="20"/>
        </w:rPr>
        <w:t>a przyszłości”</w:t>
      </w:r>
      <w:r>
        <w:rPr>
          <w:rFonts w:ascii="Lato" w:hAnsi="Lato" w:cs="Arial"/>
          <w:color w:val="000000"/>
          <w:sz w:val="20"/>
          <w:szCs w:val="20"/>
        </w:rPr>
        <w:t>.</w:t>
      </w:r>
    </w:p>
    <w:p w:rsidR="00B27DCA" w:rsidRPr="003C1E26" w:rsidRDefault="00D15026" w:rsidP="00B67A08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/>
          <w:sz w:val="20"/>
          <w:szCs w:val="20"/>
        </w:rPr>
      </w:pPr>
      <w:r w:rsidRPr="003C1E26">
        <w:rPr>
          <w:rFonts w:ascii="Lato" w:hAnsi="Lato"/>
          <w:color w:val="000000" w:themeColor="text1"/>
          <w:sz w:val="20"/>
          <w:szCs w:val="20"/>
        </w:rPr>
        <w:t xml:space="preserve">Wspieranie rozwoju nauki języka polskiego i oświaty polskiej za granicą oraz tworzenie stabilnych warunków do nauczania języka polskiego za granicą przez Instytut Rozwoju Języka Polskiego im. świętego Maksymiliana Marii Kolbego, Ośrodek </w:t>
      </w:r>
      <w:r w:rsidRPr="003C1E26">
        <w:rPr>
          <w:rFonts w:ascii="Lato" w:hAnsi="Lato"/>
          <w:color w:val="000000" w:themeColor="text1"/>
          <w:sz w:val="20"/>
          <w:szCs w:val="20"/>
        </w:rPr>
        <w:t>Rozwoju Polskiej Edukacji za Granicą oraz beneficjentów przedsięwzięć i programów ustanowionych przez ministra właściwego do spraw oświaty i wychowania.</w:t>
      </w:r>
    </w:p>
    <w:p w:rsidR="00B27DCA" w:rsidRPr="003C1E26" w:rsidRDefault="00D15026" w:rsidP="00B67A08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B27DCA" w:rsidRPr="003C1E26" w:rsidRDefault="00D15026" w:rsidP="00B67A08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B27DCA" w:rsidRPr="003C1E26" w:rsidRDefault="00D15026" w:rsidP="00B67A08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  <w:r w:rsidRPr="003C1E26">
        <w:rPr>
          <w:rFonts w:ascii="Lato" w:hAnsi="Lato"/>
          <w:color w:val="000000" w:themeColor="text1"/>
          <w:sz w:val="20"/>
          <w:szCs w:val="20"/>
        </w:rPr>
        <w:t>Zadania z zakresu nadzoru pedagogicznego dla kuratorów oświaty w zakresie kontroli:</w:t>
      </w:r>
    </w:p>
    <w:p w:rsidR="00B27DCA" w:rsidRPr="003C1E26" w:rsidRDefault="00D15026" w:rsidP="00B67A08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B27DCA" w:rsidRPr="003C1E26" w:rsidRDefault="00D15026" w:rsidP="00B67A08">
      <w:pPr>
        <w:pStyle w:val="menfont"/>
        <w:numPr>
          <w:ilvl w:val="0"/>
          <w:numId w:val="1"/>
        </w:numPr>
        <w:ind w:left="284" w:hanging="284"/>
        <w:jc w:val="both"/>
        <w:rPr>
          <w:rFonts w:ascii="Lato" w:hAnsi="Lato"/>
          <w:color w:val="000000" w:themeColor="text1"/>
          <w:sz w:val="20"/>
          <w:szCs w:val="20"/>
        </w:rPr>
      </w:pPr>
      <w:r w:rsidRPr="003C1E26">
        <w:rPr>
          <w:rFonts w:ascii="Lato" w:hAnsi="Lato"/>
          <w:color w:val="000000" w:themeColor="text1"/>
          <w:sz w:val="20"/>
          <w:szCs w:val="20"/>
        </w:rPr>
        <w:t xml:space="preserve">w przedszkolach </w:t>
      </w:r>
      <w:r w:rsidRPr="003C1E26">
        <w:rPr>
          <w:rFonts w:ascii="Lato" w:hAnsi="Lato"/>
          <w:color w:val="000000" w:themeColor="text1"/>
          <w:sz w:val="20"/>
          <w:szCs w:val="20"/>
        </w:rPr>
        <w:t xml:space="preserve">ogólnodostępnych i </w:t>
      </w:r>
      <w:r w:rsidRPr="003C1E26">
        <w:rPr>
          <w:rFonts w:ascii="Lato" w:hAnsi="Lato"/>
          <w:color w:val="000000"/>
          <w:sz w:val="20"/>
          <w:szCs w:val="20"/>
        </w:rPr>
        <w:t>integracyjnych</w:t>
      </w:r>
      <w:r w:rsidRPr="003C1E26">
        <w:rPr>
          <w:rFonts w:ascii="Lato" w:hAnsi="Lato"/>
          <w:color w:val="000000" w:themeColor="text1"/>
          <w:sz w:val="20"/>
          <w:szCs w:val="20"/>
        </w:rPr>
        <w:t>:</w:t>
      </w:r>
    </w:p>
    <w:p w:rsidR="00B27DCA" w:rsidRPr="003C1E26" w:rsidRDefault="00D15026" w:rsidP="00B67A08">
      <w:pPr>
        <w:pStyle w:val="menfont"/>
        <w:numPr>
          <w:ilvl w:val="0"/>
          <w:numId w:val="2"/>
        </w:numPr>
        <w:jc w:val="both"/>
        <w:rPr>
          <w:rFonts w:ascii="Lato" w:hAnsi="Lato"/>
          <w:b/>
          <w:sz w:val="20"/>
          <w:szCs w:val="20"/>
        </w:rPr>
      </w:pPr>
      <w:r w:rsidRPr="003C1E26">
        <w:rPr>
          <w:rFonts w:ascii="Lato" w:hAnsi="Lato"/>
          <w:b/>
          <w:sz w:val="20"/>
          <w:szCs w:val="20"/>
        </w:rPr>
        <w:t>Zgodność z przepisami prawa zwiększenia dostępności i jakości wsparcia udzielanego dzieciom przez nauczycieli specjalistów, w tym pedagogów specjalnych;</w:t>
      </w:r>
    </w:p>
    <w:p w:rsidR="00B27DCA" w:rsidRDefault="00D15026" w:rsidP="00B67A08">
      <w:pPr>
        <w:pStyle w:val="menfont"/>
        <w:rPr>
          <w:rFonts w:ascii="Lato" w:hAnsi="Lato"/>
          <w:color w:val="000000" w:themeColor="text1"/>
          <w:sz w:val="20"/>
          <w:szCs w:val="20"/>
        </w:rPr>
      </w:pPr>
    </w:p>
    <w:p w:rsidR="00B67A08" w:rsidRPr="003C1E26" w:rsidRDefault="00D15026" w:rsidP="00B67A08">
      <w:pPr>
        <w:pStyle w:val="menfont"/>
        <w:rPr>
          <w:rFonts w:ascii="Lato" w:hAnsi="Lato"/>
          <w:color w:val="000000" w:themeColor="text1"/>
          <w:sz w:val="20"/>
          <w:szCs w:val="20"/>
        </w:rPr>
      </w:pPr>
    </w:p>
    <w:p w:rsidR="00B27DCA" w:rsidRPr="003C1E26" w:rsidRDefault="00D15026" w:rsidP="00B67A08">
      <w:pPr>
        <w:pStyle w:val="menfont"/>
        <w:numPr>
          <w:ilvl w:val="0"/>
          <w:numId w:val="1"/>
        </w:numPr>
        <w:ind w:left="426"/>
        <w:jc w:val="both"/>
        <w:rPr>
          <w:rFonts w:ascii="Lato" w:hAnsi="Lato"/>
          <w:color w:val="000000" w:themeColor="text1"/>
          <w:sz w:val="20"/>
          <w:szCs w:val="20"/>
        </w:rPr>
      </w:pPr>
      <w:r w:rsidRPr="003C1E26">
        <w:rPr>
          <w:rFonts w:ascii="Lato" w:hAnsi="Lato"/>
          <w:color w:val="000000" w:themeColor="text1"/>
          <w:sz w:val="20"/>
          <w:szCs w:val="20"/>
        </w:rPr>
        <w:t xml:space="preserve">w szkołach podstawowych, liceach ogólnokształcących, technikach, branżowych szkołach I stopnia (ogólnodostępnych i </w:t>
      </w:r>
      <w:r w:rsidRPr="003C1E26">
        <w:rPr>
          <w:rFonts w:ascii="Lato" w:hAnsi="Lato"/>
          <w:color w:val="000000"/>
          <w:sz w:val="20"/>
          <w:szCs w:val="20"/>
        </w:rPr>
        <w:t>integracyjnych)</w:t>
      </w:r>
      <w:r w:rsidRPr="003C1E26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:rsidR="00B27DCA" w:rsidRPr="003C1E26" w:rsidRDefault="00D15026" w:rsidP="00B67A08">
      <w:pPr>
        <w:pStyle w:val="menfont"/>
        <w:numPr>
          <w:ilvl w:val="0"/>
          <w:numId w:val="2"/>
        </w:numPr>
        <w:jc w:val="both"/>
        <w:rPr>
          <w:rFonts w:ascii="Lato" w:hAnsi="Lato"/>
          <w:b/>
          <w:sz w:val="20"/>
          <w:szCs w:val="20"/>
        </w:rPr>
      </w:pPr>
      <w:r w:rsidRPr="003C1E26">
        <w:rPr>
          <w:rFonts w:ascii="Lato" w:hAnsi="Lato"/>
          <w:b/>
          <w:sz w:val="20"/>
          <w:szCs w:val="20"/>
        </w:rPr>
        <w:t>Zgodność z przepisami prawa zwiększenia dostępności i jakości wsparcia udzielanego uczniom przez nauczycieli specjalistów, w</w:t>
      </w:r>
      <w:r w:rsidRPr="003C1E26">
        <w:rPr>
          <w:rFonts w:ascii="Lato" w:hAnsi="Lato"/>
          <w:b/>
          <w:sz w:val="20"/>
          <w:szCs w:val="20"/>
        </w:rPr>
        <w:t xml:space="preserve"> tym pedagogów specjalnych</w:t>
      </w:r>
      <w:r w:rsidRPr="003C1E26">
        <w:rPr>
          <w:rFonts w:ascii="Lato" w:hAnsi="Lato"/>
          <w:b/>
          <w:bCs/>
          <w:sz w:val="20"/>
          <w:szCs w:val="20"/>
        </w:rPr>
        <w:t>;</w:t>
      </w:r>
    </w:p>
    <w:p w:rsidR="00B27DCA" w:rsidRPr="003C1E26" w:rsidRDefault="00D15026" w:rsidP="00B67A08">
      <w:pPr>
        <w:pStyle w:val="menfont"/>
        <w:rPr>
          <w:rFonts w:ascii="Lato" w:hAnsi="Lato"/>
          <w:color w:val="000000" w:themeColor="text1"/>
          <w:sz w:val="20"/>
          <w:szCs w:val="20"/>
        </w:rPr>
      </w:pPr>
    </w:p>
    <w:p w:rsidR="00B27DCA" w:rsidRPr="003C1E26" w:rsidRDefault="00D15026" w:rsidP="00B67A08">
      <w:pPr>
        <w:pStyle w:val="menfont"/>
        <w:numPr>
          <w:ilvl w:val="0"/>
          <w:numId w:val="1"/>
        </w:numPr>
        <w:ind w:left="284" w:hanging="284"/>
        <w:jc w:val="both"/>
        <w:rPr>
          <w:rFonts w:ascii="Lato" w:hAnsi="Lato"/>
          <w:color w:val="000000" w:themeColor="text1"/>
          <w:sz w:val="20"/>
          <w:szCs w:val="20"/>
        </w:rPr>
      </w:pPr>
      <w:r w:rsidRPr="003C1E26">
        <w:rPr>
          <w:rFonts w:ascii="Lato" w:hAnsi="Lato"/>
          <w:color w:val="000000" w:themeColor="text1"/>
          <w:sz w:val="20"/>
          <w:szCs w:val="20"/>
        </w:rPr>
        <w:t>w publicznych przedszkolach, szkołach podstawowych, liceach ogólnokształcących, technikach, branżowych szkołach I stopnia:</w:t>
      </w:r>
    </w:p>
    <w:p w:rsidR="00B27DCA" w:rsidRPr="003C1E26" w:rsidRDefault="00D15026" w:rsidP="00B67A08">
      <w:pPr>
        <w:pStyle w:val="menfont"/>
        <w:numPr>
          <w:ilvl w:val="0"/>
          <w:numId w:val="2"/>
        </w:numPr>
        <w:jc w:val="both"/>
        <w:rPr>
          <w:rFonts w:ascii="Lato" w:hAnsi="Lato"/>
          <w:b/>
          <w:color w:val="000000" w:themeColor="text1"/>
          <w:sz w:val="20"/>
          <w:szCs w:val="20"/>
        </w:rPr>
      </w:pPr>
      <w:r w:rsidRPr="003C1E26">
        <w:rPr>
          <w:rFonts w:ascii="Lato" w:hAnsi="Lato"/>
          <w:b/>
          <w:color w:val="000000"/>
          <w:sz w:val="20"/>
          <w:szCs w:val="20"/>
        </w:rPr>
        <w:t>Prawidłowość wykorzystania podręczników i książek pomocniczych do kształcenia uczniów w zakresie niezbęd</w:t>
      </w:r>
      <w:r w:rsidRPr="003C1E26">
        <w:rPr>
          <w:rFonts w:ascii="Lato" w:hAnsi="Lato"/>
          <w:b/>
          <w:color w:val="000000"/>
          <w:sz w:val="20"/>
          <w:szCs w:val="20"/>
        </w:rPr>
        <w:t>nym do podtrzymania poczucia tożsamości narodowej, etnicznej i językowej.</w:t>
      </w:r>
    </w:p>
    <w:p w:rsidR="00B27DCA" w:rsidRPr="00F90ED5" w:rsidRDefault="00D15026" w:rsidP="00DC30B3">
      <w:pPr>
        <w:spacing w:after="360" w:line="240" w:lineRule="auto"/>
        <w:jc w:val="both"/>
        <w:rPr>
          <w:rFonts w:ascii="Lato" w:hAnsi="Lato"/>
          <w:sz w:val="20"/>
        </w:rPr>
      </w:pPr>
    </w:p>
    <w:p w:rsidR="00E151F2" w:rsidRPr="00D20976" w:rsidRDefault="00D15026" w:rsidP="00E151F2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Przemysław Czarnek</w:t>
      </w:r>
      <w:bookmarkEnd w:id="4"/>
    </w:p>
    <w:p w:rsidR="00DC30B3" w:rsidRPr="00DC30B3" w:rsidRDefault="00D15026" w:rsidP="00DC30B3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Minister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sectPr w:rsidR="00DC30B3" w:rsidRPr="00DC30B3" w:rsidSect="00DC30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026" w:rsidRDefault="00D15026">
      <w:pPr>
        <w:spacing w:after="0" w:line="240" w:lineRule="auto"/>
      </w:pPr>
      <w:r>
        <w:separator/>
      </w:r>
    </w:p>
  </w:endnote>
  <w:endnote w:type="continuationSeparator" w:id="0">
    <w:p w:rsidR="00D15026" w:rsidRDefault="00D1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407" w:rsidRPr="00DC30B3" w:rsidRDefault="00D15026" w:rsidP="00520407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DC30B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DC30B3">
      <w:rPr>
        <w:rFonts w:ascii="Lato" w:hAnsi="Lato"/>
        <w:sz w:val="16"/>
      </w:rPr>
      <w:t xml:space="preserve">tel. </w:t>
    </w:r>
    <w:r w:rsidRPr="00DC30B3">
      <w:rPr>
        <w:rFonts w:ascii="Lato" w:hAnsi="Lato"/>
        <w:noProof/>
        <w:sz w:val="14"/>
        <w:lang w:eastAsia="pl-PL"/>
      </w:rPr>
      <w:t>(22) 52 92</w:t>
    </w:r>
    <w:r>
      <w:rPr>
        <w:rFonts w:ascii="Lato" w:hAnsi="Lato"/>
        <w:noProof/>
        <w:sz w:val="14"/>
        <w:lang w:eastAsia="pl-PL"/>
      </w:rPr>
      <w:t> </w:t>
    </w:r>
    <w:r w:rsidRPr="00DC30B3">
      <w:rPr>
        <w:rFonts w:ascii="Lato" w:hAnsi="Lato"/>
        <w:noProof/>
        <w:sz w:val="14"/>
        <w:lang w:eastAsia="pl-PL"/>
      </w:rPr>
      <w:t>623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Pr="00DC30B3">
      <w:rPr>
        <w:rFonts w:ascii="Lato" w:hAnsi="Lato"/>
        <w:sz w:val="16"/>
      </w:rPr>
      <w:t>ul. Wspólna 1/3</w:t>
    </w:r>
  </w:p>
  <w:p w:rsidR="00520407" w:rsidRPr="00DC30B3" w:rsidRDefault="00D15026" w:rsidP="00520407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DC30B3">
      <w:rPr>
        <w:rFonts w:ascii="Lato" w:hAnsi="Lato"/>
        <w:sz w:val="16"/>
      </w:rPr>
      <w:t>sekretariat.minister@mein.gov.pl</w:t>
    </w:r>
    <w:r>
      <w:rPr>
        <w:rFonts w:ascii="Lato" w:hAnsi="Lato"/>
        <w:sz w:val="16"/>
      </w:rPr>
      <w:t xml:space="preserve">     </w:t>
    </w:r>
    <w:r>
      <w:rPr>
        <w:rFonts w:ascii="Lato" w:hAnsi="Lato"/>
        <w:sz w:val="16"/>
      </w:rPr>
      <w:t xml:space="preserve">                                                                                                                                       </w:t>
    </w:r>
    <w:r w:rsidRPr="00DC30B3">
      <w:rPr>
        <w:rFonts w:ascii="Lato" w:hAnsi="Lato"/>
        <w:sz w:val="16"/>
      </w:rPr>
      <w:t>00-529 Warszawa</w:t>
    </w:r>
  </w:p>
  <w:p w:rsidR="00590C4E" w:rsidRPr="00DC30B3" w:rsidRDefault="00D15026">
    <w:pPr>
      <w:pStyle w:val="Stopka"/>
      <w:rPr>
        <w:rFonts w:ascii="Lato" w:hAnsi="Lato"/>
        <w:sz w:val="16"/>
      </w:rPr>
    </w:pPr>
    <w:r w:rsidRPr="00DC30B3">
      <w:rPr>
        <w:rFonts w:ascii="Lato" w:hAnsi="Lato"/>
        <w:sz w:val="16"/>
      </w:rPr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B3" w:rsidRPr="00DC30B3" w:rsidRDefault="00D15026" w:rsidP="00DC30B3">
    <w:pPr>
      <w:rPr>
        <w:rFonts w:ascii="Lato" w:hAnsi="Lato"/>
      </w:rPr>
    </w:pPr>
  </w:p>
  <w:p w:rsidR="00DC30B3" w:rsidRPr="00DC30B3" w:rsidRDefault="00D15026" w:rsidP="00DC30B3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DC30B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DC30B3">
      <w:rPr>
        <w:rFonts w:ascii="Lato" w:hAnsi="Lato"/>
        <w:sz w:val="16"/>
      </w:rPr>
      <w:t xml:space="preserve">tel. </w:t>
    </w:r>
    <w:r w:rsidRPr="00DC30B3">
      <w:rPr>
        <w:rFonts w:ascii="Lato" w:hAnsi="Lato"/>
        <w:noProof/>
        <w:sz w:val="14"/>
        <w:lang w:eastAsia="pl-PL"/>
      </w:rPr>
      <w:t>(22) 52 92</w:t>
    </w:r>
    <w:r>
      <w:rPr>
        <w:rFonts w:ascii="Lato" w:hAnsi="Lato"/>
        <w:noProof/>
        <w:sz w:val="14"/>
        <w:lang w:eastAsia="pl-PL"/>
      </w:rPr>
      <w:t> </w:t>
    </w:r>
    <w:r w:rsidRPr="00DC30B3">
      <w:rPr>
        <w:rFonts w:ascii="Lato" w:hAnsi="Lato"/>
        <w:noProof/>
        <w:sz w:val="14"/>
        <w:lang w:eastAsia="pl-PL"/>
      </w:rPr>
      <w:t>623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 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                                                                        </w:t>
    </w:r>
    <w:r w:rsidRPr="00DC30B3">
      <w:rPr>
        <w:rFonts w:ascii="Lato" w:hAnsi="Lato"/>
        <w:sz w:val="16"/>
      </w:rPr>
      <w:t>ul. Wspólna 1/3</w:t>
    </w:r>
  </w:p>
  <w:p w:rsidR="00DC30B3" w:rsidRPr="00DC30B3" w:rsidRDefault="00D15026" w:rsidP="00DC30B3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DC30B3">
      <w:rPr>
        <w:rFonts w:ascii="Lato" w:hAnsi="Lato"/>
        <w:sz w:val="16"/>
      </w:rPr>
      <w:t>sekretariat.minister@mein.gov.pl</w:t>
    </w:r>
    <w:r>
      <w:rPr>
        <w:rFonts w:ascii="Lato" w:hAnsi="Lato"/>
        <w:sz w:val="16"/>
      </w:rPr>
      <w:t xml:space="preserve">                                                                                                                                            </w:t>
    </w:r>
    <w:r w:rsidRPr="00DC30B3">
      <w:rPr>
        <w:rFonts w:ascii="Lato" w:hAnsi="Lato"/>
        <w:sz w:val="16"/>
      </w:rPr>
      <w:t>00-529 Warszawa</w:t>
    </w:r>
  </w:p>
  <w:p w:rsidR="00DC30B3" w:rsidRPr="00DC30B3" w:rsidRDefault="00D15026">
    <w:pPr>
      <w:pStyle w:val="Stopka"/>
      <w:rPr>
        <w:rFonts w:ascii="Lato" w:hAnsi="Lato"/>
        <w:sz w:val="16"/>
      </w:rPr>
    </w:pPr>
    <w:r w:rsidRPr="00DC30B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026" w:rsidRDefault="00D15026">
      <w:pPr>
        <w:spacing w:after="0" w:line="240" w:lineRule="auto"/>
      </w:pPr>
      <w:r>
        <w:separator/>
      </w:r>
    </w:p>
  </w:footnote>
  <w:footnote w:type="continuationSeparator" w:id="0">
    <w:p w:rsidR="00D15026" w:rsidRDefault="00D1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Pr="00DC30B3" w:rsidRDefault="00D15026" w:rsidP="009276B2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B3" w:rsidRDefault="00D150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621915" cy="1061720"/>
          <wp:effectExtent l="0" t="0" r="0" b="0"/>
          <wp:wrapThrough wrapText="bothSides">
            <wp:wrapPolygon edited="0">
              <wp:start x="3767" y="2325"/>
              <wp:lineTo x="2040" y="3876"/>
              <wp:lineTo x="942" y="6589"/>
              <wp:lineTo x="1569" y="17053"/>
              <wp:lineTo x="4237" y="18215"/>
              <wp:lineTo x="7219" y="18990"/>
              <wp:lineTo x="20559" y="18990"/>
              <wp:lineTo x="20873" y="16278"/>
              <wp:lineTo x="19617" y="15890"/>
              <wp:lineTo x="6591" y="15502"/>
              <wp:lineTo x="20402" y="13952"/>
              <wp:lineTo x="20402" y="9689"/>
              <wp:lineTo x="14595" y="8914"/>
              <wp:lineTo x="14438" y="5426"/>
              <wp:lineTo x="4394" y="2325"/>
              <wp:lineTo x="3767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68FD"/>
    <w:multiLevelType w:val="hybridMultilevel"/>
    <w:tmpl w:val="AD5E70C4"/>
    <w:lvl w:ilvl="0" w:tplc="9D903506">
      <w:start w:val="1"/>
      <w:numFmt w:val="lowerLetter"/>
      <w:lvlText w:val="%1)"/>
      <w:lvlJc w:val="left"/>
      <w:pPr>
        <w:ind w:left="720" w:hanging="360"/>
      </w:pPr>
    </w:lvl>
    <w:lvl w:ilvl="1" w:tplc="80326398">
      <w:start w:val="1"/>
      <w:numFmt w:val="lowerLetter"/>
      <w:lvlText w:val="%2."/>
      <w:lvlJc w:val="left"/>
      <w:pPr>
        <w:ind w:left="1440" w:hanging="360"/>
      </w:pPr>
    </w:lvl>
    <w:lvl w:ilvl="2" w:tplc="2070D1DC">
      <w:start w:val="1"/>
      <w:numFmt w:val="lowerRoman"/>
      <w:lvlText w:val="%3."/>
      <w:lvlJc w:val="right"/>
      <w:pPr>
        <w:ind w:left="2160" w:hanging="180"/>
      </w:pPr>
    </w:lvl>
    <w:lvl w:ilvl="3" w:tplc="692651DE">
      <w:start w:val="1"/>
      <w:numFmt w:val="decimal"/>
      <w:lvlText w:val="%4."/>
      <w:lvlJc w:val="left"/>
      <w:pPr>
        <w:ind w:left="2880" w:hanging="360"/>
      </w:pPr>
    </w:lvl>
    <w:lvl w:ilvl="4" w:tplc="3CC6F804">
      <w:start w:val="1"/>
      <w:numFmt w:val="lowerLetter"/>
      <w:lvlText w:val="%5."/>
      <w:lvlJc w:val="left"/>
      <w:pPr>
        <w:ind w:left="3600" w:hanging="360"/>
      </w:pPr>
    </w:lvl>
    <w:lvl w:ilvl="5" w:tplc="69509CAE">
      <w:start w:val="1"/>
      <w:numFmt w:val="lowerRoman"/>
      <w:lvlText w:val="%6."/>
      <w:lvlJc w:val="right"/>
      <w:pPr>
        <w:ind w:left="4320" w:hanging="180"/>
      </w:pPr>
    </w:lvl>
    <w:lvl w:ilvl="6" w:tplc="6994D6FE">
      <w:start w:val="1"/>
      <w:numFmt w:val="decimal"/>
      <w:lvlText w:val="%7."/>
      <w:lvlJc w:val="left"/>
      <w:pPr>
        <w:ind w:left="5040" w:hanging="360"/>
      </w:pPr>
    </w:lvl>
    <w:lvl w:ilvl="7" w:tplc="61D002FC">
      <w:start w:val="1"/>
      <w:numFmt w:val="lowerLetter"/>
      <w:lvlText w:val="%8."/>
      <w:lvlJc w:val="left"/>
      <w:pPr>
        <w:ind w:left="5760" w:hanging="360"/>
      </w:pPr>
    </w:lvl>
    <w:lvl w:ilvl="8" w:tplc="F31870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774CF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D038E"/>
    <w:multiLevelType w:val="hybridMultilevel"/>
    <w:tmpl w:val="1034FE22"/>
    <w:lvl w:ilvl="0" w:tplc="8D685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C454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E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2B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E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00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2D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B0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E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08"/>
    <w:rsid w:val="007D2908"/>
    <w:rsid w:val="00D1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60E61-D481-4F39-BE8B-12C1E835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641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30B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27D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2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75D0-939E-4EE7-8483-068F25F8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Baran Dariusz</cp:lastModifiedBy>
  <cp:revision>2</cp:revision>
  <cp:lastPrinted>2022-09-08T13:34:00Z</cp:lastPrinted>
  <dcterms:created xsi:type="dcterms:W3CDTF">2023-06-16T08:58:00Z</dcterms:created>
  <dcterms:modified xsi:type="dcterms:W3CDTF">2023-06-16T08:58:00Z</dcterms:modified>
</cp:coreProperties>
</file>