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6A95" w14:textId="03FB29FE" w:rsidR="00681592" w:rsidRDefault="00E37489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Decyzja Wojewody Pomorskiego nr </w:t>
      </w:r>
      <w:r w:rsidR="007C3665" w:rsidRPr="007C3665">
        <w:rPr>
          <w:rFonts w:ascii="Calibri" w:hAnsi="Calibri" w:cs="Calibri"/>
          <w:kern w:val="0"/>
          <w:sz w:val="22"/>
          <w:szCs w:val="22"/>
        </w:rPr>
        <w:t>WI-III.747.1.1.2025.AS</w:t>
      </w:r>
      <w:r>
        <w:rPr>
          <w:rFonts w:ascii="Calibri" w:hAnsi="Calibri" w:cs="Calibri"/>
          <w:kern w:val="0"/>
          <w:sz w:val="22"/>
          <w:szCs w:val="22"/>
        </w:rPr>
        <w:t xml:space="preserve"> z dnia </w:t>
      </w:r>
      <w:r w:rsidR="007C3665">
        <w:rPr>
          <w:rFonts w:ascii="Calibri" w:hAnsi="Calibri" w:cs="Calibri"/>
          <w:kern w:val="0"/>
          <w:sz w:val="22"/>
          <w:szCs w:val="22"/>
        </w:rPr>
        <w:t>23 czerwca 2025 stała się ostateczna z dniem 26 lipca 2025 r.</w:t>
      </w:r>
    </w:p>
    <w:p w14:paraId="7496990A" w14:textId="77777777" w:rsidR="007E0C46" w:rsidRDefault="007E0C46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3EDE7F34" w14:textId="77777777" w:rsidR="007C3665" w:rsidRDefault="007C3665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74957D79" w14:textId="3950945F" w:rsidR="007E0C46" w:rsidRPr="00E37489" w:rsidRDefault="007E0C46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sectPr w:rsidR="007E0C46" w:rsidRPr="00E37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92"/>
    <w:rsid w:val="00052975"/>
    <w:rsid w:val="00681592"/>
    <w:rsid w:val="007C3665"/>
    <w:rsid w:val="007E0C46"/>
    <w:rsid w:val="009940AB"/>
    <w:rsid w:val="00E3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CE743"/>
  <w15:chartTrackingRefBased/>
  <w15:docId w15:val="{95FE96CA-F5B5-43D5-9D0D-1751710A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1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5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5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5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5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5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5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5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5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5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5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5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5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5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Iwanowicz</dc:creator>
  <cp:keywords/>
  <dc:description/>
  <cp:lastModifiedBy>Sławomir Iwanowicz</cp:lastModifiedBy>
  <cp:revision>4</cp:revision>
  <dcterms:created xsi:type="dcterms:W3CDTF">2026-07-30T08:24:00Z</dcterms:created>
  <dcterms:modified xsi:type="dcterms:W3CDTF">2026-07-31T10:49:00Z</dcterms:modified>
</cp:coreProperties>
</file>