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keepNext w:val="0"/>
        <w:keepLines w:val="0"/>
        <w:numPr>
          <w:ilvl w:val="0"/>
          <w:numId w:val="0"/>
        </w:numPr>
        <w:spacing w:before="0" w:after="30" w:line="306" w:lineRule="atLeast"/>
        <w:ind w:left="0" w:right="0" w:firstLine="1020"/>
        <w:jc w:val="left"/>
        <w:rPr>
          <w:rFonts w:ascii="Times New Roman" w:eastAsia="Times New Roman" w:hAnsi="Times New Roman" w:cs="Times New Roman"/>
          <w:strike w:val="0"/>
          <w:color w:val="000000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7239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numPr>
          <w:ilvl w:val="0"/>
          <w:numId w:val="0"/>
        </w:numPr>
        <w:spacing w:before="30" w:after="0" w:line="400" w:lineRule="exact"/>
        <w:ind w:left="0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  <w:t>WOJEWODA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Opole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dnia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22 lutego 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 r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>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PN.III.4131.1.23.2022</w:t>
      </w:r>
    </w:p>
    <w:p w:rsidR="00A77B3E">
      <w:pPr>
        <w:keepNext w:val="0"/>
        <w:keepLines w:val="0"/>
        <w:numPr>
          <w:ilvl w:val="0"/>
          <w:numId w:val="0"/>
        </w:numPr>
        <w:spacing w:before="84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Pan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Dariusz Zajdel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Przewodniczący Rady Miejskiej w Zawadzkiem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ul. Dębowa 13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47-120 Zawadzkie </w:t>
      </w:r>
    </w:p>
    <w:p w:rsidR="00A77B3E">
      <w:pPr>
        <w:keepNext w:val="0"/>
        <w:keepLines w:val="0"/>
        <w:numPr>
          <w:ilvl w:val="0"/>
          <w:numId w:val="0"/>
        </w:numPr>
        <w:spacing w:before="720" w:after="0" w:line="432" w:lineRule="exact"/>
        <w:ind w:left="0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Rozstrzygnięcie nadzorcze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91 ust. 1 i 3 ustawy z dnia 8 marca 1990 r. o samorządzie gminnym (Dz. U. z 2021 r. poz.1372)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stwierdzam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nieważność uchwały Nr 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XXXVI/259/22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Rady Miejskiej w Zawadzkiem z dnia 24 stycznia 2022 r. w sprawie wyznaczenia miejsc do prowadzenia handlu w piątki i soboty przez rolników i ich domowników oraz określenia zasad prowadzenia handlu w piątki i soboty przez rolników na wyznaczonych miejscach, w części obejmującej § 6 załącznika do przedmiotowej uchwały – z powodu istotnego naruszenia prawa.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9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Uzasadnienie</w:t>
      </w:r>
    </w:p>
    <w:p w:rsidR="00A77B3E">
      <w:pPr>
        <w:keepNext w:val="0"/>
        <w:keepLines w:val="0"/>
        <w:numPr>
          <w:ilvl w:val="0"/>
          <w:numId w:val="0"/>
        </w:numPr>
        <w:spacing w:before="21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 dniu 24 stycznia 2022 r. Rada Miejska w Zawadzkiem, powołując się art. 3, art. 5 i art. 6 ustawy z dnia 29 października 2021 r. o ułatwieniach w prowadzeniu handlu w piątki i soboty przez rolników i ich domowników (t.j. Dz. U. z 2021 r. poz. 2290)  podjęła uchwałę nr 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XXXVI/259/22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w sprawie wyznaczenia miejsc do prowadzenia handlu w piątki i soboty przez rolników i ich domowników oraz określenia zasad prowadzenia handlu w piątki i soboty przez rolników na wyznaczonych miejscach. Przedmiotowa uchwała wpłynęła do organu nadzoru w dniu 26 stycznia 2022 r.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kwestionowanym akcie Rada Miejska w Zawadzkiem ustaliła szereg zachowań, które uznała za zabronione w miejscu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wyznaczonym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do prowadzenia handlu w piątki i soboty przez rolników i ich domowników. W ocenie organu nadzoru przedmiotowa uchwała, w tym zakresie w sposób istotny narusza prawo. Przekroczono bowiem delegację ustawową, wynikającą z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 art. 5 ustawy o ułatwieniach w prowadzeniu handlu w piątki i soboty przez rolników i ich domowników. Za nierespektujące zakresu upoważnienia ustawowego należy uznać postanowienia zawarte w § 6 regulaminu stanowiącego załącznik do ww. uchwały, a mianowicie: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1) zakaz prowadzenia wszelkiego rodzaju gier hazardowych – stanowi powtórzenie art. 128 ustawy z dnia 20 maja 1971 r. Kodeks wykroczeń (Dz. U. z 2021 r. poz. 2008),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2) zakaz przebywania w stanie nietrzeźwym i zakaz spożywania napojów alkoholowych – sprawy związane ze sprzedażą, podawaniem oraz spożywaniem napojów alkoholowych uregulowane zostały w sposób kompleksowy w art. 14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ustawy z dnia 26 października 1982 r. o wychowaniu w trzeźwości i przeciwdziałaniu alkoholizmowi (Dz. U. z 2021 r. poz. 1119). W szczególności art. 14 ust. 6 ww. ustawy upoważnia radę gminy do ustanowienia czasowego lub stałego zakazu sprzedaży, podawania, spożywania oraz wnoszenia napojów alkoholowych w innych niewymienionych w ustawie miejscach, obiektach lub na określonych obszarach gminy, ze względu na ich charakter. Mając na uwadze powyższe należy podkreślić, że wprowadzenie tego rodzaju zakazów nie może następować w przedmiotowym regulaminie, podejmowanym na podstawie art. 5 ustawy o ułatwieniach w prowadzeniu handlu w piątki i soboty przez rolników i ich domowników,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3) zakaz używania substancji zmieniających świadomość – wynika z art. 62 ustawy z dnia 29 lipca 2005 r. o przeciwdziałaniu narkomanii (Dz. U. z 2020 r. poz. 2050),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4) zakaz zaśmiecania terenów - został uregulowany w art. 145 Kodeksu wykroczeń,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5) zakaz niszczenia obiektów i urządzeń – normuje art. 124 § 1 Kodeksu wykroczeń.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Rada gminy, formułując postanowienia uchwały stanowiącej akt prawa miejscowego, nie tylko nie może wykraczać poza zakres ustawowego upoważnienia, ale i naruszać innych powszechnie obowiązujących przepisów prawa. Stąd też, akty prawa miejscowego nie powinny w żaden sposób regulować materii należącej do przepisów wyższego rzędu i tymi przepisami normowanej (nawet, jeśli taka regulacja stanowiłaby jedynie powtórzenie obowiązującego przepisu). Ponowne uregulowanie przez radę gminy materii ustawowej prowadzić może do sprzeczności z obowiązującym w tym zakresie przepisem ustawy, i to nie tylko w przypadkach, w których postanowienia uchwały w sposób oczywisty normują określone zagadnienia wbrew obowiązującym przepisom prawa. Również i modyfikacja, czy powtórzenie przepisów ustawy może wypaczyć ich sens. Trzeba bowiem liczyć się z tym, że powtórzony, czy zmodyfikowany przepis będzie interpretowany w kontekście uchwały, co może spowodować całkowitą lub częściową zmianę intencji prawodawcy. 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24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Ustawodawca, kształtując upoważnienie rady do wydania uchwały w tym przedmiocie, precyzyjnie wskazał, które kwestie pozostawił regulacji jednostki samorządu terytorialnego. W przypadku aktów prawa miejscowego przekroczenie delegacji ustawowej stanowi istotne naruszenie prawa. Rada gminy obowiązana jest przestrzegać zakresu udzielonego przez ustawę upoważnienia w zakresie tworzenia przepisów wykonawczych, a w tych działaniach nie może tego upoważniania zawężać i przekraczać. Wydając akty będące źródłem powszechnie obowiązującego prawa Rzeczpospolitej Polskiej na obszarze danej gminy (art. 87 ust. 2 Konstytucji RP) musi respektować zakres delegacji zawartej w aktach prawnych wyższego rzędu, powstrzymując się od wypełniania ich treści postanowieniami ustawy (por. wyrok NSA z dnia 28 lutego 2003 r., sygn. akt I SA/Lu 882/02).</w:t>
      </w:r>
    </w:p>
    <w:p w:rsidR="00A77B3E">
      <w:pPr>
        <w:keepNext w:val="0"/>
        <w:keepLines w:val="0"/>
        <w:numPr>
          <w:ilvl w:val="0"/>
          <w:numId w:val="0"/>
        </w:numPr>
        <w:spacing w:before="36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Mając na uwadze powyższe, stwierdzam jak na wstępie.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98 ust. 1 ustawy z dnia 8 marca 1990 r. o samorządzie gminnym, w związku z art. 54 § 1 ustawy z dnia 30 sierpnia 2002 r. o postępowaniu przed sądami administracyjnymi (Dz. U. z 2019 r. poz. 2325) niniejsze rozstrzygnięcie nadzorcze może być zaskarżone do Wojewódzkiego Sądu Administracyjnego w Opolu za pośrednictwem Wojewody Opolskiego w terminie 30 dni od dnia jego doręczenia.</w:t>
      </w:r>
    </w:p>
    <w:p w:rsidR="00A77B3E">
      <w:pPr>
        <w:keepNext w:val="0"/>
        <w:keepLines w:val="0"/>
        <w:numPr>
          <w:ilvl w:val="0"/>
          <w:numId w:val="0"/>
        </w:numPr>
        <w:spacing w:before="57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 up. Wojewody Opolskiego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225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Ewelina Kurzydło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Zastępca Dyrektora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Wydziału Prawnego i Nadzoru</w:t>
      </w:r>
    </w:p>
    <w:p w:rsidR="00A77B3E">
      <w:pPr>
        <w:keepNext w:val="0"/>
        <w:keepLines w:val="0"/>
        <w:numPr>
          <w:ilvl w:val="0"/>
          <w:numId w:val="0"/>
        </w:numPr>
        <w:spacing w:before="540" w:after="270" w:line="432" w:lineRule="exact"/>
        <w:ind w:left="0" w:right="15" w:firstLine="495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1095" w:after="0" w:line="275" w:lineRule="exact"/>
        <w:ind w:left="0" w:right="15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decimal"/>
          </w:endnotePr>
          <w:pgSz w:w="11906" w:h="16838"/>
          <w:pgMar w:top="1115" w:right="1060" w:bottom="1115" w:left="1060" w:header="0" w:footer="0" w:gutter="0"/>
          <w:cols w:space="708"/>
          <w:titlePg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Prowadzący sprawę: Wojciech Cybulski  Referent prawny, Wydział Prawny i Nadzoru, tel. 77 45 24 549.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306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304800" cy="304800"/>
            <wp:docPr id="20798969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969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  <w:t>POTWIERDZENIE ZGODNOŚCI KOPII Z DOKUMENTEM ELEKTRONICZNYM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10"/>
        <w:gridCol w:w="7155"/>
        <w:gridCol w:w="1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Typ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Rozstrzygnięcie nadzorcze w części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Tytuł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Sygnatura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PN.III.4131.1.23.2022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złożenia podpisu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 10:52:29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Osoba podpisująca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Ewelina Kurzydło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Wystawca certyfikatu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2.5.4.97=VATPL-5260300517, CN=COPE SZAFIR - Kwalifikowany, O=Krajowa Izba Rozliczeniowa S.A., C=PL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Identyfikator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F4199878-4967-4B42-9E08-B96AD2149B98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numPr>
          <w:ilvl w:val="0"/>
          <w:numId w:val="0"/>
        </w:numPr>
        <w:spacing w:before="105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Data wydruku: 8 marca 2022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Autor wydruku: Wojciech Cybulski</w:t>
      </w:r>
    </w:p>
    <w:sectPr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15" w:right="1060" w:bottom="1115" w:left="1060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4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4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F4199878-4967-4B42-9E08-B96AD2149B98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1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4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F4199878-4967-4B42-9E08-B96AD2149B98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F4199878-4967-4B42-9E08-B96AD2149B98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F4199878-4967-4B42-9E08-B96AD2149B98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