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8A8" w:rsidRPr="00074EE5" w:rsidRDefault="00074EE5" w:rsidP="00074EE5">
      <w:pPr>
        <w:widowControl w:val="0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57FC6FCD" wp14:editId="0A5A01DE">
            <wp:extent cx="5760720" cy="2601806"/>
            <wp:effectExtent l="0" t="0" r="0" b="825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01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58A8" w:rsidRPr="001658A8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004A3" wp14:editId="41B06A7B">
                <wp:simplePos x="0" y="0"/>
                <wp:positionH relativeFrom="margin">
                  <wp:align>right</wp:align>
                </wp:positionH>
                <wp:positionV relativeFrom="paragraph">
                  <wp:posOffset>-563364</wp:posOffset>
                </wp:positionV>
                <wp:extent cx="5736566" cy="526838"/>
                <wp:effectExtent l="0" t="0" r="17145" b="26035"/>
                <wp:wrapNone/>
                <wp:docPr id="17" name="Prostokąt zaokrąglon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6566" cy="526838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58A8" w:rsidRDefault="001658A8" w:rsidP="001658A8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 xml:space="preserve">Program </w:t>
                            </w:r>
                            <w:r w:rsidR="0025757F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p</w:t>
                            </w:r>
                            <w:r w:rsidR="00B16F01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riorytetowy</w:t>
                            </w:r>
                            <w:r w:rsidR="0025757F">
                              <w:rPr>
                                <w:rFonts w:asciiTheme="minorHAnsi" w:hAnsi="Calibri" w:cstheme="minorBidi"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 xml:space="preserve"> NFOŚiGW </w:t>
                            </w:r>
                            <w:r w:rsidR="00B16F01" w:rsidRPr="00C340ED"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Ciepł</w:t>
                            </w:r>
                            <w:r w:rsidR="00C340ED"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 xml:space="preserve">ownictwo powiatowe – </w:t>
                            </w:r>
                            <w:r w:rsidR="00B16F01" w:rsidRPr="00C340ED"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pilotaż</w:t>
                            </w:r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93004A3" id="Prostokąt zaokrąglony 16" o:spid="_x0000_s1026" style="position:absolute;margin-left:400.5pt;margin-top:-44.35pt;width:451.7pt;height:41.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" fillcolor="#0070c0" strokecolor="#243f60 [1604]" strokeweight="2pt">
                <v:textbox>
                  <w:txbxContent>
                    <w:p w:rsidR="001658A8" w:rsidRDefault="001658A8" w:rsidP="001658A8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28"/>
                          <w:szCs w:val="28"/>
                        </w:rPr>
                        <w:t xml:space="preserve">Program </w:t>
                      </w:r>
                      <w:r w:rsidR="0025757F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28"/>
                          <w:szCs w:val="28"/>
                        </w:rPr>
                        <w:t>p</w:t>
                      </w:r>
                      <w:r w:rsidR="00B16F01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28"/>
                          <w:szCs w:val="28"/>
                        </w:rPr>
                        <w:t>riorytetowy</w:t>
                      </w:r>
                      <w:r w:rsidR="0025757F">
                        <w:rPr>
                          <w:rFonts w:asciiTheme="minorHAnsi" w:hAnsi="Calibri" w:cstheme="minorBidi"/>
                          <w:color w:val="FFFFFF" w:themeColor="light1"/>
                          <w:kern w:val="24"/>
                          <w:sz w:val="28"/>
                          <w:szCs w:val="28"/>
                        </w:rPr>
                        <w:t xml:space="preserve"> NFOŚiGW </w:t>
                      </w:r>
                      <w:r w:rsidR="00B16F01" w:rsidRPr="00C340ED"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28"/>
                          <w:szCs w:val="28"/>
                        </w:rPr>
                        <w:t>Ciepł</w:t>
                      </w:r>
                      <w:r w:rsidR="00C340ED"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28"/>
                          <w:szCs w:val="28"/>
                        </w:rPr>
                        <w:t xml:space="preserve">ownictwo powiatowe – </w:t>
                      </w:r>
                      <w:r w:rsidR="00B16F01" w:rsidRPr="00C340ED"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28"/>
                          <w:szCs w:val="28"/>
                        </w:rPr>
                        <w:t>pilotaż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31450</wp:posOffset>
            </wp:positionH>
            <wp:positionV relativeFrom="paragraph">
              <wp:posOffset>8698</wp:posOffset>
            </wp:positionV>
            <wp:extent cx="5760720" cy="3100330"/>
            <wp:effectExtent l="0" t="0" r="0" b="508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1658A8" w:rsidRDefault="001658A8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800E73" w:rsidRDefault="00550470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114300</wp:posOffset>
            </wp:positionV>
            <wp:extent cx="5532468" cy="3438878"/>
            <wp:effectExtent l="0" t="0" r="0" b="9525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468" cy="3438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00E73" w:rsidRDefault="00800E73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800E73" w:rsidRDefault="00800E73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800E73" w:rsidRDefault="00800E73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800E73" w:rsidRDefault="00800E73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800E73" w:rsidRDefault="00800E73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800E73" w:rsidRDefault="00800E73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800E73" w:rsidRDefault="00800E73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800E73" w:rsidRDefault="00800E73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800E73" w:rsidRDefault="00800E73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800E73" w:rsidRDefault="00800E73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800E73" w:rsidRDefault="00800E73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800E73" w:rsidRDefault="00800E73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800E73" w:rsidRDefault="00800E73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800E73" w:rsidRDefault="00800E73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800E73" w:rsidRDefault="00800E73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800E73" w:rsidRDefault="00800E73" w:rsidP="00E44C06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jc w:val="both"/>
        <w:rPr>
          <w:rFonts w:asciiTheme="minorHAnsi" w:hAnsiTheme="minorHAnsi"/>
          <w:sz w:val="22"/>
          <w:szCs w:val="22"/>
        </w:rPr>
      </w:pPr>
    </w:p>
    <w:p w:rsidR="00800E73" w:rsidRPr="0045580A" w:rsidRDefault="00800E73" w:rsidP="00800E73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  <w:b/>
        </w:rPr>
      </w:pPr>
      <w:r>
        <w:rPr>
          <w:rFonts w:asciiTheme="minorHAnsi" w:hAnsiTheme="minorHAnsi"/>
        </w:rPr>
        <w:br w:type="page"/>
      </w:r>
      <w:r w:rsidRPr="0045580A">
        <w:rPr>
          <w:rFonts w:asciiTheme="minorHAnsi" w:hAnsiTheme="minorHAnsi"/>
          <w:b/>
        </w:rPr>
        <w:lastRenderedPageBreak/>
        <w:t>Informacje ogólne</w:t>
      </w:r>
    </w:p>
    <w:p w:rsidR="00800E73" w:rsidRPr="0045580A" w:rsidRDefault="00800E73" w:rsidP="00800E7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45580A">
        <w:rPr>
          <w:rFonts w:asciiTheme="minorHAnsi" w:hAnsiTheme="minorHAnsi"/>
          <w:sz w:val="22"/>
          <w:szCs w:val="22"/>
        </w:rPr>
        <w:t xml:space="preserve">Program priorytetowy </w:t>
      </w:r>
      <w:r>
        <w:rPr>
          <w:rFonts w:asciiTheme="minorHAnsi" w:hAnsiTheme="minorHAnsi"/>
          <w:bCs/>
          <w:i/>
          <w:color w:val="000000"/>
          <w:sz w:val="22"/>
          <w:szCs w:val="22"/>
        </w:rPr>
        <w:t>Ciepłownictwo p</w:t>
      </w:r>
      <w:r w:rsidRPr="0045580A">
        <w:rPr>
          <w:rFonts w:asciiTheme="minorHAnsi" w:hAnsiTheme="minorHAnsi"/>
          <w:bCs/>
          <w:i/>
          <w:color w:val="000000"/>
          <w:sz w:val="22"/>
          <w:szCs w:val="22"/>
        </w:rPr>
        <w:t>owiatowe – pilotaż</w:t>
      </w:r>
      <w:r>
        <w:rPr>
          <w:rFonts w:asciiTheme="minorHAnsi" w:hAnsiTheme="minorHAnsi"/>
          <w:bCs/>
          <w:color w:val="000000"/>
          <w:sz w:val="22"/>
          <w:szCs w:val="22"/>
        </w:rPr>
        <w:t xml:space="preserve"> </w:t>
      </w:r>
      <w:r w:rsidRPr="0045580A">
        <w:rPr>
          <w:rFonts w:asciiTheme="minorHAnsi" w:hAnsiTheme="minorHAnsi"/>
          <w:sz w:val="22"/>
          <w:szCs w:val="22"/>
        </w:rPr>
        <w:t>stanowi kompleksowy instrument wsparcia odpowiadający zidentyfikowanym potrzebom związanym z ograniczaniem negatywnego wpływu na środowisko prowadzonej działalności oraz dostosowywania do zaostrzających się norm emisyjnych polskiego sektora ciepłownictwa na szczeblu powiatowym.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800E73" w:rsidRPr="0045580A" w:rsidRDefault="00800E73" w:rsidP="00800E73">
      <w:pPr>
        <w:widowControl w:val="0"/>
        <w:jc w:val="both"/>
        <w:rPr>
          <w:rFonts w:asciiTheme="minorHAnsi" w:hAnsiTheme="minorHAnsi"/>
          <w:i/>
          <w:sz w:val="22"/>
          <w:szCs w:val="22"/>
        </w:rPr>
      </w:pPr>
    </w:p>
    <w:p w:rsidR="00800E73" w:rsidRPr="0045580A" w:rsidRDefault="00800E73" w:rsidP="00800E73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  <w:b/>
        </w:rPr>
      </w:pPr>
      <w:r w:rsidRPr="0045580A">
        <w:rPr>
          <w:rFonts w:asciiTheme="minorHAnsi" w:hAnsiTheme="minorHAnsi"/>
          <w:b/>
        </w:rPr>
        <w:t>Zakres wsparcia</w:t>
      </w:r>
    </w:p>
    <w:p w:rsidR="00800E73" w:rsidRPr="0045580A" w:rsidRDefault="00800E73" w:rsidP="00800E7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 w:rsidRPr="0045580A">
        <w:rPr>
          <w:rFonts w:asciiTheme="minorHAnsi" w:hAnsiTheme="minorHAnsi"/>
          <w:bCs/>
          <w:sz w:val="22"/>
          <w:szCs w:val="22"/>
        </w:rPr>
        <w:t xml:space="preserve">Program </w:t>
      </w:r>
      <w:r>
        <w:rPr>
          <w:rFonts w:asciiTheme="minorHAnsi" w:hAnsiTheme="minorHAnsi"/>
          <w:bCs/>
          <w:i/>
          <w:color w:val="000000"/>
          <w:sz w:val="22"/>
          <w:szCs w:val="22"/>
        </w:rPr>
        <w:t>Ciepłownictwo p</w:t>
      </w:r>
      <w:r w:rsidRPr="0045580A">
        <w:rPr>
          <w:rFonts w:asciiTheme="minorHAnsi" w:hAnsiTheme="minorHAnsi"/>
          <w:bCs/>
          <w:i/>
          <w:color w:val="000000"/>
          <w:sz w:val="22"/>
          <w:szCs w:val="22"/>
        </w:rPr>
        <w:t>owiatowe – pilotaż</w:t>
      </w:r>
      <w:r>
        <w:rPr>
          <w:rFonts w:asciiTheme="minorHAnsi" w:hAnsiTheme="minorHAnsi"/>
          <w:bCs/>
          <w:color w:val="000000"/>
          <w:sz w:val="22"/>
          <w:szCs w:val="22"/>
        </w:rPr>
        <w:t xml:space="preserve"> </w:t>
      </w:r>
      <w:r w:rsidRPr="0045580A">
        <w:rPr>
          <w:rFonts w:asciiTheme="minorHAnsi" w:hAnsiTheme="minorHAnsi"/>
          <w:bCs/>
          <w:sz w:val="22"/>
          <w:szCs w:val="22"/>
        </w:rPr>
        <w:t xml:space="preserve">oferuje wsparcie dla przedsięwzięć z zakresu: </w:t>
      </w:r>
    </w:p>
    <w:p w:rsidR="00800E73" w:rsidRPr="0045580A" w:rsidRDefault="00800E73" w:rsidP="00800E7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45580A">
        <w:rPr>
          <w:rFonts w:asciiTheme="minorHAnsi" w:hAnsiTheme="minorHAnsi"/>
          <w:bCs/>
          <w:sz w:val="22"/>
          <w:szCs w:val="22"/>
        </w:rPr>
        <w:t xml:space="preserve">ograniczenia lub uniknięcia szkodliwych emisji do atmosfery (zarówno związanych ze źródłami spalania paliw jak i pozostałej działalności przemysłowej); </w:t>
      </w:r>
    </w:p>
    <w:p w:rsidR="00800E73" w:rsidRPr="0045580A" w:rsidRDefault="00800E73" w:rsidP="00800E7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45580A">
        <w:rPr>
          <w:rFonts w:asciiTheme="minorHAnsi" w:hAnsiTheme="minorHAnsi"/>
          <w:bCs/>
          <w:sz w:val="22"/>
          <w:szCs w:val="22"/>
        </w:rPr>
        <w:t>zmniejszenia zużycia surowców pierwotnych;</w:t>
      </w:r>
    </w:p>
    <w:p w:rsidR="00800E73" w:rsidRPr="0045580A" w:rsidRDefault="00800E73" w:rsidP="00800E7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45580A">
        <w:rPr>
          <w:rFonts w:asciiTheme="minorHAnsi" w:hAnsiTheme="minorHAnsi"/>
          <w:color w:val="000000"/>
          <w:sz w:val="22"/>
          <w:szCs w:val="22"/>
        </w:rPr>
        <w:t xml:space="preserve">przedsięwzięć mających na celu poprawę efektywności energetycznej; </w:t>
      </w:r>
    </w:p>
    <w:p w:rsidR="00800E73" w:rsidRPr="0045580A" w:rsidRDefault="00800E73" w:rsidP="00800E7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45580A">
        <w:rPr>
          <w:rFonts w:asciiTheme="minorHAnsi" w:hAnsiTheme="minorHAnsi"/>
          <w:sz w:val="22"/>
          <w:szCs w:val="22"/>
        </w:rPr>
        <w:t>nowych źródeł ciepła i energii elektrycznej;</w:t>
      </w:r>
    </w:p>
    <w:p w:rsidR="00800E73" w:rsidRPr="0045580A" w:rsidRDefault="00800E73" w:rsidP="00800E7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45580A">
        <w:rPr>
          <w:rFonts w:asciiTheme="minorHAnsi" w:hAnsiTheme="minorHAnsi"/>
          <w:sz w:val="22"/>
          <w:szCs w:val="22"/>
        </w:rPr>
        <w:t xml:space="preserve">modernizacji/ rozbudowy sieci ciepłowniczych; </w:t>
      </w:r>
    </w:p>
    <w:p w:rsidR="00800E73" w:rsidRPr="0045580A" w:rsidRDefault="00800E73" w:rsidP="00800E7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45580A">
        <w:rPr>
          <w:rFonts w:asciiTheme="minorHAnsi" w:hAnsiTheme="minorHAnsi"/>
          <w:sz w:val="22"/>
          <w:szCs w:val="22"/>
        </w:rPr>
        <w:t xml:space="preserve">energetycznego wykorzystania zasobów geotermalnych. </w:t>
      </w:r>
    </w:p>
    <w:p w:rsidR="00800E73" w:rsidRPr="0045580A" w:rsidRDefault="00800E73" w:rsidP="00800E7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800E73" w:rsidRPr="0045580A" w:rsidRDefault="00800E73" w:rsidP="00800E73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  <w:b/>
        </w:rPr>
      </w:pPr>
      <w:r w:rsidRPr="0045580A">
        <w:rPr>
          <w:rFonts w:asciiTheme="minorHAnsi" w:hAnsiTheme="minorHAnsi"/>
          <w:b/>
        </w:rPr>
        <w:t>Uwarunkowania</w:t>
      </w:r>
    </w:p>
    <w:p w:rsidR="00800E73" w:rsidRPr="0045580A" w:rsidRDefault="00800E73" w:rsidP="00800E73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45580A">
        <w:rPr>
          <w:rFonts w:asciiTheme="minorHAnsi" w:hAnsiTheme="minorHAnsi"/>
          <w:sz w:val="22"/>
          <w:szCs w:val="22"/>
        </w:rPr>
        <w:t>Zasadność uruchomienia programu potwierdza zidentyfikowany potencjał inwestycyjny, który wynika przede wszystkim z konieczności podjęcia przez polski sektor ciepłowniczy inwestycji dostosowujących instalacje do wymogów Dyrektywy w sprawie emisji przemysłowych (tzw. Dyrektywa IED)</w:t>
      </w:r>
      <w:r w:rsidRPr="00487F24">
        <w:rPr>
          <w:rFonts w:asciiTheme="minorHAnsi" w:hAnsiTheme="minorHAnsi"/>
          <w:sz w:val="22"/>
          <w:szCs w:val="22"/>
          <w:vertAlign w:val="superscript"/>
        </w:rPr>
        <w:footnoteReference w:id="1"/>
      </w:r>
      <w:r w:rsidRPr="0045580A">
        <w:rPr>
          <w:rFonts w:asciiTheme="minorHAnsi" w:hAnsiTheme="minorHAnsi"/>
          <w:sz w:val="22"/>
          <w:szCs w:val="22"/>
        </w:rPr>
        <w:t>, aktualnych konkluzji dotyczących najlepszych dostępnych technik (tzw. Konkluzje BAT</w:t>
      </w:r>
      <w:r w:rsidRPr="00487F24">
        <w:rPr>
          <w:rFonts w:asciiTheme="minorHAnsi" w:hAnsiTheme="minorHAnsi"/>
          <w:sz w:val="22"/>
          <w:szCs w:val="22"/>
          <w:vertAlign w:val="superscript"/>
        </w:rPr>
        <w:footnoteReference w:id="2"/>
      </w:r>
      <w:r w:rsidRPr="0045580A">
        <w:rPr>
          <w:rFonts w:asciiTheme="minorHAnsi" w:hAnsiTheme="minorHAnsi"/>
          <w:sz w:val="22"/>
          <w:szCs w:val="22"/>
        </w:rPr>
        <w:t>) oraz norm emisyjnych wynikających Dyrektywy o średnich źródłach spalania (tzw. Dyrektywa MCP)</w:t>
      </w:r>
      <w:r w:rsidRPr="00487F24">
        <w:rPr>
          <w:rFonts w:asciiTheme="minorHAnsi" w:hAnsiTheme="minorHAnsi"/>
          <w:sz w:val="22"/>
          <w:szCs w:val="22"/>
          <w:vertAlign w:val="superscript"/>
        </w:rPr>
        <w:footnoteReference w:id="3"/>
      </w:r>
      <w:r w:rsidRPr="0045580A">
        <w:rPr>
          <w:rFonts w:asciiTheme="minorHAnsi" w:hAnsiTheme="minorHAnsi"/>
          <w:sz w:val="22"/>
          <w:szCs w:val="22"/>
        </w:rPr>
        <w:t xml:space="preserve"> w zakresie niezbędnych rozwiązań dotyczących m.in. odpylania, odazotowania i odsiarczania. Przedsięwzięcia związane z dostosowaniem instalacji do wymogów środowiskowych wynikających z ww. dokumentów charakteryzują się wysoką kapitałochłonnością.</w:t>
      </w:r>
    </w:p>
    <w:p w:rsidR="00800E73" w:rsidRPr="0045580A" w:rsidRDefault="00800E73" w:rsidP="00800E73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45580A">
        <w:rPr>
          <w:rFonts w:asciiTheme="minorHAnsi" w:hAnsiTheme="minorHAnsi"/>
          <w:sz w:val="22"/>
          <w:szCs w:val="22"/>
        </w:rPr>
        <w:t xml:space="preserve">Niezwykle istotne w kontekście rozwoju sektora ciepłowniczego jest fakt, że ciepłownictwo systemowe pokrywa aż 42% krajowego zapotrzebowania na ciepło (prawie 15 mln odbiorców a długość wszystkich sieci to ponad 21 tys. km). Likwidacja nieefektywnych indywidualnych źródeł ciepła i podłączanie odbiorców do ciepła systemowego jest jednym z najbardziej skutecznych i efektywnych ekonomicznie mechanizmów działania na rzecz czystego powietrza (w tym ograniczania niskiej emisji). Dodatkowo wykorzystanie ciepła systemowego oprócz korzyści środowiskowych i ekonomicznych, pozwala również poprawić bezpieczeństwo energetyczne (zwłaszcza w sytuacji integrowania w systemach lokalnych zasobów energetycznych w tym OZE), a także przeciwdziałać zjawisku ubóstwa energetycznego. </w:t>
      </w:r>
    </w:p>
    <w:p w:rsidR="00800E73" w:rsidRPr="0045580A" w:rsidRDefault="00800E73" w:rsidP="00800E7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45580A">
        <w:rPr>
          <w:rFonts w:asciiTheme="minorHAnsi" w:hAnsiTheme="minorHAnsi"/>
          <w:sz w:val="22"/>
          <w:szCs w:val="22"/>
        </w:rPr>
        <w:t xml:space="preserve">Jednym z podstawowych czynników aktualnie ograniczających możliwość rozwoju systemów ciepłowniczych jest fakt, że przepisy pozwalają na udzielanie pomocy publicznej na modernizację wyłącznie systemów ciepłowniczych spełniających definicję „efektywnego systemu ciepłowniczego” (czyli takiego, w którym do produkcji ciepła lub chłodu wykorzystuje się co najmniej: w 50 % energię ze źródeł odnawialnych lub w 50 % ciepło odpadowe lub w 75 % ciepło pochodzące z kogeneracji lub </w:t>
      </w:r>
      <w:r w:rsidRPr="0045580A">
        <w:rPr>
          <w:rFonts w:asciiTheme="minorHAnsi" w:hAnsiTheme="minorHAnsi"/>
          <w:sz w:val="22"/>
          <w:szCs w:val="22"/>
        </w:rPr>
        <w:lastRenderedPageBreak/>
        <w:t>w 50 % wykorzystuje się połączenie ww. energii i ciepła)</w:t>
      </w:r>
      <w:r w:rsidRPr="0045580A">
        <w:rPr>
          <w:rStyle w:val="Odwoanieprzypisudolnego"/>
          <w:rFonts w:asciiTheme="minorHAnsi" w:hAnsiTheme="minorHAnsi"/>
          <w:sz w:val="22"/>
          <w:szCs w:val="22"/>
        </w:rPr>
        <w:footnoteReference w:id="4"/>
      </w:r>
      <w:r w:rsidRPr="0045580A">
        <w:rPr>
          <w:rFonts w:asciiTheme="minorHAnsi" w:hAnsiTheme="minorHAnsi"/>
          <w:sz w:val="22"/>
          <w:szCs w:val="22"/>
        </w:rPr>
        <w:t xml:space="preserve">. W Polsce prawie 90% istniejących systemów ciepłowniczych (zwłaszcza w mniejszych miastach do 100 tys. mieszkańców) nie spełnia ww. warunku. </w:t>
      </w:r>
    </w:p>
    <w:p w:rsidR="00800E73" w:rsidRPr="0045580A" w:rsidRDefault="00800E73" w:rsidP="00800E7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45580A">
        <w:rPr>
          <w:rFonts w:asciiTheme="minorHAnsi" w:hAnsiTheme="minorHAnsi"/>
          <w:sz w:val="22"/>
          <w:szCs w:val="22"/>
        </w:rPr>
        <w:t xml:space="preserve">Poniższy wykres przedstawia udział ciepła dostarczanego do miast o różnej wielkości z efektywnych systemów (źródło Izba Gospodarcza Ciepłownictwo Polskie). </w:t>
      </w:r>
    </w:p>
    <w:p w:rsidR="00800E73" w:rsidRPr="0045580A" w:rsidRDefault="00800E73" w:rsidP="00800E7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45580A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0010B1" wp14:editId="658D51C8">
                <wp:simplePos x="0" y="0"/>
                <wp:positionH relativeFrom="column">
                  <wp:posOffset>3114675</wp:posOffset>
                </wp:positionH>
                <wp:positionV relativeFrom="paragraph">
                  <wp:posOffset>332740</wp:posOffset>
                </wp:positionV>
                <wp:extent cx="1565453" cy="2516429"/>
                <wp:effectExtent l="19050" t="19050" r="34925" b="3683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453" cy="2516429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4A54B7" id="Prostokąt 3" o:spid="_x0000_s1026" style="position:absolute;margin-left:245.25pt;margin-top:26.2pt;width:123.25pt;height:198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" filled="f" strokecolor="red" strokeweight="4.5pt"/>
            </w:pict>
          </mc:Fallback>
        </mc:AlternateContent>
      </w:r>
      <w:r w:rsidRPr="0045580A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79874CAE" wp14:editId="5695A60C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597525" cy="2979420"/>
            <wp:effectExtent l="0" t="0" r="3175" b="0"/>
            <wp:wrapThrough wrapText="bothSides">
              <wp:wrapPolygon edited="0">
                <wp:start x="0" y="0"/>
                <wp:lineTo x="0" y="21407"/>
                <wp:lineTo x="21539" y="21407"/>
                <wp:lineTo x="21539" y="0"/>
                <wp:lineTo x="0" y="0"/>
              </wp:wrapPolygon>
            </wp:wrapThrough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7525" cy="297942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0E73" w:rsidRPr="0045580A" w:rsidRDefault="00800E73" w:rsidP="00800E7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800E73" w:rsidRPr="0045580A" w:rsidRDefault="00800E73" w:rsidP="00800E7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45580A">
        <w:rPr>
          <w:rFonts w:asciiTheme="minorHAnsi" w:hAnsiTheme="minorHAnsi"/>
          <w:sz w:val="22"/>
          <w:szCs w:val="22"/>
        </w:rPr>
        <w:t xml:space="preserve">Jak widać na wykresie „problem” nieefektywnych systemów dotyczy głównie ciepłownictwa „powiatowego”. W dużych miastach, powyżej 500 tys. mieszkańców, 100% ciepła jest objęte systemami efektywnymi, a na przeciwległym biegunie znajdują się małe miejscowości do 20 tys. mieszkańców, dla których tylko 14% ciepła zalicza się do tej kategorii. Osiągnięcie (lub utrzymanie) statusu efektywnego systemu wymaga od spółek ciepłowniczych podjęcia szeregu inwestycji w zakresie modernizacji i rozbudowy źródeł energii. Podjęcie koniecznych inwestycji w zakresie bazy wytwórczej, w połączeniu z potrzebami modernizacyjnymi wynikającymi ze standardów emisyjnych (MCP/IED/BAT) powoduje, że możliwość funkcjonowania i rozwoju sektora ciepłowniczego stoi w obliczu niezwykle kapitałochłonnych i technologicznie złożonych wyzwań, a ich realizacja uzależniona jest od dostępu do niezbędnych źródeł finansowania. Większość przedsiębiorstw ciepłowniczych działających na poziomie lokalnym należy do jednostek samorządów terytorialnych, a ich słaba kondycja finansowa powoduje, że możliwości podejmowania inwestycji są bardzo ograniczone.  Duża liczba systemów nieefektywnych i ich rozdrobnienie są dodatkowym wyzwaniem w procesie modernizacji ciepłownictwa. </w:t>
      </w:r>
    </w:p>
    <w:p w:rsidR="00800E73" w:rsidRPr="0045580A" w:rsidRDefault="00800E73" w:rsidP="00800E7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800E73" w:rsidRPr="0045580A" w:rsidRDefault="00800E73" w:rsidP="00800E73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45580A">
        <w:rPr>
          <w:rFonts w:asciiTheme="minorHAnsi" w:hAnsiTheme="minorHAnsi"/>
          <w:sz w:val="22"/>
          <w:szCs w:val="22"/>
        </w:rPr>
        <w:t>NFOŚiGW zidentyfikował 130 lokalnych przedsiębiorstw ciepłowniczych objętych przedmiotowymi normami, a których większościowym właścicielem są jednostki samorządu oraz miasta (lista przedsiębiorstw stanowi załącznik do niniejszego wniosku). Przedmiotowy Program dedykowany jest właśnie przedsiębiorcom produkującym energię cieplną na cele komunalno</w:t>
      </w:r>
      <w:r>
        <w:rPr>
          <w:rFonts w:asciiTheme="minorHAnsi" w:hAnsiTheme="minorHAnsi"/>
          <w:sz w:val="22"/>
          <w:szCs w:val="22"/>
        </w:rPr>
        <w:t>-</w:t>
      </w:r>
      <w:r w:rsidRPr="0045580A">
        <w:rPr>
          <w:rFonts w:asciiTheme="minorHAnsi" w:hAnsiTheme="minorHAnsi"/>
          <w:sz w:val="22"/>
          <w:szCs w:val="22"/>
        </w:rPr>
        <w:t>bytowe, których większościowym udziałowcem jest jednostka samorządu terytorialnego (udział przedsiębiorców prywatnych nie przekracza 30</w:t>
      </w:r>
      <w:bookmarkStart w:id="0" w:name="_GoBack"/>
      <w:bookmarkEnd w:id="0"/>
      <w:r w:rsidRPr="0045580A">
        <w:rPr>
          <w:rFonts w:asciiTheme="minorHAnsi" w:hAnsiTheme="minorHAnsi"/>
          <w:sz w:val="22"/>
          <w:szCs w:val="22"/>
        </w:rPr>
        <w:t xml:space="preserve">%). Jednocześnie całkowita moc cieplna zamówiona systemu ciepłowniczego, w ramach którego prowadzona jest przedmiotowa działalność, wynosi nie więcej niż 50 MW. </w:t>
      </w:r>
    </w:p>
    <w:p w:rsidR="00800E73" w:rsidRPr="0045580A" w:rsidRDefault="00800E73" w:rsidP="00800E73">
      <w:pPr>
        <w:jc w:val="both"/>
        <w:rPr>
          <w:rFonts w:asciiTheme="minorHAnsi" w:hAnsiTheme="minorHAnsi"/>
          <w:sz w:val="22"/>
          <w:szCs w:val="22"/>
        </w:rPr>
      </w:pPr>
    </w:p>
    <w:p w:rsidR="00800E73" w:rsidRPr="0045580A" w:rsidRDefault="00800E73" w:rsidP="00800E73">
      <w:pPr>
        <w:pStyle w:val="Akapitzlist"/>
        <w:numPr>
          <w:ilvl w:val="0"/>
          <w:numId w:val="4"/>
        </w:numPr>
        <w:tabs>
          <w:tab w:val="clear" w:pos="360"/>
        </w:tabs>
        <w:ind w:left="284" w:hanging="284"/>
        <w:rPr>
          <w:rFonts w:asciiTheme="minorHAnsi" w:hAnsiTheme="minorHAnsi"/>
          <w:b/>
        </w:rPr>
      </w:pPr>
      <w:r w:rsidRPr="0045580A">
        <w:rPr>
          <w:rFonts w:asciiTheme="minorHAnsi" w:hAnsiTheme="minorHAnsi"/>
          <w:b/>
        </w:rPr>
        <w:lastRenderedPageBreak/>
        <w:t xml:space="preserve">Założenia </w:t>
      </w:r>
      <w:r>
        <w:rPr>
          <w:rFonts w:asciiTheme="minorHAnsi" w:hAnsiTheme="minorHAnsi"/>
          <w:b/>
        </w:rPr>
        <w:t>p</w:t>
      </w:r>
      <w:r w:rsidRPr="0045580A">
        <w:rPr>
          <w:rFonts w:asciiTheme="minorHAnsi" w:hAnsiTheme="minorHAnsi"/>
          <w:b/>
        </w:rPr>
        <w:t xml:space="preserve">rogramu </w:t>
      </w:r>
    </w:p>
    <w:p w:rsidR="00800E73" w:rsidRPr="0045580A" w:rsidRDefault="00800E73" w:rsidP="00800E73">
      <w:pPr>
        <w:pStyle w:val="Akapitzlist2"/>
        <w:autoSpaceDE w:val="0"/>
        <w:autoSpaceDN w:val="0"/>
        <w:adjustRightInd w:val="0"/>
        <w:spacing w:before="120"/>
        <w:ind w:left="0"/>
        <w:jc w:val="both"/>
        <w:rPr>
          <w:rFonts w:asciiTheme="minorHAnsi" w:hAnsiTheme="minorHAnsi"/>
          <w:b/>
          <w:sz w:val="22"/>
          <w:szCs w:val="22"/>
        </w:rPr>
      </w:pPr>
      <w:r w:rsidRPr="0045580A">
        <w:rPr>
          <w:rFonts w:asciiTheme="minorHAnsi" w:hAnsiTheme="minorHAnsi"/>
          <w:b/>
          <w:sz w:val="22"/>
          <w:szCs w:val="22"/>
        </w:rPr>
        <w:t>Beneficjenci: przedsiębiorcy produkujący en</w:t>
      </w:r>
      <w:r>
        <w:rPr>
          <w:rFonts w:asciiTheme="minorHAnsi" w:hAnsiTheme="minorHAnsi"/>
          <w:b/>
          <w:sz w:val="22"/>
          <w:szCs w:val="22"/>
        </w:rPr>
        <w:t>ergię cieplną na cele komunalno-</w:t>
      </w:r>
      <w:r w:rsidRPr="0045580A">
        <w:rPr>
          <w:rFonts w:asciiTheme="minorHAnsi" w:hAnsiTheme="minorHAnsi"/>
          <w:b/>
          <w:sz w:val="22"/>
          <w:szCs w:val="22"/>
        </w:rPr>
        <w:t>bytowe</w:t>
      </w:r>
      <w:r>
        <w:rPr>
          <w:rFonts w:asciiTheme="minorHAnsi" w:hAnsiTheme="minorHAnsi"/>
          <w:b/>
          <w:sz w:val="22"/>
          <w:szCs w:val="22"/>
        </w:rPr>
        <w:t>,</w:t>
      </w:r>
      <w:r w:rsidRPr="0045580A">
        <w:rPr>
          <w:rFonts w:asciiTheme="minorHAnsi" w:hAnsiTheme="minorHAnsi"/>
          <w:b/>
          <w:sz w:val="22"/>
          <w:szCs w:val="22"/>
        </w:rPr>
        <w:t xml:space="preserve"> których większościowym udziałowcem jest </w:t>
      </w:r>
      <w:r w:rsidRPr="0045580A">
        <w:rPr>
          <w:rFonts w:asciiTheme="minorHAnsi" w:eastAsia="Calibri" w:hAnsiTheme="minorHAnsi"/>
          <w:b/>
          <w:bCs/>
          <w:sz w:val="22"/>
          <w:szCs w:val="22"/>
          <w:lang w:eastAsia="en-US"/>
        </w:rPr>
        <w:t xml:space="preserve">jednostka samorządu terytorialnego </w:t>
      </w:r>
      <w:r w:rsidRPr="0045580A">
        <w:rPr>
          <w:rFonts w:asciiTheme="minorHAnsi" w:eastAsia="Calibri" w:hAnsiTheme="minorHAnsi"/>
          <w:b/>
          <w:sz w:val="22"/>
          <w:szCs w:val="22"/>
          <w:lang w:eastAsia="en-US"/>
        </w:rPr>
        <w:t>(min. 70%)</w:t>
      </w:r>
    </w:p>
    <w:p w:rsidR="00800E73" w:rsidRPr="0045580A" w:rsidRDefault="00800E73" w:rsidP="00800E73">
      <w:pPr>
        <w:jc w:val="both"/>
        <w:rPr>
          <w:rFonts w:asciiTheme="minorHAnsi" w:hAnsiTheme="minorHAnsi"/>
          <w:sz w:val="22"/>
          <w:szCs w:val="22"/>
        </w:rPr>
      </w:pPr>
    </w:p>
    <w:p w:rsidR="00800E73" w:rsidRPr="0045580A" w:rsidRDefault="00800E73" w:rsidP="00800E73">
      <w:pPr>
        <w:jc w:val="both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45580A"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Całkowity budżet </w:t>
      </w:r>
      <w:r>
        <w:rPr>
          <w:rFonts w:asciiTheme="minorHAnsi" w:eastAsia="Calibri" w:hAnsiTheme="minorHAnsi"/>
          <w:b/>
          <w:sz w:val="22"/>
          <w:szCs w:val="22"/>
          <w:lang w:eastAsia="en-US"/>
        </w:rPr>
        <w:t>p</w:t>
      </w:r>
      <w:r w:rsidRPr="0045580A">
        <w:rPr>
          <w:rFonts w:asciiTheme="minorHAnsi" w:eastAsia="Calibri" w:hAnsiTheme="minorHAnsi"/>
          <w:b/>
          <w:sz w:val="22"/>
          <w:szCs w:val="22"/>
          <w:lang w:eastAsia="en-US"/>
        </w:rPr>
        <w:t xml:space="preserve">rogramu: 500 milionów złotych </w:t>
      </w:r>
      <w:r w:rsidRPr="0045580A">
        <w:rPr>
          <w:rFonts w:asciiTheme="minorHAnsi" w:hAnsiTheme="minorHAnsi"/>
          <w:sz w:val="22"/>
          <w:szCs w:val="22"/>
        </w:rPr>
        <w:t>(z czego 350 mln przeznaczone jest na zwrotne formy finansowania a 150 mln zł na wsparcie bezzwrotne)</w:t>
      </w:r>
    </w:p>
    <w:p w:rsidR="00800E73" w:rsidRPr="0045580A" w:rsidRDefault="00800E73" w:rsidP="00800E73">
      <w:pPr>
        <w:jc w:val="both"/>
        <w:rPr>
          <w:rFonts w:asciiTheme="minorHAnsi" w:eastAsia="Calibri" w:hAnsiTheme="minorHAnsi"/>
          <w:b/>
          <w:sz w:val="22"/>
          <w:szCs w:val="22"/>
          <w:lang w:eastAsia="en-US"/>
        </w:rPr>
      </w:pPr>
    </w:p>
    <w:p w:rsidR="00800E73" w:rsidRPr="0045580A" w:rsidRDefault="00800E73" w:rsidP="00800E73">
      <w:pPr>
        <w:jc w:val="both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45580A">
        <w:rPr>
          <w:rFonts w:asciiTheme="minorHAnsi" w:eastAsia="Calibri" w:hAnsiTheme="minorHAnsi"/>
          <w:b/>
          <w:sz w:val="22"/>
          <w:szCs w:val="22"/>
          <w:lang w:eastAsia="en-US"/>
        </w:rPr>
        <w:t>Formy finansowania: dotacje, pożyczki preferencyjne</w:t>
      </w:r>
      <w:r w:rsidRPr="0045580A">
        <w:rPr>
          <w:rFonts w:asciiTheme="minorHAnsi" w:eastAsia="Calibri" w:hAnsiTheme="minorHAnsi"/>
          <w:sz w:val="22"/>
          <w:szCs w:val="22"/>
          <w:lang w:eastAsia="en-US"/>
        </w:rPr>
        <w:t xml:space="preserve"> (w szczególnych przypadkach z możliwością umorzenia) oraz </w:t>
      </w:r>
      <w:r w:rsidRPr="0045580A">
        <w:rPr>
          <w:rFonts w:asciiTheme="minorHAnsi" w:eastAsia="Calibri" w:hAnsiTheme="minorHAnsi"/>
          <w:b/>
          <w:sz w:val="22"/>
          <w:szCs w:val="22"/>
          <w:lang w:eastAsia="en-US"/>
        </w:rPr>
        <w:t>pożyczki na zasadach rynkowych</w:t>
      </w:r>
      <w:r>
        <w:rPr>
          <w:rFonts w:asciiTheme="minorHAnsi" w:eastAsia="Calibri" w:hAnsiTheme="minorHAnsi"/>
          <w:b/>
          <w:sz w:val="22"/>
          <w:szCs w:val="22"/>
          <w:lang w:eastAsia="en-US"/>
        </w:rPr>
        <w:t>.</w:t>
      </w:r>
    </w:p>
    <w:p w:rsidR="00800E73" w:rsidRPr="0045580A" w:rsidRDefault="00800E73" w:rsidP="00800E73">
      <w:pPr>
        <w:pStyle w:val="Akapitzlist2"/>
        <w:autoSpaceDE w:val="0"/>
        <w:autoSpaceDN w:val="0"/>
        <w:adjustRightInd w:val="0"/>
        <w:spacing w:before="120"/>
        <w:ind w:left="0"/>
        <w:jc w:val="both"/>
        <w:rPr>
          <w:rFonts w:asciiTheme="minorHAnsi" w:hAnsiTheme="minorHAnsi"/>
          <w:sz w:val="22"/>
          <w:szCs w:val="22"/>
        </w:rPr>
      </w:pPr>
      <w:r w:rsidRPr="0045580A">
        <w:rPr>
          <w:rFonts w:asciiTheme="minorHAnsi" w:hAnsiTheme="minorHAnsi"/>
          <w:b/>
          <w:sz w:val="22"/>
          <w:szCs w:val="22"/>
        </w:rPr>
        <w:t>Warunki finansowania:</w:t>
      </w:r>
      <w:r w:rsidRPr="0045580A">
        <w:rPr>
          <w:rFonts w:asciiTheme="minorHAnsi" w:hAnsiTheme="minorHAnsi"/>
          <w:sz w:val="22"/>
          <w:szCs w:val="22"/>
        </w:rPr>
        <w:t xml:space="preserve"> Zakres, forma oraz zasady finansowania zostały zróżnicowane i dostosowane do charakteru wspieranych typów przedsięwzięć oraz realnych warunków i potrzeb rynku. Ze względu na formę beneficjentów, charakter wspieranych inwestycji oraz potrzeby inwestycyjne </w:t>
      </w:r>
      <w:r>
        <w:rPr>
          <w:rFonts w:asciiTheme="minorHAnsi" w:hAnsiTheme="minorHAnsi"/>
          <w:sz w:val="22"/>
          <w:szCs w:val="22"/>
        </w:rPr>
        <w:t>p</w:t>
      </w:r>
      <w:r w:rsidRPr="0045580A">
        <w:rPr>
          <w:rFonts w:asciiTheme="minorHAnsi" w:hAnsiTheme="minorHAnsi"/>
          <w:sz w:val="22"/>
          <w:szCs w:val="22"/>
        </w:rPr>
        <w:t>rogram oferuje atrakcyjniejsze niż st</w:t>
      </w:r>
      <w:r>
        <w:rPr>
          <w:rFonts w:asciiTheme="minorHAnsi" w:hAnsiTheme="minorHAnsi"/>
          <w:sz w:val="22"/>
          <w:szCs w:val="22"/>
        </w:rPr>
        <w:t>andardowo warunki finansowania.</w:t>
      </w:r>
    </w:p>
    <w:p w:rsidR="00800E73" w:rsidRPr="0045580A" w:rsidRDefault="00800E73" w:rsidP="00800E73">
      <w:pPr>
        <w:pStyle w:val="Akapitzlist2"/>
        <w:autoSpaceDE w:val="0"/>
        <w:autoSpaceDN w:val="0"/>
        <w:adjustRightInd w:val="0"/>
        <w:spacing w:before="120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45580A">
        <w:rPr>
          <w:rFonts w:asciiTheme="minorHAnsi" w:hAnsiTheme="minorHAnsi"/>
          <w:sz w:val="22"/>
          <w:szCs w:val="22"/>
        </w:rPr>
        <w:t xml:space="preserve">dotacje: co do zasady </w:t>
      </w:r>
      <w:r w:rsidRPr="0045580A">
        <w:rPr>
          <w:rFonts w:asciiTheme="minorHAnsi" w:hAnsiTheme="minorHAnsi"/>
          <w:b/>
          <w:sz w:val="22"/>
          <w:szCs w:val="22"/>
        </w:rPr>
        <w:t>do 30%</w:t>
      </w:r>
      <w:r w:rsidRPr="0045580A">
        <w:rPr>
          <w:rFonts w:asciiTheme="minorHAnsi" w:hAnsiTheme="minorHAnsi"/>
          <w:sz w:val="22"/>
          <w:szCs w:val="22"/>
        </w:rPr>
        <w:t>, a w przypadku przedsięwzięć wykorzystujących do produkcji energii elektrycznej technologię ORC</w:t>
      </w:r>
      <w:r w:rsidRPr="0045580A">
        <w:rPr>
          <w:rFonts w:asciiTheme="minorHAnsi" w:hAnsiTheme="minorHAnsi"/>
          <w:sz w:val="22"/>
          <w:szCs w:val="22"/>
          <w:vertAlign w:val="superscript"/>
        </w:rPr>
        <w:footnoteReference w:id="5"/>
      </w:r>
      <w:r w:rsidRPr="0045580A">
        <w:rPr>
          <w:rFonts w:asciiTheme="minorHAnsi" w:hAnsiTheme="minorHAnsi"/>
          <w:sz w:val="22"/>
          <w:szCs w:val="22"/>
        </w:rPr>
        <w:t xml:space="preserve"> (w ramach ciepłowni/ elektrociepłowni/ elektrowni geotermalnych) poziom dotacji może wynieść </w:t>
      </w:r>
      <w:r>
        <w:rPr>
          <w:rFonts w:asciiTheme="minorHAnsi" w:hAnsiTheme="minorHAnsi"/>
          <w:b/>
          <w:sz w:val="22"/>
          <w:szCs w:val="22"/>
        </w:rPr>
        <w:t>do 50%</w:t>
      </w:r>
      <w:r w:rsidRPr="005C22A5">
        <w:rPr>
          <w:rFonts w:asciiTheme="minorHAnsi" w:hAnsiTheme="minorHAnsi"/>
          <w:sz w:val="22"/>
          <w:szCs w:val="22"/>
        </w:rPr>
        <w:t>;</w:t>
      </w:r>
    </w:p>
    <w:p w:rsidR="00800E73" w:rsidRPr="0045580A" w:rsidRDefault="00800E73" w:rsidP="00800E73">
      <w:pPr>
        <w:pStyle w:val="Akapitzlist2"/>
        <w:autoSpaceDE w:val="0"/>
        <w:autoSpaceDN w:val="0"/>
        <w:adjustRightInd w:val="0"/>
        <w:spacing w:before="120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45580A">
        <w:rPr>
          <w:rFonts w:asciiTheme="minorHAnsi" w:hAnsiTheme="minorHAnsi"/>
          <w:sz w:val="22"/>
          <w:szCs w:val="22"/>
        </w:rPr>
        <w:t xml:space="preserve">pożyczki preferencyjne: od 1 do 300 mln zł z oprocentowaniem na poziomie WIBOR 3M + 50 pb, (nie mniej niż 2 </w:t>
      </w:r>
      <w:r w:rsidRPr="0045580A">
        <w:rPr>
          <w:rFonts w:asciiTheme="minorHAnsi" w:hAnsiTheme="minorHAnsi"/>
          <w:bCs/>
          <w:sz w:val="22"/>
          <w:szCs w:val="22"/>
        </w:rPr>
        <w:t>%</w:t>
      </w:r>
      <w:r w:rsidRPr="0045580A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45580A">
        <w:rPr>
          <w:rFonts w:asciiTheme="minorHAnsi" w:hAnsiTheme="minorHAnsi"/>
          <w:sz w:val="22"/>
          <w:szCs w:val="22"/>
        </w:rPr>
        <w:t>w skali roku)</w:t>
      </w:r>
      <w:r w:rsidRPr="005C22A5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;</w:t>
      </w:r>
    </w:p>
    <w:p w:rsidR="00800E73" w:rsidRPr="0045580A" w:rsidRDefault="00800E73" w:rsidP="00800E73">
      <w:pPr>
        <w:pStyle w:val="Akapitzlist2"/>
        <w:autoSpaceDE w:val="0"/>
        <w:autoSpaceDN w:val="0"/>
        <w:adjustRightInd w:val="0"/>
        <w:spacing w:before="120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45580A">
        <w:rPr>
          <w:rFonts w:asciiTheme="minorHAnsi" w:hAnsiTheme="minorHAnsi"/>
          <w:sz w:val="22"/>
          <w:szCs w:val="22"/>
        </w:rPr>
        <w:t>w sytuacji pozyskania dotacji finansowanie w formie pożyczki jest obligatoryjne i stanowi uzupełnienie do 100% kos</w:t>
      </w:r>
      <w:r>
        <w:rPr>
          <w:rFonts w:asciiTheme="minorHAnsi" w:hAnsiTheme="minorHAnsi"/>
          <w:sz w:val="22"/>
          <w:szCs w:val="22"/>
        </w:rPr>
        <w:t>ztów kwalifikowanych inwestycji;</w:t>
      </w:r>
    </w:p>
    <w:p w:rsidR="00800E73" w:rsidRPr="0045580A" w:rsidRDefault="00800E73" w:rsidP="00800E73">
      <w:pPr>
        <w:pStyle w:val="Akapitzlist2"/>
        <w:autoSpaceDE w:val="0"/>
        <w:autoSpaceDN w:val="0"/>
        <w:adjustRightInd w:val="0"/>
        <w:spacing w:before="120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45580A">
        <w:rPr>
          <w:rFonts w:asciiTheme="minorHAnsi" w:hAnsiTheme="minorHAnsi"/>
          <w:sz w:val="22"/>
          <w:szCs w:val="22"/>
        </w:rPr>
        <w:t xml:space="preserve">pożyczki mogą być częściowo umorzone (maksymalnie 10% udzielonej pożyczki </w:t>
      </w:r>
      <w:r w:rsidRPr="0045580A">
        <w:rPr>
          <w:rFonts w:asciiTheme="minorHAnsi" w:hAnsiTheme="minorHAnsi"/>
          <w:b/>
          <w:sz w:val="22"/>
          <w:szCs w:val="22"/>
        </w:rPr>
        <w:t>do 5 milionów zł</w:t>
      </w:r>
      <w:r>
        <w:rPr>
          <w:rFonts w:asciiTheme="minorHAnsi" w:hAnsiTheme="minorHAnsi"/>
          <w:sz w:val="22"/>
          <w:szCs w:val="22"/>
        </w:rPr>
        <w:t>);</w:t>
      </w:r>
    </w:p>
    <w:p w:rsidR="00800E73" w:rsidRPr="0045580A" w:rsidRDefault="00800E73" w:rsidP="00800E73">
      <w:pPr>
        <w:pStyle w:val="Default"/>
        <w:widowControl w:val="0"/>
        <w:spacing w:before="120"/>
        <w:jc w:val="both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45580A">
        <w:rPr>
          <w:rFonts w:asciiTheme="minorHAnsi" w:hAnsiTheme="minorHAnsi"/>
          <w:color w:val="auto"/>
          <w:sz w:val="22"/>
          <w:szCs w:val="22"/>
        </w:rPr>
        <w:t xml:space="preserve">okres finansowania – pożyczka może być udzielona na okres nie dłuższy </w:t>
      </w:r>
      <w:r w:rsidRPr="0045580A">
        <w:rPr>
          <w:rFonts w:asciiTheme="minorHAnsi" w:hAnsiTheme="minorHAnsi"/>
          <w:b/>
          <w:color w:val="auto"/>
          <w:sz w:val="22"/>
          <w:szCs w:val="22"/>
        </w:rPr>
        <w:t xml:space="preserve">niż </w:t>
      </w:r>
      <w:r w:rsidRPr="0045580A">
        <w:rPr>
          <w:rFonts w:asciiTheme="minorHAnsi" w:hAnsiTheme="minorHAnsi"/>
          <w:b/>
          <w:color w:val="000000" w:themeColor="text1"/>
          <w:sz w:val="22"/>
          <w:szCs w:val="22"/>
        </w:rPr>
        <w:t>20 lat</w:t>
      </w:r>
      <w:r w:rsidRPr="005C22A5">
        <w:rPr>
          <w:rFonts w:asciiTheme="minorHAnsi" w:hAnsiTheme="minorHAnsi"/>
          <w:color w:val="000000" w:themeColor="text1"/>
          <w:sz w:val="22"/>
          <w:szCs w:val="22"/>
        </w:rPr>
        <w:t>;</w:t>
      </w:r>
    </w:p>
    <w:p w:rsidR="00800E73" w:rsidRPr="0045580A" w:rsidRDefault="00800E73" w:rsidP="00800E73">
      <w:pPr>
        <w:pStyle w:val="Akapitzlist2"/>
        <w:autoSpaceDE w:val="0"/>
        <w:autoSpaceDN w:val="0"/>
        <w:adjustRightInd w:val="0"/>
        <w:spacing w:before="120"/>
        <w:ind w:left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45580A">
        <w:rPr>
          <w:rFonts w:asciiTheme="minorHAnsi" w:hAnsiTheme="minorHAnsi"/>
          <w:sz w:val="22"/>
          <w:szCs w:val="22"/>
        </w:rPr>
        <w:t>pożyczki na zasadach rynkowych: to oferta skierowana do tych podmiotów, które nie mogą uzyskać pomocy publicznej są natomiast zdecydowane (lub prawnie zobligowane) na realizację przedsięwzięć zmniejszających ich negatywną presję na środowisko.</w:t>
      </w:r>
    </w:p>
    <w:p w:rsidR="00800E73" w:rsidRPr="0045580A" w:rsidRDefault="00800E73" w:rsidP="00800E73">
      <w:pPr>
        <w:pStyle w:val="Akapitzlist2"/>
        <w:autoSpaceDE w:val="0"/>
        <w:autoSpaceDN w:val="0"/>
        <w:adjustRightInd w:val="0"/>
        <w:spacing w:before="120"/>
        <w:ind w:left="0"/>
        <w:jc w:val="both"/>
        <w:rPr>
          <w:rFonts w:asciiTheme="minorHAnsi" w:hAnsiTheme="minorHAnsi"/>
          <w:sz w:val="22"/>
          <w:szCs w:val="22"/>
        </w:rPr>
      </w:pPr>
      <w:r w:rsidRPr="0045580A">
        <w:rPr>
          <w:rFonts w:asciiTheme="minorHAnsi" w:hAnsiTheme="minorHAnsi"/>
          <w:b/>
          <w:sz w:val="22"/>
          <w:szCs w:val="22"/>
        </w:rPr>
        <w:t>Nabór wniosków: od 1 ma</w:t>
      </w:r>
      <w:r>
        <w:rPr>
          <w:rFonts w:asciiTheme="minorHAnsi" w:hAnsiTheme="minorHAnsi"/>
          <w:b/>
          <w:sz w:val="22"/>
          <w:szCs w:val="22"/>
        </w:rPr>
        <w:t xml:space="preserve">rca 2019 do 20 grudnia 2019 r. </w:t>
      </w:r>
      <w:r w:rsidRPr="0045580A">
        <w:rPr>
          <w:rFonts w:asciiTheme="minorHAnsi" w:hAnsiTheme="minorHAnsi"/>
          <w:b/>
          <w:sz w:val="22"/>
          <w:szCs w:val="22"/>
        </w:rPr>
        <w:t xml:space="preserve">(kwota alokacji w ramach naboru: </w:t>
      </w:r>
      <w:r>
        <w:rPr>
          <w:rFonts w:asciiTheme="minorHAnsi" w:hAnsiTheme="minorHAnsi"/>
          <w:b/>
          <w:sz w:val="22"/>
          <w:szCs w:val="22"/>
        </w:rPr>
        <w:br/>
      </w:r>
      <w:r w:rsidRPr="0045580A">
        <w:rPr>
          <w:rFonts w:asciiTheme="minorHAnsi" w:hAnsiTheme="minorHAnsi"/>
          <w:b/>
          <w:sz w:val="22"/>
          <w:szCs w:val="22"/>
        </w:rPr>
        <w:t>500 milionów złotych).</w:t>
      </w:r>
    </w:p>
    <w:p w:rsidR="00800E73" w:rsidRDefault="00800E73">
      <w:pPr>
        <w:rPr>
          <w:rFonts w:asciiTheme="minorHAnsi" w:hAnsiTheme="minorHAnsi"/>
          <w:sz w:val="22"/>
          <w:szCs w:val="22"/>
        </w:rPr>
      </w:pPr>
    </w:p>
    <w:sectPr w:rsidR="00800E73" w:rsidSect="002E0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7E9" w:rsidRDefault="003F77E9" w:rsidP="00663473">
      <w:r>
        <w:separator/>
      </w:r>
    </w:p>
  </w:endnote>
  <w:endnote w:type="continuationSeparator" w:id="0">
    <w:p w:rsidR="003F77E9" w:rsidRDefault="003F77E9" w:rsidP="00663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7E9" w:rsidRDefault="003F77E9" w:rsidP="00663473">
      <w:r>
        <w:separator/>
      </w:r>
    </w:p>
  </w:footnote>
  <w:footnote w:type="continuationSeparator" w:id="0">
    <w:p w:rsidR="003F77E9" w:rsidRDefault="003F77E9" w:rsidP="00663473">
      <w:r>
        <w:continuationSeparator/>
      </w:r>
    </w:p>
  </w:footnote>
  <w:footnote w:id="1">
    <w:p w:rsidR="00800E73" w:rsidRPr="00491B37" w:rsidRDefault="00800E73" w:rsidP="00800E73">
      <w:pPr>
        <w:jc w:val="both"/>
        <w:rPr>
          <w:rFonts w:asciiTheme="minorHAnsi" w:hAnsiTheme="minorHAnsi"/>
        </w:rPr>
      </w:pPr>
      <w:r w:rsidRPr="00491B37">
        <w:rPr>
          <w:rStyle w:val="Odwoanieprzypisudolnego"/>
          <w:rFonts w:asciiTheme="minorHAnsi" w:hAnsiTheme="minorHAnsi" w:cs="Arial"/>
        </w:rPr>
        <w:footnoteRef/>
      </w:r>
      <w:r w:rsidRPr="00491B37">
        <w:rPr>
          <w:rFonts w:asciiTheme="minorHAnsi" w:hAnsiTheme="minorHAnsi"/>
        </w:rPr>
        <w:t xml:space="preserve"> Dyrektywa Parlamentu Europejskiego i Rady 2010/75/UE z dnia 24 listopada 2010 r., w sprawie emisji przemysłowych (Industrial </w:t>
      </w:r>
      <w:proofErr w:type="spellStart"/>
      <w:r w:rsidRPr="00491B37">
        <w:rPr>
          <w:rFonts w:asciiTheme="minorHAnsi" w:hAnsiTheme="minorHAnsi"/>
        </w:rPr>
        <w:t>Emission</w:t>
      </w:r>
      <w:proofErr w:type="spellEnd"/>
      <w:r w:rsidRPr="00491B37">
        <w:rPr>
          <w:rFonts w:asciiTheme="minorHAnsi" w:hAnsiTheme="minorHAnsi"/>
        </w:rPr>
        <w:t xml:space="preserve"> Directive - IED).</w:t>
      </w:r>
    </w:p>
  </w:footnote>
  <w:footnote w:id="2">
    <w:p w:rsidR="00800E73" w:rsidRDefault="00800E73" w:rsidP="00800E73">
      <w:pPr>
        <w:pStyle w:val="Tekstprzypisudolnego"/>
        <w:jc w:val="both"/>
      </w:pPr>
      <w:r w:rsidRPr="00605E83">
        <w:rPr>
          <w:rFonts w:asciiTheme="minorHAnsi" w:hAnsiTheme="minorHAnsi"/>
          <w:vertAlign w:val="superscript"/>
        </w:rPr>
        <w:footnoteRef/>
      </w:r>
      <w:r w:rsidRPr="00605E83">
        <w:rPr>
          <w:rFonts w:asciiTheme="minorHAnsi" w:hAnsiTheme="minorHAnsi"/>
        </w:rPr>
        <w:t xml:space="preserve"> BAT – Best Available Techniques</w:t>
      </w:r>
    </w:p>
  </w:footnote>
  <w:footnote w:id="3">
    <w:p w:rsidR="00800E73" w:rsidRPr="00345134" w:rsidRDefault="00800E73" w:rsidP="00800E73">
      <w:pPr>
        <w:pStyle w:val="Tekstprzypisudolnego"/>
        <w:jc w:val="both"/>
        <w:rPr>
          <w:rFonts w:asciiTheme="minorHAnsi" w:hAnsiTheme="minorHAnsi"/>
        </w:rPr>
      </w:pPr>
      <w:r w:rsidRPr="00345134">
        <w:rPr>
          <w:rStyle w:val="Odwoanieprzypisudolnego"/>
          <w:rFonts w:asciiTheme="minorHAnsi" w:hAnsiTheme="minorHAnsi"/>
        </w:rPr>
        <w:footnoteRef/>
      </w:r>
      <w:r w:rsidRPr="00345134">
        <w:rPr>
          <w:rFonts w:asciiTheme="minorHAnsi" w:hAnsiTheme="minorHAnsi"/>
        </w:rPr>
        <w:t xml:space="preserve"> Dyrektywa Parlamentu Europejskiego i Rady 2015/2193/UE z dnia 25 listopada 2015 r. w sprawie ograniczenia niektórych zanieczyszczeń do powietrza ze średnich obiektów energetycznego spalania (Medium Combustion Plants - MCP).</w:t>
      </w:r>
    </w:p>
  </w:footnote>
  <w:footnote w:id="4">
    <w:p w:rsidR="00800E73" w:rsidRDefault="00800E73" w:rsidP="00800E73">
      <w:pPr>
        <w:pStyle w:val="Tekstprzypisudolnego"/>
        <w:jc w:val="both"/>
      </w:pPr>
      <w:r w:rsidRPr="00345134">
        <w:rPr>
          <w:rStyle w:val="Odwoanieprzypisudolnego"/>
          <w:rFonts w:asciiTheme="minorHAnsi" w:hAnsiTheme="minorHAnsi"/>
        </w:rPr>
        <w:footnoteRef/>
      </w:r>
      <w:r w:rsidRPr="00345134">
        <w:rPr>
          <w:rStyle w:val="Odwoanieprzypisudolnego"/>
          <w:rFonts w:asciiTheme="minorHAnsi" w:hAnsiTheme="minorHAnsi"/>
        </w:rPr>
        <w:t xml:space="preserve"> </w:t>
      </w:r>
      <w:r w:rsidRPr="00345134">
        <w:rPr>
          <w:rStyle w:val="Odwoanieprzypisudolnego"/>
          <w:rFonts w:asciiTheme="minorHAnsi" w:hAnsiTheme="minorHAnsi"/>
          <w:vertAlign w:val="baseline"/>
        </w:rPr>
        <w:t>Definicja</w:t>
      </w:r>
      <w:r w:rsidRPr="00345134">
        <w:t xml:space="preserve"> </w:t>
      </w:r>
      <w:r w:rsidRPr="00345134">
        <w:rPr>
          <w:rStyle w:val="Odwoanieprzypisudolnego"/>
          <w:rFonts w:asciiTheme="minorHAnsi" w:hAnsiTheme="minorHAnsi"/>
          <w:vertAlign w:val="baseline"/>
        </w:rPr>
        <w:t xml:space="preserve">efektywnego systemu ciepłowniczego zawarta jest w Dyrektywie o efektywności energetycznej (2012/27/UE) </w:t>
      </w:r>
      <w:r>
        <w:rPr>
          <w:rFonts w:asciiTheme="minorHAnsi" w:hAnsiTheme="minorHAnsi"/>
        </w:rPr>
        <w:t xml:space="preserve">z dn. 25.10.2012 </w:t>
      </w:r>
      <w:r w:rsidRPr="00345134">
        <w:rPr>
          <w:rStyle w:val="Odwoanieprzypisudolnego"/>
          <w:rFonts w:asciiTheme="minorHAnsi" w:hAnsiTheme="minorHAnsi"/>
          <w:vertAlign w:val="baseline"/>
        </w:rPr>
        <w:t xml:space="preserve">i musiała zostać transponowana do polskiego porządku prawnego poprzez odpowiednie zapisy w Ustawie o efektywności energetycznej (Dz.U. </w:t>
      </w:r>
      <w:r>
        <w:rPr>
          <w:rFonts w:asciiTheme="minorHAnsi" w:hAnsiTheme="minorHAnsi"/>
        </w:rPr>
        <w:t xml:space="preserve">z 2016 </w:t>
      </w:r>
      <w:r w:rsidRPr="00345134">
        <w:rPr>
          <w:rStyle w:val="Odwoanieprzypisudolnego"/>
          <w:rFonts w:asciiTheme="minorHAnsi" w:hAnsiTheme="minorHAnsi"/>
          <w:vertAlign w:val="baseline"/>
        </w:rPr>
        <w:t>poz. 831</w:t>
      </w:r>
      <w:r>
        <w:rPr>
          <w:rFonts w:asciiTheme="minorHAnsi" w:hAnsiTheme="minorHAnsi"/>
        </w:rPr>
        <w:t xml:space="preserve">) z 20 maja 2016 r. </w:t>
      </w:r>
    </w:p>
  </w:footnote>
  <w:footnote w:id="5">
    <w:p w:rsidR="00800E73" w:rsidRPr="00E12ABD" w:rsidRDefault="00800E73" w:rsidP="00800E73">
      <w:pPr>
        <w:pStyle w:val="Tekstprzypisudolnego"/>
        <w:jc w:val="both"/>
        <w:rPr>
          <w:sz w:val="18"/>
          <w:szCs w:val="18"/>
        </w:rPr>
      </w:pPr>
      <w:r w:rsidRPr="00E12ABD">
        <w:rPr>
          <w:rStyle w:val="Odwoanieprzypisudolnego"/>
          <w:rFonts w:asciiTheme="minorHAnsi" w:hAnsiTheme="minorHAnsi" w:cs="Arial"/>
          <w:sz w:val="18"/>
          <w:szCs w:val="18"/>
        </w:rPr>
        <w:footnoteRef/>
      </w:r>
      <w:r w:rsidRPr="00E12AB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E12ABD">
        <w:rPr>
          <w:rFonts w:asciiTheme="minorHAnsi" w:hAnsiTheme="minorHAnsi"/>
          <w:sz w:val="18"/>
          <w:szCs w:val="18"/>
        </w:rPr>
        <w:t>Organic</w:t>
      </w:r>
      <w:proofErr w:type="spellEnd"/>
      <w:r w:rsidRPr="00E12ABD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E12ABD">
        <w:rPr>
          <w:rFonts w:asciiTheme="minorHAnsi" w:hAnsiTheme="minorHAnsi"/>
          <w:sz w:val="18"/>
          <w:szCs w:val="18"/>
        </w:rPr>
        <w:t>Rankine</w:t>
      </w:r>
      <w:proofErr w:type="spellEnd"/>
      <w:r w:rsidRPr="00E12ABD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E12ABD">
        <w:rPr>
          <w:rFonts w:asciiTheme="minorHAnsi" w:hAnsiTheme="minorHAnsi"/>
          <w:sz w:val="18"/>
          <w:szCs w:val="18"/>
        </w:rPr>
        <w:t>Cycle</w:t>
      </w:r>
      <w:proofErr w:type="spellEnd"/>
      <w:r w:rsidRPr="00E12ABD">
        <w:rPr>
          <w:rFonts w:asciiTheme="minorHAnsi" w:hAnsiTheme="minorHAnsi"/>
          <w:sz w:val="18"/>
          <w:szCs w:val="18"/>
        </w:rPr>
        <w:t xml:space="preserve">. W układach ORC przy produkcji energii wykorzystuje się zamiast wody/para wodna innych organiczny czynnik roboczy, który ulega odparowaniu w niższych temperaturach, stąd możliwość wykorzystania ciepła o niskich parametrach np. odpadowego z innych procesów lub energii wód geotermalnych.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920E4"/>
    <w:multiLevelType w:val="hybridMultilevel"/>
    <w:tmpl w:val="F9A85A7A"/>
    <w:lvl w:ilvl="0" w:tplc="A8149A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91264"/>
    <w:multiLevelType w:val="multilevel"/>
    <w:tmpl w:val="A880DF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05E1572"/>
    <w:multiLevelType w:val="hybridMultilevel"/>
    <w:tmpl w:val="2CEE3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17D25"/>
    <w:multiLevelType w:val="hybridMultilevel"/>
    <w:tmpl w:val="8D686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6196E"/>
    <w:multiLevelType w:val="hybridMultilevel"/>
    <w:tmpl w:val="8302821A"/>
    <w:lvl w:ilvl="0" w:tplc="0415000F">
      <w:start w:val="13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FB325E"/>
    <w:multiLevelType w:val="hybridMultilevel"/>
    <w:tmpl w:val="DC8800F2"/>
    <w:lvl w:ilvl="0" w:tplc="730883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102DB3"/>
    <w:multiLevelType w:val="multilevel"/>
    <w:tmpl w:val="2730CC36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081"/>
    <w:rsid w:val="00051A8D"/>
    <w:rsid w:val="00067DC7"/>
    <w:rsid w:val="00074EE5"/>
    <w:rsid w:val="000D04C2"/>
    <w:rsid w:val="000D4ACC"/>
    <w:rsid w:val="000F2E60"/>
    <w:rsid w:val="001411B3"/>
    <w:rsid w:val="00147502"/>
    <w:rsid w:val="001658A8"/>
    <w:rsid w:val="001F07EB"/>
    <w:rsid w:val="00252E2C"/>
    <w:rsid w:val="0025757F"/>
    <w:rsid w:val="002D0679"/>
    <w:rsid w:val="002E0128"/>
    <w:rsid w:val="003001E9"/>
    <w:rsid w:val="003010C3"/>
    <w:rsid w:val="0033560E"/>
    <w:rsid w:val="0033604C"/>
    <w:rsid w:val="0036702C"/>
    <w:rsid w:val="003F77E9"/>
    <w:rsid w:val="004402CA"/>
    <w:rsid w:val="00487B4E"/>
    <w:rsid w:val="00487F24"/>
    <w:rsid w:val="00491B37"/>
    <w:rsid w:val="00491D01"/>
    <w:rsid w:val="004D12F9"/>
    <w:rsid w:val="004E4961"/>
    <w:rsid w:val="00543478"/>
    <w:rsid w:val="00550470"/>
    <w:rsid w:val="00550662"/>
    <w:rsid w:val="005A6DAB"/>
    <w:rsid w:val="005B74DA"/>
    <w:rsid w:val="005F0A84"/>
    <w:rsid w:val="005F4DF0"/>
    <w:rsid w:val="006220F8"/>
    <w:rsid w:val="00624952"/>
    <w:rsid w:val="00625876"/>
    <w:rsid w:val="00663473"/>
    <w:rsid w:val="0069147A"/>
    <w:rsid w:val="00691F56"/>
    <w:rsid w:val="0073092F"/>
    <w:rsid w:val="00740733"/>
    <w:rsid w:val="00742152"/>
    <w:rsid w:val="007B61F8"/>
    <w:rsid w:val="007D26E7"/>
    <w:rsid w:val="007F2AA3"/>
    <w:rsid w:val="00800E73"/>
    <w:rsid w:val="00816EE3"/>
    <w:rsid w:val="008308B9"/>
    <w:rsid w:val="00833FA8"/>
    <w:rsid w:val="00845B47"/>
    <w:rsid w:val="008833D2"/>
    <w:rsid w:val="008D4D12"/>
    <w:rsid w:val="008F0C82"/>
    <w:rsid w:val="009476F5"/>
    <w:rsid w:val="009956B5"/>
    <w:rsid w:val="009A3F66"/>
    <w:rsid w:val="009D4F18"/>
    <w:rsid w:val="00A1207A"/>
    <w:rsid w:val="00A22E73"/>
    <w:rsid w:val="00A34CB8"/>
    <w:rsid w:val="00A35B93"/>
    <w:rsid w:val="00A37EAA"/>
    <w:rsid w:val="00A4675A"/>
    <w:rsid w:val="00B16F01"/>
    <w:rsid w:val="00B35831"/>
    <w:rsid w:val="00B46217"/>
    <w:rsid w:val="00B5778E"/>
    <w:rsid w:val="00B913F3"/>
    <w:rsid w:val="00BB121B"/>
    <w:rsid w:val="00BD5255"/>
    <w:rsid w:val="00BD6081"/>
    <w:rsid w:val="00BD6973"/>
    <w:rsid w:val="00C340ED"/>
    <w:rsid w:val="00C91250"/>
    <w:rsid w:val="00CB2C2E"/>
    <w:rsid w:val="00CB7DE2"/>
    <w:rsid w:val="00D57F12"/>
    <w:rsid w:val="00DA6606"/>
    <w:rsid w:val="00DF034A"/>
    <w:rsid w:val="00E12ABD"/>
    <w:rsid w:val="00E44C06"/>
    <w:rsid w:val="00ED01A7"/>
    <w:rsid w:val="00F36B6B"/>
    <w:rsid w:val="00F432B4"/>
    <w:rsid w:val="00F77F9E"/>
    <w:rsid w:val="00F9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8E919D-BEC7-4EAC-89B2-B1A3D562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6081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unhideWhenUsed/>
    <w:rsid w:val="00BD60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BD60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D608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BD60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D608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D608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D0679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2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2F9"/>
    <w:rPr>
      <w:rFonts w:ascii="Segoe UI" w:eastAsia="Times New Roman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7DE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7DE2"/>
    <w:rPr>
      <w:rFonts w:ascii="Times New Roman" w:eastAsia="Times New Roman" w:hAnsi="Times New Roman"/>
    </w:rPr>
  </w:style>
  <w:style w:type="paragraph" w:customStyle="1" w:styleId="Akapitzlist2">
    <w:name w:val="Akapit z listą2"/>
    <w:basedOn w:val="Normalny"/>
    <w:rsid w:val="00CB7DE2"/>
    <w:pPr>
      <w:ind w:left="720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634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63473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6347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3001E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001E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001E9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01E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10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10C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10C3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10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10C3"/>
    <w:rPr>
      <w:rFonts w:ascii="Times New Roman" w:eastAsia="Times New Roman" w:hAnsi="Times New Roman"/>
      <w:b/>
      <w:bCs/>
    </w:rPr>
  </w:style>
  <w:style w:type="paragraph" w:styleId="NormalnyWeb">
    <w:name w:val="Normal (Web)"/>
    <w:basedOn w:val="Normalny"/>
    <w:uiPriority w:val="99"/>
    <w:semiHidden/>
    <w:unhideWhenUsed/>
    <w:rsid w:val="001658A8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Default">
    <w:name w:val="Default"/>
    <w:rsid w:val="00800E7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5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23B2C-421F-4CF7-9DC3-43DCFD2A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1001</Words>
  <Characters>6010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6998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ekrukows</dc:creator>
  <cp:keywords/>
  <dc:description/>
  <cp:lastModifiedBy>Bieniecka-Popardowska Donata</cp:lastModifiedBy>
  <cp:revision>5</cp:revision>
  <cp:lastPrinted>2019-02-15T09:23:00Z</cp:lastPrinted>
  <dcterms:created xsi:type="dcterms:W3CDTF">2019-02-18T09:10:00Z</dcterms:created>
  <dcterms:modified xsi:type="dcterms:W3CDTF">2019-02-18T09:16:00Z</dcterms:modified>
</cp:coreProperties>
</file>