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EAC6" w14:textId="5F5A9E12" w:rsidR="001B0509" w:rsidRPr="00270AB5" w:rsidRDefault="001B0509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70AB5">
        <w:rPr>
          <w:rFonts w:ascii="Arial" w:hAnsi="Arial" w:cs="Arial"/>
          <w:b/>
          <w:sz w:val="20"/>
          <w:szCs w:val="20"/>
        </w:rPr>
        <w:t>DKA.III</w:t>
      </w:r>
      <w:r w:rsidR="00270AB5" w:rsidRPr="00270AB5">
        <w:rPr>
          <w:rFonts w:ascii="Arial" w:hAnsi="Arial" w:cs="Arial"/>
          <w:b/>
          <w:sz w:val="20"/>
          <w:szCs w:val="20"/>
        </w:rPr>
        <w:t>.</w:t>
      </w:r>
      <w:r w:rsidR="00270AB5">
        <w:rPr>
          <w:rFonts w:ascii="Arial" w:hAnsi="Arial" w:cs="Arial"/>
          <w:b/>
          <w:sz w:val="20"/>
          <w:szCs w:val="20"/>
        </w:rPr>
        <w:t>0</w:t>
      </w:r>
      <w:r w:rsidR="00270AB5" w:rsidRPr="00270AB5">
        <w:rPr>
          <w:rFonts w:ascii="Arial" w:hAnsi="Arial" w:cs="Arial"/>
          <w:b/>
          <w:sz w:val="20"/>
          <w:szCs w:val="20"/>
        </w:rPr>
        <w:t>320.4.2026</w:t>
      </w:r>
    </w:p>
    <w:p w14:paraId="5D8E2093" w14:textId="05250716" w:rsidR="00FF45E0" w:rsidRPr="00270AB5" w:rsidRDefault="00FF45E0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70AB5">
        <w:rPr>
          <w:rFonts w:ascii="Arial" w:hAnsi="Arial" w:cs="Arial"/>
          <w:b/>
          <w:sz w:val="20"/>
          <w:szCs w:val="20"/>
        </w:rPr>
        <w:t xml:space="preserve">IK: </w:t>
      </w:r>
      <w:r w:rsidR="00270AB5" w:rsidRPr="00270AB5">
        <w:rPr>
          <w:rFonts w:ascii="Arial" w:hAnsi="Arial" w:cs="Arial"/>
          <w:b/>
          <w:sz w:val="20"/>
          <w:szCs w:val="20"/>
        </w:rPr>
        <w:t>1229297</w:t>
      </w:r>
    </w:p>
    <w:p w14:paraId="44DA361F" w14:textId="74D72427" w:rsidR="00000000" w:rsidRPr="003418AD" w:rsidRDefault="00CE2028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418AD">
        <w:rPr>
          <w:rFonts w:ascii="Arial" w:hAnsi="Arial" w:cs="Arial"/>
          <w:b/>
          <w:sz w:val="20"/>
          <w:szCs w:val="20"/>
        </w:rPr>
        <w:t>Sprawozdanie z wykonania planu działalności</w:t>
      </w:r>
      <w:r w:rsidR="00FF45E0" w:rsidRPr="003418AD">
        <w:rPr>
          <w:rFonts w:ascii="Arial" w:hAnsi="Arial" w:cs="Arial"/>
          <w:b/>
          <w:sz w:val="20"/>
          <w:szCs w:val="20"/>
        </w:rPr>
        <w:t xml:space="preserve"> </w:t>
      </w:r>
      <w:r w:rsidRPr="003418AD">
        <w:rPr>
          <w:rFonts w:ascii="Arial" w:hAnsi="Arial" w:cs="Arial"/>
          <w:b/>
          <w:sz w:val="20"/>
          <w:szCs w:val="20"/>
        </w:rPr>
        <w:t xml:space="preserve">Ministra </w:t>
      </w:r>
      <w:r w:rsidR="003257E4" w:rsidRPr="003418AD">
        <w:rPr>
          <w:rFonts w:ascii="Arial" w:hAnsi="Arial" w:cs="Arial"/>
          <w:b/>
          <w:sz w:val="20"/>
          <w:szCs w:val="20"/>
        </w:rPr>
        <w:t xml:space="preserve">Aktywów Państwowych </w:t>
      </w:r>
      <w:r w:rsidRPr="003418AD">
        <w:rPr>
          <w:rFonts w:ascii="Arial" w:hAnsi="Arial" w:cs="Arial"/>
          <w:b/>
          <w:sz w:val="20"/>
          <w:szCs w:val="20"/>
        </w:rPr>
        <w:t>za rok 20</w:t>
      </w:r>
      <w:r w:rsidR="00E64D5B" w:rsidRPr="003418AD">
        <w:rPr>
          <w:rFonts w:ascii="Arial" w:hAnsi="Arial" w:cs="Arial"/>
          <w:b/>
          <w:sz w:val="20"/>
          <w:szCs w:val="20"/>
        </w:rPr>
        <w:t>2</w:t>
      </w:r>
      <w:r w:rsidR="00AE4DA8" w:rsidRPr="003418AD">
        <w:rPr>
          <w:rFonts w:ascii="Arial" w:hAnsi="Arial" w:cs="Arial"/>
          <w:b/>
          <w:sz w:val="20"/>
          <w:szCs w:val="20"/>
        </w:rPr>
        <w:t>5</w:t>
      </w:r>
    </w:p>
    <w:p w14:paraId="025B14F0" w14:textId="620148B0" w:rsidR="00000000" w:rsidRPr="00AE4DA8" w:rsidRDefault="00CE2028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b/>
          <w:sz w:val="20"/>
          <w:szCs w:val="20"/>
        </w:rPr>
        <w:t xml:space="preserve">dla działów administracji rządowej: </w:t>
      </w:r>
      <w:r w:rsidR="003257E4" w:rsidRPr="00AE4DA8">
        <w:rPr>
          <w:rFonts w:ascii="Arial" w:hAnsi="Arial" w:cs="Arial"/>
          <w:b/>
          <w:sz w:val="20"/>
          <w:szCs w:val="20"/>
        </w:rPr>
        <w:t xml:space="preserve">aktywa państwowe, </w:t>
      </w:r>
      <w:r w:rsidR="00487ADB" w:rsidRPr="00AE4DA8">
        <w:rPr>
          <w:rFonts w:ascii="Arial" w:hAnsi="Arial" w:cs="Arial"/>
          <w:b/>
          <w:sz w:val="20"/>
          <w:szCs w:val="20"/>
        </w:rPr>
        <w:t>łączność</w:t>
      </w:r>
    </w:p>
    <w:p w14:paraId="7B3EEE36" w14:textId="77777777" w:rsidR="00000000" w:rsidRPr="00EC1C0B" w:rsidRDefault="00000000" w:rsidP="0079602B">
      <w:pPr>
        <w:spacing w:before="120" w:after="120"/>
        <w:jc w:val="left"/>
        <w:rPr>
          <w:rFonts w:ascii="Arial" w:hAnsi="Arial" w:cs="Arial"/>
          <w:b/>
          <w:sz w:val="16"/>
          <w:szCs w:val="16"/>
        </w:rPr>
      </w:pPr>
    </w:p>
    <w:p w14:paraId="38458235" w14:textId="6A6865AD" w:rsidR="00000000" w:rsidRPr="003418AD" w:rsidRDefault="00CE2028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b/>
          <w:sz w:val="20"/>
          <w:szCs w:val="20"/>
        </w:rPr>
        <w:t xml:space="preserve">CZĘŚĆ A: Realizacja najważniejszych celów w </w:t>
      </w:r>
      <w:r w:rsidRPr="003418AD">
        <w:rPr>
          <w:rFonts w:ascii="Arial" w:hAnsi="Arial" w:cs="Arial"/>
          <w:b/>
          <w:sz w:val="20"/>
          <w:szCs w:val="20"/>
        </w:rPr>
        <w:t>roku 20</w:t>
      </w:r>
      <w:r w:rsidR="003257E4" w:rsidRPr="003418AD">
        <w:rPr>
          <w:rFonts w:ascii="Arial" w:hAnsi="Arial" w:cs="Arial"/>
          <w:b/>
          <w:sz w:val="20"/>
          <w:szCs w:val="20"/>
        </w:rPr>
        <w:t>2</w:t>
      </w:r>
      <w:r w:rsidR="00AE4DA8" w:rsidRPr="003418AD">
        <w:rPr>
          <w:rFonts w:ascii="Arial" w:hAnsi="Arial" w:cs="Arial"/>
          <w:b/>
          <w:sz w:val="20"/>
          <w:szCs w:val="20"/>
        </w:rPr>
        <w:t>5</w:t>
      </w:r>
    </w:p>
    <w:p w14:paraId="5DA10E15" w14:textId="77777777" w:rsidR="00000000" w:rsidRPr="00AE4DA8" w:rsidRDefault="00CE2028" w:rsidP="0079602B">
      <w:pPr>
        <w:spacing w:before="120" w:after="120"/>
        <w:ind w:left="-57"/>
        <w:jc w:val="left"/>
        <w:rPr>
          <w:rFonts w:ascii="Arial" w:hAnsi="Arial" w:cs="Arial"/>
          <w:i/>
          <w:iCs/>
          <w:sz w:val="20"/>
          <w:szCs w:val="20"/>
        </w:rPr>
      </w:pPr>
      <w:r w:rsidRPr="00AE4DA8">
        <w:rPr>
          <w:rFonts w:ascii="Arial" w:hAnsi="Arial" w:cs="Arial"/>
          <w:i/>
          <w:iCs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ela-Siatka"/>
        <w:tblW w:w="15864" w:type="dxa"/>
        <w:tblLook w:val="04A0" w:firstRow="1" w:lastRow="0" w:firstColumn="1" w:lastColumn="0" w:noHBand="0" w:noVBand="1"/>
      </w:tblPr>
      <w:tblGrid>
        <w:gridCol w:w="817"/>
        <w:gridCol w:w="1971"/>
        <w:gridCol w:w="3492"/>
        <w:gridCol w:w="1653"/>
        <w:gridCol w:w="1819"/>
        <w:gridCol w:w="3374"/>
        <w:gridCol w:w="2738"/>
      </w:tblGrid>
      <w:tr w:rsidR="00AE4DA8" w:rsidRPr="00AE4DA8" w14:paraId="1BE21A20" w14:textId="77777777" w:rsidTr="00780FFB">
        <w:trPr>
          <w:tblHeader/>
        </w:trPr>
        <w:tc>
          <w:tcPr>
            <w:tcW w:w="817" w:type="dxa"/>
            <w:vMerge w:val="restart"/>
            <w:shd w:val="clear" w:color="auto" w:fill="D9E2F3" w:themeFill="accent5" w:themeFillTint="33"/>
            <w:vAlign w:val="center"/>
          </w:tcPr>
          <w:p w14:paraId="06A62BE0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71" w:type="dxa"/>
            <w:vMerge w:val="restart"/>
            <w:shd w:val="clear" w:color="auto" w:fill="D9E2F3" w:themeFill="accent5" w:themeFillTint="33"/>
            <w:vAlign w:val="center"/>
          </w:tcPr>
          <w:p w14:paraId="2FEDE799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964" w:type="dxa"/>
            <w:gridSpan w:val="3"/>
            <w:shd w:val="clear" w:color="auto" w:fill="D9E2F3" w:themeFill="accent5" w:themeFillTint="33"/>
            <w:vAlign w:val="center"/>
          </w:tcPr>
          <w:p w14:paraId="54DAAD66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374" w:type="dxa"/>
            <w:vMerge w:val="restart"/>
            <w:shd w:val="clear" w:color="auto" w:fill="D9E2F3" w:themeFill="accent5" w:themeFillTint="33"/>
            <w:vAlign w:val="center"/>
          </w:tcPr>
          <w:p w14:paraId="643B1392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2738" w:type="dxa"/>
            <w:vMerge w:val="restart"/>
            <w:shd w:val="clear" w:color="auto" w:fill="D9E2F3" w:themeFill="accent5" w:themeFillTint="33"/>
            <w:vAlign w:val="center"/>
          </w:tcPr>
          <w:p w14:paraId="496AA8FF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Najważniejsze podjęte zadania służące realizacji celu</w:t>
            </w:r>
          </w:p>
        </w:tc>
      </w:tr>
      <w:tr w:rsidR="00AE4DA8" w:rsidRPr="00AE4DA8" w14:paraId="1C48D8B5" w14:textId="77777777" w:rsidTr="00780FFB">
        <w:trPr>
          <w:tblHeader/>
        </w:trPr>
        <w:tc>
          <w:tcPr>
            <w:tcW w:w="817" w:type="dxa"/>
            <w:vMerge/>
            <w:shd w:val="clear" w:color="auto" w:fill="D9E2F3" w:themeFill="accent5" w:themeFillTint="33"/>
            <w:vAlign w:val="center"/>
          </w:tcPr>
          <w:p w14:paraId="4C110F26" w14:textId="77777777" w:rsidR="00000000" w:rsidRPr="00AE4DA8" w:rsidRDefault="00000000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D9E2F3" w:themeFill="accent5" w:themeFillTint="33"/>
          </w:tcPr>
          <w:p w14:paraId="457EF042" w14:textId="77777777" w:rsidR="00000000" w:rsidRPr="00AE4DA8" w:rsidRDefault="00000000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D9E2F3" w:themeFill="accent5" w:themeFillTint="33"/>
            <w:vAlign w:val="center"/>
          </w:tcPr>
          <w:p w14:paraId="31D3EA72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653" w:type="dxa"/>
            <w:shd w:val="clear" w:color="auto" w:fill="D9E2F3" w:themeFill="accent5" w:themeFillTint="33"/>
            <w:vAlign w:val="center"/>
          </w:tcPr>
          <w:p w14:paraId="29D5E26B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819" w:type="dxa"/>
            <w:shd w:val="clear" w:color="auto" w:fill="D9E2F3" w:themeFill="accent5" w:themeFillTint="33"/>
            <w:vAlign w:val="center"/>
          </w:tcPr>
          <w:p w14:paraId="0D5BF5E5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374" w:type="dxa"/>
            <w:vMerge/>
            <w:shd w:val="clear" w:color="auto" w:fill="D9E2F3" w:themeFill="accent5" w:themeFillTint="33"/>
          </w:tcPr>
          <w:p w14:paraId="1BF50F8F" w14:textId="77777777" w:rsidR="00000000" w:rsidRPr="00AE4DA8" w:rsidRDefault="00000000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D9E2F3" w:themeFill="accent5" w:themeFillTint="33"/>
          </w:tcPr>
          <w:p w14:paraId="2362B1B9" w14:textId="77777777" w:rsidR="00000000" w:rsidRPr="00AE4DA8" w:rsidRDefault="00000000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4DA8" w:rsidRPr="00AE4DA8" w14:paraId="3985D3EF" w14:textId="77777777" w:rsidTr="00780FFB">
        <w:trPr>
          <w:tblHeader/>
        </w:trPr>
        <w:tc>
          <w:tcPr>
            <w:tcW w:w="817" w:type="dxa"/>
            <w:shd w:val="clear" w:color="auto" w:fill="D9E2F3" w:themeFill="accent5" w:themeFillTint="33"/>
            <w:vAlign w:val="center"/>
          </w:tcPr>
          <w:p w14:paraId="31AE4AB5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71" w:type="dxa"/>
            <w:shd w:val="clear" w:color="auto" w:fill="D9E2F3" w:themeFill="accent5" w:themeFillTint="33"/>
            <w:vAlign w:val="center"/>
          </w:tcPr>
          <w:p w14:paraId="0674C904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92" w:type="dxa"/>
            <w:shd w:val="clear" w:color="auto" w:fill="D9E2F3" w:themeFill="accent5" w:themeFillTint="33"/>
            <w:vAlign w:val="center"/>
          </w:tcPr>
          <w:p w14:paraId="495047F7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53" w:type="dxa"/>
            <w:shd w:val="clear" w:color="auto" w:fill="D9E2F3" w:themeFill="accent5" w:themeFillTint="33"/>
            <w:vAlign w:val="center"/>
          </w:tcPr>
          <w:p w14:paraId="27E59A56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auto" w:fill="D9E2F3" w:themeFill="accent5" w:themeFillTint="33"/>
            <w:vAlign w:val="center"/>
          </w:tcPr>
          <w:p w14:paraId="2E5E9349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74" w:type="dxa"/>
            <w:shd w:val="clear" w:color="auto" w:fill="D9E2F3" w:themeFill="accent5" w:themeFillTint="33"/>
            <w:vAlign w:val="center"/>
          </w:tcPr>
          <w:p w14:paraId="7D451A47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38" w:type="dxa"/>
            <w:shd w:val="clear" w:color="auto" w:fill="D9E2F3" w:themeFill="accent5" w:themeFillTint="33"/>
            <w:vAlign w:val="center"/>
          </w:tcPr>
          <w:p w14:paraId="5F0E0FED" w14:textId="77777777" w:rsidR="00000000" w:rsidRPr="00AE4DA8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47D44" w:rsidRPr="00AE4DA8" w14:paraId="08BDE37B" w14:textId="77777777" w:rsidTr="00293E14">
        <w:trPr>
          <w:trHeight w:val="3193"/>
        </w:trPr>
        <w:tc>
          <w:tcPr>
            <w:tcW w:w="817" w:type="dxa"/>
            <w:vMerge w:val="restart"/>
            <w:vAlign w:val="center"/>
          </w:tcPr>
          <w:p w14:paraId="5E2053AF" w14:textId="0321A88D" w:rsidR="00547D44" w:rsidRPr="00AE4DA8" w:rsidRDefault="00547D44" w:rsidP="00780FFB">
            <w:pPr>
              <w:pStyle w:val="Akapitzlist"/>
              <w:numPr>
                <w:ilvl w:val="0"/>
                <w:numId w:val="6"/>
              </w:numPr>
              <w:spacing w:before="60" w:after="60"/>
              <w:ind w:left="592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486EC1C9" w14:textId="77777777" w:rsidR="00547D44" w:rsidRDefault="00547D44" w:rsidP="00443E5B">
            <w:pPr>
              <w:pStyle w:val="trescpisma"/>
            </w:pPr>
          </w:p>
          <w:p w14:paraId="193754F1" w14:textId="455AD373" w:rsidR="00547D44" w:rsidRPr="003418AD" w:rsidRDefault="00547D44" w:rsidP="00443E5B">
            <w:pPr>
              <w:pStyle w:val="trescpisma"/>
            </w:pPr>
            <w:r w:rsidRPr="003418AD">
              <w:t>Realizacja interesów Skarbu Państwa w podmiotach nadzorowanych i podległych.</w:t>
            </w:r>
          </w:p>
        </w:tc>
        <w:tc>
          <w:tcPr>
            <w:tcW w:w="3492" w:type="dxa"/>
          </w:tcPr>
          <w:p w14:paraId="7AC25865" w14:textId="6626A728" w:rsidR="00547D44" w:rsidRPr="003418AD" w:rsidRDefault="00547D44" w:rsidP="00086355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 xml:space="preserve">Wykonywanie praw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86355">
              <w:rPr>
                <w:rFonts w:ascii="Arial" w:hAnsi="Arial" w:cs="Arial"/>
                <w:sz w:val="20"/>
                <w:szCs w:val="20"/>
              </w:rPr>
              <w:t xml:space="preserve"> akcji/udziałów w związku z </w:t>
            </w:r>
            <w:r w:rsidRPr="003418AD">
              <w:rPr>
                <w:rFonts w:ascii="Arial" w:hAnsi="Arial" w:cs="Arial"/>
                <w:sz w:val="20"/>
                <w:szCs w:val="20"/>
              </w:rPr>
              <w:t>Walnym Zgromadzeniem (WZ)/Zgromad</w:t>
            </w:r>
            <w:r w:rsidR="00086355">
              <w:rPr>
                <w:rFonts w:ascii="Arial" w:hAnsi="Arial" w:cs="Arial"/>
                <w:sz w:val="20"/>
                <w:szCs w:val="20"/>
              </w:rPr>
              <w:t xml:space="preserve">zeniem Wspólników (ZW) spółek z udziałem Skarbu Państwa, w </w:t>
            </w:r>
            <w:r w:rsidRPr="003418AD">
              <w:rPr>
                <w:rFonts w:ascii="Arial" w:hAnsi="Arial" w:cs="Arial"/>
                <w:sz w:val="20"/>
                <w:szCs w:val="20"/>
              </w:rPr>
              <w:t>których prawa z akcji i udziałów wykonuje minister właściwy do spraw aktywów państwowych (w %) – (notatka na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3418AD">
              <w:rPr>
                <w:rFonts w:ascii="Arial" w:hAnsi="Arial" w:cs="Arial"/>
                <w:sz w:val="20"/>
                <w:szCs w:val="20"/>
              </w:rPr>
              <w:t>Walne Zgromadzenie/</w:t>
            </w:r>
            <w:r w:rsidR="000863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8AD">
              <w:rPr>
                <w:rFonts w:ascii="Arial" w:hAnsi="Arial" w:cs="Arial"/>
                <w:sz w:val="20"/>
                <w:szCs w:val="20"/>
              </w:rPr>
              <w:t>Zgromadzenie Wspólników przez łączną liczbę odbytych WZ/ZW).</w:t>
            </w:r>
          </w:p>
        </w:tc>
        <w:tc>
          <w:tcPr>
            <w:tcW w:w="1653" w:type="dxa"/>
          </w:tcPr>
          <w:p w14:paraId="0CC61966" w14:textId="7EBFD397" w:rsidR="00547D44" w:rsidRPr="003418AD" w:rsidRDefault="00547D4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≥ 90%</w:t>
            </w:r>
          </w:p>
        </w:tc>
        <w:tc>
          <w:tcPr>
            <w:tcW w:w="1819" w:type="dxa"/>
          </w:tcPr>
          <w:p w14:paraId="26C91787" w14:textId="7BADBF15" w:rsidR="00547D44" w:rsidRPr="003418AD" w:rsidRDefault="00C2677E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100,50</w:t>
            </w:r>
            <w:r w:rsidR="00547D4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74" w:type="dxa"/>
            <w:vMerge w:val="restart"/>
          </w:tcPr>
          <w:p w14:paraId="3DA58590" w14:textId="77777777" w:rsidR="00547D44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BBDC19" w14:textId="77777777" w:rsidR="00547D44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84776F" w14:textId="77777777" w:rsidR="00547D44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5B9B926" w14:textId="77777777" w:rsidR="00547D44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9855BC" w14:textId="19E6C900" w:rsidR="00547D44" w:rsidRPr="003418AD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Zapewnienie efektywnego nadzoru właścicielskiego i ochrony praw i interesów w spółkach z udziałem Skarbu Państwa, w których prawa z akcji/udziałów wykonuje minister właściwy do spraw aktywów państwowych.</w:t>
            </w:r>
          </w:p>
        </w:tc>
        <w:tc>
          <w:tcPr>
            <w:tcW w:w="2738" w:type="dxa"/>
          </w:tcPr>
          <w:p w14:paraId="0F6A7824" w14:textId="77777777" w:rsidR="009D714C" w:rsidRDefault="009D714C" w:rsidP="00780FF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2715BA" w14:textId="77777777" w:rsidR="009D714C" w:rsidRDefault="009D714C" w:rsidP="00780FF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1DCFE8" w14:textId="5ABD91D5" w:rsidR="00547D44" w:rsidRPr="00AE4DA8" w:rsidRDefault="00547D44" w:rsidP="00514CB1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Zapewnienie efektywnego nadzoru właścicielskiego i</w:t>
            </w:r>
            <w:r w:rsidR="00514CB1">
              <w:rPr>
                <w:rFonts w:ascii="Arial" w:hAnsi="Arial" w:cs="Arial"/>
                <w:sz w:val="20"/>
                <w:szCs w:val="20"/>
              </w:rPr>
              <w:t> </w:t>
            </w:r>
            <w:r w:rsidRPr="003418AD">
              <w:rPr>
                <w:rFonts w:ascii="Arial" w:hAnsi="Arial" w:cs="Arial"/>
                <w:sz w:val="20"/>
                <w:szCs w:val="20"/>
              </w:rPr>
              <w:t>ochrony praw i</w:t>
            </w:r>
            <w:r w:rsidR="0051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8AD">
              <w:rPr>
                <w:rFonts w:ascii="Arial" w:hAnsi="Arial" w:cs="Arial"/>
                <w:sz w:val="20"/>
                <w:szCs w:val="20"/>
              </w:rPr>
              <w:t>interesów w</w:t>
            </w:r>
            <w:r w:rsidR="00514CB1">
              <w:rPr>
                <w:rFonts w:ascii="Arial" w:hAnsi="Arial" w:cs="Arial"/>
                <w:sz w:val="20"/>
                <w:szCs w:val="20"/>
              </w:rPr>
              <w:t> </w:t>
            </w:r>
            <w:r w:rsidRPr="003418AD">
              <w:rPr>
                <w:rFonts w:ascii="Arial" w:hAnsi="Arial" w:cs="Arial"/>
                <w:sz w:val="20"/>
                <w:szCs w:val="20"/>
              </w:rPr>
              <w:t>spółkach z udziałem Skarbu Państwa, w których prawa z</w:t>
            </w:r>
            <w:r w:rsidR="0051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18AD">
              <w:rPr>
                <w:rFonts w:ascii="Arial" w:hAnsi="Arial" w:cs="Arial"/>
                <w:sz w:val="20"/>
                <w:szCs w:val="20"/>
              </w:rPr>
              <w:t>akcji/udziałów wykonuje minister właściwy do spraw aktywów państwowych.</w:t>
            </w:r>
          </w:p>
        </w:tc>
      </w:tr>
      <w:tr w:rsidR="00547D44" w:rsidRPr="00AE4DA8" w14:paraId="64F4E94D" w14:textId="77777777" w:rsidTr="00780FFB">
        <w:tc>
          <w:tcPr>
            <w:tcW w:w="817" w:type="dxa"/>
            <w:vMerge/>
            <w:vAlign w:val="center"/>
          </w:tcPr>
          <w:p w14:paraId="77CCA43F" w14:textId="2DCE4819" w:rsidR="00547D44" w:rsidRPr="00AE4DA8" w:rsidRDefault="00547D44" w:rsidP="00780FFB">
            <w:pPr>
              <w:pStyle w:val="Akapitzlist"/>
              <w:numPr>
                <w:ilvl w:val="0"/>
                <w:numId w:val="6"/>
              </w:numPr>
              <w:spacing w:before="60" w:after="60"/>
              <w:ind w:left="592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00C5F86E" w14:textId="77777777" w:rsidR="00547D44" w:rsidRPr="003418AD" w:rsidRDefault="00547D44" w:rsidP="00443E5B">
            <w:pPr>
              <w:pStyle w:val="trescpisma"/>
            </w:pPr>
          </w:p>
        </w:tc>
        <w:tc>
          <w:tcPr>
            <w:tcW w:w="3492" w:type="dxa"/>
          </w:tcPr>
          <w:p w14:paraId="45D84B09" w14:textId="5E060EF1" w:rsidR="00547D44" w:rsidRPr="003418AD" w:rsidRDefault="00547D44" w:rsidP="00780FFB">
            <w:pPr>
              <w:tabs>
                <w:tab w:val="right" w:pos="1850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Przeprowadzenie przeglądu celów zarządczych przyjmowanych uchwałą WZ/ZW pod względem aktualności.</w:t>
            </w:r>
          </w:p>
        </w:tc>
        <w:tc>
          <w:tcPr>
            <w:tcW w:w="1653" w:type="dxa"/>
          </w:tcPr>
          <w:p w14:paraId="15C35F28" w14:textId="2C457CF8" w:rsidR="00547D44" w:rsidRPr="003418AD" w:rsidRDefault="00547D4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19" w:type="dxa"/>
          </w:tcPr>
          <w:p w14:paraId="03263A08" w14:textId="22D74034" w:rsidR="00547D44" w:rsidRPr="003418AD" w:rsidRDefault="00547D4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374" w:type="dxa"/>
            <w:vMerge/>
          </w:tcPr>
          <w:p w14:paraId="6C8CF6BB" w14:textId="6078BDDF" w:rsidR="00547D44" w:rsidRPr="003418AD" w:rsidRDefault="00547D44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</w:tcPr>
          <w:p w14:paraId="76E25C1E" w14:textId="0744EE8E" w:rsidR="00547D44" w:rsidRPr="00AE4DA8" w:rsidRDefault="00547D44" w:rsidP="00780FFB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3418AD">
              <w:rPr>
                <w:rFonts w:ascii="Arial" w:hAnsi="Arial" w:cs="Arial"/>
                <w:sz w:val="20"/>
                <w:szCs w:val="20"/>
              </w:rPr>
              <w:t>Przeprowadzenie przegląd</w:t>
            </w:r>
            <w:r w:rsidR="00293E14">
              <w:rPr>
                <w:rFonts w:ascii="Arial" w:hAnsi="Arial" w:cs="Arial"/>
                <w:sz w:val="20"/>
                <w:szCs w:val="20"/>
              </w:rPr>
              <w:t>ów</w:t>
            </w:r>
            <w:r w:rsidRPr="003418AD">
              <w:rPr>
                <w:rFonts w:ascii="Arial" w:hAnsi="Arial" w:cs="Arial"/>
                <w:sz w:val="20"/>
                <w:szCs w:val="20"/>
              </w:rPr>
              <w:t xml:space="preserve"> celów zarządczych przyjmowanych uchwałą </w:t>
            </w:r>
            <w:r w:rsidRPr="003418AD">
              <w:rPr>
                <w:rFonts w:ascii="Arial" w:hAnsi="Arial" w:cs="Arial"/>
                <w:sz w:val="20"/>
                <w:szCs w:val="20"/>
              </w:rPr>
              <w:lastRenderedPageBreak/>
              <w:t>WZ/ZW pod względem aktualności.</w:t>
            </w:r>
          </w:p>
        </w:tc>
      </w:tr>
      <w:tr w:rsidR="00AE4DA8" w:rsidRPr="00AE4DA8" w14:paraId="21128DAB" w14:textId="77777777" w:rsidTr="00780FFB">
        <w:tc>
          <w:tcPr>
            <w:tcW w:w="817" w:type="dxa"/>
            <w:vAlign w:val="center"/>
          </w:tcPr>
          <w:p w14:paraId="22A7194C" w14:textId="2376C6B4" w:rsidR="003976DD" w:rsidRPr="00AE4DA8" w:rsidRDefault="003976DD" w:rsidP="00780FFB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7F8248C7" w14:textId="138CC3F3" w:rsidR="003976DD" w:rsidRPr="00095079" w:rsidRDefault="0020466E" w:rsidP="00086355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079">
              <w:rPr>
                <w:rFonts w:ascii="Arial" w:hAnsi="Arial" w:cs="Arial"/>
                <w:sz w:val="20"/>
                <w:szCs w:val="20"/>
              </w:rPr>
              <w:t xml:space="preserve">Wykonanie obowiązków </w:t>
            </w:r>
            <w:r w:rsidR="000F69F5" w:rsidRPr="00095079">
              <w:rPr>
                <w:rFonts w:ascii="Arial" w:hAnsi="Arial" w:cs="Arial"/>
                <w:sz w:val="20"/>
                <w:szCs w:val="20"/>
              </w:rPr>
              <w:t xml:space="preserve">Ministra </w:t>
            </w:r>
            <w:r w:rsidRPr="00095079">
              <w:rPr>
                <w:rFonts w:ascii="Arial" w:hAnsi="Arial" w:cs="Arial"/>
                <w:sz w:val="20"/>
                <w:szCs w:val="20"/>
              </w:rPr>
              <w:t>w zakresie nieodpłatnego zbywania a</w:t>
            </w:r>
            <w:r w:rsidR="00086355">
              <w:rPr>
                <w:rFonts w:ascii="Arial" w:hAnsi="Arial" w:cs="Arial"/>
                <w:sz w:val="20"/>
                <w:szCs w:val="20"/>
              </w:rPr>
              <w:t>kcji/udziałów Skarbu Państwa na</w:t>
            </w:r>
            <w:r w:rsidR="00402AE6" w:rsidRPr="00095079">
              <w:rPr>
                <w:rFonts w:ascii="Arial" w:hAnsi="Arial" w:cs="Arial"/>
                <w:sz w:val="20"/>
                <w:szCs w:val="20"/>
              </w:rPr>
              <w:t> </w:t>
            </w:r>
            <w:r w:rsidRPr="00095079">
              <w:rPr>
                <w:rFonts w:ascii="Arial" w:hAnsi="Arial" w:cs="Arial"/>
                <w:sz w:val="20"/>
                <w:szCs w:val="20"/>
              </w:rPr>
              <w:t xml:space="preserve">rzecz osób uprawnionych na podstawie ustawy </w:t>
            </w:r>
            <w:r w:rsidR="000F69F5" w:rsidRPr="00095079">
              <w:rPr>
                <w:rFonts w:ascii="Arial" w:hAnsi="Arial" w:cs="Arial"/>
                <w:sz w:val="20"/>
                <w:szCs w:val="20"/>
              </w:rPr>
              <w:t>z dnia 30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="000F69F5" w:rsidRPr="00095079">
              <w:rPr>
                <w:rFonts w:ascii="Arial" w:hAnsi="Arial" w:cs="Arial"/>
                <w:sz w:val="20"/>
                <w:szCs w:val="20"/>
              </w:rPr>
              <w:t xml:space="preserve">sierpnia 1996 r. </w:t>
            </w:r>
            <w:r w:rsidRPr="00095079">
              <w:rPr>
                <w:rFonts w:ascii="Arial" w:hAnsi="Arial" w:cs="Arial"/>
                <w:i/>
                <w:sz w:val="20"/>
                <w:szCs w:val="20"/>
              </w:rPr>
              <w:t>o komercjalizacji i niektórych uprawnieniach pracowników</w:t>
            </w:r>
            <w:r w:rsidR="000F69F5" w:rsidRPr="00095079">
              <w:rPr>
                <w:rFonts w:ascii="Arial" w:hAnsi="Arial" w:cs="Arial"/>
                <w:i/>
                <w:sz w:val="20"/>
                <w:szCs w:val="20"/>
              </w:rPr>
              <w:t xml:space="preserve"> (Dz.U. z 2023 r. poz. 343).</w:t>
            </w:r>
          </w:p>
        </w:tc>
        <w:tc>
          <w:tcPr>
            <w:tcW w:w="3492" w:type="dxa"/>
          </w:tcPr>
          <w:p w14:paraId="442F0822" w14:textId="30551FD1" w:rsidR="003976DD" w:rsidRPr="00095079" w:rsidRDefault="006C7AE4" w:rsidP="00780FF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Odsetek prawidłowo przygotowanych przez </w:t>
            </w:r>
            <w:r w:rsidR="000F69F5"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</w:t>
            </w:r>
            <w:r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półki u</w:t>
            </w:r>
            <w:r w:rsidR="009B6771"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mów nieodpłatnego zbycia akcji/</w:t>
            </w:r>
            <w:r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udziałów zawartych przez Ministra Aktywów Państwowych z</w:t>
            </w:r>
            <w:r w:rsidR="00EB1831"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osobami uprawnionymi</w:t>
            </w:r>
            <w:r w:rsidR="000F69F5" w:rsidRPr="0009507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53" w:type="dxa"/>
          </w:tcPr>
          <w:p w14:paraId="5B57D458" w14:textId="6281713D" w:rsidR="003976DD" w:rsidRPr="00095079" w:rsidRDefault="006C7AE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07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19" w:type="dxa"/>
          </w:tcPr>
          <w:p w14:paraId="537A258F" w14:textId="0F159B6C" w:rsidR="003976DD" w:rsidRPr="00095079" w:rsidRDefault="00C11D0A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5C1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374" w:type="dxa"/>
          </w:tcPr>
          <w:p w14:paraId="5230CBE1" w14:textId="05DED33C" w:rsidR="006C7AE4" w:rsidRPr="003059D2" w:rsidRDefault="006C7AE4" w:rsidP="003059D2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059D2">
              <w:rPr>
                <w:rFonts w:ascii="Arial" w:hAnsi="Arial" w:cs="Arial"/>
                <w:iCs/>
                <w:sz w:val="20"/>
                <w:szCs w:val="20"/>
              </w:rPr>
              <w:t>Weryfikacja umów nieo</w:t>
            </w:r>
            <w:r w:rsidR="00FF45E0" w:rsidRPr="003059D2">
              <w:rPr>
                <w:rFonts w:ascii="Arial" w:hAnsi="Arial" w:cs="Arial"/>
                <w:iCs/>
                <w:sz w:val="20"/>
                <w:szCs w:val="20"/>
              </w:rPr>
              <w:t xml:space="preserve">dpłatnego zbycia akcji/udziałów </w:t>
            </w:r>
            <w:r w:rsidRPr="003059D2">
              <w:rPr>
                <w:rFonts w:ascii="Arial" w:hAnsi="Arial" w:cs="Arial"/>
                <w:iCs/>
                <w:sz w:val="20"/>
                <w:szCs w:val="20"/>
              </w:rPr>
              <w:t>przygotowywanych przez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F69F5" w:rsidRPr="003059D2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3059D2">
              <w:rPr>
                <w:rFonts w:ascii="Arial" w:hAnsi="Arial" w:cs="Arial"/>
                <w:iCs/>
                <w:sz w:val="20"/>
                <w:szCs w:val="20"/>
              </w:rPr>
              <w:t>półki.</w:t>
            </w:r>
          </w:p>
          <w:p w14:paraId="6E6454AC" w14:textId="77777777" w:rsidR="003059D2" w:rsidRDefault="003059D2" w:rsidP="003059D2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27D56BD" w14:textId="0C3BD4EE" w:rsidR="003976DD" w:rsidRPr="003059D2" w:rsidRDefault="00B955BC" w:rsidP="003059D2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059D2">
              <w:rPr>
                <w:rFonts w:ascii="Arial" w:hAnsi="Arial" w:cs="Arial"/>
                <w:iCs/>
                <w:sz w:val="20"/>
                <w:szCs w:val="20"/>
              </w:rPr>
              <w:t xml:space="preserve">Zawieranie umów </w:t>
            </w:r>
            <w:r w:rsidR="006C7AE4" w:rsidRPr="003059D2">
              <w:rPr>
                <w:rFonts w:ascii="Arial" w:hAnsi="Arial" w:cs="Arial"/>
                <w:iCs/>
                <w:sz w:val="20"/>
                <w:szCs w:val="20"/>
              </w:rPr>
              <w:t>nieodpłatnego zbycia akcji/udziałów przez Ministra Aktywów Państwowych.</w:t>
            </w:r>
          </w:p>
        </w:tc>
        <w:tc>
          <w:tcPr>
            <w:tcW w:w="2738" w:type="dxa"/>
          </w:tcPr>
          <w:p w14:paraId="78EDE159" w14:textId="32FD390B" w:rsidR="00437CB5" w:rsidRPr="003059D2" w:rsidRDefault="00437CB5" w:rsidP="00437CB5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059D2">
              <w:rPr>
                <w:rFonts w:ascii="Arial" w:hAnsi="Arial" w:cs="Arial"/>
                <w:iCs/>
                <w:sz w:val="20"/>
                <w:szCs w:val="20"/>
              </w:rPr>
              <w:t>Weryfikacja umów nieodpłatnego zbycia akcji/udziałów przygotowywanych przez Spółki.</w:t>
            </w:r>
          </w:p>
          <w:p w14:paraId="58EB170E" w14:textId="77777777" w:rsidR="00437CB5" w:rsidRDefault="00437CB5" w:rsidP="00437CB5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DCE3DA1" w14:textId="72EB0D84" w:rsidR="005F4B5F" w:rsidRDefault="00437CB5" w:rsidP="005F4B5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059D2">
              <w:rPr>
                <w:rFonts w:ascii="Arial" w:hAnsi="Arial" w:cs="Arial"/>
                <w:iCs/>
                <w:sz w:val="20"/>
                <w:szCs w:val="20"/>
              </w:rPr>
              <w:t>Zawieranie umów nieodpłatnego zbycia akcji/udziałów przez</w:t>
            </w:r>
            <w:r w:rsidR="00514CB1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3059D2">
              <w:rPr>
                <w:rFonts w:ascii="Arial" w:hAnsi="Arial" w:cs="Arial"/>
                <w:iCs/>
                <w:sz w:val="20"/>
                <w:szCs w:val="20"/>
              </w:rPr>
              <w:t>Ministra Aktywów Państwowych.</w:t>
            </w:r>
            <w:r w:rsidR="005F4B5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22EA44AB" w14:textId="77777777" w:rsidR="005F4B5F" w:rsidRDefault="005F4B5F" w:rsidP="005F4B5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D7588EB" w14:textId="2CBEFD0A" w:rsidR="003976DD" w:rsidRPr="0025169D" w:rsidRDefault="005F4B5F" w:rsidP="000863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Pr="005F4B5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2025 r.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F4B5F">
              <w:rPr>
                <w:rFonts w:ascii="Arial" w:hAnsi="Arial" w:cs="Arial"/>
                <w:sz w:val="20"/>
                <w:szCs w:val="20"/>
                <w:lang w:eastAsia="en-US"/>
              </w:rPr>
              <w:t>zawarto 1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5F4B5F">
              <w:rPr>
                <w:rFonts w:ascii="Arial" w:hAnsi="Arial" w:cs="Arial"/>
                <w:sz w:val="20"/>
                <w:szCs w:val="20"/>
                <w:lang w:eastAsia="en-US"/>
              </w:rPr>
              <w:t>347 umów.</w:t>
            </w:r>
          </w:p>
        </w:tc>
      </w:tr>
      <w:tr w:rsidR="001B3198" w:rsidRPr="00AE4DA8" w14:paraId="0635462B" w14:textId="77777777" w:rsidTr="00245C12">
        <w:trPr>
          <w:trHeight w:val="470"/>
        </w:trPr>
        <w:tc>
          <w:tcPr>
            <w:tcW w:w="817" w:type="dxa"/>
            <w:vAlign w:val="center"/>
          </w:tcPr>
          <w:p w14:paraId="197D969D" w14:textId="77777777" w:rsidR="001B3198" w:rsidRPr="00AE4DA8" w:rsidRDefault="001B3198" w:rsidP="00780FFB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1FD0F0A5" w14:textId="77777777" w:rsidR="001B3198" w:rsidRPr="00FD58D9" w:rsidRDefault="001B3198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07D151" w14:textId="3D52AD18" w:rsidR="001B3198" w:rsidRPr="00FD58D9" w:rsidRDefault="001B3198" w:rsidP="00780FF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Wspieranie rozwoju i zapewnienie prawidłowego funkcjonowania rynku pocztowego.</w:t>
            </w:r>
          </w:p>
        </w:tc>
        <w:tc>
          <w:tcPr>
            <w:tcW w:w="3492" w:type="dxa"/>
          </w:tcPr>
          <w:p w14:paraId="00F5C076" w14:textId="50B9BC6F" w:rsidR="001F4B8F" w:rsidRPr="00FD58D9" w:rsidRDefault="001F4B8F" w:rsidP="00780FF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007ECDAD" w14:textId="20F8C9EB" w:rsidR="001B3198" w:rsidRPr="00FD58D9" w:rsidRDefault="001F4B8F" w:rsidP="00780FFB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D9">
              <w:rPr>
                <w:rFonts w:ascii="Arial" w:eastAsia="Times New Roman" w:hAnsi="Arial" w:cs="Arial"/>
                <w:sz w:val="20"/>
                <w:szCs w:val="20"/>
              </w:rPr>
              <w:t xml:space="preserve">Opracowanie projektu nowelizacji ustawy z dnia 23 listopada 2012 r. </w:t>
            </w:r>
            <w:r w:rsidRPr="00FD58D9">
              <w:rPr>
                <w:rFonts w:ascii="Arial" w:eastAsia="Times New Roman" w:hAnsi="Arial" w:cs="Arial"/>
                <w:i/>
                <w:sz w:val="20"/>
                <w:szCs w:val="20"/>
              </w:rPr>
              <w:t>Prawo pocztowe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="0008635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514CB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proofErr w:type="spellEnd"/>
            <w:r w:rsidR="00086355">
              <w:rPr>
                <w:rFonts w:ascii="Arial" w:eastAsia="Times New Roman" w:hAnsi="Arial" w:cs="Arial"/>
                <w:sz w:val="20"/>
                <w:szCs w:val="20"/>
              </w:rPr>
              <w:t>. Dz.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U. z 2023 r. poz. 1640 ze zm.).</w:t>
            </w:r>
          </w:p>
        </w:tc>
        <w:tc>
          <w:tcPr>
            <w:tcW w:w="1653" w:type="dxa"/>
          </w:tcPr>
          <w:p w14:paraId="0C9A273F" w14:textId="77777777" w:rsidR="001B3198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50 %</w:t>
            </w:r>
          </w:p>
          <w:p w14:paraId="0651CB7B" w14:textId="77777777" w:rsidR="00E109E0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326AC53" w14:textId="77777777" w:rsidR="00E109E0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6934C1" w14:textId="77777777" w:rsidR="00E109E0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76E26CC" w14:textId="77777777" w:rsidR="00E109E0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E50C8A" w14:textId="0FC98C18" w:rsidR="00E109E0" w:rsidRPr="00FD58D9" w:rsidRDefault="00E109E0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19" w:type="dxa"/>
            <w:shd w:val="clear" w:color="auto" w:fill="FFFFFF" w:themeFill="background1"/>
          </w:tcPr>
          <w:p w14:paraId="320CB722" w14:textId="77777777" w:rsidR="001B3198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A6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531A3CC8" w14:textId="77777777" w:rsidR="00245C12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06E7B" w14:textId="77777777" w:rsidR="00245C12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48740" w14:textId="77777777" w:rsidR="00245C12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EFA0B" w14:textId="77777777" w:rsidR="00245C12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EF845" w14:textId="6E3CE284" w:rsidR="00245C12" w:rsidRPr="00C90BA6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BA6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3374" w:type="dxa"/>
          </w:tcPr>
          <w:p w14:paraId="02EA68DC" w14:textId="3F02E719" w:rsidR="00E109E0" w:rsidRPr="00C90BA6" w:rsidRDefault="00E109E0" w:rsidP="003059D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0B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Przeprowadzenie </w:t>
            </w:r>
            <w:proofErr w:type="spellStart"/>
            <w:r w:rsidRPr="00C90BA6">
              <w:rPr>
                <w:rFonts w:ascii="Arial" w:hAnsi="Arial" w:cs="Arial"/>
                <w:sz w:val="20"/>
                <w:szCs w:val="20"/>
                <w:lang w:eastAsia="en-US"/>
              </w:rPr>
              <w:t>prekonsul</w:t>
            </w:r>
            <w:r w:rsidR="007C78AD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C90BA6">
              <w:rPr>
                <w:rFonts w:ascii="Arial" w:hAnsi="Arial" w:cs="Arial"/>
                <w:sz w:val="20"/>
                <w:szCs w:val="20"/>
                <w:lang w:eastAsia="en-US"/>
              </w:rPr>
              <w:t>acji</w:t>
            </w:r>
            <w:proofErr w:type="spellEnd"/>
            <w:r w:rsidRPr="00C90B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90BA6">
              <w:rPr>
                <w:rFonts w:ascii="Arial" w:hAnsi="Arial" w:cs="Arial"/>
                <w:sz w:val="20"/>
                <w:szCs w:val="20"/>
                <w:lang w:eastAsia="en-US"/>
              </w:rPr>
              <w:t>głównymi partnerami z zakresu łączności m.in. UKE, UOKiK, operator wyznaczony.</w:t>
            </w:r>
          </w:p>
          <w:p w14:paraId="668D031C" w14:textId="77777777" w:rsidR="00E109E0" w:rsidRPr="00C90BA6" w:rsidRDefault="00E109E0" w:rsidP="00780FFB">
            <w:pPr>
              <w:pStyle w:val="Akapitzlist"/>
              <w:spacing w:before="60" w:after="60"/>
              <w:ind w:left="134" w:hanging="142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3275CB1" w14:textId="0A3235C5" w:rsidR="001B3198" w:rsidRPr="00C90BA6" w:rsidRDefault="00E109E0" w:rsidP="003059D2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C90BA6">
              <w:rPr>
                <w:rFonts w:ascii="Arial" w:eastAsia="Times New Roman" w:hAnsi="Arial" w:cs="Arial"/>
                <w:sz w:val="20"/>
                <w:szCs w:val="20"/>
              </w:rPr>
              <w:t>Opracowanie projektu nowelizacji Ustawy PP, uzasadnienia i OSR.</w:t>
            </w:r>
          </w:p>
        </w:tc>
        <w:tc>
          <w:tcPr>
            <w:tcW w:w="2738" w:type="dxa"/>
          </w:tcPr>
          <w:p w14:paraId="681B9BCF" w14:textId="76EF0141" w:rsidR="001B3198" w:rsidRPr="00BA5854" w:rsidRDefault="00D90755" w:rsidP="000863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A58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Przeprowadzenie </w:t>
            </w:r>
            <w:proofErr w:type="spellStart"/>
            <w:r w:rsidRPr="00BA5854">
              <w:rPr>
                <w:rFonts w:ascii="Arial" w:hAnsi="Arial" w:cs="Arial"/>
                <w:sz w:val="20"/>
                <w:szCs w:val="20"/>
                <w:lang w:eastAsia="en-US"/>
              </w:rPr>
              <w:t>prekonsul</w:t>
            </w:r>
            <w:r w:rsidR="007C78AD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BA5854">
              <w:rPr>
                <w:rFonts w:ascii="Arial" w:hAnsi="Arial" w:cs="Arial"/>
                <w:sz w:val="20"/>
                <w:szCs w:val="20"/>
                <w:lang w:eastAsia="en-US"/>
              </w:rPr>
              <w:t>acji</w:t>
            </w:r>
            <w:proofErr w:type="spellEnd"/>
            <w:r w:rsidRPr="00BA58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głównymi partnerami z zakresu łączności m.in. UKE, UOKiK, operator wyznaczony</w:t>
            </w:r>
            <w:r w:rsidR="00F81ADB" w:rsidRPr="00BA5854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Rozpoczęto opracowywanie projektu </w:t>
            </w:r>
            <w:r w:rsidR="00F81ADB" w:rsidRPr="00BA585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ustawy wraz z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F81ADB" w:rsidRPr="00BA5854">
              <w:rPr>
                <w:rFonts w:ascii="Arial" w:hAnsi="Arial" w:cs="Arial"/>
                <w:sz w:val="20"/>
                <w:szCs w:val="20"/>
                <w:lang w:eastAsia="en-US"/>
              </w:rPr>
              <w:t>uzasadnieniem i Oceną Skutków Regulacji</w:t>
            </w:r>
            <w:r w:rsidR="00183F59" w:rsidRPr="00BA585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BA5854" w:rsidRPr="00BA58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854">
              <w:rPr>
                <w:rFonts w:ascii="Arial" w:hAnsi="Arial" w:cs="Arial"/>
                <w:sz w:val="20"/>
                <w:szCs w:val="20"/>
              </w:rPr>
              <w:t>D</w:t>
            </w:r>
            <w:r w:rsidR="00BA5854" w:rsidRPr="00BA5854">
              <w:rPr>
                <w:rFonts w:ascii="Arial" w:hAnsi="Arial" w:cs="Arial"/>
                <w:sz w:val="20"/>
                <w:szCs w:val="20"/>
              </w:rPr>
              <w:t>odatko</w:t>
            </w:r>
            <w:r w:rsidR="00BA5854">
              <w:rPr>
                <w:rFonts w:ascii="Arial" w:hAnsi="Arial" w:cs="Arial"/>
                <w:sz w:val="20"/>
                <w:szCs w:val="20"/>
              </w:rPr>
              <w:t>we</w:t>
            </w:r>
            <w:r w:rsidR="00BA5854" w:rsidRPr="00BA5854">
              <w:rPr>
                <w:rFonts w:ascii="Arial" w:hAnsi="Arial" w:cs="Arial"/>
                <w:sz w:val="20"/>
                <w:szCs w:val="20"/>
              </w:rPr>
              <w:t xml:space="preserve"> informacj</w:t>
            </w:r>
            <w:r w:rsidR="00BA5854">
              <w:rPr>
                <w:rFonts w:ascii="Arial" w:hAnsi="Arial" w:cs="Arial"/>
                <w:sz w:val="20"/>
                <w:szCs w:val="20"/>
              </w:rPr>
              <w:t xml:space="preserve">e dotyczące </w:t>
            </w:r>
            <w:r w:rsidR="00893364">
              <w:rPr>
                <w:rFonts w:ascii="Arial" w:hAnsi="Arial" w:cs="Arial"/>
                <w:sz w:val="20"/>
                <w:szCs w:val="20"/>
              </w:rPr>
              <w:t xml:space="preserve">poziomu </w:t>
            </w:r>
            <w:r w:rsidR="00BA5854">
              <w:rPr>
                <w:rFonts w:ascii="Arial" w:hAnsi="Arial" w:cs="Arial"/>
                <w:sz w:val="20"/>
                <w:szCs w:val="20"/>
              </w:rPr>
              <w:t>realizacji mierników ujęto w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="00BA5854">
              <w:rPr>
                <w:rFonts w:ascii="Arial" w:hAnsi="Arial" w:cs="Arial"/>
                <w:sz w:val="20"/>
                <w:szCs w:val="20"/>
              </w:rPr>
              <w:t>części D.</w:t>
            </w:r>
          </w:p>
        </w:tc>
      </w:tr>
      <w:tr w:rsidR="001F4B8F" w:rsidRPr="00AE4DA8" w14:paraId="48A81DAC" w14:textId="77777777" w:rsidTr="00780FFB">
        <w:tc>
          <w:tcPr>
            <w:tcW w:w="817" w:type="dxa"/>
            <w:vAlign w:val="center"/>
          </w:tcPr>
          <w:p w14:paraId="2E86C7AD" w14:textId="77777777" w:rsidR="001F4B8F" w:rsidRPr="00AE4DA8" w:rsidRDefault="001F4B8F" w:rsidP="00780FFB">
            <w:pPr>
              <w:pStyle w:val="Akapitzlist"/>
              <w:tabs>
                <w:tab w:val="left" w:pos="360"/>
              </w:tabs>
              <w:spacing w:before="60" w:after="60"/>
              <w:ind w:left="59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03A6FFDC" w14:textId="77777777" w:rsidR="001F4B8F" w:rsidRPr="00444823" w:rsidRDefault="001F4B8F" w:rsidP="00780FFB">
            <w:pPr>
              <w:spacing w:before="60" w:after="6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14:paraId="50F36CF5" w14:textId="7A14659B" w:rsidR="00433FD4" w:rsidRPr="00FD58D9" w:rsidRDefault="00433FD4" w:rsidP="00780FFB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a) Odnowienie członkostwa Polski w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Radzie Administracyjnej Światowego Związku Pocztowego</w:t>
            </w:r>
            <w:r w:rsidR="00444823" w:rsidRPr="00FD58D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5A7E100" w14:textId="77777777" w:rsidR="00433FD4" w:rsidRPr="00FD58D9" w:rsidRDefault="00433FD4" w:rsidP="00780FFB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6F895A" w14:textId="77777777" w:rsidR="00433FD4" w:rsidRPr="00FD58D9" w:rsidRDefault="00433FD4" w:rsidP="00780FFB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B5425E" w14:textId="77777777" w:rsidR="00433FD4" w:rsidRPr="00FD58D9" w:rsidRDefault="00433FD4" w:rsidP="00780FFB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B23D64" w14:textId="22F04344" w:rsidR="001F4B8F" w:rsidRPr="00FD58D9" w:rsidRDefault="00433FD4" w:rsidP="00086355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b) Odnowienie członkostwa Polski w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Radzie Eksploatacji Pocztowej Światowego Związku Pocztowego</w:t>
            </w:r>
            <w:r w:rsidR="00444823" w:rsidRPr="00FD58D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53" w:type="dxa"/>
          </w:tcPr>
          <w:p w14:paraId="4F1BDE15" w14:textId="77777777" w:rsidR="001F4B8F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a) 1</w:t>
            </w:r>
          </w:p>
          <w:p w14:paraId="2213F852" w14:textId="77777777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3A046" w14:textId="77777777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60A88" w14:textId="77777777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67B31" w14:textId="77777777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F0DD7" w14:textId="77777777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5535F" w14:textId="7A90BCEB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b) 1</w:t>
            </w:r>
          </w:p>
          <w:p w14:paraId="28E9EE16" w14:textId="4042DFED" w:rsidR="00433FD4" w:rsidRPr="00FD58D9" w:rsidRDefault="00433FD4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7FACD1D" w14:textId="77777777" w:rsidR="001F4B8F" w:rsidRPr="001A2F0E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B21D50A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805701C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6AB3FE4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3FD97F0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ACBA3BB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4C7EA7" w14:textId="02A383F8" w:rsidR="00245C12" w:rsidRPr="001A2F0E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15F83C8" w14:textId="31550278" w:rsidR="00245C12" w:rsidRPr="00FD58D9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74" w:type="dxa"/>
          </w:tcPr>
          <w:p w14:paraId="4B551340" w14:textId="707B37E0" w:rsidR="00444823" w:rsidRPr="003059D2" w:rsidRDefault="00444823" w:rsidP="003059D2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059D2">
              <w:rPr>
                <w:rFonts w:ascii="Arial" w:hAnsi="Arial" w:cs="Arial"/>
                <w:sz w:val="20"/>
                <w:szCs w:val="20"/>
                <w:lang w:eastAsia="en-US"/>
              </w:rPr>
              <w:t>Podjęcie działań mających na celu uzyskanie poparcia kandydatury Polski do Rady Administracyjnej i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3059D2">
              <w:rPr>
                <w:rFonts w:ascii="Arial" w:hAnsi="Arial" w:cs="Arial"/>
                <w:sz w:val="20"/>
                <w:szCs w:val="20"/>
                <w:lang w:eastAsia="en-US"/>
              </w:rPr>
              <w:t>Rady Eksploatacji Pocztowej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3059D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np.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3059D2">
              <w:rPr>
                <w:rFonts w:ascii="Arial" w:hAnsi="Arial" w:cs="Arial"/>
                <w:sz w:val="20"/>
                <w:szCs w:val="20"/>
                <w:lang w:eastAsia="en-US"/>
              </w:rPr>
              <w:t>poprzez współpracę z MSZ i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3059D2">
              <w:rPr>
                <w:rFonts w:ascii="Arial" w:hAnsi="Arial" w:cs="Arial"/>
                <w:sz w:val="20"/>
                <w:szCs w:val="20"/>
                <w:lang w:eastAsia="en-US"/>
              </w:rPr>
              <w:t>ambasadami.</w:t>
            </w:r>
          </w:p>
          <w:p w14:paraId="384F5591" w14:textId="64C30B05" w:rsidR="001F4B8F" w:rsidRPr="003059D2" w:rsidRDefault="00444823" w:rsidP="00086355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059D2">
              <w:rPr>
                <w:rFonts w:ascii="Arial" w:eastAsia="Times New Roman" w:hAnsi="Arial" w:cs="Arial"/>
                <w:sz w:val="20"/>
                <w:szCs w:val="20"/>
              </w:rPr>
              <w:t>Aktywny udział przedstawicieli MAP w XXVIII Kongresie Światowego Związku Pocztowego w Dubaju w dn. 8-19 września 2025 r. w celu współtworzenia regulacji.</w:t>
            </w:r>
          </w:p>
        </w:tc>
        <w:tc>
          <w:tcPr>
            <w:tcW w:w="2738" w:type="dxa"/>
          </w:tcPr>
          <w:p w14:paraId="42594D58" w14:textId="5D017846" w:rsidR="00BD36C9" w:rsidRDefault="0056005F" w:rsidP="00BD36C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Odnowi</w:t>
            </w:r>
            <w:r w:rsidR="00F271B0">
              <w:rPr>
                <w:rFonts w:ascii="Arial" w:hAnsi="Arial" w:cs="Arial"/>
                <w:sz w:val="20"/>
                <w:szCs w:val="20"/>
                <w:lang w:eastAsia="en-US"/>
              </w:rPr>
              <w:t>enie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członkost</w:t>
            </w:r>
            <w:r w:rsidR="00F271B0">
              <w:rPr>
                <w:rFonts w:ascii="Arial" w:hAnsi="Arial" w:cs="Arial"/>
                <w:sz w:val="20"/>
                <w:szCs w:val="20"/>
                <w:lang w:eastAsia="en-US"/>
              </w:rPr>
              <w:t>wa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Polski w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Radzie</w:t>
            </w:r>
            <w:r w:rsidR="00BD36C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Administracyjnej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Światowego</w:t>
            </w:r>
            <w:r w:rsidR="00BD36C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Związku Pocztowego</w:t>
            </w:r>
            <w:r w:rsidR="00BD36C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47590CB9" w14:textId="77777777" w:rsidR="00BD36C9" w:rsidRDefault="00BD36C9" w:rsidP="00BD36C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6926135" w14:textId="313BCB08" w:rsidR="001F4B8F" w:rsidRPr="00F81ADB" w:rsidRDefault="0056005F" w:rsidP="000863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Odnowi</w:t>
            </w:r>
            <w:r w:rsidR="00250232">
              <w:rPr>
                <w:rFonts w:ascii="Arial" w:hAnsi="Arial" w:cs="Arial"/>
                <w:sz w:val="20"/>
                <w:szCs w:val="20"/>
                <w:lang w:eastAsia="en-US"/>
              </w:rPr>
              <w:t xml:space="preserve">enie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członkostw</w:t>
            </w:r>
            <w:r w:rsidR="00250232"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Polski w</w:t>
            </w:r>
            <w:r w:rsidR="00BD36C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Radzie Eksploatacji</w:t>
            </w:r>
            <w:r w:rsidR="00BD36C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Pocztowej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Światowego Związku</w:t>
            </w:r>
            <w:r w:rsidR="0008635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BD36C9">
              <w:rPr>
                <w:rFonts w:ascii="Arial" w:hAnsi="Arial" w:cs="Arial"/>
                <w:sz w:val="20"/>
                <w:szCs w:val="20"/>
                <w:lang w:eastAsia="en-US"/>
              </w:rPr>
              <w:t>Pocztowego</w:t>
            </w:r>
            <w:r w:rsidR="00183F5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444823" w:rsidRPr="00AE4DA8" w14:paraId="0DE203C0" w14:textId="77777777" w:rsidTr="00780FFB">
        <w:tc>
          <w:tcPr>
            <w:tcW w:w="817" w:type="dxa"/>
            <w:vAlign w:val="center"/>
          </w:tcPr>
          <w:p w14:paraId="67D09993" w14:textId="4D8F68E1" w:rsidR="00444823" w:rsidRPr="00AE4DA8" w:rsidRDefault="00444823" w:rsidP="00780FFB">
            <w:pPr>
              <w:pStyle w:val="Akapitzlist"/>
              <w:tabs>
                <w:tab w:val="left" w:pos="36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71" w:type="dxa"/>
          </w:tcPr>
          <w:p w14:paraId="01088574" w14:textId="77777777" w:rsidR="00444823" w:rsidRPr="00444823" w:rsidRDefault="00444823" w:rsidP="00780FFB">
            <w:pPr>
              <w:spacing w:before="60" w:after="6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8A07DBC" w14:textId="11696AF0" w:rsidR="00444823" w:rsidRPr="00444823" w:rsidRDefault="00444823" w:rsidP="00086355">
            <w:pPr>
              <w:spacing w:before="60" w:after="6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Realizacja interesów Skarbu Państwa poprzez finansowanie procesów inwestycyjnych w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hAnsi="Arial" w:cs="Arial"/>
                <w:sz w:val="20"/>
                <w:szCs w:val="20"/>
              </w:rPr>
              <w:t>spółkach.</w:t>
            </w:r>
          </w:p>
        </w:tc>
        <w:tc>
          <w:tcPr>
            <w:tcW w:w="3492" w:type="dxa"/>
          </w:tcPr>
          <w:p w14:paraId="50046D43" w14:textId="42CFB6E1" w:rsidR="00444823" w:rsidRPr="00FD58D9" w:rsidRDefault="00444823" w:rsidP="00780FFB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E8AD70" w14:textId="117C042C" w:rsidR="00444823" w:rsidRPr="00FD58D9" w:rsidRDefault="00444823" w:rsidP="0008635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Zawarcie umów związanych z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hAnsi="Arial" w:cs="Arial"/>
                <w:sz w:val="20"/>
                <w:szCs w:val="20"/>
              </w:rPr>
              <w:t>obejmowaniem lub nabywaniem przez Skarb Państwa reprezentowany przez ministra do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hAnsi="Arial" w:cs="Arial"/>
                <w:sz w:val="20"/>
                <w:szCs w:val="20"/>
              </w:rPr>
              <w:t xml:space="preserve">spraw aktywów państwowych akcji lub udziałów w spółkach </w:t>
            </w:r>
            <w:r w:rsidRPr="00FD58D9">
              <w:rPr>
                <w:rFonts w:ascii="Arial" w:hAnsi="Arial" w:cs="Arial"/>
                <w:sz w:val="20"/>
                <w:szCs w:val="20"/>
              </w:rPr>
              <w:lastRenderedPageBreak/>
              <w:t>ze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hAnsi="Arial" w:cs="Arial"/>
                <w:sz w:val="20"/>
                <w:szCs w:val="20"/>
              </w:rPr>
              <w:t>środków Funduszu Inwestycji Kapitałowych</w:t>
            </w:r>
            <w:r w:rsidR="001D51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3" w:type="dxa"/>
          </w:tcPr>
          <w:p w14:paraId="7E6F7FF3" w14:textId="77777777" w:rsidR="00444823" w:rsidRPr="00FD58D9" w:rsidRDefault="00444823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E0869E" w14:textId="168C7641" w:rsidR="00444823" w:rsidRPr="00FD58D9" w:rsidRDefault="00444823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8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9" w:type="dxa"/>
          </w:tcPr>
          <w:p w14:paraId="3A42AADB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4994F16" w14:textId="0F6462EB" w:rsidR="00245C12" w:rsidRPr="00FD58D9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74" w:type="dxa"/>
          </w:tcPr>
          <w:p w14:paraId="32FF5C3F" w14:textId="77777777" w:rsidR="003E24DF" w:rsidRDefault="00444823" w:rsidP="00115790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Realizacja zadań związanych z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obejmowaniem lub nabywaniem akcji lub udziałów ze środków Funduszu Inwestycji Kapitałowych, wynikających z: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 xml:space="preserve"> u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stawy z dnia 16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 xml:space="preserve">grudnia 2016 r. </w:t>
            </w:r>
            <w:r w:rsidRPr="00FD58D9">
              <w:rPr>
                <w:rFonts w:ascii="Arial" w:eastAsia="Times New Roman" w:hAnsi="Arial" w:cs="Arial"/>
                <w:i/>
                <w:sz w:val="20"/>
                <w:szCs w:val="20"/>
              </w:rPr>
              <w:t>o zasadach zarządzania mieniem państwowym,</w:t>
            </w:r>
            <w:r w:rsidR="00183F5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 xml:space="preserve">ozporządzenia Prezesa Rady Ministrów z dnia 31 grudnia 2020 r. </w:t>
            </w:r>
            <w:r w:rsidRPr="00FD58D9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w sprawie szczegółowego sposobu postępowania w zakresie nabywania lub obejmowania akcji przez Skarb Państwa ze środków Funduszu Inwestycji Kapitałowych</w:t>
            </w:r>
            <w:r w:rsidRPr="00FD58D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DF63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38060D4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ADDE4F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57FBCFB" w14:textId="4FFFDE5A" w:rsidR="003E24DF" w:rsidRDefault="00DF63A0" w:rsidP="0044647E">
            <w:pPr>
              <w:spacing w:after="0"/>
              <w:jc w:val="left"/>
              <w:rPr>
                <w:rStyle w:val="Hipercze"/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CA55F5">
              <w:rPr>
                <w:rFonts w:ascii="Arial" w:hAnsi="Arial" w:cs="Arial"/>
                <w:i/>
                <w:iCs/>
                <w:sz w:val="20"/>
                <w:szCs w:val="20"/>
              </w:rPr>
              <w:t>(obecnie obowiązuje rozporządzenie Ministra Aktywów Państwowych z dnia 13 maja 2025</w:t>
            </w:r>
            <w:r w:rsidR="000A1B96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A55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r. w sprawie szczegółowego sposobu postępowania w zakresie nabywania lub obejmowania akcji przez Skarb Państwa ze środków Funduszu Inwestycji Kapitałowych </w:t>
            </w:r>
            <w:hyperlink r:id="rId8" w:history="1">
              <w:r w:rsidRPr="00CA55F5">
                <w:rPr>
                  <w:rStyle w:val="Hipercze"/>
                  <w:rFonts w:ascii="Arial" w:hAnsi="Arial" w:cs="Arial"/>
                  <w:i/>
                  <w:iCs/>
                  <w:color w:val="auto"/>
                  <w:sz w:val="20"/>
                  <w:szCs w:val="20"/>
                </w:rPr>
                <w:t>(Dz.U. z 2025 r. poz. 666)</w:t>
              </w:r>
            </w:hyperlink>
          </w:p>
          <w:p w14:paraId="572773C8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121BEA5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7E09C6D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123DEC0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FB3B57E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0E33E9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80F8A8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4093981" w14:textId="77777777" w:rsidR="0044647E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23EE61" w14:textId="68D02430" w:rsidR="0044647E" w:rsidRPr="00FD58D9" w:rsidRDefault="0044647E" w:rsidP="0044647E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38" w:type="dxa"/>
          </w:tcPr>
          <w:p w14:paraId="54D5170C" w14:textId="1BABAAB3" w:rsidR="00444823" w:rsidRPr="0025169D" w:rsidRDefault="00061AE4" w:rsidP="00086355">
            <w:pPr>
              <w:spacing w:after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W 2025 r.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 xml:space="preserve">zawartych 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>z</w:t>
            </w:r>
            <w:r w:rsidR="00086355" w:rsidRPr="00250232">
              <w:rPr>
                <w:rFonts w:ascii="Arial" w:hAnsi="Arial" w:cs="Arial"/>
                <w:iCs/>
                <w:sz w:val="20"/>
                <w:szCs w:val="20"/>
              </w:rPr>
              <w:t xml:space="preserve">ostało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13 umów</w:t>
            </w:r>
            <w:r w:rsidR="00AA098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inwestycyjnych związanych z objęciem przez Skarb</w:t>
            </w:r>
            <w:r w:rsidR="00AA098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Państwa reprezentowany przez ministra do spraw</w:t>
            </w:r>
            <w:r w:rsidR="00AA098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aktywów państwowych akcji ze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środków Funduszu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 xml:space="preserve">Inwestycji Kapitałowych.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lastRenderedPageBreak/>
              <w:t>Podpisanie większej niż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założono liczby umów wynikało z faktu złożenia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przez spółki większej liczby wniosków oraz było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możliwe dzięki dokonaniu dwukrotnie</w:t>
            </w:r>
            <w:r w:rsidR="0025023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50232" w:rsidRPr="00250232">
              <w:rPr>
                <w:rFonts w:ascii="ArialMT" w:hAnsi="ArialMT" w:cs="ArialMT"/>
                <w:sz w:val="8"/>
                <w:szCs w:val="8"/>
                <w:lang w:eastAsia="en-US"/>
              </w:rPr>
              <w:t xml:space="preserve"> 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zmiany planu</w:t>
            </w:r>
            <w:r w:rsidR="00086355">
              <w:rPr>
                <w:rFonts w:ascii="Arial" w:hAnsi="Arial" w:cs="Arial"/>
                <w:iCs/>
                <w:sz w:val="20"/>
                <w:szCs w:val="20"/>
              </w:rPr>
              <w:t xml:space="preserve"> finansowego F</w:t>
            </w:r>
            <w:r w:rsidR="00250232" w:rsidRPr="00250232">
              <w:rPr>
                <w:rFonts w:ascii="Arial" w:hAnsi="Arial" w:cs="Arial"/>
                <w:iCs/>
                <w:sz w:val="20"/>
                <w:szCs w:val="20"/>
              </w:rPr>
              <w:t>unduszu.</w:t>
            </w:r>
          </w:p>
        </w:tc>
      </w:tr>
      <w:tr w:rsidR="00444823" w:rsidRPr="00AE4DA8" w14:paraId="2C097069" w14:textId="77777777" w:rsidTr="00EC1C0B">
        <w:trPr>
          <w:trHeight w:val="4159"/>
        </w:trPr>
        <w:tc>
          <w:tcPr>
            <w:tcW w:w="817" w:type="dxa"/>
            <w:vAlign w:val="center"/>
          </w:tcPr>
          <w:p w14:paraId="309EF209" w14:textId="34908723" w:rsidR="00444823" w:rsidRPr="00AE4DA8" w:rsidRDefault="00444823" w:rsidP="00780FFB">
            <w:pPr>
              <w:pStyle w:val="Akapitzlist"/>
              <w:tabs>
                <w:tab w:val="left" w:pos="360"/>
              </w:tabs>
              <w:spacing w:before="60" w:after="60"/>
              <w:ind w:left="23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71" w:type="dxa"/>
          </w:tcPr>
          <w:p w14:paraId="2E3AF784" w14:textId="77777777" w:rsidR="003638F3" w:rsidRDefault="003638F3" w:rsidP="00443E5B">
            <w:pPr>
              <w:pStyle w:val="trescpisma"/>
            </w:pPr>
          </w:p>
          <w:p w14:paraId="5CB80607" w14:textId="4690A6F0" w:rsidR="00444823" w:rsidRPr="000B6B9B" w:rsidRDefault="00444823" w:rsidP="00443E5B">
            <w:pPr>
              <w:pStyle w:val="trescpisma"/>
            </w:pPr>
            <w:r w:rsidRPr="000B6B9B">
              <w:t>Rozwój sektora energetycznego, w tym rozwój sektora morskiej energetyki wiatrowej.</w:t>
            </w:r>
          </w:p>
        </w:tc>
        <w:tc>
          <w:tcPr>
            <w:tcW w:w="3492" w:type="dxa"/>
          </w:tcPr>
          <w:p w14:paraId="1ACC34AE" w14:textId="152231AB" w:rsidR="00444823" w:rsidRPr="00444823" w:rsidRDefault="00444823" w:rsidP="00780FF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C1FAE00" w14:textId="77777777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sz w:val="20"/>
                <w:szCs w:val="20"/>
              </w:rPr>
              <w:t>Realizacja zadań ustawowych</w:t>
            </w:r>
          </w:p>
          <w:p w14:paraId="3C734E7E" w14:textId="77777777" w:rsidR="00086355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sz w:val="20"/>
                <w:szCs w:val="20"/>
              </w:rPr>
              <w:t xml:space="preserve">określonych w: </w:t>
            </w:r>
          </w:p>
          <w:p w14:paraId="3662F278" w14:textId="3D09CFBD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sz w:val="20"/>
                <w:szCs w:val="20"/>
              </w:rPr>
              <w:t>1) ustawie z dnia 17 grudnia 2020 r.</w:t>
            </w:r>
          </w:p>
          <w:p w14:paraId="0CFCAF7A" w14:textId="1DD0D5F0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i/>
                <w:sz w:val="20"/>
                <w:szCs w:val="20"/>
              </w:rPr>
              <w:t>o promowaniu wytwarzania energii elektrycznej w morskich farmach wiatrowych</w:t>
            </w:r>
            <w:r w:rsidRPr="005662CE">
              <w:rPr>
                <w:rFonts w:ascii="Arial" w:eastAsia="Times New Roman" w:hAnsi="Arial" w:cs="Arial"/>
                <w:sz w:val="20"/>
                <w:szCs w:val="20"/>
              </w:rPr>
              <w:t xml:space="preserve"> (Dz.U. z 2023 r. poz.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662CE">
              <w:rPr>
                <w:rFonts w:ascii="Arial" w:eastAsia="Times New Roman" w:hAnsi="Arial" w:cs="Arial"/>
                <w:sz w:val="20"/>
                <w:szCs w:val="20"/>
              </w:rPr>
              <w:t>1385 ze zm.),</w:t>
            </w:r>
          </w:p>
          <w:p w14:paraId="54E4928B" w14:textId="77777777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A9F594" w14:textId="7424ECAF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sz w:val="20"/>
                <w:szCs w:val="20"/>
              </w:rPr>
              <w:t xml:space="preserve">2) ustawie z dnia 24 lipca 2015 r. </w:t>
            </w:r>
            <w:r w:rsidRPr="005662CE">
              <w:rPr>
                <w:rFonts w:ascii="Arial" w:eastAsia="Times New Roman" w:hAnsi="Arial" w:cs="Arial"/>
                <w:i/>
                <w:sz w:val="20"/>
                <w:szCs w:val="20"/>
              </w:rPr>
              <w:t>o</w:t>
            </w:r>
            <w:r w:rsidR="00086355">
              <w:rPr>
                <w:rFonts w:ascii="Arial" w:eastAsia="Times New Roman" w:hAnsi="Arial" w:cs="Arial"/>
                <w:i/>
                <w:sz w:val="20"/>
                <w:szCs w:val="20"/>
              </w:rPr>
              <w:t> </w:t>
            </w:r>
            <w:r w:rsidRPr="005662CE">
              <w:rPr>
                <w:rFonts w:ascii="Arial" w:eastAsia="Times New Roman" w:hAnsi="Arial" w:cs="Arial"/>
                <w:i/>
                <w:sz w:val="20"/>
                <w:szCs w:val="20"/>
              </w:rPr>
              <w:t>przygotowaniu i realizacji strategicznych inwestycji w zakresie sieci przesyłowych</w:t>
            </w:r>
            <w:r w:rsidR="005662C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086355">
              <w:rPr>
                <w:rFonts w:ascii="Arial" w:eastAsia="Times New Roman" w:hAnsi="Arial" w:cs="Arial"/>
                <w:sz w:val="20"/>
                <w:szCs w:val="20"/>
              </w:rPr>
              <w:t>(Dz.</w:t>
            </w:r>
            <w:r w:rsidRPr="005662CE">
              <w:rPr>
                <w:rFonts w:ascii="Arial" w:eastAsia="Times New Roman" w:hAnsi="Arial" w:cs="Arial"/>
                <w:sz w:val="20"/>
                <w:szCs w:val="20"/>
              </w:rPr>
              <w:t xml:space="preserve">U. z 2023 r. poz. 1680 ze zm.), </w:t>
            </w:r>
          </w:p>
          <w:p w14:paraId="753F0FB8" w14:textId="77777777" w:rsidR="00444823" w:rsidRPr="005662CE" w:rsidRDefault="00444823" w:rsidP="005662C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D8180E" w14:textId="1174404A" w:rsidR="00444823" w:rsidRPr="00444823" w:rsidRDefault="00444823" w:rsidP="00514CB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62CE">
              <w:rPr>
                <w:rFonts w:ascii="Arial" w:eastAsia="Times New Roman" w:hAnsi="Arial" w:cs="Arial"/>
                <w:sz w:val="20"/>
                <w:szCs w:val="20"/>
              </w:rPr>
              <w:t xml:space="preserve">3) ustawie z dnia 29 czerwca 2011 r. </w:t>
            </w:r>
            <w:r w:rsidRPr="005662CE">
              <w:rPr>
                <w:rFonts w:ascii="Arial" w:eastAsia="Times New Roman" w:hAnsi="Arial" w:cs="Arial"/>
                <w:i/>
                <w:sz w:val="20"/>
                <w:szCs w:val="20"/>
              </w:rPr>
              <w:t>o przygotowaniu i realizacji inwestycji w zakresie obiektów energetyki jądrowej oraz inwestycji towarzyszących</w:t>
            </w:r>
            <w:r w:rsidR="00583E0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5662CE">
              <w:rPr>
                <w:rFonts w:ascii="Arial" w:eastAsia="Times New Roman" w:hAnsi="Arial" w:cs="Arial"/>
                <w:sz w:val="20"/>
                <w:szCs w:val="20"/>
              </w:rPr>
              <w:t>(Dz.U. z 2021 r. poz. 1484 z</w:t>
            </w:r>
            <w:r w:rsidR="00514CB1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583E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62CE">
              <w:rPr>
                <w:rFonts w:ascii="Arial" w:eastAsia="Times New Roman" w:hAnsi="Arial" w:cs="Arial"/>
                <w:sz w:val="20"/>
                <w:szCs w:val="20"/>
              </w:rPr>
              <w:t>zm.).</w:t>
            </w:r>
          </w:p>
        </w:tc>
        <w:tc>
          <w:tcPr>
            <w:tcW w:w="1653" w:type="dxa"/>
          </w:tcPr>
          <w:p w14:paraId="48A1E4E4" w14:textId="77777777" w:rsidR="00444823" w:rsidRPr="00444823" w:rsidRDefault="00444823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70DAD89" w14:textId="02170831" w:rsidR="00444823" w:rsidRPr="00444823" w:rsidRDefault="00444823" w:rsidP="00780FF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00D7">
              <w:rPr>
                <w:rFonts w:ascii="Arial" w:hAnsi="Arial" w:cs="Arial"/>
                <w:sz w:val="20"/>
                <w:szCs w:val="20"/>
              </w:rPr>
              <w:t>90%</w:t>
            </w:r>
          </w:p>
        </w:tc>
        <w:tc>
          <w:tcPr>
            <w:tcW w:w="1819" w:type="dxa"/>
          </w:tcPr>
          <w:p w14:paraId="1DC1A69E" w14:textId="77777777" w:rsidR="00444823" w:rsidRPr="001A2F0E" w:rsidRDefault="00444823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72EB2" w14:textId="66671E45" w:rsidR="00444823" w:rsidRPr="001A2F0E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374" w:type="dxa"/>
            <w:vAlign w:val="center"/>
          </w:tcPr>
          <w:p w14:paraId="08A0D147" w14:textId="3BB5D04D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Opiniowanie kierunków zmiany prawa w celu optymalnego wykorzystania aktywów państwowych w zakresie pozwalającym na rozwój sektora energetycznego, w tym rozwój sektora morskiej energetyki wiatrowej.</w:t>
            </w:r>
          </w:p>
          <w:p w14:paraId="1C894E76" w14:textId="375D85F0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Obsługa zadań Pełnomocnika do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spraw koordynacji działań podmiotów objętych nadzorem właścicielskim Ministra Aktywów Państwowych w procesie realizacji inwestycji w zakresie morskich farm wiatrowych.</w:t>
            </w:r>
          </w:p>
          <w:p w14:paraId="5A93CB26" w14:textId="02E74EEB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Przedstawianie opinii ministra właściwego do spraw aktywów państwowych do rozporządzenia Ministra Klimatu określającego maksymalną cenę, wyrażoną w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 xml:space="preserve">złotych za 1 MWh, jaka może być wskazana w ofertach złożonych w aukcji przez wytwórców prowadzących działalność gospodarczą </w:t>
            </w:r>
            <w:r w:rsidRPr="001A2F0E"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sektorze morskiej energetyki wiatrowej.</w:t>
            </w:r>
          </w:p>
          <w:p w14:paraId="72E5592D" w14:textId="4340AD94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Analiza i przetwarzanie informacji przekazywanych przez Prezesa URE dotyczących rozwoju sektora morskiej energetyki wiatrowej.</w:t>
            </w:r>
          </w:p>
          <w:p w14:paraId="639B1486" w14:textId="73AA5C8A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Analiza i przetwarzanie informacji przekazywanych przez Prezesa URE dotyczących planu łańcucha dostaw materiałów i usług.</w:t>
            </w:r>
          </w:p>
          <w:p w14:paraId="78CC6028" w14:textId="72B8D3AD" w:rsidR="00444823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Opiniowanie wniosków inwestorów o wydanie pozwoleń na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wznoszenie lub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wykorzystywanie sztucznych wysp, konstrukcji i urządzeń w</w:t>
            </w:r>
            <w:r w:rsidR="00086355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polskich</w:t>
            </w:r>
            <w:r w:rsidR="003059D2" w:rsidRPr="001A2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F0E">
              <w:rPr>
                <w:rFonts w:ascii="Arial" w:hAnsi="Arial" w:cs="Arial"/>
                <w:sz w:val="20"/>
                <w:szCs w:val="20"/>
              </w:rPr>
              <w:t>obszarach morskich ustalających ich lokalizację oraz</w:t>
            </w:r>
            <w:r w:rsidR="00EC1C0B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określających warunki ich</w:t>
            </w:r>
            <w:r w:rsidR="00EC1C0B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wykorzystania na tych obszarach, a także opiniowanie wniosków inwestorów dotyczących infrastruktury kablowej.</w:t>
            </w:r>
          </w:p>
          <w:p w14:paraId="71D5DF1F" w14:textId="231C9A66" w:rsidR="003059D2" w:rsidRPr="001A2F0E" w:rsidRDefault="00444823" w:rsidP="003059D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Wydawanie opinii na podstawie przepisów ustawy</w:t>
            </w:r>
            <w:r w:rsidR="003059D2" w:rsidRPr="001A2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F0E">
              <w:rPr>
                <w:rFonts w:ascii="Arial" w:hAnsi="Arial" w:cs="Arial"/>
                <w:sz w:val="20"/>
                <w:szCs w:val="20"/>
              </w:rPr>
              <w:t xml:space="preserve">z dnia 24 lipca 2015 r. 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t xml:space="preserve">o przygotowaniu i realizacji 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lastRenderedPageBreak/>
              <w:t>strategicznych inwestycji w</w:t>
            </w:r>
            <w:r w:rsidR="00EC1C0B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t>zakresie sieci przesyłowych</w:t>
            </w:r>
            <w:r w:rsidR="00183F5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E5738E8" w14:textId="45FDD1C5" w:rsidR="00444823" w:rsidRPr="00EC1C0B" w:rsidRDefault="00444823" w:rsidP="00EC1C0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Wydawanie opinii na podstawie przepisów ustawy z dnia 29</w:t>
            </w:r>
            <w:r w:rsidR="00EC1C0B">
              <w:rPr>
                <w:rFonts w:ascii="Arial" w:hAnsi="Arial" w:cs="Arial"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sz w:val="20"/>
                <w:szCs w:val="20"/>
              </w:rPr>
              <w:t>czerwca 2011</w:t>
            </w:r>
            <w:r w:rsidR="00EC1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F0E"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="00EC1C0B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t>przygotowaniu</w:t>
            </w:r>
            <w:r w:rsidR="00EC1C0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A2F0E">
              <w:rPr>
                <w:rFonts w:ascii="Arial" w:hAnsi="Arial" w:cs="Arial"/>
                <w:i/>
                <w:sz w:val="20"/>
                <w:szCs w:val="20"/>
              </w:rPr>
              <w:t>i realizacji inwestycji w zakresie obiektów energetyki jądrowej oraz inwestycji towarzyszących</w:t>
            </w:r>
            <w:r w:rsidRPr="001A2F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38" w:type="dxa"/>
          </w:tcPr>
          <w:p w14:paraId="36862876" w14:textId="77777777" w:rsidR="009A582B" w:rsidRPr="00912B3B" w:rsidRDefault="009A582B" w:rsidP="000B6B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2AB5AA5" w14:textId="4C1C0388" w:rsidR="00444823" w:rsidRPr="00912B3B" w:rsidRDefault="000B6B9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2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Łącznie w okresie </w:t>
            </w:r>
            <w:r w:rsidR="009A582B" w:rsidRPr="00912B3B">
              <w:rPr>
                <w:rFonts w:ascii="Arial" w:hAnsi="Arial" w:cs="Arial"/>
                <w:sz w:val="20"/>
                <w:szCs w:val="20"/>
                <w:lang w:eastAsia="en-US"/>
              </w:rPr>
              <w:t>od</w:t>
            </w:r>
            <w:r w:rsidR="000A1B96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12B3B">
              <w:rPr>
                <w:rFonts w:ascii="Arial" w:hAnsi="Arial" w:cs="Arial"/>
                <w:sz w:val="20"/>
                <w:szCs w:val="20"/>
                <w:lang w:eastAsia="en-US"/>
              </w:rPr>
              <w:t>01.01.-</w:t>
            </w:r>
            <w:r w:rsidR="009A582B" w:rsidRPr="00912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12B3B">
              <w:rPr>
                <w:rFonts w:ascii="Arial" w:hAnsi="Arial" w:cs="Arial"/>
                <w:sz w:val="20"/>
                <w:szCs w:val="20"/>
                <w:lang w:eastAsia="en-US"/>
              </w:rPr>
              <w:t>31.12.</w:t>
            </w:r>
            <w:r w:rsidR="009A582B" w:rsidRPr="00912B3B">
              <w:rPr>
                <w:rFonts w:ascii="Arial" w:hAnsi="Arial" w:cs="Arial"/>
                <w:sz w:val="20"/>
                <w:szCs w:val="20"/>
                <w:lang w:eastAsia="en-US"/>
              </w:rPr>
              <w:t>2025 r.</w:t>
            </w:r>
            <w:r w:rsidRPr="00912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wydano 18 opinii</w:t>
            </w:r>
            <w:r w:rsidR="009A582B" w:rsidRPr="00912B3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12B3B">
              <w:rPr>
                <w:rFonts w:ascii="Arial" w:hAnsi="Arial" w:cs="Arial"/>
                <w:sz w:val="20"/>
                <w:szCs w:val="20"/>
                <w:lang w:eastAsia="en-US"/>
              </w:rPr>
              <w:t>MAP.</w:t>
            </w:r>
          </w:p>
          <w:p w14:paraId="115D1B17" w14:textId="77777777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Przedstawiono</w:t>
            </w:r>
          </w:p>
          <w:p w14:paraId="3BE4E9BE" w14:textId="77777777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także szereg uwag</w:t>
            </w:r>
          </w:p>
          <w:p w14:paraId="57E7F431" w14:textId="77777777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i propozycji zmian przepisów</w:t>
            </w:r>
          </w:p>
          <w:p w14:paraId="788FD14A" w14:textId="77777777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prawa w zakresie</w:t>
            </w:r>
          </w:p>
          <w:p w14:paraId="405D0DC0" w14:textId="77777777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pozwalającym na rozwój</w:t>
            </w:r>
          </w:p>
          <w:p w14:paraId="332EF8BE" w14:textId="4CE560FB" w:rsidR="00912B3B" w:rsidRPr="00912B3B" w:rsidRDefault="00912B3B" w:rsidP="00912B3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2B3B">
              <w:rPr>
                <w:rFonts w:ascii="Arial" w:hAnsi="Arial" w:cs="Arial"/>
                <w:sz w:val="20"/>
                <w:szCs w:val="20"/>
              </w:rPr>
              <w:t>sektora energetyki.</w:t>
            </w:r>
          </w:p>
        </w:tc>
      </w:tr>
    </w:tbl>
    <w:p w14:paraId="1C0C2A73" w14:textId="41195033" w:rsidR="00444823" w:rsidRDefault="00444823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032687C7" w14:textId="7FED4EE9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4DF949C3" w14:textId="161DF89E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16D786AA" w14:textId="01434EC5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0E319D22" w14:textId="15920E33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1F376B02" w14:textId="61DAFC27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29083FCF" w14:textId="56609DC4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53914D0E" w14:textId="322016BF" w:rsid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14157E32" w14:textId="77777777" w:rsidR="00EC1C0B" w:rsidRPr="00EC1C0B" w:rsidRDefault="00EC1C0B" w:rsidP="00780FFB">
      <w:pPr>
        <w:spacing w:after="160"/>
        <w:jc w:val="left"/>
        <w:rPr>
          <w:rFonts w:ascii="Arial" w:hAnsi="Arial" w:cs="Arial"/>
          <w:b/>
          <w:sz w:val="16"/>
          <w:szCs w:val="16"/>
        </w:rPr>
      </w:pPr>
    </w:p>
    <w:p w14:paraId="685FDAB1" w14:textId="08C4E458" w:rsidR="00000000" w:rsidRPr="00AE4DA8" w:rsidRDefault="00CE2028" w:rsidP="00780FF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b/>
          <w:sz w:val="20"/>
          <w:szCs w:val="20"/>
        </w:rPr>
        <w:lastRenderedPageBreak/>
        <w:t>CZĘŚĆ B: Realizacja celów priorytetowych wynikających z budżetu państwa w układzie zadaniowym w roku 20</w:t>
      </w:r>
      <w:r w:rsidR="003257E4" w:rsidRPr="00AE4DA8">
        <w:rPr>
          <w:rFonts w:ascii="Arial" w:hAnsi="Arial" w:cs="Arial"/>
          <w:b/>
          <w:sz w:val="20"/>
          <w:szCs w:val="20"/>
        </w:rPr>
        <w:t>2</w:t>
      </w:r>
      <w:r w:rsidR="00444823">
        <w:rPr>
          <w:rFonts w:ascii="Arial" w:hAnsi="Arial" w:cs="Arial"/>
          <w:b/>
          <w:sz w:val="20"/>
          <w:szCs w:val="20"/>
        </w:rPr>
        <w:t>5</w:t>
      </w:r>
    </w:p>
    <w:p w14:paraId="4055A6E5" w14:textId="77777777" w:rsidR="00000000" w:rsidRPr="00AE4DA8" w:rsidRDefault="00CE2028" w:rsidP="00780FF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i/>
          <w:iCs/>
          <w:sz w:val="20"/>
          <w:szCs w:val="20"/>
        </w:rPr>
        <w:t>(w tej części sprawozdania należy wymienić cele wskazane w części B planu na rok, którego dotyczy sprawozdanie. Nie należy wymieniać celów uprzednio wskazanych w części A)</w:t>
      </w:r>
    </w:p>
    <w:tbl>
      <w:tblPr>
        <w:tblStyle w:val="Tabela-Siatka"/>
        <w:tblW w:w="16013" w:type="dxa"/>
        <w:tblLook w:val="04A0" w:firstRow="1" w:lastRow="0" w:firstColumn="1" w:lastColumn="0" w:noHBand="0" w:noVBand="1"/>
      </w:tblPr>
      <w:tblGrid>
        <w:gridCol w:w="822"/>
        <w:gridCol w:w="2008"/>
        <w:gridCol w:w="2835"/>
        <w:gridCol w:w="1843"/>
        <w:gridCol w:w="1985"/>
        <w:gridCol w:w="3118"/>
        <w:gridCol w:w="3402"/>
      </w:tblGrid>
      <w:tr w:rsidR="00AE4DA8" w:rsidRPr="00AE4DA8" w14:paraId="4513789F" w14:textId="77777777" w:rsidTr="00F6344D">
        <w:tc>
          <w:tcPr>
            <w:tcW w:w="822" w:type="dxa"/>
            <w:vMerge w:val="restart"/>
            <w:shd w:val="clear" w:color="auto" w:fill="D9E2F3" w:themeFill="accent5" w:themeFillTint="33"/>
            <w:vAlign w:val="center"/>
          </w:tcPr>
          <w:p w14:paraId="30F07CEE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vMerge w:val="restart"/>
            <w:shd w:val="clear" w:color="auto" w:fill="D9E2F3" w:themeFill="accent5" w:themeFillTint="33"/>
            <w:vAlign w:val="center"/>
          </w:tcPr>
          <w:p w14:paraId="14F572DB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663" w:type="dxa"/>
            <w:gridSpan w:val="3"/>
            <w:shd w:val="clear" w:color="auto" w:fill="D9E2F3" w:themeFill="accent5" w:themeFillTint="33"/>
            <w:vAlign w:val="center"/>
          </w:tcPr>
          <w:p w14:paraId="2743FE79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118" w:type="dxa"/>
            <w:vMerge w:val="restart"/>
            <w:shd w:val="clear" w:color="auto" w:fill="D9E2F3" w:themeFill="accent5" w:themeFillTint="33"/>
            <w:vAlign w:val="center"/>
          </w:tcPr>
          <w:p w14:paraId="7686234C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402" w:type="dxa"/>
            <w:vMerge w:val="restart"/>
            <w:shd w:val="clear" w:color="auto" w:fill="D9E2F3" w:themeFill="accent5" w:themeFillTint="33"/>
            <w:vAlign w:val="center"/>
          </w:tcPr>
          <w:p w14:paraId="1305156B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AE4DA8" w:rsidRPr="00AE4DA8" w14:paraId="71902396" w14:textId="77777777" w:rsidTr="00F6344D">
        <w:tc>
          <w:tcPr>
            <w:tcW w:w="822" w:type="dxa"/>
            <w:vMerge/>
            <w:shd w:val="clear" w:color="auto" w:fill="D9E2F3" w:themeFill="accent5" w:themeFillTint="33"/>
          </w:tcPr>
          <w:p w14:paraId="170741EF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D9E2F3" w:themeFill="accent5" w:themeFillTint="33"/>
          </w:tcPr>
          <w:p w14:paraId="0C791CF5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D58A026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C048DAC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05BBDE59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118" w:type="dxa"/>
            <w:vMerge/>
            <w:shd w:val="clear" w:color="auto" w:fill="D9E2F3" w:themeFill="accent5" w:themeFillTint="33"/>
          </w:tcPr>
          <w:p w14:paraId="134DAE50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E2F3" w:themeFill="accent5" w:themeFillTint="33"/>
          </w:tcPr>
          <w:p w14:paraId="2624EC76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4DA8" w:rsidRPr="00AE4DA8" w14:paraId="5146EF9E" w14:textId="77777777" w:rsidTr="00F6344D">
        <w:tc>
          <w:tcPr>
            <w:tcW w:w="822" w:type="dxa"/>
            <w:shd w:val="clear" w:color="auto" w:fill="D9E2F3" w:themeFill="accent5" w:themeFillTint="33"/>
            <w:vAlign w:val="center"/>
          </w:tcPr>
          <w:p w14:paraId="41B21E97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D9E2F3" w:themeFill="accent5" w:themeFillTint="33"/>
            <w:vAlign w:val="center"/>
          </w:tcPr>
          <w:p w14:paraId="694C4C50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F188184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5A2D605F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19D6F7ED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66F209A6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6E691B3D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E4DA8" w:rsidRPr="00AE4DA8" w14:paraId="55E476FD" w14:textId="77777777" w:rsidTr="00F6344D">
        <w:trPr>
          <w:trHeight w:val="230"/>
        </w:trPr>
        <w:tc>
          <w:tcPr>
            <w:tcW w:w="822" w:type="dxa"/>
            <w:vAlign w:val="center"/>
          </w:tcPr>
          <w:p w14:paraId="7DF52541" w14:textId="77777777" w:rsidR="00242DD7" w:rsidRPr="00444823" w:rsidRDefault="00242DD7" w:rsidP="00780FFB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14:paraId="40A31DA8" w14:textId="40193B78" w:rsidR="00242DD7" w:rsidRPr="00AE4DA8" w:rsidRDefault="00242DD7" w:rsidP="00443E5B">
            <w:pPr>
              <w:pStyle w:val="trescpisma"/>
            </w:pPr>
          </w:p>
        </w:tc>
        <w:tc>
          <w:tcPr>
            <w:tcW w:w="2835" w:type="dxa"/>
          </w:tcPr>
          <w:p w14:paraId="4CB5975D" w14:textId="2530116D" w:rsidR="00242DD7" w:rsidRPr="00AE4DA8" w:rsidRDefault="00242DD7" w:rsidP="00780FF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7CA2C0" w14:textId="40D77854" w:rsidR="00242DD7" w:rsidRPr="00AE4DA8" w:rsidRDefault="00242DD7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7C8307" w14:textId="00470D57" w:rsidR="00242DD7" w:rsidRPr="00AE4DA8" w:rsidRDefault="00242DD7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BB9750" w14:textId="268CBD4D" w:rsidR="00242DD7" w:rsidRPr="00AE4DA8" w:rsidRDefault="00242DD7" w:rsidP="00780FF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A87D87" w14:textId="0478BA39" w:rsidR="008443AB" w:rsidRPr="00AE4DA8" w:rsidRDefault="008443AB" w:rsidP="00780FFB">
            <w:pPr>
              <w:pStyle w:val="Akapitzlist"/>
              <w:spacing w:after="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6A475" w14:textId="76C09502" w:rsidR="007D3B48" w:rsidRDefault="007D3B48" w:rsidP="00780FFB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552176D9" w14:textId="77777777" w:rsidR="00B4029D" w:rsidRDefault="00B4029D" w:rsidP="00780FFB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20E94CFC" w14:textId="77777777" w:rsidR="00EC1C0B" w:rsidRDefault="00EC1C0B" w:rsidP="00780FFB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477C6F94" w14:textId="2E66C8EB" w:rsidR="00000000" w:rsidRPr="00AE4DA8" w:rsidRDefault="00CE2028" w:rsidP="00780FFB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b/>
          <w:sz w:val="20"/>
          <w:szCs w:val="20"/>
        </w:rPr>
        <w:t>CZĘŚĆ C: Realizacja innych celów w roku 20</w:t>
      </w:r>
      <w:r w:rsidR="003257E4" w:rsidRPr="00AE4DA8">
        <w:rPr>
          <w:rFonts w:ascii="Arial" w:hAnsi="Arial" w:cs="Arial"/>
          <w:b/>
          <w:sz w:val="20"/>
          <w:szCs w:val="20"/>
        </w:rPr>
        <w:t>2</w:t>
      </w:r>
      <w:r w:rsidR="00444823">
        <w:rPr>
          <w:rFonts w:ascii="Arial" w:hAnsi="Arial" w:cs="Arial"/>
          <w:b/>
          <w:sz w:val="20"/>
          <w:szCs w:val="20"/>
        </w:rPr>
        <w:t>5</w:t>
      </w:r>
    </w:p>
    <w:p w14:paraId="4AA2428F" w14:textId="77777777" w:rsidR="007D3B48" w:rsidRDefault="007D3B48" w:rsidP="00780FFB">
      <w:pPr>
        <w:spacing w:before="120" w:after="120"/>
        <w:jc w:val="left"/>
        <w:rPr>
          <w:rFonts w:ascii="Arial" w:hAnsi="Arial" w:cs="Arial"/>
          <w:i/>
          <w:iCs/>
          <w:sz w:val="20"/>
          <w:szCs w:val="20"/>
        </w:rPr>
      </w:pPr>
    </w:p>
    <w:p w14:paraId="0BD164E0" w14:textId="234FE21D" w:rsidR="00000000" w:rsidRPr="00AE4DA8" w:rsidRDefault="00CE2028" w:rsidP="00780FF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AE4DA8">
        <w:rPr>
          <w:rFonts w:ascii="Arial" w:hAnsi="Arial" w:cs="Arial"/>
          <w:i/>
          <w:iCs/>
          <w:sz w:val="20"/>
          <w:szCs w:val="20"/>
        </w:rPr>
        <w:t>(w tej części sprawozdania należy wymienić cele wskazane w części C planu na rok, którego dotyczy sprawozdanie)</w:t>
      </w:r>
    </w:p>
    <w:tbl>
      <w:tblPr>
        <w:tblStyle w:val="Tabela-Siatka"/>
        <w:tblW w:w="15871" w:type="dxa"/>
        <w:tblLook w:val="04A0" w:firstRow="1" w:lastRow="0" w:firstColumn="1" w:lastColumn="0" w:noHBand="0" w:noVBand="1"/>
      </w:tblPr>
      <w:tblGrid>
        <w:gridCol w:w="809"/>
        <w:gridCol w:w="2956"/>
        <w:gridCol w:w="2240"/>
        <w:gridCol w:w="1817"/>
        <w:gridCol w:w="1775"/>
        <w:gridCol w:w="3309"/>
        <w:gridCol w:w="2965"/>
      </w:tblGrid>
      <w:tr w:rsidR="00AE4DA8" w:rsidRPr="00AE4DA8" w14:paraId="681D46F2" w14:textId="77777777" w:rsidTr="00F6344D">
        <w:tc>
          <w:tcPr>
            <w:tcW w:w="809" w:type="dxa"/>
            <w:vMerge w:val="restart"/>
            <w:shd w:val="clear" w:color="auto" w:fill="D9E2F3" w:themeFill="accent5" w:themeFillTint="33"/>
            <w:vAlign w:val="center"/>
          </w:tcPr>
          <w:p w14:paraId="7B178C42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56" w:type="dxa"/>
            <w:vMerge w:val="restart"/>
            <w:shd w:val="clear" w:color="auto" w:fill="D9E2F3" w:themeFill="accent5" w:themeFillTint="33"/>
            <w:vAlign w:val="center"/>
          </w:tcPr>
          <w:p w14:paraId="516CCA98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832" w:type="dxa"/>
            <w:gridSpan w:val="3"/>
            <w:shd w:val="clear" w:color="auto" w:fill="D9E2F3" w:themeFill="accent5" w:themeFillTint="33"/>
            <w:vAlign w:val="center"/>
          </w:tcPr>
          <w:p w14:paraId="55A5048E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309" w:type="dxa"/>
            <w:vMerge w:val="restart"/>
            <w:shd w:val="clear" w:color="auto" w:fill="D9E2F3" w:themeFill="accent5" w:themeFillTint="33"/>
            <w:vAlign w:val="center"/>
          </w:tcPr>
          <w:p w14:paraId="36ACA589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2965" w:type="dxa"/>
            <w:vMerge w:val="restart"/>
            <w:shd w:val="clear" w:color="auto" w:fill="D9E2F3" w:themeFill="accent5" w:themeFillTint="33"/>
            <w:vAlign w:val="center"/>
          </w:tcPr>
          <w:p w14:paraId="18574C78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AE4DA8" w:rsidRPr="00AE4DA8" w14:paraId="2B1ACBDE" w14:textId="77777777" w:rsidTr="00F6344D">
        <w:tc>
          <w:tcPr>
            <w:tcW w:w="809" w:type="dxa"/>
            <w:vMerge/>
            <w:shd w:val="clear" w:color="auto" w:fill="D9E2F3" w:themeFill="accent5" w:themeFillTint="33"/>
          </w:tcPr>
          <w:p w14:paraId="4637AA53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  <w:vMerge/>
            <w:shd w:val="clear" w:color="auto" w:fill="D9E2F3" w:themeFill="accent5" w:themeFillTint="33"/>
          </w:tcPr>
          <w:p w14:paraId="608E0805" w14:textId="77777777" w:rsidR="00000000" w:rsidRPr="00AE4DA8" w:rsidRDefault="00000000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D9E2F3" w:themeFill="accent5" w:themeFillTint="33"/>
            <w:vAlign w:val="center"/>
          </w:tcPr>
          <w:p w14:paraId="43D687CD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17" w:type="dxa"/>
            <w:shd w:val="clear" w:color="auto" w:fill="D9E2F3" w:themeFill="accent5" w:themeFillTint="33"/>
            <w:vAlign w:val="center"/>
          </w:tcPr>
          <w:p w14:paraId="1824911A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775" w:type="dxa"/>
            <w:shd w:val="clear" w:color="auto" w:fill="D9E2F3" w:themeFill="accent5" w:themeFillTint="33"/>
            <w:vAlign w:val="center"/>
          </w:tcPr>
          <w:p w14:paraId="4DDF4CD0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309" w:type="dxa"/>
            <w:vMerge/>
            <w:shd w:val="clear" w:color="auto" w:fill="D9E2F3" w:themeFill="accent5" w:themeFillTint="33"/>
          </w:tcPr>
          <w:p w14:paraId="0A92B483" w14:textId="77777777" w:rsidR="00000000" w:rsidRPr="00AE4DA8" w:rsidRDefault="00000000" w:rsidP="00780FF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vMerge/>
            <w:shd w:val="clear" w:color="auto" w:fill="D9E2F3" w:themeFill="accent5" w:themeFillTint="33"/>
          </w:tcPr>
          <w:p w14:paraId="3923BD1D" w14:textId="77777777" w:rsidR="00000000" w:rsidRPr="00AE4DA8" w:rsidRDefault="00000000" w:rsidP="00780FF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4DA8" w:rsidRPr="00AE4DA8" w14:paraId="644FAB63" w14:textId="77777777" w:rsidTr="00F6344D">
        <w:tc>
          <w:tcPr>
            <w:tcW w:w="809" w:type="dxa"/>
            <w:shd w:val="clear" w:color="auto" w:fill="D9E2F3" w:themeFill="accent5" w:themeFillTint="33"/>
            <w:vAlign w:val="center"/>
          </w:tcPr>
          <w:p w14:paraId="3E0BBE51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956" w:type="dxa"/>
            <w:shd w:val="clear" w:color="auto" w:fill="D9E2F3" w:themeFill="accent5" w:themeFillTint="33"/>
            <w:vAlign w:val="center"/>
          </w:tcPr>
          <w:p w14:paraId="63910BE1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D9E2F3" w:themeFill="accent5" w:themeFillTint="33"/>
            <w:vAlign w:val="center"/>
          </w:tcPr>
          <w:p w14:paraId="4E81AA80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17" w:type="dxa"/>
            <w:shd w:val="clear" w:color="auto" w:fill="D9E2F3" w:themeFill="accent5" w:themeFillTint="33"/>
            <w:vAlign w:val="center"/>
          </w:tcPr>
          <w:p w14:paraId="5F76E2B0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75" w:type="dxa"/>
            <w:shd w:val="clear" w:color="auto" w:fill="D9E2F3" w:themeFill="accent5" w:themeFillTint="33"/>
            <w:vAlign w:val="center"/>
          </w:tcPr>
          <w:p w14:paraId="6EE3733E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09" w:type="dxa"/>
            <w:shd w:val="clear" w:color="auto" w:fill="D9E2F3" w:themeFill="accent5" w:themeFillTint="33"/>
            <w:vAlign w:val="center"/>
          </w:tcPr>
          <w:p w14:paraId="26C914A6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965" w:type="dxa"/>
            <w:shd w:val="clear" w:color="auto" w:fill="D9E2F3" w:themeFill="accent5" w:themeFillTint="33"/>
            <w:vAlign w:val="center"/>
          </w:tcPr>
          <w:p w14:paraId="0B29F95A" w14:textId="77777777" w:rsidR="00000000" w:rsidRPr="00AE4DA8" w:rsidRDefault="00CE2028" w:rsidP="00780FF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DA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E4DA8" w:rsidRPr="00AE4DA8" w14:paraId="3A231BCE" w14:textId="77777777" w:rsidTr="00F6344D">
        <w:tc>
          <w:tcPr>
            <w:tcW w:w="809" w:type="dxa"/>
            <w:vAlign w:val="center"/>
          </w:tcPr>
          <w:p w14:paraId="406F3658" w14:textId="77777777" w:rsidR="00F371EF" w:rsidRPr="00AE4DA8" w:rsidRDefault="00F371EF" w:rsidP="00780FF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0B061465" w14:textId="77777777" w:rsidR="00183F59" w:rsidRDefault="00183F59" w:rsidP="00AA62EA">
            <w:pPr>
              <w:widowControl w:val="0"/>
              <w:spacing w:before="60" w:after="60"/>
              <w:jc w:val="left"/>
              <w:rPr>
                <w:rStyle w:val="Inne"/>
                <w:rFonts w:ascii="Arial" w:hAnsi="Arial"/>
                <w:sz w:val="20"/>
              </w:rPr>
            </w:pPr>
          </w:p>
          <w:p w14:paraId="058493A8" w14:textId="73BFD59B" w:rsidR="00350488" w:rsidRPr="00EC1C0B" w:rsidRDefault="00A91E79" w:rsidP="00AA62EA">
            <w:pPr>
              <w:widowControl w:val="0"/>
              <w:spacing w:before="60" w:after="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D4CB9">
              <w:rPr>
                <w:rStyle w:val="Inne"/>
                <w:rFonts w:ascii="Arial" w:hAnsi="Arial"/>
                <w:sz w:val="20"/>
              </w:rPr>
              <w:t xml:space="preserve">Zapewnienie spójnej polityki zagranicznej Ministerstwa Aktywów Państwowych w zakresie organizacji i koordynacji dwustronnej </w:t>
            </w:r>
            <w:r w:rsidRPr="007D4CB9">
              <w:rPr>
                <w:rStyle w:val="Inne"/>
                <w:rFonts w:ascii="Arial" w:hAnsi="Arial"/>
                <w:sz w:val="20"/>
              </w:rPr>
              <w:lastRenderedPageBreak/>
              <w:t>i wielostronnej współpracy międzynarodowej oraz spraw związanych z</w:t>
            </w:r>
            <w:r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Style w:val="Inne"/>
                <w:rFonts w:ascii="Arial" w:hAnsi="Arial"/>
                <w:sz w:val="20"/>
              </w:rPr>
              <w:t>członkostwem Polski w Unii Europejskiej</w:t>
            </w:r>
            <w:r w:rsidR="00B66DB4">
              <w:rPr>
                <w:rStyle w:val="Inne"/>
                <w:rFonts w:ascii="Arial" w:hAnsi="Arial"/>
                <w:sz w:val="20"/>
              </w:rPr>
              <w:t>.</w:t>
            </w:r>
          </w:p>
        </w:tc>
        <w:tc>
          <w:tcPr>
            <w:tcW w:w="2240" w:type="dxa"/>
          </w:tcPr>
          <w:p w14:paraId="60FEA0EB" w14:textId="237051CE" w:rsidR="00F371EF" w:rsidRPr="007D4CB9" w:rsidRDefault="008C466F" w:rsidP="00780FF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eastAsia="Arial" w:hAnsi="Arial" w:cs="Arial"/>
                <w:sz w:val="20"/>
                <w:szCs w:val="20"/>
              </w:rPr>
              <w:lastRenderedPageBreak/>
              <w:t>Opracowanie planu współpracy zagranicznej Ministerstwa Aktywów Państwowych na 2025 rok.</w:t>
            </w:r>
          </w:p>
        </w:tc>
        <w:tc>
          <w:tcPr>
            <w:tcW w:w="1817" w:type="dxa"/>
          </w:tcPr>
          <w:p w14:paraId="071439B6" w14:textId="77777777" w:rsidR="008C466F" w:rsidRPr="007D4CB9" w:rsidRDefault="008C466F" w:rsidP="00780FF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3DCCF" w14:textId="2DF6B663" w:rsidR="008C466F" w:rsidRPr="007D4CB9" w:rsidRDefault="008C466F" w:rsidP="00780FF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5" w:type="dxa"/>
          </w:tcPr>
          <w:p w14:paraId="6A87A056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4AF41A" w14:textId="701EEEE9" w:rsidR="00245C12" w:rsidRPr="007D4CB9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14:paraId="4E57A7D7" w14:textId="77777777" w:rsidR="00183F59" w:rsidRDefault="00183F59" w:rsidP="00780FF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834982" w14:textId="4ED7F826" w:rsidR="00F371EF" w:rsidRPr="007D4CB9" w:rsidRDefault="00531D52" w:rsidP="00780FF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eastAsia="Arial" w:hAnsi="Arial" w:cs="Arial"/>
                <w:sz w:val="20"/>
                <w:szCs w:val="20"/>
              </w:rPr>
              <w:t>Sporządzenie planu współpracy zagranicznej Ministerstwa Aktywów Państwowych na 2025 rok.</w:t>
            </w:r>
          </w:p>
        </w:tc>
        <w:tc>
          <w:tcPr>
            <w:tcW w:w="2965" w:type="dxa"/>
          </w:tcPr>
          <w:p w14:paraId="541A59A2" w14:textId="3D3911B3" w:rsidR="0091638A" w:rsidRPr="0091638A" w:rsidRDefault="0091638A" w:rsidP="0091638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Zebranie uwag KO MAP do</w:t>
            </w:r>
            <w:r w:rsidR="00EC1C0B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projektu planu współpracy</w:t>
            </w:r>
          </w:p>
          <w:p w14:paraId="11ED8AD3" w14:textId="77777777" w:rsidR="0091638A" w:rsidRPr="0091638A" w:rsidRDefault="0091638A" w:rsidP="0091638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międzynarodowej MAP.</w:t>
            </w:r>
          </w:p>
          <w:p w14:paraId="60F37480" w14:textId="7C9A53AA" w:rsidR="0091638A" w:rsidRPr="0091638A" w:rsidRDefault="0091638A" w:rsidP="0091638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Plan współpracy zagranicznej</w:t>
            </w:r>
            <w:r w:rsidR="00EC1C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EA7E5AD" w14:textId="78E59BCC" w:rsidR="009D2180" w:rsidRPr="00BB683A" w:rsidRDefault="0091638A" w:rsidP="00EC1C0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Ministerstwa Aktywów</w:t>
            </w:r>
            <w:r w:rsidR="00EC1C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>Państwowych na 202</w:t>
            </w:r>
            <w:r w:rsidR="00882FC4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91638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rok został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882FC4">
              <w:rPr>
                <w:rFonts w:ascii="Arial" w:hAnsi="Arial" w:cs="Arial"/>
                <w:sz w:val="20"/>
                <w:szCs w:val="20"/>
                <w:lang w:eastAsia="en-US"/>
              </w:rPr>
              <w:t>sporządzony.</w:t>
            </w:r>
          </w:p>
        </w:tc>
      </w:tr>
      <w:tr w:rsidR="00531D52" w:rsidRPr="00AE4DA8" w14:paraId="525B3EFC" w14:textId="77777777" w:rsidTr="00F6344D">
        <w:tc>
          <w:tcPr>
            <w:tcW w:w="809" w:type="dxa"/>
            <w:vAlign w:val="center"/>
          </w:tcPr>
          <w:p w14:paraId="2D1C42A9" w14:textId="77777777" w:rsidR="00531D52" w:rsidRPr="00AE4DA8" w:rsidRDefault="00531D52" w:rsidP="00780FF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5FF98BA8" w14:textId="77777777" w:rsidR="00183F59" w:rsidRDefault="00183F59" w:rsidP="00AA62E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83F550" w14:textId="43F1C9B2" w:rsidR="00531D52" w:rsidRDefault="00531D52" w:rsidP="00AA62E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>Usprawnienie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Fonts w:ascii="Arial" w:hAnsi="Arial" w:cs="Arial"/>
                <w:sz w:val="20"/>
                <w:szCs w:val="20"/>
              </w:rPr>
              <w:t>pozyskiwania przez spółki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Fonts w:ascii="Arial" w:hAnsi="Arial" w:cs="Arial"/>
                <w:sz w:val="20"/>
                <w:szCs w:val="20"/>
              </w:rPr>
              <w:t xml:space="preserve">Skarbu 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>P</w:t>
            </w:r>
            <w:r w:rsidRPr="007D4CB9">
              <w:rPr>
                <w:rFonts w:ascii="Arial" w:hAnsi="Arial" w:cs="Arial"/>
                <w:sz w:val="20"/>
                <w:szCs w:val="20"/>
              </w:rPr>
              <w:t>aństwa funduszy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Fonts w:ascii="Arial" w:hAnsi="Arial" w:cs="Arial"/>
                <w:sz w:val="20"/>
                <w:szCs w:val="20"/>
              </w:rPr>
              <w:t>europejskich oraz innych dostępnych źródeł finansowania z udziałem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Fonts w:ascii="Arial" w:hAnsi="Arial" w:cs="Arial"/>
                <w:sz w:val="20"/>
                <w:szCs w:val="20"/>
              </w:rPr>
              <w:t>środków europejskich.</w:t>
            </w:r>
          </w:p>
          <w:p w14:paraId="303618A0" w14:textId="6CD138FB" w:rsidR="007D3B48" w:rsidRPr="007D4CB9" w:rsidRDefault="007D3B48" w:rsidP="00AA62E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213B842" w14:textId="58F6FD74" w:rsidR="00531D52" w:rsidRDefault="00531D52" w:rsidP="00780FF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>Spółki Skarbu Państwa, wsparte w</w:t>
            </w:r>
            <w:r w:rsidR="00EC1C0B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zakresie możliwości uzyskania</w:t>
            </w:r>
            <w:r w:rsidR="000B76F7" w:rsidRPr="007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4CB9">
              <w:rPr>
                <w:rFonts w:ascii="Arial" w:hAnsi="Arial" w:cs="Arial"/>
                <w:sz w:val="20"/>
                <w:szCs w:val="20"/>
              </w:rPr>
              <w:t>pomocy ze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środków funduszy europejskich oraz innych dostępnych źródeł europejskich.</w:t>
            </w:r>
          </w:p>
          <w:p w14:paraId="41D318C7" w14:textId="2C37570F" w:rsidR="00183F59" w:rsidRPr="007D4CB9" w:rsidRDefault="00183F59" w:rsidP="00780FF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6C1774D6" w14:textId="77777777" w:rsidR="00531D52" w:rsidRPr="007D4CB9" w:rsidRDefault="00531D52" w:rsidP="00780FF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1FE4E" w14:textId="1D6CACC7" w:rsidR="00531D52" w:rsidRPr="007D4CB9" w:rsidRDefault="00531D52" w:rsidP="00780FF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4CB9">
              <w:rPr>
                <w:rFonts w:ascii="Arial" w:hAnsi="Arial" w:cs="Arial"/>
                <w:b/>
                <w:sz w:val="20"/>
                <w:szCs w:val="20"/>
              </w:rPr>
              <w:t>≥ 50</w:t>
            </w:r>
          </w:p>
        </w:tc>
        <w:tc>
          <w:tcPr>
            <w:tcW w:w="1775" w:type="dxa"/>
          </w:tcPr>
          <w:p w14:paraId="3AF7A443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35C83C" w14:textId="28357DA9" w:rsidR="00245C12" w:rsidRPr="007D4CB9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09" w:type="dxa"/>
          </w:tcPr>
          <w:p w14:paraId="29B9900C" w14:textId="77777777" w:rsidR="00183F59" w:rsidRDefault="00183F59" w:rsidP="00780FFB">
            <w:pPr>
              <w:ind w:firstLine="28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3AD9CB8" w14:textId="2BA3BB31" w:rsidR="00531D52" w:rsidRPr="007D4CB9" w:rsidRDefault="00531D52" w:rsidP="00780FFB">
            <w:pPr>
              <w:ind w:firstLine="2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 xml:space="preserve">Wsparcie i rozwój spółek Skarbu Państwa </w:t>
            </w:r>
            <w:r w:rsidR="009B4EA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7D4CB9">
              <w:rPr>
                <w:rFonts w:ascii="Arial" w:hAnsi="Arial" w:cs="Arial"/>
                <w:sz w:val="20"/>
                <w:szCs w:val="20"/>
              </w:rPr>
              <w:t>wykorzystaniem zewnętrznych środków finansowania w ramach polityki spójności oraz innych dostępnych źródeł europejskich.</w:t>
            </w:r>
          </w:p>
        </w:tc>
        <w:tc>
          <w:tcPr>
            <w:tcW w:w="2965" w:type="dxa"/>
          </w:tcPr>
          <w:p w14:paraId="053160CD" w14:textId="57B60181" w:rsidR="00350488" w:rsidRPr="009B4EA7" w:rsidRDefault="005524AD" w:rsidP="009B4EA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Dokonywano wsparcia spółek Skarbu Państwa. Odbywały się spotkania z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przedstawicielami Spółek Skarbu Państwa. Przekazano do SSP informację dotyczącą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możliwości wspierania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projektów w ramach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programu Fundusze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Europejskie dla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Nowoczesnej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E23ED">
              <w:rPr>
                <w:rFonts w:ascii="Arial" w:hAnsi="Arial" w:cs="Arial"/>
                <w:sz w:val="20"/>
                <w:szCs w:val="20"/>
                <w:lang w:eastAsia="en-US"/>
              </w:rPr>
              <w:t>Gospodarki (FENG)</w:t>
            </w:r>
            <w:r w:rsidR="00FE23E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531D52" w:rsidRPr="00AE4DA8" w14:paraId="7EB6C0FC" w14:textId="77777777" w:rsidTr="00F6344D">
        <w:tc>
          <w:tcPr>
            <w:tcW w:w="809" w:type="dxa"/>
            <w:vAlign w:val="center"/>
          </w:tcPr>
          <w:p w14:paraId="219C554A" w14:textId="77777777" w:rsidR="00531D52" w:rsidRPr="00AE4DA8" w:rsidRDefault="00531D52" w:rsidP="00780FFB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49B1C01" w14:textId="77777777" w:rsidR="00183F59" w:rsidRDefault="00183F59" w:rsidP="00780FF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DFFAB5" w14:textId="5EF2BD44" w:rsidR="00531D52" w:rsidRPr="007D4CB9" w:rsidRDefault="00531D52" w:rsidP="00780FF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>Zapewnienie, w zakresie właściwości MAP, właściwej realizacji uprawnień pracowniczych związanych z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 xml:space="preserve">ustawą z dnia 17 sierpnia 2023 r. </w:t>
            </w:r>
            <w:r w:rsidRPr="007D4CB9">
              <w:rPr>
                <w:rFonts w:ascii="Arial" w:hAnsi="Arial" w:cs="Arial"/>
                <w:i/>
                <w:sz w:val="20"/>
                <w:szCs w:val="20"/>
              </w:rPr>
              <w:t>o osłonach socjalnych dla pracowników sektora elektroenergetycznego oraz</w:t>
            </w:r>
            <w:r w:rsidR="009B4EA7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i/>
                <w:sz w:val="20"/>
                <w:szCs w:val="20"/>
              </w:rPr>
              <w:t>branży górnictwa węgla brunatnego</w:t>
            </w:r>
            <w:r w:rsidR="009B4EA7">
              <w:rPr>
                <w:rFonts w:ascii="Arial" w:hAnsi="Arial" w:cs="Arial"/>
                <w:sz w:val="20"/>
                <w:szCs w:val="20"/>
              </w:rPr>
              <w:t xml:space="preserve"> (Dz.</w:t>
            </w:r>
            <w:r w:rsidRPr="007D4CB9">
              <w:rPr>
                <w:rFonts w:ascii="Arial" w:hAnsi="Arial" w:cs="Arial"/>
                <w:sz w:val="20"/>
                <w:szCs w:val="20"/>
              </w:rPr>
              <w:t>U. poz. 1737, dalej: Ustawa).</w:t>
            </w:r>
          </w:p>
          <w:p w14:paraId="4FD63CE1" w14:textId="77777777" w:rsidR="00531D52" w:rsidRPr="007D4CB9" w:rsidRDefault="00531D52" w:rsidP="00780FF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80A9CA" w14:textId="4DA1B62A" w:rsidR="00531D52" w:rsidRPr="007D4CB9" w:rsidRDefault="00531D52" w:rsidP="00780FF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</w:tcPr>
          <w:p w14:paraId="58EB2BDF" w14:textId="77777777" w:rsidR="00183F59" w:rsidRDefault="00183F59" w:rsidP="00780FF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55427F4" w14:textId="54298F85" w:rsidR="00531D52" w:rsidRPr="007D4CB9" w:rsidRDefault="00531D52" w:rsidP="009B4EA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4CB9">
              <w:rPr>
                <w:rFonts w:ascii="Arial" w:hAnsi="Arial" w:cs="Arial"/>
                <w:sz w:val="20"/>
                <w:szCs w:val="20"/>
              </w:rPr>
              <w:t>Zawarcie umów, o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których mowa w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art.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18 ust. 4 Ustawy, tj. umów ze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spółkami (przedsiębiorstwami) sektora elektroenergetycznego i branży górnictwa węgla brunatnego – podmiotami objętymi Ustawą, będącymi beneficjentami dotacji niezbędnych do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wykonywania zadań określonych w</w:t>
            </w:r>
            <w:r w:rsidR="009B4EA7">
              <w:rPr>
                <w:rFonts w:ascii="Arial" w:hAnsi="Arial" w:cs="Arial"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sz w:val="20"/>
                <w:szCs w:val="20"/>
              </w:rPr>
              <w:t>Ustawie.</w:t>
            </w:r>
          </w:p>
        </w:tc>
        <w:tc>
          <w:tcPr>
            <w:tcW w:w="1817" w:type="dxa"/>
          </w:tcPr>
          <w:p w14:paraId="403B5468" w14:textId="3F24E620" w:rsidR="00531D52" w:rsidRPr="007D4CB9" w:rsidRDefault="00531D52" w:rsidP="00780FF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6BFAE40" w14:textId="328CC9DB" w:rsidR="00531D52" w:rsidRPr="007D4CB9" w:rsidRDefault="00531D52" w:rsidP="00780FF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4CB9">
              <w:rPr>
                <w:rFonts w:ascii="Arial" w:hAnsi="Arial" w:cs="Arial"/>
                <w:b/>
                <w:sz w:val="20"/>
                <w:szCs w:val="20"/>
              </w:rPr>
              <w:t>≥ 1</w:t>
            </w:r>
          </w:p>
        </w:tc>
        <w:tc>
          <w:tcPr>
            <w:tcW w:w="1775" w:type="dxa"/>
          </w:tcPr>
          <w:p w14:paraId="1FD17FDB" w14:textId="77777777" w:rsidR="00245C12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F21E024" w14:textId="27228BE5" w:rsidR="00245C12" w:rsidRPr="007D4CB9" w:rsidRDefault="00245C12" w:rsidP="00780FF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2F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9" w:type="dxa"/>
          </w:tcPr>
          <w:p w14:paraId="7CF7044C" w14:textId="77777777" w:rsidR="00183F59" w:rsidRDefault="00183F59" w:rsidP="00780FF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1A08E10" w14:textId="1CB45716" w:rsidR="00531D52" w:rsidRPr="007D4CB9" w:rsidRDefault="00531D52" w:rsidP="009B4EA7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4CB9">
              <w:rPr>
                <w:rFonts w:ascii="Arial" w:hAnsi="Arial" w:cs="Arial"/>
                <w:iCs/>
                <w:sz w:val="20"/>
                <w:szCs w:val="20"/>
              </w:rPr>
              <w:t>Podstawą przyznania środków przeznaczonych na wypłatę świadczeń socjalnych i</w:t>
            </w:r>
            <w:r w:rsidR="009B4EA7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iCs/>
                <w:sz w:val="20"/>
                <w:szCs w:val="20"/>
              </w:rPr>
              <w:t>jednorazowych odpraw pieniężnych wypłacanych pracownikom jest umowa zawarta między ministrem właściwym do</w:t>
            </w:r>
            <w:r w:rsidR="009B4EA7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iCs/>
                <w:sz w:val="20"/>
                <w:szCs w:val="20"/>
              </w:rPr>
              <w:t>spraw aktywów państwowych a</w:t>
            </w:r>
            <w:r w:rsidR="009B4EA7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7D4CB9">
              <w:rPr>
                <w:rFonts w:ascii="Arial" w:hAnsi="Arial" w:cs="Arial"/>
                <w:iCs/>
                <w:sz w:val="20"/>
                <w:szCs w:val="20"/>
              </w:rPr>
              <w:t>podmiotami objętymi Ustawą.</w:t>
            </w:r>
          </w:p>
        </w:tc>
        <w:tc>
          <w:tcPr>
            <w:tcW w:w="2965" w:type="dxa"/>
          </w:tcPr>
          <w:p w14:paraId="0B076812" w14:textId="77777777" w:rsidR="00183F59" w:rsidRDefault="00183F59" w:rsidP="00AF534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776AC24" w14:textId="03EA9430" w:rsidR="00531D52" w:rsidRPr="00BB683A" w:rsidRDefault="00813D1E" w:rsidP="009B4EA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 2025 r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awar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to 4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um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owy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, o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których mowa w art. 18 ust.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4 Ustawy, tj. um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ze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spółkami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(przedsiębiorcami) sektora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elektroenergetycznego i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branży górnictwa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węgla brunatnego - podmiotami obj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ę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tymi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Ustawą, będącymi beneficjentami dotacji</w:t>
            </w:r>
            <w:r w:rsidR="009B4E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niezbędnych do wykonywania zadań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34F29" w:rsidRPr="00813D1E">
              <w:rPr>
                <w:rFonts w:ascii="Arial" w:hAnsi="Arial" w:cs="Arial"/>
                <w:sz w:val="20"/>
                <w:szCs w:val="20"/>
                <w:lang w:eastAsia="en-US"/>
              </w:rPr>
              <w:t>określonych w Ustawie.</w:t>
            </w:r>
          </w:p>
        </w:tc>
      </w:tr>
    </w:tbl>
    <w:p w14:paraId="46A5633C" w14:textId="39A5DAD1" w:rsidR="00A91E79" w:rsidRDefault="00A91E79" w:rsidP="00780FFB">
      <w:pPr>
        <w:spacing w:after="160"/>
        <w:jc w:val="left"/>
        <w:rPr>
          <w:rFonts w:ascii="Arial" w:hAnsi="Arial" w:cs="Arial"/>
          <w:b/>
          <w:bCs/>
          <w:sz w:val="20"/>
          <w:szCs w:val="20"/>
        </w:rPr>
      </w:pPr>
    </w:p>
    <w:p w14:paraId="2AC855E6" w14:textId="43F2AFBD" w:rsidR="009B4EA7" w:rsidRDefault="009B4EA7" w:rsidP="00780FFB">
      <w:pPr>
        <w:spacing w:after="160"/>
        <w:jc w:val="left"/>
        <w:rPr>
          <w:rFonts w:ascii="Arial" w:hAnsi="Arial" w:cs="Arial"/>
          <w:b/>
          <w:bCs/>
          <w:sz w:val="20"/>
          <w:szCs w:val="20"/>
        </w:rPr>
      </w:pPr>
    </w:p>
    <w:p w14:paraId="504CC019" w14:textId="77777777" w:rsidR="009B4EA7" w:rsidRDefault="009B4EA7" w:rsidP="00780FFB">
      <w:pPr>
        <w:spacing w:after="160"/>
        <w:jc w:val="left"/>
        <w:rPr>
          <w:rFonts w:ascii="Arial" w:hAnsi="Arial" w:cs="Arial"/>
          <w:b/>
          <w:bCs/>
          <w:sz w:val="20"/>
          <w:szCs w:val="20"/>
        </w:rPr>
      </w:pPr>
    </w:p>
    <w:p w14:paraId="4B70335C" w14:textId="52C05443" w:rsidR="00000000" w:rsidRPr="00AE4DA8" w:rsidRDefault="00CE2028" w:rsidP="0070079E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AE4DA8">
        <w:rPr>
          <w:rFonts w:ascii="Arial" w:hAnsi="Arial" w:cs="Arial"/>
          <w:b/>
          <w:bCs/>
          <w:sz w:val="20"/>
          <w:szCs w:val="20"/>
        </w:rPr>
        <w:lastRenderedPageBreak/>
        <w:t xml:space="preserve">CZĘŚĆ D: </w:t>
      </w:r>
      <w:r w:rsidR="007D4CB9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E4DA8">
        <w:rPr>
          <w:rFonts w:ascii="Arial" w:hAnsi="Arial" w:cs="Arial"/>
          <w:b/>
          <w:bCs/>
          <w:sz w:val="20"/>
          <w:szCs w:val="20"/>
        </w:rPr>
        <w:t>Informacja dotycząca realizacji celów objętych planem działalności na rok 20</w:t>
      </w:r>
      <w:r w:rsidR="007D4A8B" w:rsidRPr="00AE4DA8">
        <w:rPr>
          <w:rFonts w:ascii="Arial" w:hAnsi="Arial" w:cs="Arial"/>
          <w:b/>
          <w:bCs/>
          <w:sz w:val="20"/>
          <w:szCs w:val="20"/>
        </w:rPr>
        <w:t>2</w:t>
      </w:r>
      <w:r w:rsidR="00F95030">
        <w:rPr>
          <w:rFonts w:ascii="Arial" w:hAnsi="Arial" w:cs="Arial"/>
          <w:b/>
          <w:bCs/>
          <w:sz w:val="20"/>
          <w:szCs w:val="20"/>
        </w:rPr>
        <w:t>5</w:t>
      </w:r>
    </w:p>
    <w:p w14:paraId="6DF32E2A" w14:textId="6E72AAD3" w:rsidR="001130E1" w:rsidRPr="00B31313" w:rsidRDefault="00B31313" w:rsidP="004463B3">
      <w:pPr>
        <w:spacing w:before="240" w:after="0"/>
        <w:rPr>
          <w:rFonts w:ascii="Arial" w:hAnsi="Arial" w:cs="Arial"/>
          <w:sz w:val="20"/>
          <w:szCs w:val="20"/>
        </w:rPr>
      </w:pPr>
      <w:r w:rsidRPr="00B31313">
        <w:rPr>
          <w:rFonts w:ascii="Arial" w:hAnsi="Arial" w:cs="Arial"/>
          <w:sz w:val="20"/>
          <w:szCs w:val="20"/>
        </w:rPr>
        <w:t>Poniższe</w:t>
      </w:r>
      <w:r w:rsidR="009B4EA7">
        <w:rPr>
          <w:rFonts w:ascii="Arial" w:hAnsi="Arial" w:cs="Arial"/>
          <w:sz w:val="20"/>
          <w:szCs w:val="20"/>
        </w:rPr>
        <w:t xml:space="preserve"> </w:t>
      </w:r>
      <w:r w:rsidRPr="00B31313">
        <w:rPr>
          <w:rFonts w:ascii="Arial" w:hAnsi="Arial" w:cs="Arial"/>
          <w:sz w:val="20"/>
          <w:szCs w:val="20"/>
        </w:rPr>
        <w:t>wyjaśnienia dotyczą info</w:t>
      </w:r>
      <w:r w:rsidR="009B4EA7">
        <w:rPr>
          <w:rFonts w:ascii="Arial" w:hAnsi="Arial" w:cs="Arial"/>
          <w:sz w:val="20"/>
          <w:szCs w:val="20"/>
        </w:rPr>
        <w:t>rmacji zawartych w części A pkt</w:t>
      </w:r>
      <w:r w:rsidRPr="00B31313">
        <w:rPr>
          <w:rFonts w:ascii="Arial" w:hAnsi="Arial" w:cs="Arial"/>
          <w:sz w:val="20"/>
          <w:szCs w:val="20"/>
        </w:rPr>
        <w:t xml:space="preserve"> 3</w:t>
      </w:r>
      <w:r w:rsidR="00A25037">
        <w:rPr>
          <w:rFonts w:ascii="Arial" w:hAnsi="Arial" w:cs="Arial"/>
          <w:sz w:val="20"/>
          <w:szCs w:val="20"/>
        </w:rPr>
        <w:t>.</w:t>
      </w:r>
    </w:p>
    <w:p w14:paraId="50F1C072" w14:textId="77777777" w:rsidR="00E96C55" w:rsidRDefault="00E96C55" w:rsidP="002E1F43">
      <w:pPr>
        <w:spacing w:after="0"/>
        <w:rPr>
          <w:rFonts w:ascii="Arial" w:hAnsi="Arial" w:cs="Arial"/>
          <w:sz w:val="20"/>
          <w:szCs w:val="20"/>
        </w:rPr>
      </w:pPr>
    </w:p>
    <w:p w14:paraId="0519B52F" w14:textId="01D7A695" w:rsidR="00122A96" w:rsidRP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 xml:space="preserve">Oceniając realizację </w:t>
      </w:r>
      <w:r w:rsidR="00664767" w:rsidRPr="00ED2F3A">
        <w:rPr>
          <w:rFonts w:ascii="Arial" w:hAnsi="Arial" w:cs="Arial"/>
          <w:bCs/>
          <w:sz w:val="20"/>
          <w:szCs w:val="20"/>
        </w:rPr>
        <w:t xml:space="preserve">miernika pod nazwą </w:t>
      </w:r>
      <w:r w:rsidR="00664767" w:rsidRPr="00ED2F3A">
        <w:rPr>
          <w:rFonts w:ascii="Arial" w:hAnsi="Arial" w:cs="Arial"/>
          <w:bCs/>
          <w:i/>
          <w:iCs/>
          <w:sz w:val="20"/>
          <w:szCs w:val="20"/>
        </w:rPr>
        <w:t xml:space="preserve">Opracowanie projektu nowelizacji ustawy z dnia 23 listopada </w:t>
      </w:r>
      <w:r w:rsidR="009B4EA7">
        <w:rPr>
          <w:rFonts w:ascii="Arial" w:hAnsi="Arial" w:cs="Arial"/>
          <w:bCs/>
          <w:i/>
          <w:iCs/>
          <w:sz w:val="20"/>
          <w:szCs w:val="20"/>
        </w:rPr>
        <w:t>2012 r. Prawo pocztowe (</w:t>
      </w:r>
      <w:proofErr w:type="spellStart"/>
      <w:r w:rsidR="009B4EA7">
        <w:rPr>
          <w:rFonts w:ascii="Arial" w:hAnsi="Arial" w:cs="Arial"/>
          <w:bCs/>
          <w:i/>
          <w:iCs/>
          <w:sz w:val="20"/>
          <w:szCs w:val="20"/>
        </w:rPr>
        <w:t>t</w:t>
      </w:r>
      <w:r w:rsidR="00514CB1">
        <w:rPr>
          <w:rFonts w:ascii="Arial" w:hAnsi="Arial" w:cs="Arial"/>
          <w:bCs/>
          <w:i/>
          <w:iCs/>
          <w:sz w:val="20"/>
          <w:szCs w:val="20"/>
        </w:rPr>
        <w:t>.</w:t>
      </w:r>
      <w:r w:rsidR="009B4EA7">
        <w:rPr>
          <w:rFonts w:ascii="Arial" w:hAnsi="Arial" w:cs="Arial"/>
          <w:bCs/>
          <w:i/>
          <w:iCs/>
          <w:sz w:val="20"/>
          <w:szCs w:val="20"/>
        </w:rPr>
        <w:t>j</w:t>
      </w:r>
      <w:proofErr w:type="spellEnd"/>
      <w:r w:rsidR="009B4EA7">
        <w:rPr>
          <w:rFonts w:ascii="Arial" w:hAnsi="Arial" w:cs="Arial"/>
          <w:bCs/>
          <w:i/>
          <w:iCs/>
          <w:sz w:val="20"/>
          <w:szCs w:val="20"/>
        </w:rPr>
        <w:t>. Dz.</w:t>
      </w:r>
      <w:r w:rsidR="00664767" w:rsidRPr="00ED2F3A">
        <w:rPr>
          <w:rFonts w:ascii="Arial" w:hAnsi="Arial" w:cs="Arial"/>
          <w:bCs/>
          <w:i/>
          <w:iCs/>
          <w:sz w:val="20"/>
          <w:szCs w:val="20"/>
        </w:rPr>
        <w:t xml:space="preserve">U. z 2023 r. poz. 1640 ze zm.) </w:t>
      </w:r>
      <w:r w:rsidR="00664767" w:rsidRPr="00ED2F3A">
        <w:rPr>
          <w:rFonts w:ascii="Arial" w:hAnsi="Arial" w:cs="Arial"/>
          <w:bCs/>
          <w:sz w:val="20"/>
          <w:szCs w:val="20"/>
        </w:rPr>
        <w:t>ustalonego dla</w:t>
      </w:r>
      <w:r w:rsidR="00514CB1">
        <w:rPr>
          <w:rFonts w:ascii="Arial" w:hAnsi="Arial" w:cs="Arial"/>
          <w:bCs/>
          <w:sz w:val="20"/>
          <w:szCs w:val="20"/>
        </w:rPr>
        <w:t> </w:t>
      </w:r>
      <w:r w:rsidR="00664767" w:rsidRPr="00ED2F3A">
        <w:rPr>
          <w:rFonts w:ascii="Arial" w:hAnsi="Arial" w:cs="Arial"/>
          <w:bCs/>
          <w:sz w:val="20"/>
          <w:szCs w:val="20"/>
        </w:rPr>
        <w:t xml:space="preserve">celu </w:t>
      </w:r>
      <w:r w:rsidR="00664767" w:rsidRPr="00ED2F3A">
        <w:rPr>
          <w:rFonts w:ascii="Arial" w:hAnsi="Arial" w:cs="Arial"/>
          <w:bCs/>
          <w:i/>
          <w:iCs/>
          <w:sz w:val="20"/>
          <w:szCs w:val="20"/>
        </w:rPr>
        <w:t>Wspieranie rozwoju i zapewnienie prawidłowego funkcjonowania rynku pocztowego</w:t>
      </w:r>
      <w:r w:rsidRPr="00122A96">
        <w:rPr>
          <w:rFonts w:ascii="Arial" w:hAnsi="Arial" w:cs="Arial"/>
          <w:sz w:val="20"/>
          <w:szCs w:val="20"/>
        </w:rPr>
        <w:t>, należy wziąć pod uwagę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okoliczności, które miały główny wpływ na podejmowane w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2025 r. decyzje zarządcze w zakresie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realizacji zadań</w:t>
      </w:r>
      <w:r w:rsidR="005257C5">
        <w:rPr>
          <w:rFonts w:ascii="Arial" w:hAnsi="Arial" w:cs="Arial"/>
          <w:sz w:val="20"/>
          <w:szCs w:val="20"/>
        </w:rPr>
        <w:t>:</w:t>
      </w:r>
    </w:p>
    <w:p w14:paraId="4E0C794B" w14:textId="7C828D0A" w:rsidR="00122A96" w:rsidRP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>1. W okresie styczeń-czerwiec 2025 r. Polska przewodniczyła Radzie Unii Europejskiej. Jednym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="009B4EA7">
        <w:rPr>
          <w:rFonts w:ascii="Arial" w:hAnsi="Arial" w:cs="Arial"/>
          <w:sz w:val="20"/>
          <w:szCs w:val="20"/>
        </w:rPr>
        <w:t>z sukcesów prezydencji Polski</w:t>
      </w:r>
      <w:r w:rsidRPr="00122A96">
        <w:rPr>
          <w:rFonts w:ascii="Arial" w:hAnsi="Arial" w:cs="Arial"/>
          <w:sz w:val="20"/>
          <w:szCs w:val="20"/>
        </w:rPr>
        <w:t xml:space="preserve"> było zobowiązanie Komisji Europejskiej (KE) do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rozpoczęcia prac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nad nowelizacją obecnych ram prawnych regulujących rynek usług pocztowych. Inicjatywa ta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 xml:space="preserve">zaowocowała ujęciem w Strategii Jednolitego Rynku (The Single Market </w:t>
      </w:r>
      <w:proofErr w:type="spellStart"/>
      <w:r w:rsidRPr="00122A96">
        <w:rPr>
          <w:rFonts w:ascii="Arial" w:hAnsi="Arial" w:cs="Arial"/>
          <w:sz w:val="20"/>
          <w:szCs w:val="20"/>
        </w:rPr>
        <w:t>Strategy</w:t>
      </w:r>
      <w:proofErr w:type="spellEnd"/>
      <w:r w:rsidRPr="00122A96">
        <w:rPr>
          <w:rFonts w:ascii="Arial" w:hAnsi="Arial" w:cs="Arial"/>
          <w:sz w:val="20"/>
          <w:szCs w:val="20"/>
        </w:rPr>
        <w:t>) z dnia 21 maja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2025 r., stworzenia „Unijnego aktu o doręczeniach”. Nowy akt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prawny, istotnie zmieni – zgodnie z zapowiedzią KE – reguły rynku pocztowego. KE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planuje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wydać akt w IV kwartale 2026 r. Zatem wskazane było uwzględnienie w harmonogramie prac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nad nowelizacją ustawy – Prawo pocztowe ostatecznego brzmienia nowych unijnych regulacji.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Na etapie planowania celów w 2024 r. MAP nie posiadał wiedzy w zakresie działań KE w 2025 r.,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gdyż były one efektem podjętych działań przez MAP podczas prowadzonej prezydencji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Polski w 2025 r.</w:t>
      </w:r>
    </w:p>
    <w:p w14:paraId="4A7E2588" w14:textId="1469B064" w:rsidR="00122A96" w:rsidRPr="00122A96" w:rsidRDefault="00122A96" w:rsidP="006F7789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>2. W celu zapewnienia operatorowi wyznaczonemu (Poczcie Polskiej S.A</w:t>
      </w:r>
      <w:r w:rsidR="009B4EA7">
        <w:rPr>
          <w:rFonts w:ascii="Arial" w:hAnsi="Arial" w:cs="Arial"/>
          <w:sz w:val="20"/>
          <w:szCs w:val="20"/>
        </w:rPr>
        <w:t>.</w:t>
      </w:r>
      <w:r w:rsidRPr="00122A96">
        <w:rPr>
          <w:rFonts w:ascii="Arial" w:hAnsi="Arial" w:cs="Arial"/>
          <w:sz w:val="20"/>
          <w:szCs w:val="20"/>
        </w:rPr>
        <w:t>) odpowiedniego poziomu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finansowania kosztu netto obowiązku świadczenia usług powszechnych za lata 2024 i 2025,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 xml:space="preserve">zgodne z decyzją KE z 15 listopada 2024 r., </w:t>
      </w:r>
      <w:r w:rsidR="00D03EC0">
        <w:rPr>
          <w:rFonts w:ascii="Arial" w:hAnsi="Arial" w:cs="Arial"/>
          <w:sz w:val="20"/>
          <w:szCs w:val="20"/>
        </w:rPr>
        <w:t>MAP</w:t>
      </w:r>
      <w:r w:rsidRPr="00122A96">
        <w:rPr>
          <w:rFonts w:ascii="Arial" w:hAnsi="Arial" w:cs="Arial"/>
          <w:sz w:val="20"/>
          <w:szCs w:val="20"/>
        </w:rPr>
        <w:t xml:space="preserve"> musiał</w:t>
      </w:r>
      <w:r w:rsidR="006F7789">
        <w:rPr>
          <w:rFonts w:ascii="Arial" w:hAnsi="Arial" w:cs="Arial"/>
          <w:sz w:val="20"/>
          <w:szCs w:val="20"/>
        </w:rPr>
        <w:t>o</w:t>
      </w:r>
      <w:r w:rsidRPr="00122A96">
        <w:rPr>
          <w:rFonts w:ascii="Arial" w:hAnsi="Arial" w:cs="Arial"/>
          <w:sz w:val="20"/>
          <w:szCs w:val="20"/>
        </w:rPr>
        <w:t xml:space="preserve"> przeprowadzić nowelizacje aktów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prawnych zwiększając limity wydatków na sfinansowanie kosztu netto w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latach 2025 i 2026 oraz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wprowadzić możliwość wypłaty finansowania tego kosztu w transzach (aby móc wykorzystać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dostępne na dany rok środki budżetowe na ten cel). W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tym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celu w 2025 r. przeprowadzono cały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proces legislacyjny</w:t>
      </w:r>
      <w:r w:rsidR="006F7789">
        <w:rPr>
          <w:rFonts w:ascii="Arial" w:hAnsi="Arial" w:cs="Arial"/>
          <w:sz w:val="20"/>
          <w:szCs w:val="20"/>
        </w:rPr>
        <w:t>.</w:t>
      </w:r>
    </w:p>
    <w:p w14:paraId="304DBB43" w14:textId="02396101" w:rsidR="00122A96" w:rsidRP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>3. W związku z podjęciem przez Radę Ministrów decyzji o powołaniu Zespołu do Spraw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Deregulacji, który działał przy Prezesie Rady Ministrów, Ministrowi zostało przekazane w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maju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2025 r. pilne przeprocesowanie 5 projektów legislacyjnych dotyczących deregulacji ustawy –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Prawo pocztowe. Miały one na celu zmniejszenie obciążeń regulacyjnych operatorów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pocztowych oraz umożliwienie usprawnienia ich działalności. Nałożone przez Prezesa Rady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 xml:space="preserve">Ministrów terminy realizacji projektów </w:t>
      </w:r>
      <w:proofErr w:type="spellStart"/>
      <w:r w:rsidRPr="00122A96">
        <w:rPr>
          <w:rFonts w:ascii="Arial" w:hAnsi="Arial" w:cs="Arial"/>
          <w:sz w:val="20"/>
          <w:szCs w:val="20"/>
        </w:rPr>
        <w:t>deregulacyjnych</w:t>
      </w:r>
      <w:proofErr w:type="spellEnd"/>
      <w:r w:rsidRPr="00122A96">
        <w:rPr>
          <w:rFonts w:ascii="Arial" w:hAnsi="Arial" w:cs="Arial"/>
          <w:sz w:val="20"/>
          <w:szCs w:val="20"/>
        </w:rPr>
        <w:t xml:space="preserve"> wynosiły maksymalnie 100 dni od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momentu przekazania zlecenia Ministrowi do zakończenia procesu legislacyjnego. W ramach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 xml:space="preserve">wniosków </w:t>
      </w:r>
      <w:proofErr w:type="spellStart"/>
      <w:r w:rsidRPr="00122A96">
        <w:rPr>
          <w:rFonts w:ascii="Arial" w:hAnsi="Arial" w:cs="Arial"/>
          <w:sz w:val="20"/>
          <w:szCs w:val="20"/>
        </w:rPr>
        <w:t>deregulacyjnych</w:t>
      </w:r>
      <w:proofErr w:type="spellEnd"/>
      <w:r w:rsidRPr="00122A96">
        <w:rPr>
          <w:rFonts w:ascii="Arial" w:hAnsi="Arial" w:cs="Arial"/>
          <w:sz w:val="20"/>
          <w:szCs w:val="20"/>
        </w:rPr>
        <w:t xml:space="preserve"> </w:t>
      </w:r>
      <w:r w:rsidR="006F7789">
        <w:rPr>
          <w:rFonts w:ascii="Arial" w:hAnsi="Arial" w:cs="Arial"/>
          <w:sz w:val="20"/>
          <w:szCs w:val="20"/>
        </w:rPr>
        <w:t>MAP</w:t>
      </w:r>
      <w:r w:rsidRPr="00122A96">
        <w:rPr>
          <w:rFonts w:ascii="Arial" w:hAnsi="Arial" w:cs="Arial"/>
          <w:sz w:val="20"/>
          <w:szCs w:val="20"/>
        </w:rPr>
        <w:t xml:space="preserve"> w 2025 r. przeprowadził cały proces legislacyjny</w:t>
      </w:r>
      <w:r w:rsidR="006F7789">
        <w:rPr>
          <w:rFonts w:ascii="Arial" w:hAnsi="Arial" w:cs="Arial"/>
          <w:sz w:val="20"/>
          <w:szCs w:val="20"/>
        </w:rPr>
        <w:t>.</w:t>
      </w:r>
    </w:p>
    <w:p w14:paraId="08F9C1E4" w14:textId="77777777" w:rsidR="007B4291" w:rsidRDefault="007B4291" w:rsidP="00122A96">
      <w:pPr>
        <w:spacing w:after="0"/>
        <w:rPr>
          <w:rFonts w:ascii="Arial" w:hAnsi="Arial" w:cs="Arial"/>
          <w:sz w:val="20"/>
          <w:szCs w:val="20"/>
        </w:rPr>
      </w:pPr>
    </w:p>
    <w:p w14:paraId="072BC319" w14:textId="0477F4DF" w:rsidR="00122A96" w:rsidRP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 xml:space="preserve">Dodatkowo </w:t>
      </w:r>
      <w:r w:rsidR="006F7789">
        <w:rPr>
          <w:rFonts w:ascii="Arial" w:hAnsi="Arial" w:cs="Arial"/>
          <w:sz w:val="20"/>
          <w:szCs w:val="20"/>
        </w:rPr>
        <w:t>MAP</w:t>
      </w:r>
      <w:r w:rsidRPr="00122A96">
        <w:rPr>
          <w:rFonts w:ascii="Arial" w:hAnsi="Arial" w:cs="Arial"/>
          <w:sz w:val="20"/>
          <w:szCs w:val="20"/>
        </w:rPr>
        <w:t xml:space="preserve"> prowadziło uzgodnienia nowelizacji projektu ustawy – Prawo pocztowe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(UDER97), w zakresie wprowadzenia przepisów regulujących zasady obsługi przesyłek</w:t>
      </w:r>
      <w:r w:rsidR="006F7789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problematycznych oraz towarów niebezpiecznych (ADR); prace są kontynuowane w 2026 r.</w:t>
      </w:r>
    </w:p>
    <w:p w14:paraId="71EEE78B" w14:textId="68BE18AE" w:rsidR="00122A96" w:rsidRP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122A96">
        <w:rPr>
          <w:rFonts w:ascii="Arial" w:hAnsi="Arial" w:cs="Arial"/>
          <w:sz w:val="20"/>
          <w:szCs w:val="20"/>
        </w:rPr>
        <w:t>Z uwagi na szereg wspomnianych okoliczności, które wymusiły zmianę zadań podejmowanych przez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="006F7789">
        <w:rPr>
          <w:rFonts w:ascii="Arial" w:hAnsi="Arial" w:cs="Arial"/>
          <w:sz w:val="20"/>
          <w:szCs w:val="20"/>
        </w:rPr>
        <w:t>MAP</w:t>
      </w:r>
      <w:r w:rsidRPr="00122A96">
        <w:rPr>
          <w:rFonts w:ascii="Arial" w:hAnsi="Arial" w:cs="Arial"/>
          <w:sz w:val="20"/>
          <w:szCs w:val="20"/>
        </w:rPr>
        <w:t xml:space="preserve"> w 2025 r., którym nadano wyższy priorytet, naturalną konsekwencją było częściowe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ograniczenie prac nad projektem pod nazwą „Opracowanie projektu nowelizacji ustawy z dnia 23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listopada 2012 r. Prawo pocztowe (</w:t>
      </w:r>
      <w:proofErr w:type="spellStart"/>
      <w:r w:rsidRPr="00122A96">
        <w:rPr>
          <w:rFonts w:ascii="Arial" w:hAnsi="Arial" w:cs="Arial"/>
          <w:sz w:val="20"/>
          <w:szCs w:val="20"/>
        </w:rPr>
        <w:t>t</w:t>
      </w:r>
      <w:r w:rsidR="009B4EA7">
        <w:rPr>
          <w:rFonts w:ascii="Arial" w:hAnsi="Arial" w:cs="Arial"/>
          <w:sz w:val="20"/>
          <w:szCs w:val="20"/>
        </w:rPr>
        <w:t>.</w:t>
      </w:r>
      <w:r w:rsidRPr="00122A96">
        <w:rPr>
          <w:rFonts w:ascii="Arial" w:hAnsi="Arial" w:cs="Arial"/>
          <w:sz w:val="20"/>
          <w:szCs w:val="20"/>
        </w:rPr>
        <w:t>j</w:t>
      </w:r>
      <w:proofErr w:type="spellEnd"/>
      <w:r w:rsidR="009B4EA7">
        <w:rPr>
          <w:rFonts w:ascii="Arial" w:hAnsi="Arial" w:cs="Arial"/>
          <w:sz w:val="20"/>
          <w:szCs w:val="20"/>
        </w:rPr>
        <w:t>. Dz.</w:t>
      </w:r>
      <w:r w:rsidRPr="00122A96">
        <w:rPr>
          <w:rFonts w:ascii="Arial" w:hAnsi="Arial" w:cs="Arial"/>
          <w:sz w:val="20"/>
          <w:szCs w:val="20"/>
        </w:rPr>
        <w:t>U. z 2023 r. poz. 1640 ze</w:t>
      </w:r>
      <w:r w:rsidR="009B4EA7">
        <w:rPr>
          <w:rFonts w:ascii="Arial" w:hAnsi="Arial" w:cs="Arial"/>
          <w:sz w:val="20"/>
          <w:szCs w:val="20"/>
        </w:rPr>
        <w:t> </w:t>
      </w:r>
      <w:r w:rsidRPr="00122A96">
        <w:rPr>
          <w:rFonts w:ascii="Arial" w:hAnsi="Arial" w:cs="Arial"/>
          <w:sz w:val="20"/>
          <w:szCs w:val="20"/>
        </w:rPr>
        <w:t>zm.)”.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W 2025 r. w ramach tego zadania przeprowadz</w:t>
      </w:r>
      <w:r w:rsidR="006F7789">
        <w:rPr>
          <w:rFonts w:ascii="Arial" w:hAnsi="Arial" w:cs="Arial"/>
          <w:sz w:val="20"/>
          <w:szCs w:val="20"/>
        </w:rPr>
        <w:t>ono</w:t>
      </w:r>
      <w:r w:rsidRPr="00122A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A96">
        <w:rPr>
          <w:rFonts w:ascii="Arial" w:hAnsi="Arial" w:cs="Arial"/>
          <w:sz w:val="20"/>
          <w:szCs w:val="20"/>
        </w:rPr>
        <w:t>prekonsultacje</w:t>
      </w:r>
      <w:proofErr w:type="spellEnd"/>
      <w:r w:rsidRPr="00122A96">
        <w:rPr>
          <w:rFonts w:ascii="Arial" w:hAnsi="Arial" w:cs="Arial"/>
          <w:sz w:val="20"/>
          <w:szCs w:val="20"/>
        </w:rPr>
        <w:t xml:space="preserve"> z UKE, PPSA, MSWiA, MON oraz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UOKiK, w celu zebrania informacji i wiedzy na temat wpływu obecnej ustawy Prawo pocztowe na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wykonywane przez nich zadania oraz przekazania do MAP propozycji zmian w przepisach, które mogą</w:t>
      </w:r>
      <w:r w:rsidR="00664767">
        <w:rPr>
          <w:rFonts w:ascii="Arial" w:hAnsi="Arial" w:cs="Arial"/>
          <w:sz w:val="20"/>
          <w:szCs w:val="20"/>
        </w:rPr>
        <w:t xml:space="preserve"> </w:t>
      </w:r>
      <w:r w:rsidRPr="00122A96">
        <w:rPr>
          <w:rFonts w:ascii="Arial" w:hAnsi="Arial" w:cs="Arial"/>
          <w:sz w:val="20"/>
          <w:szCs w:val="20"/>
        </w:rPr>
        <w:t>wpłynąć na zwiększenie:</w:t>
      </w:r>
    </w:p>
    <w:p w14:paraId="7535BD4C" w14:textId="65E51B39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bezpieczeństwa wewnętrznego lub zewnętrznego państwa,</w:t>
      </w:r>
    </w:p>
    <w:p w14:paraId="29AC0BEA" w14:textId="6AD524EA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bezpieczeństwa obrotu gospodarczego,</w:t>
      </w:r>
    </w:p>
    <w:p w14:paraId="4851DADC" w14:textId="36210466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ochrony prawnej konsumentów,</w:t>
      </w:r>
    </w:p>
    <w:p w14:paraId="0746155F" w14:textId="7B28D9D2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poziomu konkurencji na rynku usług pocztowych,</w:t>
      </w:r>
    </w:p>
    <w:p w14:paraId="26AEA31F" w14:textId="54C39EF0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przejrzystości procesów regulacyjnych,</w:t>
      </w:r>
    </w:p>
    <w:p w14:paraId="14B4AC4A" w14:textId="49466F86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swobody prowadzenia działalności gospodarczej na rynku usług pocztowych</w:t>
      </w:r>
      <w:r w:rsidR="009B4EA7">
        <w:rPr>
          <w:rFonts w:ascii="Arial" w:hAnsi="Arial" w:cs="Arial"/>
          <w:sz w:val="20"/>
          <w:szCs w:val="20"/>
        </w:rPr>
        <w:t>,</w:t>
      </w:r>
    </w:p>
    <w:p w14:paraId="7242460E" w14:textId="14D8BAE8" w:rsidR="00122A96" w:rsidRPr="00B60DC8" w:rsidRDefault="00122A96" w:rsidP="00B60DC8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</w:rPr>
        <w:t>efektywności świadczenia i finansowania usług powszechnych.</w:t>
      </w:r>
    </w:p>
    <w:p w14:paraId="4281A249" w14:textId="388C43CF" w:rsidR="00664767" w:rsidRDefault="00664767" w:rsidP="00B60DC8">
      <w:pPr>
        <w:spacing w:after="0"/>
        <w:ind w:firstLine="60"/>
        <w:rPr>
          <w:rFonts w:ascii="Arial" w:hAnsi="Arial" w:cs="Arial"/>
          <w:sz w:val="20"/>
          <w:szCs w:val="20"/>
        </w:rPr>
      </w:pPr>
    </w:p>
    <w:p w14:paraId="7812215B" w14:textId="77777777" w:rsidR="007B4291" w:rsidRDefault="007B4291" w:rsidP="00B60DC8">
      <w:pPr>
        <w:spacing w:after="0"/>
        <w:ind w:firstLine="60"/>
        <w:rPr>
          <w:rFonts w:ascii="Arial" w:hAnsi="Arial" w:cs="Arial"/>
          <w:sz w:val="20"/>
          <w:szCs w:val="20"/>
        </w:rPr>
      </w:pPr>
    </w:p>
    <w:p w14:paraId="5230A6D9" w14:textId="1B91BEA2" w:rsidR="00122A96" w:rsidRPr="008879F5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8879F5">
        <w:rPr>
          <w:rFonts w:ascii="Arial" w:hAnsi="Arial" w:cs="Arial"/>
          <w:sz w:val="20"/>
          <w:szCs w:val="20"/>
        </w:rPr>
        <w:lastRenderedPageBreak/>
        <w:t>Uwzględniając powyższe oraz fakt, że zadanie jako całość, zostało wykonane częściowo (55%) – to mając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na uwadze ograniczone zasoby zespołu oraz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realizację dodatkowych zadań w ciągu 2025 r. opisanych powyżej – należy uznać jako znaczące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osiągnięcie.</w:t>
      </w:r>
    </w:p>
    <w:p w14:paraId="5A74C3D5" w14:textId="77777777" w:rsidR="007B4291" w:rsidRDefault="007B4291" w:rsidP="00122A96">
      <w:pPr>
        <w:spacing w:after="0"/>
        <w:rPr>
          <w:rFonts w:ascii="Arial" w:hAnsi="Arial" w:cs="Arial"/>
          <w:sz w:val="20"/>
          <w:szCs w:val="20"/>
        </w:rPr>
      </w:pPr>
    </w:p>
    <w:p w14:paraId="1E4687E7" w14:textId="2EA3BC1F" w:rsidR="00122A96" w:rsidRDefault="00122A96" w:rsidP="00122A96">
      <w:pPr>
        <w:spacing w:after="0"/>
        <w:rPr>
          <w:rFonts w:ascii="Arial" w:hAnsi="Arial" w:cs="Arial"/>
          <w:sz w:val="20"/>
          <w:szCs w:val="20"/>
        </w:rPr>
      </w:pPr>
      <w:r w:rsidRPr="008879F5">
        <w:rPr>
          <w:rFonts w:ascii="Arial" w:hAnsi="Arial" w:cs="Arial"/>
          <w:sz w:val="20"/>
          <w:szCs w:val="20"/>
        </w:rPr>
        <w:t>Jednak jak wykazano powyżej, bezpośredni i istotny wpływ na finalny kształt zapisów ustawy – Prawo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pocztowe będzie miał ww. Unijny akt o doręczeniach, o którym mowa w</w:t>
      </w:r>
      <w:r w:rsidR="007B4291">
        <w:rPr>
          <w:rFonts w:ascii="Arial" w:hAnsi="Arial" w:cs="Arial"/>
          <w:sz w:val="20"/>
          <w:szCs w:val="20"/>
        </w:rPr>
        <w:t> </w:t>
      </w:r>
      <w:r w:rsidRPr="008879F5">
        <w:rPr>
          <w:rFonts w:ascii="Arial" w:hAnsi="Arial" w:cs="Arial"/>
          <w:sz w:val="20"/>
          <w:szCs w:val="20"/>
        </w:rPr>
        <w:t>pkt</w:t>
      </w:r>
      <w:r w:rsidR="007B4291">
        <w:rPr>
          <w:rFonts w:ascii="Arial" w:hAnsi="Arial" w:cs="Arial"/>
          <w:sz w:val="20"/>
          <w:szCs w:val="20"/>
        </w:rPr>
        <w:t> </w:t>
      </w:r>
      <w:r w:rsidRPr="008879F5">
        <w:rPr>
          <w:rFonts w:ascii="Arial" w:hAnsi="Arial" w:cs="Arial"/>
          <w:sz w:val="20"/>
          <w:szCs w:val="20"/>
        </w:rPr>
        <w:t xml:space="preserve"> 1. Zatem prace nad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 xml:space="preserve">projektem będą kontynuowane przez </w:t>
      </w:r>
      <w:r w:rsidR="00265078">
        <w:rPr>
          <w:rFonts w:ascii="Arial" w:hAnsi="Arial" w:cs="Arial"/>
          <w:sz w:val="20"/>
          <w:szCs w:val="20"/>
        </w:rPr>
        <w:t xml:space="preserve">MAP </w:t>
      </w:r>
      <w:r w:rsidRPr="008879F5">
        <w:rPr>
          <w:rFonts w:ascii="Arial" w:hAnsi="Arial" w:cs="Arial"/>
          <w:sz w:val="20"/>
          <w:szCs w:val="20"/>
        </w:rPr>
        <w:t>w 2026 r i zapewne</w:t>
      </w:r>
      <w:r w:rsidR="00664767" w:rsidRPr="008879F5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w 2027</w:t>
      </w:r>
      <w:r w:rsidR="00265078">
        <w:rPr>
          <w:rFonts w:ascii="Arial" w:hAnsi="Arial" w:cs="Arial"/>
          <w:sz w:val="20"/>
          <w:szCs w:val="20"/>
        </w:rPr>
        <w:t xml:space="preserve"> </w:t>
      </w:r>
      <w:r w:rsidRPr="008879F5">
        <w:rPr>
          <w:rFonts w:ascii="Arial" w:hAnsi="Arial" w:cs="Arial"/>
          <w:sz w:val="20"/>
          <w:szCs w:val="20"/>
        </w:rPr>
        <w:t>r.</w:t>
      </w:r>
    </w:p>
    <w:p w14:paraId="0DF6068C" w14:textId="77777777" w:rsidR="00494542" w:rsidRPr="008879F5" w:rsidRDefault="00494542" w:rsidP="00122A96">
      <w:pPr>
        <w:spacing w:after="0"/>
        <w:rPr>
          <w:rFonts w:ascii="Arial" w:hAnsi="Arial" w:cs="Arial"/>
          <w:sz w:val="20"/>
          <w:szCs w:val="20"/>
        </w:rPr>
      </w:pPr>
    </w:p>
    <w:p w14:paraId="447926B7" w14:textId="35D7C4DB" w:rsidR="003257E4" w:rsidRPr="008879F5" w:rsidRDefault="003257E4" w:rsidP="00885EA7">
      <w:pPr>
        <w:tabs>
          <w:tab w:val="right" w:pos="3578"/>
        </w:tabs>
        <w:spacing w:after="0"/>
        <w:ind w:left="28"/>
        <w:rPr>
          <w:rFonts w:ascii="Arial" w:hAnsi="Arial" w:cs="Arial"/>
          <w:sz w:val="20"/>
          <w:szCs w:val="20"/>
        </w:rPr>
      </w:pPr>
    </w:p>
    <w:tbl>
      <w:tblPr>
        <w:tblW w:w="15843" w:type="dxa"/>
        <w:jc w:val="right"/>
        <w:tblLook w:val="04A0" w:firstRow="1" w:lastRow="0" w:firstColumn="1" w:lastColumn="0" w:noHBand="0" w:noVBand="1"/>
      </w:tblPr>
      <w:tblGrid>
        <w:gridCol w:w="8647"/>
        <w:gridCol w:w="7196"/>
      </w:tblGrid>
      <w:tr w:rsidR="00AE4DA8" w:rsidRPr="00AE4DA8" w14:paraId="573A8581" w14:textId="77777777" w:rsidTr="004F0CDF">
        <w:trPr>
          <w:jc w:val="right"/>
        </w:trPr>
        <w:tc>
          <w:tcPr>
            <w:tcW w:w="8647" w:type="dxa"/>
            <w:vMerge w:val="restart"/>
            <w:vAlign w:val="bottom"/>
          </w:tcPr>
          <w:p w14:paraId="76CF16F0" w14:textId="2193E34A" w:rsidR="003257E4" w:rsidRPr="00AE4DA8" w:rsidRDefault="00CF1BA6" w:rsidP="0079602B">
            <w:pPr>
              <w:tabs>
                <w:tab w:val="center" w:pos="1134"/>
                <w:tab w:val="center" w:pos="12758"/>
              </w:tabs>
              <w:spacing w:after="6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ezdDataPodpisu"/>
            <w:bookmarkEnd w:id="0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27 marca 2026 r.</w:t>
            </w:r>
          </w:p>
        </w:tc>
        <w:tc>
          <w:tcPr>
            <w:tcW w:w="7196" w:type="dxa"/>
          </w:tcPr>
          <w:p w14:paraId="01AFFAF0" w14:textId="77777777" w:rsidR="003257E4" w:rsidRPr="00AE4DA8" w:rsidRDefault="003257E4" w:rsidP="00443E5B">
            <w:pPr>
              <w:pStyle w:val="trescpisma"/>
            </w:pPr>
          </w:p>
        </w:tc>
      </w:tr>
      <w:tr w:rsidR="00AE4DA8" w:rsidRPr="00AE4DA8" w14:paraId="7C73EB4A" w14:textId="77777777" w:rsidTr="004F0CDF">
        <w:trPr>
          <w:jc w:val="right"/>
        </w:trPr>
        <w:tc>
          <w:tcPr>
            <w:tcW w:w="8647" w:type="dxa"/>
            <w:vMerge/>
          </w:tcPr>
          <w:p w14:paraId="7B20882B" w14:textId="77777777" w:rsidR="003257E4" w:rsidRPr="00AE4DA8" w:rsidRDefault="003257E4" w:rsidP="00443E5B">
            <w:pPr>
              <w:pStyle w:val="trescpisma"/>
            </w:pPr>
          </w:p>
        </w:tc>
        <w:tc>
          <w:tcPr>
            <w:tcW w:w="7196" w:type="dxa"/>
          </w:tcPr>
          <w:p w14:paraId="2A14D674" w14:textId="77777777" w:rsidR="003257E4" w:rsidRPr="00AE4DA8" w:rsidRDefault="003257E4" w:rsidP="00443E5B">
            <w:pPr>
              <w:pStyle w:val="trescpisma"/>
            </w:pPr>
            <w:bookmarkStart w:id="1" w:name="ezdPracownikNazwa"/>
            <w:bookmarkEnd w:id="1"/>
          </w:p>
        </w:tc>
      </w:tr>
      <w:tr w:rsidR="00AE4DA8" w:rsidRPr="00AE4DA8" w14:paraId="27368D81" w14:textId="77777777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14:paraId="06167D35" w14:textId="77777777" w:rsidR="003257E4" w:rsidRPr="00AE4DA8" w:rsidRDefault="003257E4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04F1A017" w14:textId="67383BE3" w:rsidR="00CF1BA6" w:rsidRDefault="00CF1BA6" w:rsidP="00CF1BA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bookmarkStart w:id="2" w:name="ezdPracownikStanowisko"/>
            <w:bookmarkEnd w:id="2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                                          Wojciech </w:t>
            </w:r>
            <w:proofErr w:type="spellStart"/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Balczun</w:t>
            </w:r>
            <w:proofErr w:type="spellEnd"/>
          </w:p>
          <w:p w14:paraId="06D657D6" w14:textId="77777777" w:rsidR="00CF1BA6" w:rsidRDefault="00CF1BA6" w:rsidP="00CF1BA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                                                 </w:t>
            </w:r>
          </w:p>
          <w:p w14:paraId="44973798" w14:textId="08393755" w:rsidR="00CF1BA6" w:rsidRDefault="00CF1BA6" w:rsidP="00CF1BA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                                                   Minister</w:t>
            </w:r>
          </w:p>
          <w:p w14:paraId="789B8FE7" w14:textId="77777777" w:rsidR="00CF1BA6" w:rsidRDefault="00CF1BA6" w:rsidP="00CF1BA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                          </w:t>
            </w:r>
          </w:p>
          <w:p w14:paraId="783CA69F" w14:textId="350AF2EB" w:rsidR="00CF1BA6" w:rsidRDefault="00CF1BA6" w:rsidP="00CF1BA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                                   dokument podpisany elektronicznie</w:t>
            </w:r>
          </w:p>
          <w:p w14:paraId="27CE0F88" w14:textId="739B7A4F" w:rsidR="003257E4" w:rsidRPr="00AE4DA8" w:rsidRDefault="00CF1BA6" w:rsidP="00CF1BA6">
            <w:pPr>
              <w:pStyle w:val="trescpisma"/>
            </w:pPr>
            <w:r>
              <w:rPr>
                <w:rFonts w:ascii="ArialMT" w:hAnsi="ArialMT" w:cs="ArialMT"/>
                <w:lang w:eastAsia="en-US"/>
              </w:rPr>
              <w:t>1229297.4602228.3690757</w:t>
            </w:r>
          </w:p>
        </w:tc>
      </w:tr>
      <w:tr w:rsidR="00AE4DA8" w:rsidRPr="00AE4DA8" w14:paraId="4307F239" w14:textId="77777777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14:paraId="72DF5112" w14:textId="77777777" w:rsidR="003257E4" w:rsidRPr="00AE4DA8" w:rsidRDefault="003257E4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7C361D1E" w14:textId="77777777" w:rsidR="003257E4" w:rsidRPr="00AE4DA8" w:rsidRDefault="003257E4" w:rsidP="00443E5B">
            <w:pPr>
              <w:pStyle w:val="trescpisma"/>
            </w:pPr>
            <w:bookmarkStart w:id="3" w:name="ezdPracownikWydzialAtrybut1"/>
            <w:bookmarkEnd w:id="3"/>
          </w:p>
        </w:tc>
      </w:tr>
      <w:tr w:rsidR="00AE4DA8" w:rsidRPr="00AE4DA8" w14:paraId="7C52A2CA" w14:textId="77777777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14:paraId="22E444F5" w14:textId="77777777" w:rsidR="003257E4" w:rsidRPr="00AE4DA8" w:rsidRDefault="003257E4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2A363316" w14:textId="77777777" w:rsidR="003257E4" w:rsidRPr="00AE4DA8" w:rsidRDefault="003257E4" w:rsidP="00443E5B">
            <w:pPr>
              <w:pStyle w:val="trescpisma"/>
            </w:pPr>
            <w:bookmarkStart w:id="4" w:name="ezdIdentyfikatorDokumentuPDF"/>
            <w:bookmarkEnd w:id="4"/>
          </w:p>
        </w:tc>
      </w:tr>
    </w:tbl>
    <w:p w14:paraId="093C0A62" w14:textId="77777777" w:rsidR="004F0CDF" w:rsidRPr="00AE4DA8" w:rsidRDefault="00CE2028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AE4DA8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AE4DA8"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14:paraId="5F6713C3" w14:textId="77777777" w:rsidR="00000000" w:rsidRPr="00AE4DA8" w:rsidRDefault="004F0CDF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AE4DA8">
        <w:rPr>
          <w:rFonts w:ascii="Arial" w:hAnsi="Arial" w:cs="Arial"/>
          <w:i/>
          <w:sz w:val="20"/>
          <w:szCs w:val="20"/>
        </w:rPr>
        <w:tab/>
      </w:r>
      <w:r w:rsidR="00CE2028" w:rsidRPr="00AE4DA8">
        <w:rPr>
          <w:rFonts w:ascii="Arial" w:hAnsi="Arial" w:cs="Arial"/>
          <w:i/>
          <w:sz w:val="20"/>
          <w:szCs w:val="20"/>
        </w:rPr>
        <w:t>(data)</w:t>
      </w:r>
      <w:r w:rsidR="00CE2028" w:rsidRPr="00AE4DA8">
        <w:rPr>
          <w:rFonts w:ascii="Arial" w:hAnsi="Arial" w:cs="Arial"/>
          <w:i/>
          <w:sz w:val="20"/>
          <w:szCs w:val="20"/>
        </w:rPr>
        <w:tab/>
        <w:t>(podpis ministra)</w:t>
      </w:r>
    </w:p>
    <w:sectPr w:rsidR="00103529" w:rsidRPr="00AE4DA8" w:rsidSect="00494542">
      <w:footerReference w:type="default" r:id="rId9"/>
      <w:pgSz w:w="16838" w:h="11906" w:orient="landscape" w:code="9"/>
      <w:pgMar w:top="568" w:right="536" w:bottom="993" w:left="426" w:header="5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5334" w14:textId="77777777" w:rsidR="008D5713" w:rsidRDefault="008D5713">
      <w:pPr>
        <w:spacing w:after="0" w:line="240" w:lineRule="auto"/>
      </w:pPr>
      <w:r>
        <w:separator/>
      </w:r>
    </w:p>
  </w:endnote>
  <w:endnote w:type="continuationSeparator" w:id="0">
    <w:p w14:paraId="79A7C317" w14:textId="77777777" w:rsidR="008D5713" w:rsidRDefault="008D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4923687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952140" w14:textId="411D0396" w:rsidR="00ED60CE" w:rsidRPr="00ED60CE" w:rsidRDefault="00ED60CE" w:rsidP="00ED60CE">
            <w:pPr>
              <w:pStyle w:val="Stopka"/>
              <w:jc w:val="center"/>
              <w:rPr>
                <w:rFonts w:ascii="Arial" w:hAnsi="Arial" w:cs="Arial"/>
              </w:rPr>
            </w:pPr>
            <w:r w:rsidRPr="00ED60C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1B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D60C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1B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A451" w14:textId="77777777" w:rsidR="008D5713" w:rsidRDefault="008D5713" w:rsidP="003E1493">
      <w:pPr>
        <w:spacing w:after="0" w:line="240" w:lineRule="auto"/>
      </w:pPr>
      <w:r>
        <w:separator/>
      </w:r>
    </w:p>
  </w:footnote>
  <w:footnote w:type="continuationSeparator" w:id="0">
    <w:p w14:paraId="5C672FF3" w14:textId="77777777" w:rsidR="008D5713" w:rsidRDefault="008D5713" w:rsidP="003E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35A"/>
    <w:multiLevelType w:val="hybridMultilevel"/>
    <w:tmpl w:val="C86A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183"/>
    <w:multiLevelType w:val="hybridMultilevel"/>
    <w:tmpl w:val="9E5C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6263E"/>
    <w:multiLevelType w:val="hybridMultilevel"/>
    <w:tmpl w:val="F954B2B8"/>
    <w:lvl w:ilvl="0" w:tplc="1C6814A4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1CBEE57E" w:tentative="1">
      <w:start w:val="1"/>
      <w:numFmt w:val="lowerLetter"/>
      <w:lvlText w:val="%2."/>
      <w:lvlJc w:val="left"/>
      <w:pPr>
        <w:ind w:left="1440" w:hanging="360"/>
      </w:pPr>
    </w:lvl>
    <w:lvl w:ilvl="2" w:tplc="BEAC7ACE" w:tentative="1">
      <w:start w:val="1"/>
      <w:numFmt w:val="lowerRoman"/>
      <w:lvlText w:val="%3."/>
      <w:lvlJc w:val="right"/>
      <w:pPr>
        <w:ind w:left="2160" w:hanging="180"/>
      </w:pPr>
    </w:lvl>
    <w:lvl w:ilvl="3" w:tplc="B1DCB946" w:tentative="1">
      <w:start w:val="1"/>
      <w:numFmt w:val="decimal"/>
      <w:lvlText w:val="%4."/>
      <w:lvlJc w:val="left"/>
      <w:pPr>
        <w:ind w:left="2880" w:hanging="360"/>
      </w:pPr>
    </w:lvl>
    <w:lvl w:ilvl="4" w:tplc="3880D628" w:tentative="1">
      <w:start w:val="1"/>
      <w:numFmt w:val="lowerLetter"/>
      <w:lvlText w:val="%5."/>
      <w:lvlJc w:val="left"/>
      <w:pPr>
        <w:ind w:left="3600" w:hanging="360"/>
      </w:pPr>
    </w:lvl>
    <w:lvl w:ilvl="5" w:tplc="6F48A5F6" w:tentative="1">
      <w:start w:val="1"/>
      <w:numFmt w:val="lowerRoman"/>
      <w:lvlText w:val="%6."/>
      <w:lvlJc w:val="right"/>
      <w:pPr>
        <w:ind w:left="4320" w:hanging="180"/>
      </w:pPr>
    </w:lvl>
    <w:lvl w:ilvl="6" w:tplc="5A98EBD8" w:tentative="1">
      <w:start w:val="1"/>
      <w:numFmt w:val="decimal"/>
      <w:lvlText w:val="%7."/>
      <w:lvlJc w:val="left"/>
      <w:pPr>
        <w:ind w:left="5040" w:hanging="360"/>
      </w:pPr>
    </w:lvl>
    <w:lvl w:ilvl="7" w:tplc="40963162" w:tentative="1">
      <w:start w:val="1"/>
      <w:numFmt w:val="lowerLetter"/>
      <w:lvlText w:val="%8."/>
      <w:lvlJc w:val="left"/>
      <w:pPr>
        <w:ind w:left="5760" w:hanging="360"/>
      </w:pPr>
    </w:lvl>
    <w:lvl w:ilvl="8" w:tplc="0C580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4172"/>
    <w:multiLevelType w:val="hybridMultilevel"/>
    <w:tmpl w:val="F6FC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5E7"/>
    <w:multiLevelType w:val="hybridMultilevel"/>
    <w:tmpl w:val="9244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0A9"/>
    <w:multiLevelType w:val="hybridMultilevel"/>
    <w:tmpl w:val="AD96E4BE"/>
    <w:lvl w:ilvl="0" w:tplc="FD2082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2443C44" w:tentative="1">
      <w:start w:val="1"/>
      <w:numFmt w:val="lowerLetter"/>
      <w:lvlText w:val="%2."/>
      <w:lvlJc w:val="left"/>
      <w:pPr>
        <w:ind w:left="1440" w:hanging="360"/>
      </w:pPr>
    </w:lvl>
    <w:lvl w:ilvl="2" w:tplc="46F45F80" w:tentative="1">
      <w:start w:val="1"/>
      <w:numFmt w:val="lowerRoman"/>
      <w:lvlText w:val="%3."/>
      <w:lvlJc w:val="right"/>
      <w:pPr>
        <w:ind w:left="2160" w:hanging="180"/>
      </w:pPr>
    </w:lvl>
    <w:lvl w:ilvl="3" w:tplc="38D82902" w:tentative="1">
      <w:start w:val="1"/>
      <w:numFmt w:val="decimal"/>
      <w:lvlText w:val="%4."/>
      <w:lvlJc w:val="left"/>
      <w:pPr>
        <w:ind w:left="2880" w:hanging="360"/>
      </w:pPr>
    </w:lvl>
    <w:lvl w:ilvl="4" w:tplc="BE5A2B3A" w:tentative="1">
      <w:start w:val="1"/>
      <w:numFmt w:val="lowerLetter"/>
      <w:lvlText w:val="%5."/>
      <w:lvlJc w:val="left"/>
      <w:pPr>
        <w:ind w:left="3600" w:hanging="360"/>
      </w:pPr>
    </w:lvl>
    <w:lvl w:ilvl="5" w:tplc="CA7C90B2" w:tentative="1">
      <w:start w:val="1"/>
      <w:numFmt w:val="lowerRoman"/>
      <w:lvlText w:val="%6."/>
      <w:lvlJc w:val="right"/>
      <w:pPr>
        <w:ind w:left="4320" w:hanging="180"/>
      </w:pPr>
    </w:lvl>
    <w:lvl w:ilvl="6" w:tplc="9438CADC" w:tentative="1">
      <w:start w:val="1"/>
      <w:numFmt w:val="decimal"/>
      <w:lvlText w:val="%7."/>
      <w:lvlJc w:val="left"/>
      <w:pPr>
        <w:ind w:left="5040" w:hanging="360"/>
      </w:pPr>
    </w:lvl>
    <w:lvl w:ilvl="7" w:tplc="D1E0F72C" w:tentative="1">
      <w:start w:val="1"/>
      <w:numFmt w:val="lowerLetter"/>
      <w:lvlText w:val="%8."/>
      <w:lvlJc w:val="left"/>
      <w:pPr>
        <w:ind w:left="5760" w:hanging="360"/>
      </w:pPr>
    </w:lvl>
    <w:lvl w:ilvl="8" w:tplc="E4FA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28EB"/>
    <w:multiLevelType w:val="hybridMultilevel"/>
    <w:tmpl w:val="89FAAB7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E1B3F7C"/>
    <w:multiLevelType w:val="hybridMultilevel"/>
    <w:tmpl w:val="7A605B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1E10E2"/>
    <w:multiLevelType w:val="hybridMultilevel"/>
    <w:tmpl w:val="DCBE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04BF"/>
    <w:multiLevelType w:val="hybridMultilevel"/>
    <w:tmpl w:val="C6100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E0FC3"/>
    <w:multiLevelType w:val="hybridMultilevel"/>
    <w:tmpl w:val="D9BA3030"/>
    <w:lvl w:ilvl="0" w:tplc="0BE49028">
      <w:start w:val="1"/>
      <w:numFmt w:val="decimal"/>
      <w:lvlText w:val="%1."/>
      <w:lvlJc w:val="left"/>
      <w:pPr>
        <w:ind w:left="720" w:hanging="360"/>
      </w:pPr>
    </w:lvl>
    <w:lvl w:ilvl="1" w:tplc="F9C0E688" w:tentative="1">
      <w:start w:val="1"/>
      <w:numFmt w:val="lowerLetter"/>
      <w:lvlText w:val="%2."/>
      <w:lvlJc w:val="left"/>
      <w:pPr>
        <w:ind w:left="1440" w:hanging="360"/>
      </w:pPr>
    </w:lvl>
    <w:lvl w:ilvl="2" w:tplc="B11AE96E" w:tentative="1">
      <w:start w:val="1"/>
      <w:numFmt w:val="lowerRoman"/>
      <w:lvlText w:val="%3."/>
      <w:lvlJc w:val="right"/>
      <w:pPr>
        <w:ind w:left="2160" w:hanging="180"/>
      </w:pPr>
    </w:lvl>
    <w:lvl w:ilvl="3" w:tplc="D410174C" w:tentative="1">
      <w:start w:val="1"/>
      <w:numFmt w:val="decimal"/>
      <w:lvlText w:val="%4."/>
      <w:lvlJc w:val="left"/>
      <w:pPr>
        <w:ind w:left="2880" w:hanging="360"/>
      </w:pPr>
    </w:lvl>
    <w:lvl w:ilvl="4" w:tplc="FE82672C" w:tentative="1">
      <w:start w:val="1"/>
      <w:numFmt w:val="lowerLetter"/>
      <w:lvlText w:val="%5."/>
      <w:lvlJc w:val="left"/>
      <w:pPr>
        <w:ind w:left="3600" w:hanging="360"/>
      </w:pPr>
    </w:lvl>
    <w:lvl w:ilvl="5" w:tplc="9EA21AF2" w:tentative="1">
      <w:start w:val="1"/>
      <w:numFmt w:val="lowerRoman"/>
      <w:lvlText w:val="%6."/>
      <w:lvlJc w:val="right"/>
      <w:pPr>
        <w:ind w:left="4320" w:hanging="180"/>
      </w:pPr>
    </w:lvl>
    <w:lvl w:ilvl="6" w:tplc="F4EC8A9C" w:tentative="1">
      <w:start w:val="1"/>
      <w:numFmt w:val="decimal"/>
      <w:lvlText w:val="%7."/>
      <w:lvlJc w:val="left"/>
      <w:pPr>
        <w:ind w:left="5040" w:hanging="360"/>
      </w:pPr>
    </w:lvl>
    <w:lvl w:ilvl="7" w:tplc="0E66B336" w:tentative="1">
      <w:start w:val="1"/>
      <w:numFmt w:val="lowerLetter"/>
      <w:lvlText w:val="%8."/>
      <w:lvlJc w:val="left"/>
      <w:pPr>
        <w:ind w:left="5760" w:hanging="360"/>
      </w:pPr>
    </w:lvl>
    <w:lvl w:ilvl="8" w:tplc="C9F08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92CFA"/>
    <w:multiLevelType w:val="hybridMultilevel"/>
    <w:tmpl w:val="CF60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31F44"/>
    <w:multiLevelType w:val="hybridMultilevel"/>
    <w:tmpl w:val="6FEC4090"/>
    <w:lvl w:ilvl="0" w:tplc="2460E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729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7CE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D65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BEE3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F46A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2CC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944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5AE2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AD12EA"/>
    <w:multiLevelType w:val="hybridMultilevel"/>
    <w:tmpl w:val="D672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6793D"/>
    <w:multiLevelType w:val="hybridMultilevel"/>
    <w:tmpl w:val="F48EAC6C"/>
    <w:lvl w:ilvl="0" w:tplc="9D6E3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2692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240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5E33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85E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A83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920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581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44E4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934D91"/>
    <w:multiLevelType w:val="hybridMultilevel"/>
    <w:tmpl w:val="7A605B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6F2F09"/>
    <w:multiLevelType w:val="hybridMultilevel"/>
    <w:tmpl w:val="2E7E2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74647">
    <w:abstractNumId w:val="10"/>
  </w:num>
  <w:num w:numId="2" w16cid:durableId="887230520">
    <w:abstractNumId w:val="2"/>
  </w:num>
  <w:num w:numId="3" w16cid:durableId="659305968">
    <w:abstractNumId w:val="1"/>
  </w:num>
  <w:num w:numId="4" w16cid:durableId="550966436">
    <w:abstractNumId w:val="11"/>
  </w:num>
  <w:num w:numId="5" w16cid:durableId="1084836619">
    <w:abstractNumId w:val="3"/>
  </w:num>
  <w:num w:numId="6" w16cid:durableId="124206183">
    <w:abstractNumId w:val="7"/>
  </w:num>
  <w:num w:numId="7" w16cid:durableId="316152679">
    <w:abstractNumId w:val="16"/>
  </w:num>
  <w:num w:numId="8" w16cid:durableId="1526559761">
    <w:abstractNumId w:val="13"/>
  </w:num>
  <w:num w:numId="9" w16cid:durableId="1196384666">
    <w:abstractNumId w:val="5"/>
  </w:num>
  <w:num w:numId="10" w16cid:durableId="507449763">
    <w:abstractNumId w:val="6"/>
  </w:num>
  <w:num w:numId="11" w16cid:durableId="528882147">
    <w:abstractNumId w:val="15"/>
  </w:num>
  <w:num w:numId="12" w16cid:durableId="17463854">
    <w:abstractNumId w:val="9"/>
  </w:num>
  <w:num w:numId="13" w16cid:durableId="302735530">
    <w:abstractNumId w:val="14"/>
  </w:num>
  <w:num w:numId="14" w16cid:durableId="100533907">
    <w:abstractNumId w:val="4"/>
  </w:num>
  <w:num w:numId="15" w16cid:durableId="1425612278">
    <w:abstractNumId w:val="12"/>
  </w:num>
  <w:num w:numId="16" w16cid:durableId="784271772">
    <w:abstractNumId w:val="8"/>
  </w:num>
  <w:num w:numId="17" w16cid:durableId="190337079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7"/>
    <w:rsid w:val="000156A4"/>
    <w:rsid w:val="0002776F"/>
    <w:rsid w:val="00033063"/>
    <w:rsid w:val="00061AE4"/>
    <w:rsid w:val="0006531C"/>
    <w:rsid w:val="00065CDC"/>
    <w:rsid w:val="00086355"/>
    <w:rsid w:val="00095079"/>
    <w:rsid w:val="000A1B96"/>
    <w:rsid w:val="000A3DB8"/>
    <w:rsid w:val="000B6B9B"/>
    <w:rsid w:val="000B76F7"/>
    <w:rsid w:val="000D5C2A"/>
    <w:rsid w:val="000D74E8"/>
    <w:rsid w:val="000F2256"/>
    <w:rsid w:val="000F69F5"/>
    <w:rsid w:val="001105F1"/>
    <w:rsid w:val="001130E1"/>
    <w:rsid w:val="00114687"/>
    <w:rsid w:val="00115790"/>
    <w:rsid w:val="0012219D"/>
    <w:rsid w:val="00122A96"/>
    <w:rsid w:val="00144CB0"/>
    <w:rsid w:val="00145D04"/>
    <w:rsid w:val="00152118"/>
    <w:rsid w:val="00156D4C"/>
    <w:rsid w:val="00157F8F"/>
    <w:rsid w:val="001725D4"/>
    <w:rsid w:val="00173F8F"/>
    <w:rsid w:val="00177F25"/>
    <w:rsid w:val="00183F59"/>
    <w:rsid w:val="001A2F0E"/>
    <w:rsid w:val="001B0509"/>
    <w:rsid w:val="001B3198"/>
    <w:rsid w:val="001D516D"/>
    <w:rsid w:val="001E687D"/>
    <w:rsid w:val="001F4151"/>
    <w:rsid w:val="001F4B8F"/>
    <w:rsid w:val="001F59B4"/>
    <w:rsid w:val="00200E25"/>
    <w:rsid w:val="00200EC5"/>
    <w:rsid w:val="0020466E"/>
    <w:rsid w:val="00214F51"/>
    <w:rsid w:val="00230514"/>
    <w:rsid w:val="00242DD7"/>
    <w:rsid w:val="00245C12"/>
    <w:rsid w:val="002465AD"/>
    <w:rsid w:val="00250232"/>
    <w:rsid w:val="0025169D"/>
    <w:rsid w:val="00265078"/>
    <w:rsid w:val="00270AB5"/>
    <w:rsid w:val="00280331"/>
    <w:rsid w:val="0028255D"/>
    <w:rsid w:val="00284E3F"/>
    <w:rsid w:val="002860FB"/>
    <w:rsid w:val="00293E14"/>
    <w:rsid w:val="002A150D"/>
    <w:rsid w:val="002B7215"/>
    <w:rsid w:val="002C1F39"/>
    <w:rsid w:val="002D2481"/>
    <w:rsid w:val="002D3A35"/>
    <w:rsid w:val="002E1F43"/>
    <w:rsid w:val="002F23CE"/>
    <w:rsid w:val="003059D2"/>
    <w:rsid w:val="003102DA"/>
    <w:rsid w:val="00310DD4"/>
    <w:rsid w:val="003257E4"/>
    <w:rsid w:val="00326A6A"/>
    <w:rsid w:val="00333DFB"/>
    <w:rsid w:val="00333EA5"/>
    <w:rsid w:val="00334DC6"/>
    <w:rsid w:val="003418AD"/>
    <w:rsid w:val="00341B71"/>
    <w:rsid w:val="003439D6"/>
    <w:rsid w:val="00350488"/>
    <w:rsid w:val="003544CF"/>
    <w:rsid w:val="00360A4C"/>
    <w:rsid w:val="00363056"/>
    <w:rsid w:val="003638F3"/>
    <w:rsid w:val="00381553"/>
    <w:rsid w:val="00385071"/>
    <w:rsid w:val="003976DD"/>
    <w:rsid w:val="003A3973"/>
    <w:rsid w:val="003B4C01"/>
    <w:rsid w:val="003B5376"/>
    <w:rsid w:val="003D0E99"/>
    <w:rsid w:val="003D17E5"/>
    <w:rsid w:val="003D3E68"/>
    <w:rsid w:val="003E24DF"/>
    <w:rsid w:val="00402AE6"/>
    <w:rsid w:val="00407878"/>
    <w:rsid w:val="004174F9"/>
    <w:rsid w:val="00433FD4"/>
    <w:rsid w:val="00434979"/>
    <w:rsid w:val="00434F29"/>
    <w:rsid w:val="00437CB5"/>
    <w:rsid w:val="00443E5B"/>
    <w:rsid w:val="00444823"/>
    <w:rsid w:val="004463B3"/>
    <w:rsid w:val="0044647E"/>
    <w:rsid w:val="00447E3E"/>
    <w:rsid w:val="00451497"/>
    <w:rsid w:val="004574A5"/>
    <w:rsid w:val="0047283A"/>
    <w:rsid w:val="00476EFE"/>
    <w:rsid w:val="0048000C"/>
    <w:rsid w:val="00487ADB"/>
    <w:rsid w:val="00487BE0"/>
    <w:rsid w:val="00494542"/>
    <w:rsid w:val="00494E57"/>
    <w:rsid w:val="004A2C16"/>
    <w:rsid w:val="004B4DA3"/>
    <w:rsid w:val="004E02C8"/>
    <w:rsid w:val="004E110D"/>
    <w:rsid w:val="004E2562"/>
    <w:rsid w:val="004E2D82"/>
    <w:rsid w:val="004E39FC"/>
    <w:rsid w:val="004F0CDF"/>
    <w:rsid w:val="005004C5"/>
    <w:rsid w:val="005045B1"/>
    <w:rsid w:val="00514232"/>
    <w:rsid w:val="00514CB1"/>
    <w:rsid w:val="005257C5"/>
    <w:rsid w:val="0052609E"/>
    <w:rsid w:val="00530947"/>
    <w:rsid w:val="005313F9"/>
    <w:rsid w:val="00531D52"/>
    <w:rsid w:val="00544C12"/>
    <w:rsid w:val="00547D44"/>
    <w:rsid w:val="00550706"/>
    <w:rsid w:val="005524AD"/>
    <w:rsid w:val="0056005F"/>
    <w:rsid w:val="005662CE"/>
    <w:rsid w:val="00577AB0"/>
    <w:rsid w:val="00583E09"/>
    <w:rsid w:val="00586C83"/>
    <w:rsid w:val="0059282A"/>
    <w:rsid w:val="00594C29"/>
    <w:rsid w:val="00596D40"/>
    <w:rsid w:val="005A0A58"/>
    <w:rsid w:val="005B0253"/>
    <w:rsid w:val="005D6219"/>
    <w:rsid w:val="005D7AF0"/>
    <w:rsid w:val="005F1FC4"/>
    <w:rsid w:val="005F4B5F"/>
    <w:rsid w:val="00600B62"/>
    <w:rsid w:val="00604AFD"/>
    <w:rsid w:val="00616E3F"/>
    <w:rsid w:val="00630DE4"/>
    <w:rsid w:val="00651121"/>
    <w:rsid w:val="00664767"/>
    <w:rsid w:val="006805BC"/>
    <w:rsid w:val="00687176"/>
    <w:rsid w:val="006A33F6"/>
    <w:rsid w:val="006B3456"/>
    <w:rsid w:val="006C0563"/>
    <w:rsid w:val="006C7AE4"/>
    <w:rsid w:val="006E2377"/>
    <w:rsid w:val="006E7C14"/>
    <w:rsid w:val="006F1D91"/>
    <w:rsid w:val="006F257E"/>
    <w:rsid w:val="006F7789"/>
    <w:rsid w:val="0070079E"/>
    <w:rsid w:val="0072795B"/>
    <w:rsid w:val="00730353"/>
    <w:rsid w:val="00747477"/>
    <w:rsid w:val="00752997"/>
    <w:rsid w:val="007549FA"/>
    <w:rsid w:val="00766356"/>
    <w:rsid w:val="00775E18"/>
    <w:rsid w:val="00780FFB"/>
    <w:rsid w:val="007819D2"/>
    <w:rsid w:val="00793839"/>
    <w:rsid w:val="00794C34"/>
    <w:rsid w:val="0079602B"/>
    <w:rsid w:val="007B1138"/>
    <w:rsid w:val="007B4291"/>
    <w:rsid w:val="007C78AD"/>
    <w:rsid w:val="007D3B48"/>
    <w:rsid w:val="007D4A8B"/>
    <w:rsid w:val="007D4CB9"/>
    <w:rsid w:val="007E55DC"/>
    <w:rsid w:val="007F52F8"/>
    <w:rsid w:val="0080427A"/>
    <w:rsid w:val="00813D1E"/>
    <w:rsid w:val="008443AB"/>
    <w:rsid w:val="00867468"/>
    <w:rsid w:val="008728BD"/>
    <w:rsid w:val="00875A6F"/>
    <w:rsid w:val="00882FC4"/>
    <w:rsid w:val="00885EA7"/>
    <w:rsid w:val="00887677"/>
    <w:rsid w:val="008879F5"/>
    <w:rsid w:val="00893364"/>
    <w:rsid w:val="008A6010"/>
    <w:rsid w:val="008B413C"/>
    <w:rsid w:val="008C18E2"/>
    <w:rsid w:val="008C466F"/>
    <w:rsid w:val="008C743C"/>
    <w:rsid w:val="008D4844"/>
    <w:rsid w:val="008D5713"/>
    <w:rsid w:val="00912B3B"/>
    <w:rsid w:val="00912FFD"/>
    <w:rsid w:val="0091638A"/>
    <w:rsid w:val="00932CD4"/>
    <w:rsid w:val="00945CC8"/>
    <w:rsid w:val="00952062"/>
    <w:rsid w:val="009877C4"/>
    <w:rsid w:val="0099446B"/>
    <w:rsid w:val="009A582B"/>
    <w:rsid w:val="009B4EA7"/>
    <w:rsid w:val="009B6771"/>
    <w:rsid w:val="009C35B9"/>
    <w:rsid w:val="009C7856"/>
    <w:rsid w:val="009D2180"/>
    <w:rsid w:val="009D714C"/>
    <w:rsid w:val="00A25037"/>
    <w:rsid w:val="00A454A7"/>
    <w:rsid w:val="00A479E3"/>
    <w:rsid w:val="00A57903"/>
    <w:rsid w:val="00A83ABB"/>
    <w:rsid w:val="00A91E79"/>
    <w:rsid w:val="00A91F89"/>
    <w:rsid w:val="00A94507"/>
    <w:rsid w:val="00AA0983"/>
    <w:rsid w:val="00AA62EA"/>
    <w:rsid w:val="00AA663E"/>
    <w:rsid w:val="00AB3650"/>
    <w:rsid w:val="00AC28C7"/>
    <w:rsid w:val="00AC5627"/>
    <w:rsid w:val="00AE408B"/>
    <w:rsid w:val="00AE4DA8"/>
    <w:rsid w:val="00AF5344"/>
    <w:rsid w:val="00B0204E"/>
    <w:rsid w:val="00B11C27"/>
    <w:rsid w:val="00B129AA"/>
    <w:rsid w:val="00B17C76"/>
    <w:rsid w:val="00B26C1C"/>
    <w:rsid w:val="00B31313"/>
    <w:rsid w:val="00B336B4"/>
    <w:rsid w:val="00B36492"/>
    <w:rsid w:val="00B4029D"/>
    <w:rsid w:val="00B47FA2"/>
    <w:rsid w:val="00B60DC8"/>
    <w:rsid w:val="00B66DB4"/>
    <w:rsid w:val="00B71272"/>
    <w:rsid w:val="00B823FC"/>
    <w:rsid w:val="00B90F95"/>
    <w:rsid w:val="00B955BC"/>
    <w:rsid w:val="00BA5854"/>
    <w:rsid w:val="00BA5BB1"/>
    <w:rsid w:val="00BA5CC0"/>
    <w:rsid w:val="00BB683A"/>
    <w:rsid w:val="00BD36C9"/>
    <w:rsid w:val="00BD4356"/>
    <w:rsid w:val="00BE429C"/>
    <w:rsid w:val="00C000F2"/>
    <w:rsid w:val="00C005DE"/>
    <w:rsid w:val="00C11D0A"/>
    <w:rsid w:val="00C2367E"/>
    <w:rsid w:val="00C237F1"/>
    <w:rsid w:val="00C2677E"/>
    <w:rsid w:val="00C336A0"/>
    <w:rsid w:val="00C50314"/>
    <w:rsid w:val="00C5483F"/>
    <w:rsid w:val="00C55D95"/>
    <w:rsid w:val="00C60EE4"/>
    <w:rsid w:val="00C63686"/>
    <w:rsid w:val="00C72A72"/>
    <w:rsid w:val="00C760A2"/>
    <w:rsid w:val="00C90BA6"/>
    <w:rsid w:val="00C9708F"/>
    <w:rsid w:val="00CA11EA"/>
    <w:rsid w:val="00CA1BC8"/>
    <w:rsid w:val="00CA3FAF"/>
    <w:rsid w:val="00CA55F5"/>
    <w:rsid w:val="00CC1DD8"/>
    <w:rsid w:val="00CC3F2A"/>
    <w:rsid w:val="00CC73F6"/>
    <w:rsid w:val="00CD094E"/>
    <w:rsid w:val="00CD2BE4"/>
    <w:rsid w:val="00CE2028"/>
    <w:rsid w:val="00CF0E9D"/>
    <w:rsid w:val="00CF1BA6"/>
    <w:rsid w:val="00CF35FA"/>
    <w:rsid w:val="00D03B7B"/>
    <w:rsid w:val="00D03EC0"/>
    <w:rsid w:val="00D15B10"/>
    <w:rsid w:val="00D1608C"/>
    <w:rsid w:val="00D222A7"/>
    <w:rsid w:val="00D2467E"/>
    <w:rsid w:val="00D56EAE"/>
    <w:rsid w:val="00D62465"/>
    <w:rsid w:val="00D70CA2"/>
    <w:rsid w:val="00D74DE4"/>
    <w:rsid w:val="00D81077"/>
    <w:rsid w:val="00D90755"/>
    <w:rsid w:val="00D96E86"/>
    <w:rsid w:val="00D97F51"/>
    <w:rsid w:val="00DA00AE"/>
    <w:rsid w:val="00DA63A0"/>
    <w:rsid w:val="00DB4E3F"/>
    <w:rsid w:val="00DD677F"/>
    <w:rsid w:val="00DF0DFF"/>
    <w:rsid w:val="00DF63A0"/>
    <w:rsid w:val="00E1008E"/>
    <w:rsid w:val="00E109E0"/>
    <w:rsid w:val="00E20433"/>
    <w:rsid w:val="00E21D5F"/>
    <w:rsid w:val="00E36BD8"/>
    <w:rsid w:val="00E514FD"/>
    <w:rsid w:val="00E52EB2"/>
    <w:rsid w:val="00E600D7"/>
    <w:rsid w:val="00E64D5B"/>
    <w:rsid w:val="00E833D1"/>
    <w:rsid w:val="00E86CEE"/>
    <w:rsid w:val="00E94EEE"/>
    <w:rsid w:val="00E9577A"/>
    <w:rsid w:val="00E96C55"/>
    <w:rsid w:val="00E97568"/>
    <w:rsid w:val="00EA586A"/>
    <w:rsid w:val="00EB1831"/>
    <w:rsid w:val="00EB54AD"/>
    <w:rsid w:val="00EC05DC"/>
    <w:rsid w:val="00EC1C0B"/>
    <w:rsid w:val="00ED0765"/>
    <w:rsid w:val="00ED2F3A"/>
    <w:rsid w:val="00ED349E"/>
    <w:rsid w:val="00ED60CE"/>
    <w:rsid w:val="00EE6B85"/>
    <w:rsid w:val="00EF0EF3"/>
    <w:rsid w:val="00F11256"/>
    <w:rsid w:val="00F14F6D"/>
    <w:rsid w:val="00F16407"/>
    <w:rsid w:val="00F271B0"/>
    <w:rsid w:val="00F323BE"/>
    <w:rsid w:val="00F371EF"/>
    <w:rsid w:val="00F40253"/>
    <w:rsid w:val="00F44752"/>
    <w:rsid w:val="00F5095B"/>
    <w:rsid w:val="00F52249"/>
    <w:rsid w:val="00F52B94"/>
    <w:rsid w:val="00F57CC0"/>
    <w:rsid w:val="00F60510"/>
    <w:rsid w:val="00F61708"/>
    <w:rsid w:val="00F6344D"/>
    <w:rsid w:val="00F71E68"/>
    <w:rsid w:val="00F81ADB"/>
    <w:rsid w:val="00F94823"/>
    <w:rsid w:val="00F95030"/>
    <w:rsid w:val="00FC713C"/>
    <w:rsid w:val="00FD58D9"/>
    <w:rsid w:val="00FE17F5"/>
    <w:rsid w:val="00FE23ED"/>
    <w:rsid w:val="00FF2168"/>
    <w:rsid w:val="00FF2CC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3A20"/>
  <w15:docId w15:val="{B9A85A66-F3EE-46E3-AA8C-C50ECA4E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ny"/>
    <w:link w:val="trescpismaZnak"/>
    <w:autoRedefine/>
    <w:qFormat/>
    <w:rsid w:val="00443E5B"/>
    <w:pPr>
      <w:spacing w:before="60" w:after="60"/>
      <w:jc w:val="center"/>
    </w:pPr>
    <w:rPr>
      <w:rFonts w:ascii="Arial" w:hAnsi="Arial" w:cs="Arial"/>
      <w:sz w:val="20"/>
      <w:szCs w:val="20"/>
    </w:rPr>
  </w:style>
  <w:style w:type="character" w:customStyle="1" w:styleId="trescpismaZnak">
    <w:name w:val="tresc.pisma Znak"/>
    <w:link w:val="trescpisma"/>
    <w:rsid w:val="00443E5B"/>
    <w:rPr>
      <w:rFonts w:ascii="Arial" w:hAnsi="Arial" w:cs="Arial"/>
      <w:sz w:val="20"/>
      <w:szCs w:val="20"/>
      <w:lang w:eastAsia="pl-PL"/>
    </w:rPr>
  </w:style>
  <w:style w:type="paragraph" w:customStyle="1" w:styleId="ZnakZnak4">
    <w:name w:val="Znak Znak4"/>
    <w:basedOn w:val="Normalny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E14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  <w:style w:type="paragraph" w:customStyle="1" w:styleId="Tektre">
    <w:name w:val="Tek treść"/>
    <w:basedOn w:val="Normalny"/>
    <w:rsid w:val="00B90F95"/>
    <w:pPr>
      <w:keepLines/>
      <w:widowControl w:val="0"/>
      <w:spacing w:after="120" w:line="252" w:lineRule="auto"/>
    </w:pPr>
    <w:rPr>
      <w:rFonts w:eastAsia="Times New Roman"/>
      <w:spacing w:val="-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6C7AE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locked/>
    <w:rsid w:val="00A91E79"/>
    <w:rPr>
      <w:rFonts w:eastAsia="Arial" w:cs="Arial"/>
      <w:szCs w:val="20"/>
    </w:rPr>
  </w:style>
  <w:style w:type="paragraph" w:customStyle="1" w:styleId="Inne0">
    <w:name w:val="Inne"/>
    <w:basedOn w:val="Normalny"/>
    <w:link w:val="Inne"/>
    <w:rsid w:val="00A91E79"/>
    <w:pPr>
      <w:widowControl w:val="0"/>
      <w:spacing w:after="0"/>
      <w:jc w:val="left"/>
    </w:pPr>
    <w:rPr>
      <w:rFonts w:asciiTheme="minorHAnsi" w:eastAsia="Arial" w:hAnsiTheme="minorHAnsi" w:cs="Arial"/>
      <w:sz w:val="22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6647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500006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9404-64B7-4D48-9C3E-CABC0584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2324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Bielasińska</dc:creator>
  <cp:lastModifiedBy>Blaszczak Anna</cp:lastModifiedBy>
  <cp:revision>2</cp:revision>
  <cp:lastPrinted>2023-03-16T16:56:00Z</cp:lastPrinted>
  <dcterms:created xsi:type="dcterms:W3CDTF">2026-03-31T08:03:00Z</dcterms:created>
  <dcterms:modified xsi:type="dcterms:W3CDTF">2026-03-31T08:03:00Z</dcterms:modified>
</cp:coreProperties>
</file>