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15AA4C42"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285B73">
        <w:rPr>
          <w:rFonts w:ascii="Arial" w:hAnsi="Arial" w:cs="Arial"/>
          <w:iCs/>
          <w:sz w:val="16"/>
          <w:szCs w:val="28"/>
          <w:lang w:eastAsia="x-none"/>
        </w:rPr>
        <w:t>16</w:t>
      </w:r>
      <w:r w:rsidRPr="006C730D">
        <w:rPr>
          <w:rFonts w:ascii="Arial" w:hAnsi="Arial" w:cs="Arial"/>
          <w:iCs/>
          <w:sz w:val="16"/>
          <w:szCs w:val="28"/>
          <w:lang w:eastAsia="x-none"/>
        </w:rPr>
        <w:t>.</w:t>
      </w:r>
      <w:r w:rsidR="00436086">
        <w:rPr>
          <w:rFonts w:ascii="Arial" w:hAnsi="Arial" w:cs="Arial"/>
          <w:iCs/>
          <w:sz w:val="16"/>
          <w:szCs w:val="28"/>
          <w:lang w:eastAsia="x-none"/>
        </w:rPr>
        <w:t>0</w:t>
      </w:r>
      <w:r w:rsidR="00FE4221">
        <w:rPr>
          <w:rFonts w:ascii="Arial" w:hAnsi="Arial" w:cs="Arial"/>
          <w:iCs/>
          <w:sz w:val="16"/>
          <w:szCs w:val="28"/>
          <w:lang w:eastAsia="x-none"/>
        </w:rPr>
        <w:t>8</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044FDECB" w:rsidR="00D95E2F" w:rsidRPr="00C570DA" w:rsidRDefault="000C7A1E"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5AE3D9AA" w:rsidR="00D95E2F" w:rsidRPr="00C570DA" w:rsidRDefault="000C7A1E"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2498DA74" w:rsidR="00D95E2F" w:rsidRPr="00C570DA" w:rsidRDefault="000C7A1E"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 xml:space="preserve">ochronie zdrowia oraz niektórych innych ustaw (Dz.U. poz. 1991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29307289"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10A21698" w:rsidR="00D95E2F" w:rsidRPr="00C570DA" w:rsidRDefault="000C7A1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5E3ADB40" w:rsidR="00D95E2F" w:rsidRPr="00C570DA" w:rsidRDefault="000C7A1E"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1C49BF60" w:rsidR="00D95E2F" w:rsidRPr="00C570DA" w:rsidRDefault="000C7A1E"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22D17B5A" w:rsidR="00D95E2F" w:rsidRPr="00C570DA" w:rsidRDefault="000C7A1E"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 xml:space="preserve">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w:t>
            </w:r>
            <w:proofErr w:type="spellStart"/>
            <w:r w:rsidRPr="00C570DA">
              <w:rPr>
                <w:rFonts w:ascii="Arial" w:hAnsi="Arial" w:cs="Arial"/>
                <w:color w:val="000000" w:themeColor="text1"/>
                <w:w w:val="101"/>
                <w:sz w:val="19"/>
                <w:szCs w:val="19"/>
              </w:rPr>
              <w:t>późn</w:t>
            </w:r>
            <w:proofErr w:type="spellEnd"/>
            <w:r w:rsidRPr="00C570DA">
              <w:rPr>
                <w:rFonts w:ascii="Arial" w:hAnsi="Arial" w:cs="Arial"/>
                <w:color w:val="000000" w:themeColor="text1"/>
                <w:w w:val="101"/>
                <w:sz w:val="19"/>
                <w:szCs w:val="19"/>
              </w:rPr>
              <w:t>.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1BE256EF" w:rsidR="00D95E2F" w:rsidRPr="00C570DA" w:rsidRDefault="000C7A1E"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572D9986" w:rsidR="00D95E2F" w:rsidRPr="00C570DA" w:rsidRDefault="000C7A1E"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w:t>
            </w:r>
            <w:proofErr w:type="spellStart"/>
            <w:r w:rsidRPr="00C570DA">
              <w:rPr>
                <w:rFonts w:ascii="Arial" w:hAnsi="Arial" w:cs="Arial"/>
                <w:color w:val="000000" w:themeColor="text1"/>
                <w:sz w:val="19"/>
                <w:szCs w:val="19"/>
              </w:rPr>
              <w:t>zachorowań</w:t>
            </w:r>
            <w:proofErr w:type="spellEnd"/>
            <w:r w:rsidRPr="00C570DA">
              <w:rPr>
                <w:rFonts w:ascii="Arial" w:hAnsi="Arial" w:cs="Arial"/>
                <w:color w:val="000000" w:themeColor="text1"/>
                <w:sz w:val="19"/>
                <w:szCs w:val="19"/>
              </w:rPr>
              <w:t xml:space="preserve">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1E63C906" w:rsidR="00D95E2F" w:rsidRPr="00C570DA" w:rsidRDefault="000C7A1E"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 xml:space="preserve">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w:t>
            </w:r>
            <w:proofErr w:type="spellStart"/>
            <w:r w:rsidRPr="00C570DA">
              <w:rPr>
                <w:rFonts w:ascii="Arial" w:eastAsia="Calibri" w:hAnsi="Arial" w:cs="Arial"/>
                <w:color w:val="000000" w:themeColor="text1"/>
                <w:sz w:val="19"/>
                <w:szCs w:val="19"/>
                <w:lang w:val="x-none" w:eastAsia="x-none"/>
              </w:rPr>
              <w:t>późn</w:t>
            </w:r>
            <w:proofErr w:type="spellEnd"/>
            <w:r w:rsidRPr="00C570DA">
              <w:rPr>
                <w:rFonts w:ascii="Arial" w:eastAsia="Calibri" w:hAnsi="Arial" w:cs="Arial"/>
                <w:color w:val="000000" w:themeColor="text1"/>
                <w:sz w:val="19"/>
                <w:szCs w:val="19"/>
                <w:lang w:val="x-none" w:eastAsia="x-none"/>
              </w:rPr>
              <w:t>.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74C38B18"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25509D1B"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63675FE6"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44929F55"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xml:space="preserve">.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xml:space="preserve">.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750372FD"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05080441" w:rsidR="00D95E2F" w:rsidRPr="00C570DA" w:rsidRDefault="000C7A1E"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xml:space="preserve">.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xml:space="preserve">.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1F9BA7C8" w:rsidR="00D95E2F" w:rsidRPr="00C570DA" w:rsidRDefault="000C7A1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26DA3FA6" w:rsidR="00D95E2F" w:rsidRPr="00C570DA" w:rsidRDefault="000C7A1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33EE09DD" w:rsidR="00D95E2F" w:rsidRPr="00C570DA" w:rsidRDefault="000C7A1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 xml:space="preserve">Piotr </w:t>
            </w:r>
            <w:proofErr w:type="spellStart"/>
            <w:r w:rsidR="001F788A" w:rsidRPr="00C570DA">
              <w:rPr>
                <w:rFonts w:ascii="Arial" w:hAnsi="Arial" w:cs="Arial"/>
                <w:color w:val="000000" w:themeColor="text1"/>
                <w:sz w:val="19"/>
                <w:szCs w:val="19"/>
              </w:rPr>
              <w:t>Bromber</w:t>
            </w:r>
            <w:proofErr w:type="spellEnd"/>
            <w:r w:rsidR="001F788A" w:rsidRPr="00C570DA">
              <w:rPr>
                <w:rFonts w:ascii="Arial" w:hAnsi="Arial" w:cs="Arial"/>
                <w:color w:val="000000" w:themeColor="text1"/>
                <w:sz w:val="19"/>
                <w:szCs w:val="19"/>
              </w:rPr>
              <w:t>,</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07B71F72" w:rsidR="00D95E2F" w:rsidRPr="00C570DA" w:rsidRDefault="000C7A1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440D07F9" w:rsidR="00D95E2F" w:rsidRPr="00C570DA" w:rsidRDefault="000C7A1E"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329CE5AC" w:rsidR="000027BF" w:rsidRPr="00C570DA" w:rsidRDefault="000C7A1E"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1FD1DDF5" w:rsidR="001A071D" w:rsidRPr="00C570DA" w:rsidRDefault="000C7A1E"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23F18280" w:rsidR="00486646" w:rsidRPr="00C570DA" w:rsidRDefault="000C7A1E"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36EB1ECB" w:rsidR="00B91971" w:rsidRPr="00C570DA" w:rsidRDefault="000C7A1E"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16 sierpnia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78CF0536" w:rsidR="00996DE6" w:rsidRPr="00C570DA" w:rsidRDefault="000C7A1E"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7EB81AD4" w:rsidR="004438C8" w:rsidRPr="00C570DA" w:rsidRDefault="000C7A1E"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6C4FF3F4" w:rsidR="00D73218" w:rsidRPr="00C570DA" w:rsidRDefault="000C7A1E"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6B7CE1" w:rsidR="00984119" w:rsidRPr="00C570DA" w:rsidRDefault="000C7A1E"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0D2E4EDA" w:rsidR="004E31BA" w:rsidRPr="00C570DA" w:rsidRDefault="000C7A1E"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70E8E344" w:rsidR="009B5DD5" w:rsidRPr="00C570DA" w:rsidRDefault="000C7A1E"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5694E7F5" w:rsidR="004E4416" w:rsidRPr="00C570DA" w:rsidRDefault="000C7A1E"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projekt</w:t>
            </w:r>
            <w:r w:rsidR="004B25D7">
              <w:rPr>
                <w:rFonts w:ascii="Arial" w:hAnsi="Arial" w:cs="Arial"/>
                <w:color w:val="000000" w:themeColor="text1"/>
                <w:sz w:val="19"/>
                <w:szCs w:val="19"/>
              </w:rPr>
              <w:t xml:space="preserve"> na etapie podpisu MZ</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1A44FC2B" w:rsidR="004E4416" w:rsidRPr="00C570DA" w:rsidRDefault="000C7A1E"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projekt</w:t>
            </w:r>
            <w:r w:rsidR="002260B6">
              <w:rPr>
                <w:rFonts w:ascii="Arial" w:hAnsi="Arial" w:cs="Arial"/>
                <w:color w:val="000000" w:themeColor="text1"/>
                <w:sz w:val="19"/>
                <w:szCs w:val="19"/>
              </w:rPr>
              <w:t xml:space="preserve"> </w:t>
            </w:r>
            <w:r w:rsidR="006930F2">
              <w:rPr>
                <w:rFonts w:ascii="Arial" w:hAnsi="Arial" w:cs="Arial"/>
                <w:color w:val="000000" w:themeColor="text1"/>
                <w:sz w:val="19"/>
                <w:szCs w:val="19"/>
              </w:rPr>
              <w:t>po</w:t>
            </w:r>
            <w:r w:rsidR="008B2595"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KP</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w zakresie </w:t>
            </w:r>
            <w:proofErr w:type="spellStart"/>
            <w:r w:rsidRPr="00C570DA">
              <w:rPr>
                <w:rFonts w:ascii="Arial" w:hAnsi="Arial" w:cs="Arial"/>
                <w:color w:val="000000" w:themeColor="text1"/>
                <w:sz w:val="19"/>
                <w:szCs w:val="19"/>
              </w:rPr>
              <w:t>rozpoznań</w:t>
            </w:r>
            <w:proofErr w:type="spellEnd"/>
            <w:r w:rsidRPr="00C570DA">
              <w:rPr>
                <w:rFonts w:ascii="Arial" w:hAnsi="Arial" w:cs="Arial"/>
                <w:color w:val="000000" w:themeColor="text1"/>
                <w:sz w:val="19"/>
                <w:szCs w:val="19"/>
              </w:rPr>
              <w:t xml:space="preserve">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5DB29B7B" w:rsidR="004E4416" w:rsidRPr="00C570DA" w:rsidRDefault="000C7A1E"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w:t>
            </w:r>
            <w:r w:rsidR="00DD01FF">
              <w:rPr>
                <w:rFonts w:ascii="Arial" w:hAnsi="Arial" w:cs="Arial"/>
                <w:color w:val="000000" w:themeColor="text1"/>
                <w:sz w:val="19"/>
                <w:szCs w:val="19"/>
              </w:rPr>
              <w:t>po</w:t>
            </w:r>
            <w:r w:rsidR="00024753">
              <w:rPr>
                <w:rFonts w:ascii="Arial" w:hAnsi="Arial" w:cs="Arial"/>
                <w:color w:val="000000" w:themeColor="text1"/>
                <w:sz w:val="19"/>
                <w:szCs w:val="19"/>
              </w:rPr>
              <w:t xml:space="preserve"> KP</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 xml:space="preserve">„ustawą”.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2FD83ED3" w:rsidR="00F65590" w:rsidRPr="00C570DA" w:rsidRDefault="000C7A1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16 sierpnia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08A9875C" w:rsidR="00F65590" w:rsidRPr="00C570DA" w:rsidRDefault="000C7A1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11B16C15" w:rsidR="00646C81" w:rsidRPr="00C570DA" w:rsidRDefault="000C7A1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Ministerstwie Zdrowia</w:t>
            </w:r>
          </w:p>
        </w:tc>
        <w:tc>
          <w:tcPr>
            <w:tcW w:w="2362" w:type="dxa"/>
            <w:shd w:val="clear" w:color="auto" w:fill="FFFFFF"/>
          </w:tcPr>
          <w:p w14:paraId="375E8645" w14:textId="40574FDE" w:rsidR="009B3F3C" w:rsidRPr="00C570DA" w:rsidRDefault="000C7A1E"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3D57240A" w:rsidR="009D7DF4" w:rsidRPr="00C570DA" w:rsidRDefault="000C7A1E"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583B2C0" w14:textId="6D0BBB4C" w:rsidR="00943D01" w:rsidRPr="00C570DA" w:rsidRDefault="000C7A1E"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 xml:space="preserve">jest dokonanie oceny efektywności nowego rozwiązania, jakie stanowi elektroniczna rejestracja na świadczenia w ramach systemu teleinformatycznego, o którym mowa w art. 7 ust. 1 ustawy z dnia 28 kwietnia 2011 r. o systemie informacji w ochronie zdrowia (Dz. U. z 2021 r. poz. 666,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w:t>
            </w:r>
            <w:proofErr w:type="spellStart"/>
            <w:r w:rsidR="000152CB" w:rsidRPr="00C570DA">
              <w:rPr>
                <w:rFonts w:ascii="Arial" w:hAnsi="Arial" w:cs="Arial"/>
                <w:color w:val="000000" w:themeColor="text1"/>
                <w:sz w:val="19"/>
                <w:szCs w:val="19"/>
              </w:rPr>
              <w:t>zachorowań</w:t>
            </w:r>
            <w:proofErr w:type="spellEnd"/>
            <w:r w:rsidR="000152CB" w:rsidRPr="00C570DA">
              <w:rPr>
                <w:rFonts w:ascii="Arial" w:hAnsi="Arial" w:cs="Arial"/>
                <w:color w:val="000000" w:themeColor="text1"/>
                <w:sz w:val="19"/>
                <w:szCs w:val="19"/>
              </w:rPr>
              <w:t xml:space="preserve">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5BA8E235" w:rsidR="00464D25" w:rsidRPr="00C570DA" w:rsidRDefault="000C7A1E"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 xml:space="preserve">rozwiązań szczególnych, dedykowanych wyłącznie procedurom postępowania odnoszącym się do </w:t>
            </w:r>
            <w:proofErr w:type="spellStart"/>
            <w:r w:rsidRPr="00C570DA">
              <w:rPr>
                <w:rFonts w:ascii="Arial" w:hAnsi="Arial" w:cs="Arial"/>
                <w:color w:val="000000" w:themeColor="text1"/>
                <w:sz w:val="19"/>
                <w:szCs w:val="19"/>
              </w:rPr>
              <w:t>zachorowań</w:t>
            </w:r>
            <w:proofErr w:type="spellEnd"/>
            <w:r w:rsidRPr="00C570DA">
              <w:rPr>
                <w:rFonts w:ascii="Arial" w:hAnsi="Arial" w:cs="Arial"/>
                <w:color w:val="000000" w:themeColor="text1"/>
                <w:sz w:val="19"/>
                <w:szCs w:val="19"/>
              </w:rPr>
              <w:t xml:space="preserve">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4F2A793F" w:rsidR="00134D15" w:rsidRPr="00C570DA" w:rsidRDefault="000C7A1E"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 xml:space="preserve">rozporządzenie na etapie </w:t>
            </w:r>
            <w:proofErr w:type="spellStart"/>
            <w:r w:rsidR="00DD01FF">
              <w:rPr>
                <w:rFonts w:ascii="Arial" w:hAnsi="Arial" w:cs="Arial"/>
                <w:color w:val="000000" w:themeColor="text1"/>
                <w:sz w:val="19"/>
                <w:szCs w:val="19"/>
              </w:rPr>
              <w:t>publiakcji</w:t>
            </w:r>
            <w:proofErr w:type="spellEnd"/>
            <w:r w:rsidR="00DD01FF">
              <w:rPr>
                <w:rFonts w:ascii="Arial" w:hAnsi="Arial" w:cs="Arial"/>
                <w:color w:val="000000" w:themeColor="text1"/>
                <w:sz w:val="19"/>
                <w:szCs w:val="19"/>
              </w:rPr>
              <w:t xml:space="preserve">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w:t>
            </w:r>
            <w:proofErr w:type="spellStart"/>
            <w:r w:rsidRPr="00C570DA">
              <w:rPr>
                <w:rFonts w:ascii="Arial" w:eastAsia="Calibri" w:hAnsi="Arial" w:cs="Arial"/>
                <w:color w:val="000000" w:themeColor="text1"/>
                <w:sz w:val="19"/>
                <w:szCs w:val="19"/>
                <w:lang w:eastAsia="en-US"/>
              </w:rPr>
              <w:t>pozaaptecznego</w:t>
            </w:r>
            <w:proofErr w:type="spellEnd"/>
            <w:r w:rsidRPr="00C570DA">
              <w:rPr>
                <w:rFonts w:ascii="Arial" w:eastAsia="Calibri" w:hAnsi="Arial" w:cs="Arial"/>
                <w:color w:val="000000" w:themeColor="text1"/>
                <w:sz w:val="19"/>
                <w:szCs w:val="19"/>
                <w:lang w:eastAsia="en-US"/>
              </w:rPr>
              <w:t xml:space="preserve">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w:t>
            </w:r>
            <w:proofErr w:type="spellStart"/>
            <w:r w:rsidRPr="00C570DA">
              <w:rPr>
                <w:rFonts w:ascii="Arial" w:hAnsi="Arial" w:cs="Arial"/>
                <w:color w:val="000000" w:themeColor="text1"/>
                <w:sz w:val="19"/>
                <w:szCs w:val="19"/>
              </w:rPr>
              <w:t>pozaaptecznego</w:t>
            </w:r>
            <w:proofErr w:type="spellEnd"/>
            <w:r w:rsidRPr="00C570DA">
              <w:rPr>
                <w:rFonts w:ascii="Arial" w:hAnsi="Arial" w:cs="Arial"/>
                <w:color w:val="000000" w:themeColor="text1"/>
                <w:sz w:val="19"/>
                <w:szCs w:val="19"/>
              </w:rPr>
              <w:t xml:space="preserve">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0F8EEA58" w:rsidR="00B1329C" w:rsidRPr="00C570DA" w:rsidRDefault="000C7A1E"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1C3D4BEF" w:rsidR="00371C3A" w:rsidRPr="00C570DA" w:rsidRDefault="000C7A1E"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xml:space="preserve">.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102E39E4" w:rsidR="00840162" w:rsidRPr="00C570DA" w:rsidRDefault="000C7A1E"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4B7E687D" w:rsidR="00792DA6" w:rsidRPr="00C570DA" w:rsidRDefault="000C7A1E" w:rsidP="00792DA6">
            <w:pPr>
              <w:jc w:val="both"/>
              <w:rPr>
                <w:color w:val="000000" w:themeColor="text1"/>
              </w:rPr>
            </w:pPr>
            <w:r>
              <w:rPr>
                <w:rFonts w:ascii="Arial" w:hAnsi="Arial" w:cs="Arial"/>
                <w:color w:val="000000" w:themeColor="text1"/>
                <w:sz w:val="19"/>
                <w:szCs w:val="19"/>
              </w:rPr>
              <w:t xml:space="preserve">Stan prac na dzień 16 sierpnia 2023 r.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 xml:space="preserve">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Adam Niedzielski Minister Zdrowia</w:t>
            </w:r>
          </w:p>
        </w:tc>
        <w:tc>
          <w:tcPr>
            <w:tcW w:w="2362" w:type="dxa"/>
            <w:shd w:val="clear" w:color="auto" w:fill="FFFFFF"/>
          </w:tcPr>
          <w:p w14:paraId="51293A42" w14:textId="59EB4CEF" w:rsidR="009E507D" w:rsidRPr="00C570DA"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w:t>
            </w:r>
            <w:proofErr w:type="spellStart"/>
            <w:r w:rsidRPr="00C570DA">
              <w:rPr>
                <w:rFonts w:ascii="Arial" w:hAnsi="Arial" w:cs="Arial"/>
                <w:color w:val="000000" w:themeColor="text1"/>
                <w:sz w:val="19"/>
                <w:szCs w:val="19"/>
                <w:shd w:val="clear" w:color="auto" w:fill="FFFFFF"/>
              </w:rPr>
              <w:t>pozaaptecznego</w:t>
            </w:r>
            <w:proofErr w:type="spellEnd"/>
            <w:r w:rsidRPr="00C570DA">
              <w:rPr>
                <w:rFonts w:ascii="Arial" w:hAnsi="Arial" w:cs="Arial"/>
                <w:color w:val="000000" w:themeColor="text1"/>
                <w:sz w:val="19"/>
                <w:szCs w:val="19"/>
                <w:shd w:val="clear" w:color="auto" w:fill="FFFFFF"/>
              </w:rPr>
              <w:t xml:space="preserve">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26 czerwca 1974 r. – Kodeks pracy (Dz. U. z 2022 r. poz. 1510, z </w:t>
            </w:r>
            <w:proofErr w:type="spellStart"/>
            <w:r w:rsidRPr="00C570DA">
              <w:rPr>
                <w:rFonts w:ascii="Arial" w:hAnsi="Arial" w:cs="Arial"/>
                <w:color w:val="000000" w:themeColor="text1"/>
                <w:sz w:val="19"/>
                <w:szCs w:val="19"/>
              </w:rPr>
              <w:t>późn</w:t>
            </w:r>
            <w:proofErr w:type="spellEnd"/>
            <w:r w:rsidRPr="00C570DA">
              <w:rPr>
                <w:rFonts w:ascii="Arial" w:hAnsi="Arial" w:cs="Arial"/>
                <w:color w:val="000000" w:themeColor="text1"/>
                <w:sz w:val="19"/>
                <w:szCs w:val="19"/>
              </w:rPr>
              <w:t>.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3B71A7D8" w:rsidR="009E507D" w:rsidRPr="00C570DA"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 xml:space="preserve">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5ACB087F" w:rsidR="00B871DE" w:rsidRPr="00C570DA"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5858C3AA" w:rsidR="000177CA" w:rsidRPr="00C570DA"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xml:space="preserve">- uwzględniając dane epidemiologiczne dotyczące </w:t>
            </w:r>
            <w:proofErr w:type="spellStart"/>
            <w:r w:rsidRPr="00AA5341">
              <w:rPr>
                <w:rFonts w:ascii="Arial" w:hAnsi="Arial" w:cs="Arial"/>
                <w:color w:val="000000" w:themeColor="text1"/>
                <w:sz w:val="19"/>
                <w:szCs w:val="19"/>
                <w:shd w:val="clear" w:color="auto" w:fill="FFFFFF"/>
              </w:rPr>
              <w:t>zachorowań</w:t>
            </w:r>
            <w:proofErr w:type="spellEnd"/>
            <w:r w:rsidRPr="00AA5341">
              <w:rPr>
                <w:rFonts w:ascii="Arial" w:hAnsi="Arial" w:cs="Arial"/>
                <w:color w:val="000000" w:themeColor="text1"/>
                <w:sz w:val="19"/>
                <w:szCs w:val="19"/>
                <w:shd w:val="clear" w:color="auto" w:fill="FFFFFF"/>
              </w:rPr>
              <w:t>,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0A074CE6" w:rsidR="00AA5341" w:rsidRPr="00C570DA"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na etapie KP. </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706F6656" w:rsidR="0094501C"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UZ i KS</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w:t>
            </w:r>
            <w:proofErr w:type="spellStart"/>
            <w:r w:rsidRPr="00163C88">
              <w:rPr>
                <w:rFonts w:ascii="Arial" w:hAnsi="Arial" w:cs="Arial"/>
                <w:color w:val="000000" w:themeColor="text1"/>
                <w:sz w:val="19"/>
                <w:szCs w:val="19"/>
              </w:rPr>
              <w:t>późn</w:t>
            </w:r>
            <w:proofErr w:type="spellEnd"/>
            <w:r w:rsidRPr="00163C88">
              <w:rPr>
                <w:rFonts w:ascii="Arial" w:hAnsi="Arial" w:cs="Arial"/>
                <w:color w:val="000000" w:themeColor="text1"/>
                <w:sz w:val="19"/>
                <w:szCs w:val="19"/>
              </w:rPr>
              <w:t xml:space="preserve">.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7B66C886" w14:textId="20A85C78"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6A613B24" w:rsidR="0094501C"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7F8261A3" w:rsidR="0094501C"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40F33E3E" w:rsidR="0094501C"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11D21CDD" w:rsidR="00295592"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2260B6">
              <w:rPr>
                <w:rFonts w:ascii="Arial" w:hAnsi="Arial" w:cs="Arial"/>
                <w:color w:val="000000" w:themeColor="text1"/>
                <w:sz w:val="19"/>
                <w:szCs w:val="19"/>
              </w:rPr>
              <w:t xml:space="preserve">projekt na etapie KP. </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ma na celu dostosowanie przepisów § 12 ust. 8 załącznika do rozporządzenia, do nowego brzmienia przepisów art. 35 ustawy z dnia 27 sierpnia 2004 r. o świadczeniach opieki zdrowotnej finansowanych ze środków publicznych (Dz. U. z 2021 r. poz. 1285, z </w:t>
            </w:r>
            <w:proofErr w:type="spellStart"/>
            <w:r w:rsidRPr="00295592">
              <w:rPr>
                <w:rFonts w:ascii="Arial" w:hAnsi="Arial" w:cs="Arial"/>
                <w:color w:val="000000" w:themeColor="text1"/>
                <w:sz w:val="19"/>
                <w:szCs w:val="19"/>
              </w:rPr>
              <w:t>późn</w:t>
            </w:r>
            <w:proofErr w:type="spellEnd"/>
            <w:r w:rsidRPr="00295592">
              <w:rPr>
                <w:rFonts w:ascii="Arial" w:hAnsi="Arial" w:cs="Arial"/>
                <w:color w:val="000000" w:themeColor="text1"/>
                <w:sz w:val="19"/>
                <w:szCs w:val="19"/>
              </w:rPr>
              <w:t>.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xml:space="preserve">, z </w:t>
            </w:r>
            <w:proofErr w:type="spellStart"/>
            <w:r w:rsidR="006A1941">
              <w:rPr>
                <w:rFonts w:ascii="Arial" w:hAnsi="Arial" w:cs="Arial"/>
                <w:color w:val="000000" w:themeColor="text1"/>
                <w:sz w:val="19"/>
                <w:szCs w:val="19"/>
              </w:rPr>
              <w:t>późn</w:t>
            </w:r>
            <w:proofErr w:type="spellEnd"/>
            <w:r w:rsidR="006A1941">
              <w:rPr>
                <w:rFonts w:ascii="Arial" w:hAnsi="Arial" w:cs="Arial"/>
                <w:color w:val="000000" w:themeColor="text1"/>
                <w:sz w:val="19"/>
                <w:szCs w:val="19"/>
              </w:rPr>
              <w:t>.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4B6731C2" w:rsidR="00A7633F"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144E99">
              <w:rPr>
                <w:rFonts w:ascii="Arial" w:hAnsi="Arial" w:cs="Arial"/>
                <w:color w:val="000000" w:themeColor="text1"/>
                <w:sz w:val="19"/>
                <w:szCs w:val="19"/>
              </w:rPr>
              <w:t>rozporządzenie na etapie publikacji w Dz. U</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4AE36987" w14:textId="24464D55" w:rsidR="00A7633F"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w:t>
            </w:r>
            <w:r w:rsidR="00557B6F">
              <w:rPr>
                <w:rFonts w:ascii="Arial" w:hAnsi="Arial" w:cs="Arial"/>
                <w:color w:val="000000" w:themeColor="text1"/>
                <w:sz w:val="19"/>
                <w:szCs w:val="19"/>
              </w:rPr>
              <w:t>rozporządzenie oczekuje na ogłoszenie w Dz. U.</w:t>
            </w:r>
            <w:r w:rsidR="009B5758">
              <w:rPr>
                <w:rFonts w:ascii="Arial" w:hAnsi="Arial" w:cs="Arial"/>
                <w:color w:val="000000" w:themeColor="text1"/>
                <w:sz w:val="19"/>
                <w:szCs w:val="19"/>
              </w:rPr>
              <w:t xml:space="preserve"> </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365954F" w14:textId="12E34D1E" w:rsidR="004F7F41"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14AC7856" w:rsidR="004F7F41"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w:t>
            </w:r>
            <w:r w:rsidR="00CC7104">
              <w:rPr>
                <w:rFonts w:ascii="Arial" w:hAnsi="Arial" w:cs="Arial"/>
                <w:color w:val="000000" w:themeColor="text1"/>
                <w:sz w:val="19"/>
                <w:szCs w:val="19"/>
              </w:rPr>
              <w:t>rozporządzenie na etapie ogłoszenia w Dz. U.</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proofErr w:type="spellStart"/>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proofErr w:type="spellEnd"/>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57837CF9" w:rsidR="004F7F41"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2BAD0812" w14:textId="3B80F158" w:rsidR="004F7F41"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4F7F41" w:rsidRPr="00C570DA">
              <w:rPr>
                <w:rFonts w:ascii="Arial" w:hAnsi="Arial" w:cs="Arial"/>
                <w:color w:val="000000" w:themeColor="text1"/>
                <w:sz w:val="19"/>
                <w:szCs w:val="19"/>
              </w:rPr>
              <w:t>–</w:t>
            </w:r>
            <w:r w:rsidR="00F77715">
              <w:rPr>
                <w:rFonts w:ascii="Arial" w:hAnsi="Arial" w:cs="Arial"/>
                <w:color w:val="000000" w:themeColor="text1"/>
                <w:sz w:val="19"/>
                <w:szCs w:val="19"/>
              </w:rPr>
              <w:t xml:space="preserve"> </w:t>
            </w:r>
            <w:r w:rsidR="004B25D7">
              <w:rPr>
                <w:rFonts w:ascii="Arial" w:hAnsi="Arial" w:cs="Arial"/>
                <w:color w:val="000000" w:themeColor="text1"/>
                <w:sz w:val="19"/>
                <w:szCs w:val="19"/>
              </w:rPr>
              <w:t xml:space="preserve">projekt na </w:t>
            </w:r>
            <w:r w:rsidR="002C2A03">
              <w:rPr>
                <w:rFonts w:ascii="Arial" w:hAnsi="Arial" w:cs="Arial"/>
                <w:color w:val="000000" w:themeColor="text1"/>
                <w:sz w:val="19"/>
                <w:szCs w:val="19"/>
              </w:rPr>
              <w:t xml:space="preserve">etapie </w:t>
            </w:r>
            <w:r w:rsidR="00557B6F">
              <w:rPr>
                <w:rFonts w:ascii="Arial" w:hAnsi="Arial" w:cs="Arial"/>
                <w:color w:val="000000" w:themeColor="text1"/>
                <w:sz w:val="19"/>
                <w:szCs w:val="19"/>
              </w:rPr>
              <w:t>podpisu Ministra Zdrowia</w:t>
            </w:r>
            <w:r w:rsidR="004B25D7">
              <w:rPr>
                <w:rFonts w:ascii="Arial" w:hAnsi="Arial" w:cs="Arial"/>
                <w:color w:val="000000" w:themeColor="text1"/>
                <w:sz w:val="19"/>
                <w:szCs w:val="19"/>
              </w:rPr>
              <w:t xml:space="preserve">. </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9BBB600" w14:textId="068C5E21" w:rsidR="004F7F41"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7819F4F5" w:rsidR="004F7F41" w:rsidRDefault="000C7A1E" w:rsidP="009E507D">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16 sierpnia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3F31B6">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5E57377C" w:rsidR="00103B06"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Celem zmian jest wprowadzenie obowiązku sprawozdawania </w:t>
            </w:r>
            <w:proofErr w:type="spellStart"/>
            <w:r w:rsidRPr="0054039B">
              <w:rPr>
                <w:rFonts w:ascii="Arial" w:hAnsi="Arial" w:cs="Arial"/>
                <w:color w:val="000000" w:themeColor="text1"/>
                <w:sz w:val="19"/>
                <w:szCs w:val="19"/>
              </w:rPr>
              <w:t>zachorowań</w:t>
            </w:r>
            <w:proofErr w:type="spellEnd"/>
            <w:r w:rsidRPr="0054039B">
              <w:rPr>
                <w:rFonts w:ascii="Arial" w:hAnsi="Arial" w:cs="Arial"/>
                <w:color w:val="000000" w:themeColor="text1"/>
                <w:sz w:val="19"/>
                <w:szCs w:val="19"/>
              </w:rPr>
              <w:t xml:space="preserve">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w:t>
            </w:r>
            <w:proofErr w:type="spellStart"/>
            <w:r w:rsidRPr="0054039B">
              <w:rPr>
                <w:rFonts w:ascii="Arial" w:hAnsi="Arial" w:cs="Arial"/>
                <w:color w:val="000000" w:themeColor="text1"/>
                <w:sz w:val="19"/>
                <w:szCs w:val="19"/>
              </w:rPr>
              <w:t>zachorowań</w:t>
            </w:r>
            <w:proofErr w:type="spellEnd"/>
            <w:r w:rsidRPr="0054039B">
              <w:rPr>
                <w:rFonts w:ascii="Arial" w:hAnsi="Arial" w:cs="Arial"/>
                <w:color w:val="000000" w:themeColor="text1"/>
                <w:sz w:val="19"/>
                <w:szCs w:val="19"/>
              </w:rPr>
              <w:t>.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BC89F61" w14:textId="2280F2EB" w:rsidR="00103B06"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A231683" w14:textId="738F1417" w:rsidR="00103B06"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0D75AA4" w14:textId="2A9DF836" w:rsidR="00103B06"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2A15D0E5" w:rsidR="001F352B"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UZ i KS</w:t>
            </w:r>
            <w:r w:rsidR="001F352B">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0976FB87" w14:textId="4F90E71B" w:rsidR="001F352B"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3339FABC" w14:textId="3FCAD424" w:rsidR="001F352B"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107B81D" w14:textId="23E0848A" w:rsidR="001F352B" w:rsidRDefault="000C7A1E"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kierowania na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580EFDAC" w:rsidR="00D27B52"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KP.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2DCAABAB" w:rsidR="00287CBB"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54398CCD" w:rsidR="00287CBB"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w:t>
            </w:r>
            <w:proofErr w:type="spellStart"/>
            <w:r w:rsidRPr="00287CBB">
              <w:rPr>
                <w:rFonts w:ascii="Arial" w:hAnsi="Arial" w:cs="Arial"/>
                <w:color w:val="000000" w:themeColor="text1"/>
                <w:sz w:val="19"/>
                <w:szCs w:val="19"/>
              </w:rPr>
              <w:t>Bromber</w:t>
            </w:r>
            <w:proofErr w:type="spellEnd"/>
            <w:r w:rsidRPr="00287CBB">
              <w:rPr>
                <w:rFonts w:ascii="Arial" w:hAnsi="Arial" w:cs="Arial"/>
                <w:color w:val="000000" w:themeColor="text1"/>
                <w:sz w:val="19"/>
                <w:szCs w:val="19"/>
              </w:rPr>
              <w:t xml:space="preserve">,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0C1217B4" w14:textId="052EED33" w:rsidR="00E0619D"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F721FC">
              <w:rPr>
                <w:rFonts w:ascii="Arial" w:hAnsi="Arial" w:cs="Arial"/>
                <w:color w:val="000000" w:themeColor="text1"/>
                <w:sz w:val="19"/>
                <w:szCs w:val="19"/>
              </w:rPr>
              <w:t>PW</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02D5E812" w:rsidR="00E0619D"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7EC9F548" w14:textId="769D25C8" w:rsidR="00E0619D"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w:t>
            </w:r>
            <w:r w:rsidR="00437E00">
              <w:rPr>
                <w:rFonts w:ascii="Arial" w:hAnsi="Arial" w:cs="Arial"/>
                <w:color w:val="000000" w:themeColor="text1"/>
                <w:sz w:val="19"/>
                <w:szCs w:val="19"/>
              </w:rPr>
              <w:t xml:space="preserve">projekt na etapie </w:t>
            </w:r>
            <w:r w:rsidR="001F7A0F">
              <w:rPr>
                <w:rFonts w:ascii="Arial" w:hAnsi="Arial" w:cs="Arial"/>
                <w:color w:val="000000" w:themeColor="text1"/>
                <w:sz w:val="19"/>
                <w:szCs w:val="19"/>
              </w:rPr>
              <w:t>KP</w:t>
            </w:r>
            <w:r w:rsidR="00437E00">
              <w:rPr>
                <w:rFonts w:ascii="Arial" w:hAnsi="Arial" w:cs="Arial"/>
                <w:color w:val="000000" w:themeColor="text1"/>
                <w:sz w:val="19"/>
                <w:szCs w:val="19"/>
              </w:rPr>
              <w:t>.</w:t>
            </w: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1EE6BC70" w14:textId="182AF2AE" w:rsidR="00E0619D"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0EFD54B4" w14:textId="75C6C452" w:rsidR="00E0619D"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B79057D" w14:textId="29639AC8" w:rsidR="00E0619D" w:rsidRDefault="000C7A1E"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3F6C4D7A" w14:textId="40394AE8" w:rsidR="00301116"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w:t>
            </w:r>
            <w:proofErr w:type="spellStart"/>
            <w:r w:rsidRPr="0041488F">
              <w:rPr>
                <w:rFonts w:ascii="Arial" w:hAnsi="Arial" w:cs="Arial"/>
                <w:sz w:val="19"/>
                <w:szCs w:val="19"/>
              </w:rPr>
              <w:t>późn</w:t>
            </w:r>
            <w:proofErr w:type="spellEnd"/>
            <w:r w:rsidRPr="0041488F">
              <w:rPr>
                <w:rFonts w:ascii="Arial" w:hAnsi="Arial" w:cs="Arial"/>
                <w:sz w:val="19"/>
                <w:szCs w:val="19"/>
              </w:rPr>
              <w:t xml:space="preserve">.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w:t>
            </w:r>
            <w:proofErr w:type="spellStart"/>
            <w:r w:rsidRPr="0041488F">
              <w:rPr>
                <w:rFonts w:ascii="Arial" w:hAnsi="Arial" w:cs="Arial"/>
                <w:color w:val="000000" w:themeColor="text1"/>
                <w:sz w:val="19"/>
                <w:szCs w:val="19"/>
              </w:rPr>
              <w:t>Bromber</w:t>
            </w:r>
            <w:proofErr w:type="spellEnd"/>
            <w:r w:rsidRPr="0041488F">
              <w:rPr>
                <w:rFonts w:ascii="Arial" w:hAnsi="Arial" w:cs="Arial"/>
                <w:color w:val="000000" w:themeColor="text1"/>
                <w:sz w:val="19"/>
                <w:szCs w:val="19"/>
              </w:rPr>
              <w:t xml:space="preserve">, Podsekretarz Stanu w Ministerstwie Zdrowia  </w:t>
            </w:r>
          </w:p>
        </w:tc>
        <w:tc>
          <w:tcPr>
            <w:tcW w:w="2362" w:type="dxa"/>
            <w:shd w:val="clear" w:color="auto" w:fill="FFFFFF"/>
          </w:tcPr>
          <w:p w14:paraId="41C124C0" w14:textId="7C5AAC53" w:rsidR="00301116"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76175E4F" w:rsidR="00301116"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 xml:space="preserve">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5763E482" w14:textId="3CBB070C" w:rsidR="00301116"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UW</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15E65C08"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C2309F">
              <w:rPr>
                <w:rFonts w:ascii="Arial" w:hAnsi="Arial" w:cs="Arial"/>
                <w:color w:val="000000" w:themeColor="text1"/>
                <w:sz w:val="19"/>
                <w:szCs w:val="19"/>
              </w:rPr>
              <w:lastRenderedPageBreak/>
              <w:t xml:space="preserve">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E93C8D8" w14:textId="6AA2A267"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DB242A">
              <w:rPr>
                <w:rFonts w:ascii="Arial" w:hAnsi="Arial" w:cs="Arial"/>
                <w:color w:val="000000" w:themeColor="text1"/>
                <w:sz w:val="19"/>
                <w:szCs w:val="19"/>
              </w:rPr>
              <w:t>na etapie podpisu MZ</w:t>
            </w:r>
            <w:r w:rsidR="00C2309F">
              <w:rPr>
                <w:rFonts w:ascii="Arial" w:hAnsi="Arial" w:cs="Arial"/>
                <w:color w:val="000000" w:themeColor="text1"/>
                <w:sz w:val="19"/>
                <w:szCs w:val="19"/>
              </w:rPr>
              <w:t>.</w:t>
            </w: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567D6796"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58FDA769"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Adam| Niedzielski, Minister Zdrowia</w:t>
            </w:r>
          </w:p>
        </w:tc>
        <w:tc>
          <w:tcPr>
            <w:tcW w:w="2362" w:type="dxa"/>
            <w:shd w:val="clear" w:color="auto" w:fill="FFFFFF"/>
          </w:tcPr>
          <w:p w14:paraId="5E3AB8C2" w14:textId="0F7FC82B"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KP</w:t>
            </w:r>
            <w:r w:rsidR="00C2309F">
              <w:rPr>
                <w:rFonts w:ascii="Arial" w:hAnsi="Arial" w:cs="Arial"/>
                <w:color w:val="000000" w:themeColor="text1"/>
                <w:sz w:val="19"/>
                <w:szCs w:val="19"/>
              </w:rPr>
              <w:t>.</w:t>
            </w: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0605A126"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 xml:space="preserve">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w:t>
            </w:r>
            <w:proofErr w:type="spellStart"/>
            <w:r w:rsidRPr="0024510E">
              <w:rPr>
                <w:rFonts w:ascii="Arial" w:hAnsi="Arial" w:cs="Arial"/>
                <w:sz w:val="19"/>
                <w:szCs w:val="19"/>
              </w:rPr>
              <w:t>późn</w:t>
            </w:r>
            <w:proofErr w:type="spellEnd"/>
            <w:r w:rsidRPr="0024510E">
              <w:rPr>
                <w:rFonts w:ascii="Arial" w:hAnsi="Arial" w:cs="Arial"/>
                <w:sz w:val="19"/>
                <w:szCs w:val="19"/>
              </w:rPr>
              <w:t>.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2E8824C2"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UW.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18BA41C6"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PW.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31CBD150"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1F7A0F">
              <w:rPr>
                <w:rFonts w:ascii="Arial" w:hAnsi="Arial" w:cs="Arial"/>
                <w:color w:val="000000" w:themeColor="text1"/>
                <w:sz w:val="19"/>
                <w:szCs w:val="19"/>
              </w:rPr>
              <w:t>KP</w:t>
            </w:r>
            <w:r w:rsidR="00C2309F">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222B1F2A" w:rsidR="0024510E"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kierowania na 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xml:space="preserve">.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Piotr </w:t>
            </w:r>
            <w:proofErr w:type="spellStart"/>
            <w:r w:rsidRPr="00C2309F">
              <w:rPr>
                <w:rFonts w:ascii="Arial" w:hAnsi="Arial" w:cs="Arial"/>
                <w:color w:val="000000" w:themeColor="text1"/>
                <w:sz w:val="19"/>
                <w:szCs w:val="19"/>
              </w:rPr>
              <w:t>Bromber</w:t>
            </w:r>
            <w:proofErr w:type="spellEnd"/>
            <w:r w:rsidRPr="00C2309F">
              <w:rPr>
                <w:rFonts w:ascii="Arial" w:hAnsi="Arial" w:cs="Arial"/>
                <w:color w:val="000000" w:themeColor="text1"/>
                <w:sz w:val="19"/>
                <w:szCs w:val="19"/>
              </w:rPr>
              <w:t>,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00D52236" w14:textId="0FCC0097" w:rsidR="00CC7104"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524BF0" w:rsidRPr="00C570DA">
              <w:rPr>
                <w:rFonts w:ascii="Arial" w:hAnsi="Arial" w:cs="Arial"/>
                <w:color w:val="000000" w:themeColor="text1"/>
                <w:sz w:val="19"/>
                <w:szCs w:val="19"/>
              </w:rPr>
              <w:t>–</w:t>
            </w:r>
            <w:r w:rsidR="00524BF0">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524BF0">
              <w:rPr>
                <w:rFonts w:ascii="Arial" w:hAnsi="Arial" w:cs="Arial"/>
                <w:color w:val="000000" w:themeColor="text1"/>
                <w:sz w:val="19"/>
                <w:szCs w:val="19"/>
              </w:rPr>
              <w:t xml:space="preserve">. </w:t>
            </w: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 xml:space="preserve">Piotr </w:t>
            </w:r>
            <w:proofErr w:type="spellStart"/>
            <w:r w:rsidRPr="00524BF0">
              <w:rPr>
                <w:rFonts w:ascii="Arial" w:hAnsi="Arial" w:cs="Arial"/>
                <w:color w:val="000000" w:themeColor="text1"/>
                <w:sz w:val="19"/>
                <w:szCs w:val="19"/>
              </w:rPr>
              <w:t>Bromber</w:t>
            </w:r>
            <w:proofErr w:type="spellEnd"/>
            <w:r w:rsidRPr="00524BF0">
              <w:rPr>
                <w:rFonts w:ascii="Arial" w:hAnsi="Arial" w:cs="Arial"/>
                <w:color w:val="000000" w:themeColor="text1"/>
                <w:sz w:val="19"/>
                <w:szCs w:val="19"/>
              </w:rPr>
              <w:t>,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9060D61"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2C2A03">
              <w:rPr>
                <w:rFonts w:ascii="Arial" w:hAnsi="Arial" w:cs="Arial"/>
                <w:color w:val="000000" w:themeColor="text1"/>
                <w:sz w:val="19"/>
                <w:szCs w:val="19"/>
              </w:rPr>
              <w:t>kierowania do UZ i KS</w:t>
            </w:r>
            <w:r w:rsidR="00A126D3">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9ACEA90" w14:textId="7347D15E"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w:t>
            </w:r>
            <w:proofErr w:type="spellStart"/>
            <w:r w:rsidRPr="00B87301">
              <w:rPr>
                <w:rFonts w:ascii="Arial" w:hAnsi="Arial" w:cs="Arial"/>
                <w:sz w:val="19"/>
                <w:szCs w:val="19"/>
              </w:rPr>
              <w:t>rozpoznań</w:t>
            </w:r>
            <w:proofErr w:type="spellEnd"/>
            <w:r w:rsidRPr="00B87301">
              <w:rPr>
                <w:rFonts w:ascii="Arial" w:hAnsi="Arial" w:cs="Arial"/>
                <w:sz w:val="19"/>
                <w:szCs w:val="19"/>
              </w:rPr>
              <w:t xml:space="preserve"> zakażeń wirusami grypy, RSV i SARS-CoV-2.</w:t>
            </w:r>
          </w:p>
        </w:tc>
        <w:tc>
          <w:tcPr>
            <w:tcW w:w="1842" w:type="dxa"/>
            <w:shd w:val="clear" w:color="auto" w:fill="FFFFFF"/>
          </w:tcPr>
          <w:p w14:paraId="422852AA" w14:textId="528EF725"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FF80D7D" w14:textId="70ABE807"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58A7DD97"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AB110F1" w14:textId="7A61C257"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5109987F"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BD65D0">
              <w:rPr>
                <w:rFonts w:ascii="Arial" w:hAnsi="Arial" w:cs="Arial"/>
                <w:color w:val="000000" w:themeColor="text1"/>
                <w:sz w:val="19"/>
                <w:szCs w:val="19"/>
              </w:rPr>
              <w:t>KP</w:t>
            </w:r>
            <w:r w:rsidR="00A126D3">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4F3AFA00"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1D7262D5"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4944F820"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UZ i KS.</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6E33C548"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1CDBB8F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9BDB6C" w14:textId="0B9FF4BF" w:rsidR="0079276D"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 xml:space="preserve">Proponuje się zmianę polegającą na włączeniu do katalogu dopuszczalnych </w:t>
            </w:r>
            <w:proofErr w:type="spellStart"/>
            <w:r w:rsidRPr="005A73EE">
              <w:rPr>
                <w:rFonts w:ascii="Arial" w:hAnsi="Arial" w:cs="Arial"/>
                <w:sz w:val="19"/>
                <w:szCs w:val="19"/>
              </w:rPr>
              <w:t>rozpoznań</w:t>
            </w:r>
            <w:proofErr w:type="spellEnd"/>
            <w:r w:rsidRPr="005A73EE">
              <w:rPr>
                <w:rFonts w:ascii="Arial" w:hAnsi="Arial" w:cs="Arial"/>
                <w:sz w:val="19"/>
                <w:szCs w:val="19"/>
              </w:rPr>
              <w:t xml:space="preserve"> - rozpoznania Z03. Rozpoznanie Z03 będzie miało zastosowanie się do </w:t>
            </w:r>
            <w:proofErr w:type="spellStart"/>
            <w:r w:rsidRPr="005A73EE">
              <w:rPr>
                <w:rFonts w:ascii="Arial" w:hAnsi="Arial" w:cs="Arial"/>
                <w:sz w:val="19"/>
                <w:szCs w:val="19"/>
              </w:rPr>
              <w:t>rozpoznań</w:t>
            </w:r>
            <w:proofErr w:type="spellEnd"/>
            <w:r w:rsidRPr="005A73EE">
              <w:rPr>
                <w:rFonts w:ascii="Arial" w:hAnsi="Arial" w:cs="Arial"/>
                <w:sz w:val="19"/>
                <w:szCs w:val="19"/>
              </w:rPr>
              <w:t xml:space="preserve">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52DC69FF"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Maciej Miłkowski, Podsekretarz Stanu w Ministerstwie Zdrowia</w:t>
            </w:r>
          </w:p>
        </w:tc>
        <w:tc>
          <w:tcPr>
            <w:tcW w:w="2362" w:type="dxa"/>
            <w:shd w:val="clear" w:color="auto" w:fill="FFFFFF"/>
          </w:tcPr>
          <w:p w14:paraId="02D59F76" w14:textId="618FB181"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kierowania na UZ i KS</w:t>
            </w:r>
            <w:r w:rsidR="00D606F3">
              <w:rPr>
                <w:rFonts w:ascii="Arial" w:hAnsi="Arial" w:cs="Arial"/>
                <w:color w:val="000000" w:themeColor="text1"/>
                <w:sz w:val="19"/>
                <w:szCs w:val="19"/>
              </w:rPr>
              <w:t>.</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67748221"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Adam Niedzielski – Minister  Zdrowia</w:t>
            </w:r>
          </w:p>
        </w:tc>
        <w:tc>
          <w:tcPr>
            <w:tcW w:w="2362" w:type="dxa"/>
            <w:shd w:val="clear" w:color="auto" w:fill="FFFFFF"/>
          </w:tcPr>
          <w:p w14:paraId="7C812588" w14:textId="7D36A286"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517D5766"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1B9C4B70" w14:textId="5F6E4B18"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AE5084C" w14:textId="319DA582"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UZ i KS.</w:t>
            </w: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7A2E7B8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lastRenderedPageBreak/>
              <w:t xml:space="preserve">Piotr </w:t>
            </w:r>
            <w:proofErr w:type="spellStart"/>
            <w:r w:rsidRPr="005A73EE">
              <w:rPr>
                <w:rFonts w:ascii="Arial" w:hAnsi="Arial" w:cs="Arial"/>
                <w:color w:val="000000" w:themeColor="text1"/>
                <w:sz w:val="19"/>
                <w:szCs w:val="19"/>
              </w:rPr>
              <w:t>Bromber</w:t>
            </w:r>
            <w:proofErr w:type="spellEnd"/>
            <w:r w:rsidRPr="005A73EE">
              <w:rPr>
                <w:rFonts w:ascii="Arial" w:hAnsi="Arial" w:cs="Arial"/>
                <w:color w:val="000000" w:themeColor="text1"/>
                <w:sz w:val="19"/>
                <w:szCs w:val="19"/>
              </w:rPr>
              <w:t>, Podsekretarz Stanu w Ministerstwie Zdrowia</w:t>
            </w:r>
          </w:p>
        </w:tc>
        <w:tc>
          <w:tcPr>
            <w:tcW w:w="2362" w:type="dxa"/>
            <w:shd w:val="clear" w:color="auto" w:fill="FFFFFF"/>
          </w:tcPr>
          <w:p w14:paraId="02F18FE4" w14:textId="3579A68C"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PW.</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8C5629D"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36D76E8" w14:textId="1F96BA3F"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 xml:space="preserve">Projektowana regulacja wprowadza nieznaczne zmiany w stosunku do dotychczas obowiązującego rozporządzenia Ministra Zdrowia z dnia 3 marca 2004 r. w sprawie wymagań jakim powinno odpowiadać medyczne laboratorium diagnostyczne (Dz. U. poz. 408, z </w:t>
            </w:r>
            <w:proofErr w:type="spellStart"/>
            <w:r w:rsidRPr="005A73EE">
              <w:rPr>
                <w:rFonts w:ascii="Arial" w:hAnsi="Arial" w:cs="Arial"/>
                <w:sz w:val="19"/>
                <w:szCs w:val="19"/>
              </w:rPr>
              <w:t>późn</w:t>
            </w:r>
            <w:proofErr w:type="spellEnd"/>
            <w:r w:rsidRPr="005A73EE">
              <w:rPr>
                <w:rFonts w:ascii="Arial" w:hAnsi="Arial" w:cs="Arial"/>
                <w:sz w:val="19"/>
                <w:szCs w:val="19"/>
              </w:rPr>
              <w:t>.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0F4BD095"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80DA007" w14:textId="1B2705E9" w:rsidR="00DB242A"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w:t>
            </w:r>
            <w:r w:rsidRPr="00933B0A">
              <w:rPr>
                <w:rFonts w:ascii="Arial" w:hAnsi="Arial" w:cs="Arial"/>
                <w:sz w:val="19"/>
                <w:szCs w:val="19"/>
              </w:rPr>
              <w:lastRenderedPageBreak/>
              <w:t>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30BBA073"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7FFE060F" w14:textId="6939BD84" w:rsidR="00A13F81"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13ACB2AD" w:rsidR="00A13F81"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UW.</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 xml:space="preserve">Piotr </w:t>
            </w:r>
            <w:proofErr w:type="spellStart"/>
            <w:r w:rsidRPr="00933B0A">
              <w:rPr>
                <w:rFonts w:ascii="Arial" w:hAnsi="Arial" w:cs="Arial"/>
                <w:color w:val="000000" w:themeColor="text1"/>
                <w:sz w:val="19"/>
                <w:szCs w:val="19"/>
              </w:rPr>
              <w:t>Bromber</w:t>
            </w:r>
            <w:proofErr w:type="spellEnd"/>
            <w:r w:rsidRPr="00933B0A">
              <w:rPr>
                <w:rFonts w:ascii="Arial" w:hAnsi="Arial" w:cs="Arial"/>
                <w:color w:val="000000" w:themeColor="text1"/>
                <w:sz w:val="19"/>
                <w:szCs w:val="19"/>
              </w:rPr>
              <w:t>, Podsekretarz Stanu w Ministerstwie Zdrowia</w:t>
            </w:r>
          </w:p>
        </w:tc>
        <w:tc>
          <w:tcPr>
            <w:tcW w:w="2362" w:type="dxa"/>
            <w:shd w:val="clear" w:color="auto" w:fill="FFFFFF"/>
          </w:tcPr>
          <w:p w14:paraId="6F86D7EA" w14:textId="72DAAFB8" w:rsidR="00A13F81"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BD65D0">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7C224F28" w14:textId="2FC6B4A5"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FE4221">
              <w:rPr>
                <w:rFonts w:ascii="Arial" w:hAnsi="Arial" w:cs="Arial"/>
                <w:color w:val="000000" w:themeColor="text1"/>
                <w:sz w:val="19"/>
                <w:szCs w:val="19"/>
              </w:rPr>
              <w:t>UZ i KS</w:t>
            </w:r>
            <w:r w:rsidR="00BD65D0">
              <w:rPr>
                <w:rFonts w:ascii="Arial" w:hAnsi="Arial" w:cs="Arial"/>
                <w:color w:val="000000" w:themeColor="text1"/>
                <w:sz w:val="19"/>
                <w:szCs w:val="19"/>
              </w:rPr>
              <w:t>.</w:t>
            </w: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lastRenderedPageBreak/>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lastRenderedPageBreak/>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AE0B5F1" w14:textId="09491659"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KP</w:t>
            </w:r>
            <w:r w:rsidR="00BD65D0">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8E27587"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kierowania na UZ</w:t>
            </w:r>
            <w:r w:rsidR="00A74355">
              <w:rPr>
                <w:rFonts w:ascii="Arial" w:hAnsi="Arial" w:cs="Arial"/>
                <w:color w:val="000000" w:themeColor="text1"/>
                <w:sz w:val="19"/>
                <w:szCs w:val="19"/>
              </w:rPr>
              <w:t xml:space="preserve"> i KS.</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w:t>
            </w:r>
            <w:r w:rsidRPr="00301116">
              <w:rPr>
                <w:rFonts w:ascii="Arial" w:eastAsia="Calibri" w:hAnsi="Arial" w:cs="Arial"/>
                <w:color w:val="000000" w:themeColor="text1"/>
                <w:sz w:val="19"/>
                <w:szCs w:val="19"/>
                <w:lang w:eastAsia="en-US"/>
              </w:rPr>
              <w:lastRenderedPageBreak/>
              <w:t>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462B7BE6"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kierowania na UZ i KS</w:t>
            </w:r>
            <w:r w:rsidR="00A74355">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76EEE3C0"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UW.</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kwalifikacje rzeczoznawców, warunki, zakres i tryb przyznawania i cofania uprawnień rzeczoznawcy do spraw sanitarnohigienicznych, wysokość opłat ponoszonych w związku z przyznaniem uprawnienia </w:t>
            </w:r>
            <w:r w:rsidRPr="00A74355">
              <w:rPr>
                <w:rFonts w:ascii="Arial" w:eastAsia="Calibri" w:hAnsi="Arial" w:cs="Arial"/>
                <w:color w:val="000000" w:themeColor="text1"/>
                <w:sz w:val="19"/>
                <w:szCs w:val="19"/>
                <w:lang w:eastAsia="en-US"/>
              </w:rPr>
              <w:lastRenderedPageBreak/>
              <w:t>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77777777" w:rsidR="00A74355" w:rsidRPr="00933B0A" w:rsidRDefault="00A74355" w:rsidP="00301116">
            <w:pPr>
              <w:spacing w:before="80" w:after="80"/>
              <w:rPr>
                <w:rFonts w:ascii="Arial" w:hAnsi="Arial" w:cs="Arial"/>
                <w:color w:val="000000" w:themeColor="text1"/>
                <w:sz w:val="19"/>
                <w:szCs w:val="19"/>
              </w:rPr>
            </w:pPr>
          </w:p>
        </w:tc>
        <w:tc>
          <w:tcPr>
            <w:tcW w:w="2362" w:type="dxa"/>
            <w:shd w:val="clear" w:color="auto" w:fill="FFFFFF"/>
          </w:tcPr>
          <w:p w14:paraId="5190B756" w14:textId="4772DD98"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UW.</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wymagania, jakim powinny odpowiadać zakłady i urządzenia lecznictwa uzdrowiskowego, kierując się bezpieczeństwem pacjenta i koniecznością zachowania standardów świadczeń </w:t>
            </w:r>
            <w:r w:rsidRPr="00A74355">
              <w:rPr>
                <w:rFonts w:ascii="Arial" w:eastAsia="Calibri" w:hAnsi="Arial" w:cs="Arial"/>
                <w:color w:val="000000" w:themeColor="text1"/>
                <w:sz w:val="19"/>
                <w:szCs w:val="19"/>
                <w:lang w:eastAsia="en-US"/>
              </w:rPr>
              <w:lastRenderedPageBreak/>
              <w:t>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lastRenderedPageBreak/>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307873D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5EDE4BCF" w14:textId="09C9386D"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UW.</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1B884BF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 xml:space="preserve">Piotr </w:t>
            </w:r>
            <w:proofErr w:type="spellStart"/>
            <w:r w:rsidRPr="00A74355">
              <w:rPr>
                <w:rFonts w:ascii="Arial" w:hAnsi="Arial" w:cs="Arial"/>
                <w:color w:val="000000" w:themeColor="text1"/>
                <w:sz w:val="19"/>
                <w:szCs w:val="19"/>
              </w:rPr>
              <w:t>Bromber</w:t>
            </w:r>
            <w:proofErr w:type="spellEnd"/>
            <w:r w:rsidRPr="00A74355">
              <w:rPr>
                <w:rFonts w:ascii="Arial" w:hAnsi="Arial" w:cs="Arial"/>
                <w:color w:val="000000" w:themeColor="text1"/>
                <w:sz w:val="19"/>
                <w:szCs w:val="19"/>
              </w:rPr>
              <w:t>, Podsekretarz Stanu w Ministerstwie Zdrowia</w:t>
            </w:r>
          </w:p>
        </w:tc>
        <w:tc>
          <w:tcPr>
            <w:tcW w:w="2362" w:type="dxa"/>
            <w:shd w:val="clear" w:color="auto" w:fill="FFFFFF"/>
          </w:tcPr>
          <w:p w14:paraId="0037C99A" w14:textId="4B88AD94" w:rsidR="00A74355"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PW. </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258B9597" w14:textId="7537F1B9" w:rsidR="00285B73"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285B73" w:rsidRPr="00C570DA">
              <w:rPr>
                <w:rFonts w:ascii="Arial" w:hAnsi="Arial" w:cs="Arial"/>
                <w:color w:val="000000" w:themeColor="text1"/>
                <w:sz w:val="19"/>
                <w:szCs w:val="19"/>
              </w:rPr>
              <w:t>–</w:t>
            </w:r>
            <w:r w:rsidR="00285B73">
              <w:rPr>
                <w:rFonts w:ascii="Arial" w:hAnsi="Arial" w:cs="Arial"/>
                <w:color w:val="000000" w:themeColor="text1"/>
                <w:sz w:val="19"/>
                <w:szCs w:val="19"/>
              </w:rPr>
              <w:t xml:space="preserve"> projekt po KP.</w:t>
            </w: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w:t>
            </w:r>
            <w:r w:rsidRPr="00301116">
              <w:rPr>
                <w:rFonts w:ascii="Arial" w:eastAsia="Calibri" w:hAnsi="Arial" w:cs="Arial"/>
                <w:color w:val="000000" w:themeColor="text1"/>
                <w:sz w:val="19"/>
                <w:szCs w:val="19"/>
                <w:lang w:eastAsia="en-US"/>
              </w:rPr>
              <w:lastRenderedPageBreak/>
              <w:t xml:space="preserve">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lastRenderedPageBreak/>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w:t>
            </w:r>
            <w:r w:rsidRPr="00285B73">
              <w:rPr>
                <w:rFonts w:ascii="Arial" w:hAnsi="Arial" w:cs="Arial"/>
                <w:sz w:val="19"/>
                <w:szCs w:val="19"/>
              </w:rPr>
              <w:lastRenderedPageBreak/>
              <w:t>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912DAF6" w14:textId="2A424FCA" w:rsidR="00285B73" w:rsidRDefault="000C7A1E"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16 sierpnia 2023 r. </w:t>
            </w:r>
            <w:r w:rsidR="00285B73" w:rsidRPr="00C570DA">
              <w:rPr>
                <w:rFonts w:ascii="Arial" w:hAnsi="Arial" w:cs="Arial"/>
                <w:color w:val="000000" w:themeColor="text1"/>
                <w:sz w:val="19"/>
                <w:szCs w:val="19"/>
              </w:rPr>
              <w:t>–</w:t>
            </w:r>
            <w:r w:rsidR="00285B73">
              <w:rPr>
                <w:rFonts w:ascii="Arial" w:hAnsi="Arial" w:cs="Arial"/>
                <w:color w:val="000000" w:themeColor="text1"/>
                <w:sz w:val="19"/>
                <w:szCs w:val="19"/>
              </w:rPr>
              <w:t xml:space="preserve"> projekt na etapie UW.</w:t>
            </w: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 xml:space="preserve">art. 48e ust. 5 ustawy z dnia 27 sierpnia 2004 r. o świadczeniach opieki zdrowotnej </w:t>
            </w:r>
            <w:r w:rsidRPr="00285B73">
              <w:rPr>
                <w:rFonts w:ascii="Arial" w:hAnsi="Arial" w:cs="Arial"/>
                <w:sz w:val="19"/>
                <w:szCs w:val="19"/>
              </w:rPr>
              <w:lastRenderedPageBreak/>
              <w:t>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5A73E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lastRenderedPageBreak/>
              <w:t xml:space="preserve">Rozporządzenie </w:t>
            </w:r>
            <w:r w:rsidRPr="00285B73">
              <w:rPr>
                <w:rFonts w:ascii="Arial" w:hAnsi="Arial" w:cs="Arial"/>
                <w:sz w:val="19"/>
                <w:szCs w:val="19"/>
              </w:rPr>
              <w:t xml:space="preserve">przedłuża do 31 grudnia 2023 r. fakultatywną możliwość przydzielenia świadczeniobiorcy terminu udzielenia świadczenia opieki </w:t>
            </w:r>
            <w:r w:rsidRPr="00285B73">
              <w:rPr>
                <w:rFonts w:ascii="Arial" w:hAnsi="Arial" w:cs="Arial"/>
                <w:sz w:val="19"/>
                <w:szCs w:val="19"/>
              </w:rPr>
              <w:lastRenderedPageBreak/>
              <w:t>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 xml:space="preserve">Waldemar Kraska, Sekretarz Stanu w </w:t>
            </w:r>
            <w:r w:rsidRPr="00285B73">
              <w:rPr>
                <w:rFonts w:ascii="Arial" w:hAnsi="Arial" w:cs="Arial"/>
                <w:color w:val="000000" w:themeColor="text1"/>
                <w:sz w:val="19"/>
                <w:szCs w:val="19"/>
              </w:rPr>
              <w:lastRenderedPageBreak/>
              <w:t>Ministerstwie Zdrowia</w:t>
            </w:r>
          </w:p>
        </w:tc>
        <w:tc>
          <w:tcPr>
            <w:tcW w:w="2362" w:type="dxa"/>
            <w:shd w:val="clear" w:color="auto" w:fill="FFFFFF"/>
          </w:tcPr>
          <w:p w14:paraId="06891F7A" w14:textId="73BCA660" w:rsidR="00285B73" w:rsidRDefault="000C7A1E" w:rsidP="00301116">
            <w:pPr>
              <w:rPr>
                <w:rFonts w:ascii="Arial" w:hAnsi="Arial" w:cs="Arial"/>
                <w:color w:val="000000" w:themeColor="text1"/>
                <w:sz w:val="19"/>
                <w:szCs w:val="19"/>
              </w:rPr>
            </w:pPr>
            <w:r>
              <w:rPr>
                <w:rFonts w:ascii="Arial" w:hAnsi="Arial" w:cs="Arial"/>
                <w:color w:val="000000" w:themeColor="text1"/>
                <w:sz w:val="19"/>
                <w:szCs w:val="19"/>
              </w:rPr>
              <w:lastRenderedPageBreak/>
              <w:t xml:space="preserve">Stan prac na dzień 16 sierpnia 2023 r. </w:t>
            </w:r>
            <w:r w:rsidR="00285B73" w:rsidRPr="00C570DA">
              <w:rPr>
                <w:rFonts w:ascii="Arial" w:hAnsi="Arial" w:cs="Arial"/>
                <w:color w:val="000000" w:themeColor="text1"/>
                <w:sz w:val="19"/>
                <w:szCs w:val="19"/>
              </w:rPr>
              <w:t>–</w:t>
            </w:r>
            <w:r w:rsidR="00285B73">
              <w:rPr>
                <w:rFonts w:ascii="Arial" w:hAnsi="Arial" w:cs="Arial"/>
                <w:color w:val="000000" w:themeColor="text1"/>
                <w:sz w:val="19"/>
                <w:szCs w:val="19"/>
              </w:rPr>
              <w:t xml:space="preserve"> projekt na etapie kierowania na UZ i KS.</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0C63" w14:textId="77777777" w:rsidR="00575928" w:rsidRDefault="00575928">
      <w:r>
        <w:separator/>
      </w:r>
    </w:p>
  </w:endnote>
  <w:endnote w:type="continuationSeparator" w:id="0">
    <w:p w14:paraId="067FF5DD" w14:textId="77777777" w:rsidR="00575928" w:rsidRDefault="0057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83F3" w14:textId="77777777" w:rsidR="00575928" w:rsidRDefault="00575928">
      <w:r>
        <w:separator/>
      </w:r>
    </w:p>
  </w:footnote>
  <w:footnote w:type="continuationSeparator" w:id="0">
    <w:p w14:paraId="46F5156D" w14:textId="77777777" w:rsidR="00575928" w:rsidRDefault="00575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28"/>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DBF"/>
    <w:rsid w:val="00A13F81"/>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A"/>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231</Pages>
  <Words>69791</Words>
  <Characters>418752</Characters>
  <Application>Microsoft Office Word</Application>
  <DocSecurity>0</DocSecurity>
  <Lines>3489</Lines>
  <Paragraphs>975</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487568</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Sędek Joanna</cp:lastModifiedBy>
  <cp:revision>2</cp:revision>
  <cp:lastPrinted>2018-12-07T08:31:00Z</cp:lastPrinted>
  <dcterms:created xsi:type="dcterms:W3CDTF">2023-08-17T07:44:00Z</dcterms:created>
  <dcterms:modified xsi:type="dcterms:W3CDTF">2023-08-17T07:44:00Z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