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D69B" w14:textId="3A2DD51C" w:rsidR="0038521D" w:rsidRPr="001B011F" w:rsidRDefault="00B94152" w:rsidP="001B011F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1B011F">
        <w:rPr>
          <w:rFonts w:ascii="Times New Roman" w:hAnsi="Times New Roman" w:cs="Times New Roman"/>
          <w:b/>
          <w:bCs/>
        </w:rPr>
        <w:t>UZASADNIENIE</w:t>
      </w:r>
    </w:p>
    <w:p w14:paraId="2715D763" w14:textId="7D3F1255" w:rsidR="00DF5C49" w:rsidRPr="001B011F" w:rsidRDefault="00DF5C49" w:rsidP="001B011F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1B011F">
        <w:rPr>
          <w:rFonts w:ascii="Times New Roman" w:hAnsi="Times New Roman" w:cs="Times New Roman"/>
        </w:rPr>
        <w:t xml:space="preserve">Podstawą prawną do wydania projektowanego zarządzenia Prezesa Rady Ministrów </w:t>
      </w:r>
      <w:r w:rsidR="00FF5FA4" w:rsidRPr="001B011F">
        <w:rPr>
          <w:rFonts w:ascii="Times New Roman" w:hAnsi="Times New Roman" w:cs="Times New Roman"/>
        </w:rPr>
        <w:br/>
      </w:r>
      <w:r w:rsidRPr="001B011F">
        <w:rPr>
          <w:rFonts w:ascii="Times New Roman" w:hAnsi="Times New Roman" w:cs="Times New Roman"/>
        </w:rPr>
        <w:t>w sprawie Rad</w:t>
      </w:r>
      <w:r w:rsidR="00211400" w:rsidRPr="001B011F">
        <w:rPr>
          <w:rFonts w:ascii="Times New Roman" w:hAnsi="Times New Roman" w:cs="Times New Roman"/>
        </w:rPr>
        <w:t>y</w:t>
      </w:r>
      <w:r w:rsidRPr="001B011F">
        <w:rPr>
          <w:rFonts w:ascii="Times New Roman" w:hAnsi="Times New Roman" w:cs="Times New Roman"/>
        </w:rPr>
        <w:t xml:space="preserve"> do spraw Polityki Senioralnej jest art. 12 ust. 1 pkt 3 i ust. 2 ustawy z dnia </w:t>
      </w:r>
      <w:r w:rsidR="00FF5FA4" w:rsidRPr="001B011F">
        <w:rPr>
          <w:rFonts w:ascii="Times New Roman" w:hAnsi="Times New Roman" w:cs="Times New Roman"/>
        </w:rPr>
        <w:br/>
      </w:r>
      <w:r w:rsidRPr="001B011F">
        <w:rPr>
          <w:rFonts w:ascii="Times New Roman" w:hAnsi="Times New Roman" w:cs="Times New Roman"/>
        </w:rPr>
        <w:t>8 sierpnia 1996 r. o Radzie Ministrów (Dz. U. z 2025 r. poz. 780 oraz z 2026 r. poz. 160).</w:t>
      </w:r>
    </w:p>
    <w:p w14:paraId="5B0845BE" w14:textId="162B8909" w:rsidR="00211400" w:rsidRPr="001B011F" w:rsidRDefault="00211400" w:rsidP="001B011F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1B011F">
        <w:rPr>
          <w:rFonts w:ascii="Times New Roman" w:hAnsi="Times New Roman" w:cs="Times New Roman"/>
        </w:rPr>
        <w:t xml:space="preserve">Rada jest organem pomocniczym </w:t>
      </w:r>
      <w:r w:rsidR="00EA2373" w:rsidRPr="001B011F">
        <w:rPr>
          <w:rFonts w:ascii="Times New Roman" w:hAnsi="Times New Roman" w:cs="Times New Roman"/>
        </w:rPr>
        <w:t xml:space="preserve">Prezesa </w:t>
      </w:r>
      <w:r w:rsidRPr="001B011F">
        <w:rPr>
          <w:rFonts w:ascii="Times New Roman" w:hAnsi="Times New Roman" w:cs="Times New Roman"/>
        </w:rPr>
        <w:t>Rady Ministrów</w:t>
      </w:r>
      <w:r w:rsidR="00D257DD" w:rsidRPr="001B011F">
        <w:rPr>
          <w:rFonts w:ascii="Times New Roman" w:hAnsi="Times New Roman" w:cs="Times New Roman"/>
        </w:rPr>
        <w:t>, o charakterze opiniodawczo-doradczym</w:t>
      </w:r>
      <w:r w:rsidRPr="001B011F">
        <w:rPr>
          <w:rFonts w:ascii="Times New Roman" w:hAnsi="Times New Roman" w:cs="Times New Roman"/>
        </w:rPr>
        <w:t xml:space="preserve">. </w:t>
      </w:r>
    </w:p>
    <w:p w14:paraId="330807DF" w14:textId="63E17311" w:rsidR="009E2068" w:rsidRPr="001B011F" w:rsidRDefault="003729AE" w:rsidP="001B011F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1B011F">
        <w:rPr>
          <w:rFonts w:ascii="Times New Roman" w:hAnsi="Times New Roman" w:cs="Times New Roman"/>
        </w:rPr>
        <w:t>Zgodnie z § 2 projektu zarządzenia, do zadań Rady należy:</w:t>
      </w:r>
    </w:p>
    <w:p w14:paraId="505038D0" w14:textId="28BE0FD3" w:rsidR="00551F59" w:rsidRPr="001B011F" w:rsidRDefault="00551F59" w:rsidP="001B011F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bookmarkStart w:id="0" w:name="_Hlk224109256"/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1)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bookmarkStart w:id="1" w:name="_Hlk223353855"/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formułowanie propozycji opinii, stanowisk i rekomendacji w zakresie kierunków działań </w:t>
      </w:r>
      <w:r w:rsidR="00470B94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w obszarze polityki senioralnej państwa;</w:t>
      </w:r>
      <w:bookmarkEnd w:id="1"/>
    </w:p>
    <w:p w14:paraId="30A05D07" w14:textId="77777777" w:rsidR="00551F59" w:rsidRPr="001B011F" w:rsidRDefault="00551F59" w:rsidP="001B011F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2)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 xml:space="preserve">wspieranie działań na rzecz godności, równości i pełnego uczestnictwa osób starszych 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  <w:t>w życiu społecznym;</w:t>
      </w:r>
    </w:p>
    <w:p w14:paraId="131DAABD" w14:textId="77777777" w:rsidR="00551F59" w:rsidRPr="001B011F" w:rsidRDefault="00551F59" w:rsidP="001B011F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3)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identyfikowanie dobrych praktyk dotyczących osób starszych;</w:t>
      </w:r>
    </w:p>
    <w:p w14:paraId="742BDC4A" w14:textId="77777777" w:rsidR="00551F59" w:rsidRPr="001B011F" w:rsidRDefault="00551F59" w:rsidP="001B011F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4)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wspieranie wykorzystania wyników badań i analiz naukowych w polityce senioralnej państwa;</w:t>
      </w:r>
    </w:p>
    <w:p w14:paraId="51AEF599" w14:textId="77777777" w:rsidR="00551F59" w:rsidRPr="001B011F" w:rsidRDefault="00551F59" w:rsidP="001B011F">
      <w:pPr>
        <w:spacing w:after="0" w:line="360" w:lineRule="auto"/>
        <w:ind w:left="510" w:hanging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5)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  <w:t>promowanie rozwiązań z zakresu polityki senioralnej państwa i współpracy międzypokoleniowej.</w:t>
      </w:r>
    </w:p>
    <w:bookmarkEnd w:id="0"/>
    <w:p w14:paraId="7050F45C" w14:textId="77777777" w:rsidR="00634F85" w:rsidRPr="001B011F" w:rsidRDefault="004064A0" w:rsidP="001B011F">
      <w:pPr>
        <w:pStyle w:val="ARTartustawynprozporzdzenia"/>
        <w:spacing w:before="0"/>
        <w:rPr>
          <w:rFonts w:ascii="Times New Roman" w:hAnsi="Times New Roman" w:cs="Times New Roman"/>
          <w:szCs w:val="24"/>
        </w:rPr>
      </w:pPr>
      <w:r w:rsidRPr="001B011F">
        <w:rPr>
          <w:rFonts w:ascii="Times New Roman" w:hAnsi="Times New Roman" w:cs="Times New Roman"/>
          <w:szCs w:val="24"/>
        </w:rPr>
        <w:t xml:space="preserve">Rada </w:t>
      </w:r>
      <w:r w:rsidR="00634F85" w:rsidRPr="001B011F">
        <w:rPr>
          <w:rFonts w:ascii="Times New Roman" w:hAnsi="Times New Roman" w:cs="Times New Roman"/>
          <w:szCs w:val="24"/>
        </w:rPr>
        <w:t>składa się z:</w:t>
      </w:r>
    </w:p>
    <w:p w14:paraId="6CBB4E74" w14:textId="77777777" w:rsidR="00634F85" w:rsidRPr="001B011F" w:rsidRDefault="00634F85" w:rsidP="001B011F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1) Przewodniczącego Rady, którym jest osoba pełniąca funkcję organu do spraw polityki senioralnej;</w:t>
      </w:r>
    </w:p>
    <w:p w14:paraId="68BD9AAB" w14:textId="77777777" w:rsidR="00634F85" w:rsidRPr="001B011F" w:rsidRDefault="00634F85" w:rsidP="001B011F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2) dwóch Zastępców Przewodniczącego Rady wybieranych przez Radę spośród członków, o których mowa w pkt 3;</w:t>
      </w:r>
    </w:p>
    <w:p w14:paraId="4CE38CEE" w14:textId="0B07C920" w:rsidR="00634F85" w:rsidRPr="001B011F" w:rsidRDefault="00634F85" w:rsidP="001B011F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3) </w:t>
      </w:r>
      <w:r w:rsidR="00F8627B" w:rsidRPr="001B01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24 </w:t>
      </w:r>
      <w:r w:rsidRPr="001B01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członków będących osobami wyróżniającymi się wiedzą i doświadczeniem </w:t>
      </w:r>
      <w:r w:rsidR="00414CD6" w:rsidRPr="001B01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Pr="001B01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kwestiach polityki senioralnej, w tym:</w:t>
      </w:r>
    </w:p>
    <w:p w14:paraId="50A25523" w14:textId="6BB5E95C" w:rsidR="00634F85" w:rsidRPr="001B011F" w:rsidRDefault="00634F85" w:rsidP="001B011F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a)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="00F8627B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8 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przedstawicieli uczelni lub instytutów badawczych,</w:t>
      </w:r>
    </w:p>
    <w:p w14:paraId="7EA8EEE9" w14:textId="2346E52F" w:rsidR="00634F85" w:rsidRPr="001B011F" w:rsidRDefault="00634F85" w:rsidP="001B011F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b)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="00F8627B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5 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przedstawicieli jednostek samorządu terytorialnego,</w:t>
      </w:r>
    </w:p>
    <w:p w14:paraId="31E260A0" w14:textId="44736370" w:rsidR="00634F85" w:rsidRPr="001B011F" w:rsidRDefault="00634F85" w:rsidP="001B011F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c)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="00F8627B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8 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przedstawicieli organizacji pozarządowych, podmiotów wymienionych w art. 3 </w:t>
      </w:r>
      <w:r w:rsidR="003142D3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ust. 3 ustawy z dnia 24 kwietnia 2003 r. o działalności pożytku publicznego </w:t>
      </w:r>
      <w:r w:rsidR="003142D3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i o wolontariacie (Dz. U. z 2025 r. poz. 1338) oraz związków i porozumień </w:t>
      </w:r>
      <w:r w:rsidR="003142D3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tych podmiotów,</w:t>
      </w:r>
    </w:p>
    <w:p w14:paraId="54A196E4" w14:textId="2655E514" w:rsidR="00634F85" w:rsidRPr="001B011F" w:rsidRDefault="00634F85" w:rsidP="001B011F">
      <w:pPr>
        <w:spacing w:after="0" w:line="360" w:lineRule="auto"/>
        <w:ind w:left="986" w:hanging="476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d)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ab/>
      </w:r>
      <w:r w:rsidR="00F8627B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3 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przedstawicieli organizacji pracodawców oraz związków zawodowych;</w:t>
      </w:r>
    </w:p>
    <w:p w14:paraId="186824D5" w14:textId="55BD0349" w:rsidR="00551F59" w:rsidRPr="001B011F" w:rsidRDefault="00634F85" w:rsidP="001B011F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4) Sekretarza, którym jest wyznaczony przez Przewodniczącego Rady pracownik urzędu obsługującego organ do spraw polityki senioralnej.</w:t>
      </w:r>
    </w:p>
    <w:p w14:paraId="216B3580" w14:textId="11F62BA7" w:rsidR="002B0D83" w:rsidRPr="001B011F" w:rsidRDefault="002B1FF1" w:rsidP="001B011F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1B011F">
        <w:rPr>
          <w:rFonts w:ascii="Times New Roman" w:hAnsi="Times New Roman" w:cs="Times New Roman"/>
        </w:rPr>
        <w:t>Członków Rady</w:t>
      </w:r>
      <w:r w:rsidR="00634F85" w:rsidRPr="001B011F">
        <w:rPr>
          <w:rFonts w:ascii="Times New Roman" w:hAnsi="Times New Roman" w:cs="Times New Roman"/>
        </w:rPr>
        <w:t xml:space="preserve">, o których mowa w pkt 3, </w:t>
      </w:r>
      <w:r w:rsidRPr="001B011F">
        <w:rPr>
          <w:rFonts w:ascii="Times New Roman" w:hAnsi="Times New Roman" w:cs="Times New Roman"/>
        </w:rPr>
        <w:t xml:space="preserve">powołuje i odwołuje </w:t>
      </w:r>
      <w:r w:rsidR="00DB7AC0" w:rsidRPr="001B011F">
        <w:rPr>
          <w:rFonts w:ascii="Times New Roman" w:hAnsi="Times New Roman" w:cs="Times New Roman"/>
        </w:rPr>
        <w:t>Prezes Rady Ministrów na</w:t>
      </w:r>
      <w:r w:rsidR="00B35253" w:rsidRPr="001B011F">
        <w:rPr>
          <w:rFonts w:ascii="Times New Roman" w:hAnsi="Times New Roman" w:cs="Times New Roman"/>
        </w:rPr>
        <w:t> </w:t>
      </w:r>
      <w:r w:rsidR="00DB7AC0" w:rsidRPr="001B011F">
        <w:rPr>
          <w:rFonts w:ascii="Times New Roman" w:hAnsi="Times New Roman" w:cs="Times New Roman"/>
        </w:rPr>
        <w:t>wniosek organu</w:t>
      </w:r>
      <w:r w:rsidR="00EA2373" w:rsidRPr="001B011F">
        <w:rPr>
          <w:rFonts w:ascii="Times New Roman" w:hAnsi="Times New Roman" w:cs="Times New Roman"/>
        </w:rPr>
        <w:t xml:space="preserve"> </w:t>
      </w:r>
      <w:r w:rsidR="00DB7AC0" w:rsidRPr="001B011F">
        <w:rPr>
          <w:rFonts w:ascii="Times New Roman" w:hAnsi="Times New Roman" w:cs="Times New Roman"/>
        </w:rPr>
        <w:t>do spraw polityki senioralnej</w:t>
      </w:r>
      <w:r w:rsidR="000028F9" w:rsidRPr="001B011F">
        <w:rPr>
          <w:rFonts w:ascii="Times New Roman" w:hAnsi="Times New Roman" w:cs="Times New Roman"/>
        </w:rPr>
        <w:t>.</w:t>
      </w:r>
    </w:p>
    <w:p w14:paraId="36213AAF" w14:textId="32AC6F7E" w:rsidR="003371A3" w:rsidRPr="001B011F" w:rsidRDefault="00161492" w:rsidP="001B011F">
      <w:pPr>
        <w:spacing w:after="0" w:line="360" w:lineRule="auto"/>
        <w:ind w:firstLine="426"/>
        <w:jc w:val="both"/>
        <w:rPr>
          <w:rFonts w:ascii="Times New Roman" w:hAnsi="Times New Roman" w:cs="Times New Roman"/>
        </w:rPr>
      </w:pPr>
      <w:r w:rsidRPr="001B011F">
        <w:rPr>
          <w:rFonts w:ascii="Times New Roman" w:hAnsi="Times New Roman" w:cs="Times New Roman"/>
        </w:rPr>
        <w:lastRenderedPageBreak/>
        <w:t xml:space="preserve">Wzrost znaczenia polityki senioralnej, w tym jej centralna rola przenikająca szereg działów administracji, </w:t>
      </w:r>
      <w:r w:rsidR="001A4D4A" w:rsidRPr="001B011F">
        <w:rPr>
          <w:rFonts w:ascii="Times New Roman" w:hAnsi="Times New Roman" w:cs="Times New Roman"/>
        </w:rPr>
        <w:t>predestynują</w:t>
      </w:r>
      <w:r w:rsidRPr="001B011F">
        <w:rPr>
          <w:rFonts w:ascii="Times New Roman" w:hAnsi="Times New Roman" w:cs="Times New Roman"/>
        </w:rPr>
        <w:t xml:space="preserve"> </w:t>
      </w:r>
      <w:r w:rsidR="00A30BBF" w:rsidRPr="001B011F">
        <w:rPr>
          <w:rFonts w:ascii="Times New Roman" w:hAnsi="Times New Roman" w:cs="Times New Roman"/>
        </w:rPr>
        <w:t xml:space="preserve">usytuowanie </w:t>
      </w:r>
      <w:r w:rsidRPr="001B011F">
        <w:rPr>
          <w:rFonts w:ascii="Times New Roman" w:hAnsi="Times New Roman" w:cs="Times New Roman"/>
        </w:rPr>
        <w:t xml:space="preserve">Rady </w:t>
      </w:r>
      <w:r w:rsidR="00A30BBF" w:rsidRPr="001B011F">
        <w:rPr>
          <w:rFonts w:ascii="Times New Roman" w:hAnsi="Times New Roman" w:cs="Times New Roman"/>
        </w:rPr>
        <w:t xml:space="preserve">jako organu </w:t>
      </w:r>
      <w:r w:rsidR="000D7E3B" w:rsidRPr="001B011F">
        <w:rPr>
          <w:rFonts w:ascii="Times New Roman" w:hAnsi="Times New Roman" w:cs="Times New Roman"/>
        </w:rPr>
        <w:t>opiniodawczo-doradczego</w:t>
      </w:r>
      <w:r w:rsidRPr="001B011F">
        <w:rPr>
          <w:rFonts w:ascii="Times New Roman" w:hAnsi="Times New Roman" w:cs="Times New Roman"/>
        </w:rPr>
        <w:t xml:space="preserve"> Prezesa Rady Ministrów. </w:t>
      </w:r>
      <w:r w:rsidR="003371A3" w:rsidRPr="001B011F">
        <w:rPr>
          <w:rFonts w:ascii="Times New Roman" w:hAnsi="Times New Roman" w:cs="Times New Roman"/>
        </w:rPr>
        <w:t xml:space="preserve">Potrzeba </w:t>
      </w:r>
      <w:r w:rsidR="00793A99" w:rsidRPr="001B011F">
        <w:rPr>
          <w:rFonts w:ascii="Times New Roman" w:hAnsi="Times New Roman" w:cs="Times New Roman"/>
        </w:rPr>
        <w:t>utworzenia</w:t>
      </w:r>
      <w:r w:rsidR="003371A3" w:rsidRPr="001B011F">
        <w:rPr>
          <w:rFonts w:ascii="Times New Roman" w:hAnsi="Times New Roman" w:cs="Times New Roman"/>
        </w:rPr>
        <w:t xml:space="preserve"> </w:t>
      </w:r>
      <w:r w:rsidR="002969E6" w:rsidRPr="001B011F">
        <w:rPr>
          <w:rFonts w:ascii="Times New Roman" w:hAnsi="Times New Roman" w:cs="Times New Roman"/>
        </w:rPr>
        <w:t>Rady</w:t>
      </w:r>
      <w:r w:rsidR="00DD38A2" w:rsidRPr="001B011F">
        <w:rPr>
          <w:rFonts w:ascii="Times New Roman" w:hAnsi="Times New Roman" w:cs="Times New Roman"/>
        </w:rPr>
        <w:t xml:space="preserve"> </w:t>
      </w:r>
      <w:r w:rsidR="002969E6" w:rsidRPr="001B011F">
        <w:rPr>
          <w:rFonts w:ascii="Times New Roman" w:hAnsi="Times New Roman" w:cs="Times New Roman"/>
        </w:rPr>
        <w:t xml:space="preserve">wynika z </w:t>
      </w:r>
      <w:r w:rsidR="00FB10D3" w:rsidRPr="001B011F">
        <w:rPr>
          <w:rFonts w:ascii="Times New Roman" w:hAnsi="Times New Roman" w:cs="Times New Roman"/>
        </w:rPr>
        <w:t xml:space="preserve">konieczności </w:t>
      </w:r>
      <w:r w:rsidR="002969E6" w:rsidRPr="001B011F">
        <w:rPr>
          <w:rFonts w:ascii="Times New Roman" w:hAnsi="Times New Roman" w:cs="Times New Roman"/>
        </w:rPr>
        <w:t>zapewnienia wsparcia przy tworzeniu rozwiązań</w:t>
      </w:r>
      <w:r w:rsidR="00AD5AB0" w:rsidRPr="001B011F">
        <w:rPr>
          <w:rFonts w:ascii="Times New Roman" w:hAnsi="Times New Roman" w:cs="Times New Roman"/>
        </w:rPr>
        <w:t xml:space="preserve">, </w:t>
      </w:r>
      <w:r w:rsidR="00051AB9" w:rsidRPr="001B011F">
        <w:rPr>
          <w:rFonts w:ascii="Times New Roman" w:hAnsi="Times New Roman" w:cs="Times New Roman"/>
        </w:rPr>
        <w:t>zarówno</w:t>
      </w:r>
      <w:r w:rsidR="00AD5AB0" w:rsidRPr="001B011F">
        <w:rPr>
          <w:rFonts w:ascii="Times New Roman" w:hAnsi="Times New Roman" w:cs="Times New Roman"/>
        </w:rPr>
        <w:t xml:space="preserve"> merytorycznych, </w:t>
      </w:r>
      <w:r w:rsidR="00051AB9" w:rsidRPr="001B011F">
        <w:rPr>
          <w:rFonts w:ascii="Times New Roman" w:hAnsi="Times New Roman" w:cs="Times New Roman"/>
        </w:rPr>
        <w:t>jak i</w:t>
      </w:r>
      <w:r w:rsidR="00AD5AB0" w:rsidRPr="001B011F">
        <w:rPr>
          <w:rFonts w:ascii="Times New Roman" w:hAnsi="Times New Roman" w:cs="Times New Roman"/>
        </w:rPr>
        <w:t xml:space="preserve"> prawnych </w:t>
      </w:r>
      <w:r w:rsidR="002969E6" w:rsidRPr="001B011F">
        <w:rPr>
          <w:rFonts w:ascii="Times New Roman" w:hAnsi="Times New Roman" w:cs="Times New Roman"/>
        </w:rPr>
        <w:t>dla starzejącego się społeczeństwa przez osoby wyróżniające się wiedzą i doświadczeniem w kwestiach polityki senioralnej</w:t>
      </w:r>
      <w:r w:rsidR="00795400" w:rsidRPr="001B011F">
        <w:rPr>
          <w:rFonts w:ascii="Times New Roman" w:hAnsi="Times New Roman" w:cs="Times New Roman"/>
        </w:rPr>
        <w:t>. Jej</w:t>
      </w:r>
      <w:r w:rsidR="00277C2B" w:rsidRPr="001B011F">
        <w:rPr>
          <w:rFonts w:ascii="Times New Roman" w:hAnsi="Times New Roman" w:cs="Times New Roman"/>
        </w:rPr>
        <w:t xml:space="preserve"> znaczenie stale rośnie wraz ze wzrostem aktywności środowisk senioralnych</w:t>
      </w:r>
      <w:r w:rsidR="00795400" w:rsidRPr="001B011F">
        <w:rPr>
          <w:rFonts w:ascii="Times New Roman" w:hAnsi="Times New Roman" w:cs="Times New Roman"/>
        </w:rPr>
        <w:t>, zaś utworzenie Rady stanowi wyraz rosnącego znaczenia działań na rzecz osób starszych</w:t>
      </w:r>
      <w:r w:rsidR="00277C2B" w:rsidRPr="001B011F">
        <w:rPr>
          <w:rFonts w:ascii="Times New Roman" w:hAnsi="Times New Roman" w:cs="Times New Roman"/>
        </w:rPr>
        <w:t>.</w:t>
      </w:r>
      <w:r w:rsidR="002969E6" w:rsidRPr="001B011F">
        <w:rPr>
          <w:rFonts w:ascii="Times New Roman" w:hAnsi="Times New Roman" w:cs="Times New Roman"/>
        </w:rPr>
        <w:t xml:space="preserve"> </w:t>
      </w:r>
      <w:r w:rsidRPr="001B011F">
        <w:rPr>
          <w:rFonts w:ascii="Times New Roman" w:hAnsi="Times New Roman" w:cs="Times New Roman"/>
        </w:rPr>
        <w:t xml:space="preserve">Potrzeba utworzenia Rady oddaje także rangę zagadnień, którymi będzie zajmować się Rada. Ponadto wyzwania z zakresu polityki senioralnej, wskutek zmian demograficznych </w:t>
      </w:r>
      <w:r w:rsidR="00A30BBF" w:rsidRPr="001B011F">
        <w:rPr>
          <w:rFonts w:ascii="Times New Roman" w:hAnsi="Times New Roman" w:cs="Times New Roman"/>
        </w:rPr>
        <w:t xml:space="preserve">są </w:t>
      </w:r>
      <w:r w:rsidRPr="001B011F">
        <w:rPr>
          <w:rFonts w:ascii="Times New Roman" w:hAnsi="Times New Roman" w:cs="Times New Roman"/>
        </w:rPr>
        <w:t>kluczowe dla zasadności utworzenia i działania tego gremium przy Prezesie Rady Ministrów.</w:t>
      </w:r>
      <w:r w:rsidR="00856D2A" w:rsidRPr="001B011F">
        <w:rPr>
          <w:rFonts w:ascii="Times New Roman" w:hAnsi="Times New Roman" w:cs="Times New Roman"/>
        </w:rPr>
        <w:t xml:space="preserve"> Coraz większy odsetek ludności Polski będzie objęta oddziaływaniem polityki senioralnej.</w:t>
      </w:r>
      <w:r w:rsidRPr="001B011F">
        <w:rPr>
          <w:rFonts w:ascii="Times New Roman" w:hAnsi="Times New Roman" w:cs="Times New Roman"/>
        </w:rPr>
        <w:t xml:space="preserve"> Prognozy demograficzne wskazują na dynamiczny wzrost liczby osób starszych w Polsce w  najbliższych dziesięcioleciach (do 2050 r. liczba osób starszych wzrośnie z obecnych około 10 milionów do 12,4 mln, stanowiąc niemal 40% społeczeństwa, zaś liczba osób w wieku 85 i więcej lat podwoi się - wzrośnie z 0,84 mln do 1,7 mln osób, a zatem aż o ponad 100%), co stwarza nowe</w:t>
      </w:r>
      <w:r w:rsidR="00856D2A" w:rsidRPr="001B011F">
        <w:rPr>
          <w:rFonts w:ascii="Times New Roman" w:hAnsi="Times New Roman" w:cs="Times New Roman"/>
        </w:rPr>
        <w:t>, potężne</w:t>
      </w:r>
      <w:r w:rsidRPr="001B011F">
        <w:rPr>
          <w:rFonts w:ascii="Times New Roman" w:hAnsi="Times New Roman" w:cs="Times New Roman"/>
        </w:rPr>
        <w:t xml:space="preserve"> wyzwania dla polityki publicznej, w tym w obszarze polityki senioralnej.</w:t>
      </w:r>
      <w:r w:rsidR="008B4AD9" w:rsidRPr="001B011F">
        <w:rPr>
          <w:rFonts w:ascii="Times New Roman" w:hAnsi="Times New Roman" w:cs="Times New Roman"/>
        </w:rPr>
        <w:t xml:space="preserve"> </w:t>
      </w:r>
      <w:r w:rsidR="00AD5AB0" w:rsidRPr="001B011F">
        <w:rPr>
          <w:rFonts w:ascii="Times New Roman" w:hAnsi="Times New Roman" w:cs="Times New Roman"/>
        </w:rPr>
        <w:t>Skład Rady da</w:t>
      </w:r>
      <w:r w:rsidR="00E32610" w:rsidRPr="001B011F">
        <w:rPr>
          <w:rFonts w:ascii="Times New Roman" w:hAnsi="Times New Roman" w:cs="Times New Roman"/>
        </w:rPr>
        <w:t xml:space="preserve"> </w:t>
      </w:r>
      <w:r w:rsidR="00AD5AB0" w:rsidRPr="001B011F">
        <w:rPr>
          <w:rFonts w:ascii="Times New Roman" w:hAnsi="Times New Roman" w:cs="Times New Roman"/>
        </w:rPr>
        <w:t>gwarancję</w:t>
      </w:r>
      <w:r w:rsidR="001A4D4A" w:rsidRPr="001B011F">
        <w:rPr>
          <w:rFonts w:ascii="Times New Roman" w:hAnsi="Times New Roman" w:cs="Times New Roman"/>
        </w:rPr>
        <w:t xml:space="preserve"> wykorzystania</w:t>
      </w:r>
      <w:r w:rsidR="00AD5AB0" w:rsidRPr="001B011F">
        <w:rPr>
          <w:rFonts w:ascii="Times New Roman" w:hAnsi="Times New Roman" w:cs="Times New Roman"/>
        </w:rPr>
        <w:t xml:space="preserve"> wiedzy w</w:t>
      </w:r>
      <w:r w:rsidR="00E32610" w:rsidRPr="001B011F">
        <w:rPr>
          <w:rFonts w:ascii="Times New Roman" w:hAnsi="Times New Roman" w:cs="Times New Roman"/>
        </w:rPr>
        <w:t> </w:t>
      </w:r>
      <w:r w:rsidR="00AD5AB0" w:rsidRPr="001B011F">
        <w:rPr>
          <w:rFonts w:ascii="Times New Roman" w:hAnsi="Times New Roman" w:cs="Times New Roman"/>
        </w:rPr>
        <w:t>szczególności</w:t>
      </w:r>
      <w:r w:rsidR="001A4D4A" w:rsidRPr="001B011F">
        <w:rPr>
          <w:rFonts w:ascii="Times New Roman" w:hAnsi="Times New Roman" w:cs="Times New Roman"/>
        </w:rPr>
        <w:t xml:space="preserve"> wyróżniających się</w:t>
      </w:r>
      <w:r w:rsidR="00856D2A" w:rsidRPr="001B011F">
        <w:rPr>
          <w:rFonts w:ascii="Times New Roman" w:hAnsi="Times New Roman" w:cs="Times New Roman"/>
        </w:rPr>
        <w:t xml:space="preserve"> w obszarze polityki senioralnej</w:t>
      </w:r>
      <w:r w:rsidR="00AD5AB0" w:rsidRPr="001B011F">
        <w:rPr>
          <w:rFonts w:ascii="Times New Roman" w:hAnsi="Times New Roman" w:cs="Times New Roman"/>
        </w:rPr>
        <w:t xml:space="preserve"> ekspertów, przedstawicieli samorządu terytorialnego, </w:t>
      </w:r>
      <w:r w:rsidR="00277C2B" w:rsidRPr="001B011F">
        <w:rPr>
          <w:rFonts w:ascii="Times New Roman" w:hAnsi="Times New Roman" w:cs="Times New Roman"/>
        </w:rPr>
        <w:t>instytucji naukowyc</w:t>
      </w:r>
      <w:r w:rsidR="00722079" w:rsidRPr="001B011F">
        <w:rPr>
          <w:rFonts w:ascii="Times New Roman" w:hAnsi="Times New Roman" w:cs="Times New Roman"/>
        </w:rPr>
        <w:t xml:space="preserve">h, </w:t>
      </w:r>
      <w:r w:rsidR="00AD5AB0" w:rsidRPr="001B011F">
        <w:rPr>
          <w:rFonts w:ascii="Times New Roman" w:hAnsi="Times New Roman" w:cs="Times New Roman"/>
        </w:rPr>
        <w:t>organizacji społecznych</w:t>
      </w:r>
      <w:r w:rsidR="00FB10D3" w:rsidRPr="001B011F">
        <w:rPr>
          <w:rFonts w:ascii="Times New Roman" w:hAnsi="Times New Roman" w:cs="Times New Roman"/>
        </w:rPr>
        <w:t>,</w:t>
      </w:r>
      <w:r w:rsidR="00AD5AB0" w:rsidRPr="001B011F">
        <w:rPr>
          <w:rFonts w:ascii="Times New Roman" w:hAnsi="Times New Roman" w:cs="Times New Roman"/>
        </w:rPr>
        <w:t xml:space="preserve"> </w:t>
      </w:r>
      <w:r w:rsidR="00722079" w:rsidRPr="001B011F">
        <w:rPr>
          <w:rFonts w:ascii="Times New Roman" w:hAnsi="Times New Roman" w:cs="Times New Roman"/>
        </w:rPr>
        <w:t xml:space="preserve">organizacji pracodawców oraz związków zawodowych, </w:t>
      </w:r>
      <w:r w:rsidR="00AD5AB0" w:rsidRPr="001B011F">
        <w:rPr>
          <w:rFonts w:ascii="Times New Roman" w:hAnsi="Times New Roman" w:cs="Times New Roman"/>
        </w:rPr>
        <w:t>co</w:t>
      </w:r>
      <w:r w:rsidR="00E32610" w:rsidRPr="001B011F">
        <w:rPr>
          <w:rFonts w:ascii="Times New Roman" w:hAnsi="Times New Roman" w:cs="Times New Roman"/>
        </w:rPr>
        <w:t> </w:t>
      </w:r>
      <w:r w:rsidR="00AD5AB0" w:rsidRPr="001B011F">
        <w:rPr>
          <w:rFonts w:ascii="Times New Roman" w:hAnsi="Times New Roman" w:cs="Times New Roman"/>
        </w:rPr>
        <w:t xml:space="preserve">efektywnie przełoży się na wspólne budowanie polityki </w:t>
      </w:r>
      <w:r w:rsidR="00051AB9" w:rsidRPr="001B011F">
        <w:rPr>
          <w:rFonts w:ascii="Times New Roman" w:hAnsi="Times New Roman" w:cs="Times New Roman"/>
        </w:rPr>
        <w:t xml:space="preserve">senioralnej </w:t>
      </w:r>
      <w:r w:rsidR="00AD5AB0" w:rsidRPr="001B011F">
        <w:rPr>
          <w:rFonts w:ascii="Times New Roman" w:hAnsi="Times New Roman" w:cs="Times New Roman"/>
        </w:rPr>
        <w:t>opartej na</w:t>
      </w:r>
      <w:r w:rsidR="00E32610" w:rsidRPr="001B011F">
        <w:rPr>
          <w:rFonts w:ascii="Times New Roman" w:hAnsi="Times New Roman" w:cs="Times New Roman"/>
        </w:rPr>
        <w:t xml:space="preserve"> </w:t>
      </w:r>
      <w:r w:rsidR="00AD5AB0" w:rsidRPr="001B011F">
        <w:rPr>
          <w:rFonts w:ascii="Times New Roman" w:hAnsi="Times New Roman" w:cs="Times New Roman"/>
        </w:rPr>
        <w:t>godności, bezpieczeństwie czy aktywności osób starszych.</w:t>
      </w:r>
      <w:r w:rsidR="00FB10D3" w:rsidRPr="001B011F">
        <w:rPr>
          <w:rFonts w:ascii="Times New Roman" w:hAnsi="Times New Roman" w:cs="Times New Roman"/>
        </w:rPr>
        <w:t xml:space="preserve"> </w:t>
      </w:r>
      <w:r w:rsidR="00AD5AB0" w:rsidRPr="001B011F">
        <w:rPr>
          <w:rFonts w:ascii="Times New Roman" w:hAnsi="Times New Roman" w:cs="Times New Roman"/>
        </w:rPr>
        <w:t>Ponadto celem działań Rady będzie promowanie godności, równości i pełnego uczestnictwa osób starszych w życiu społecznym na wielu jego płaszczyznach.</w:t>
      </w:r>
      <w:r w:rsidR="00277C2B" w:rsidRPr="001B011F">
        <w:rPr>
          <w:rFonts w:ascii="Times New Roman" w:hAnsi="Times New Roman" w:cs="Times New Roman"/>
        </w:rPr>
        <w:t xml:space="preserve"> Ukształtowana w ten sposób Rada będzie wynikiem pozytywnych efektów funkcjonowania dotychczasowej Rady przy Ministrze do spraw Polityki Senioralnej.</w:t>
      </w:r>
      <w:r w:rsidR="0040726F" w:rsidRPr="001B011F">
        <w:rPr>
          <w:rFonts w:ascii="Times New Roman" w:hAnsi="Times New Roman" w:cs="Times New Roman"/>
        </w:rPr>
        <w:t xml:space="preserve"> Rada przy Ministrze do spraw Polityki Senioralnej wypracowała liczne stanowiska </w:t>
      </w:r>
      <w:r w:rsidR="00414CD6" w:rsidRPr="001B011F">
        <w:rPr>
          <w:rFonts w:ascii="Times New Roman" w:hAnsi="Times New Roman" w:cs="Times New Roman"/>
        </w:rPr>
        <w:br/>
      </w:r>
      <w:r w:rsidR="0040726F" w:rsidRPr="001B011F">
        <w:rPr>
          <w:rFonts w:ascii="Times New Roman" w:hAnsi="Times New Roman" w:cs="Times New Roman"/>
        </w:rPr>
        <w:t xml:space="preserve">i rekomendacje dotyczące m.in. projektu uchwały </w:t>
      </w:r>
      <w:r w:rsidR="00A30BBF" w:rsidRPr="001B011F">
        <w:rPr>
          <w:rFonts w:ascii="Times New Roman" w:hAnsi="Times New Roman" w:cs="Times New Roman"/>
        </w:rPr>
        <w:t>R</w:t>
      </w:r>
      <w:r w:rsidR="0040726F" w:rsidRPr="001B011F">
        <w:rPr>
          <w:rFonts w:ascii="Times New Roman" w:hAnsi="Times New Roman" w:cs="Times New Roman"/>
        </w:rPr>
        <w:t xml:space="preserve">ady </w:t>
      </w:r>
      <w:r w:rsidR="00A30BBF" w:rsidRPr="001B011F">
        <w:rPr>
          <w:rFonts w:ascii="Times New Roman" w:hAnsi="Times New Roman" w:cs="Times New Roman"/>
        </w:rPr>
        <w:t>M</w:t>
      </w:r>
      <w:r w:rsidR="0040726F" w:rsidRPr="001B011F">
        <w:rPr>
          <w:rFonts w:ascii="Times New Roman" w:hAnsi="Times New Roman" w:cs="Times New Roman"/>
        </w:rPr>
        <w:t>inistrów dotyczącej „Krajowego programu działań wobec chorób otępiennych na lata 2025–2030”, w sprawie ograniczenia wieku uprawniającego do korzystania z asystenta osobistego w ustawie o asystencji osobistej osób z niepełnosprawnościami czy w sprawie Podstawy programowej przedmiotów edukacja zdrowotna i edukacja obywatelska. Poprzednia Rada pod</w:t>
      </w:r>
      <w:r w:rsidR="00C92022" w:rsidRPr="001B011F">
        <w:rPr>
          <w:rFonts w:ascii="Times New Roman" w:hAnsi="Times New Roman" w:cs="Times New Roman"/>
        </w:rPr>
        <w:t>ejmowała</w:t>
      </w:r>
      <w:r w:rsidR="0040726F" w:rsidRPr="001B011F">
        <w:rPr>
          <w:rFonts w:ascii="Times New Roman" w:hAnsi="Times New Roman" w:cs="Times New Roman"/>
        </w:rPr>
        <w:t xml:space="preserve"> również działania własne, </w:t>
      </w:r>
      <w:r w:rsidR="00B11537" w:rsidRPr="001B011F">
        <w:rPr>
          <w:rFonts w:ascii="Times New Roman" w:hAnsi="Times New Roman" w:cs="Times New Roman"/>
        </w:rPr>
        <w:br/>
      </w:r>
      <w:r w:rsidR="0040726F" w:rsidRPr="001B011F">
        <w:rPr>
          <w:rFonts w:ascii="Times New Roman" w:hAnsi="Times New Roman" w:cs="Times New Roman"/>
        </w:rPr>
        <w:t xml:space="preserve">jak np. rekomendacje dotyczące umieszczenia w programach nauczania przedmiotów edukacji obywatelskiej i zdrowotnej kwestii związanych z systemem emerytalnym i starzeniem się, </w:t>
      </w:r>
      <w:r w:rsidR="00B11537" w:rsidRPr="001B011F">
        <w:rPr>
          <w:rFonts w:ascii="Times New Roman" w:hAnsi="Times New Roman" w:cs="Times New Roman"/>
        </w:rPr>
        <w:br/>
      </w:r>
      <w:r w:rsidR="0040726F" w:rsidRPr="001B011F">
        <w:rPr>
          <w:rFonts w:ascii="Times New Roman" w:hAnsi="Times New Roman" w:cs="Times New Roman"/>
        </w:rPr>
        <w:t>które zostały uwzględnione przez Ministerstwo Edukacji Narodowej.</w:t>
      </w:r>
    </w:p>
    <w:p w14:paraId="0006F27F" w14:textId="094AA7B4" w:rsidR="00881115" w:rsidRPr="001B011F" w:rsidRDefault="00E96B26" w:rsidP="001B011F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lastRenderedPageBreak/>
        <w:t>Projektowane zarządzenie nie spowoduje dodatkowych skutków społecznych, gospodarczych i</w:t>
      </w:r>
      <w:r w:rsidR="00B35253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 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finansowych. </w:t>
      </w:r>
      <w:r w:rsidR="00FB10D3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Koszty związane z obsługą Rady </w:t>
      </w:r>
      <w:r w:rsidR="00FA0541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będą</w:t>
      </w:r>
      <w:r w:rsidR="00FB10D3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pokrywane </w:t>
      </w:r>
      <w:r w:rsidR="00EA2373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z budżetu państwa</w:t>
      </w:r>
      <w:r w:rsidR="00D3063D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,</w:t>
      </w:r>
      <w:r w:rsidR="00EA2373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z części, której dysponentem </w:t>
      </w:r>
      <w:r w:rsidR="0094089A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będzie</w:t>
      </w:r>
      <w:r w:rsidR="0015741E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kierownik urzędu obsługującego organ do spraw polityki senioralnej.</w:t>
      </w:r>
      <w:r w:rsidR="00881115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Urząd ten zapewnia również obsługę Rady. </w:t>
      </w:r>
    </w:p>
    <w:p w14:paraId="0650D948" w14:textId="3C662ABD" w:rsidR="00E96B26" w:rsidRPr="001B011F" w:rsidRDefault="00E96B26" w:rsidP="001B011F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Zakres regulacji nie jest objęty prawem Unii Europejskiej. Projekt nie wymaga notyfikacji Komisji Europejskiej ani przedstawienia innym instytucjom Unii Europejskiej, </w:t>
      </w:r>
    </w:p>
    <w:p w14:paraId="39DD776A" w14:textId="36137342" w:rsidR="00881115" w:rsidRPr="001B011F" w:rsidRDefault="00881115" w:rsidP="001B011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1B011F">
        <w:rPr>
          <w:rFonts w:ascii="Times New Roman" w:hAnsi="Times New Roman" w:cs="Times New Roman"/>
        </w:rPr>
        <w:t>Projekt nie zawiera przepisów technicznych w rozumieniu przepisów rozporządzenia Rady Ministrów z dnia 23 grudnia 2002 r. w sprawie sposobu funkcjonowania krajowego systemu notyfikacji norm i aktów prawnych</w:t>
      </w:r>
      <w:r w:rsidR="00414CD6" w:rsidRPr="001B011F">
        <w:rPr>
          <w:rFonts w:ascii="Times New Roman" w:hAnsi="Times New Roman" w:cs="Times New Roman"/>
        </w:rPr>
        <w:t xml:space="preserve"> (Dz. U. poz. 239 oraz z2004 r. poz. 597),</w:t>
      </w:r>
      <w:r w:rsidRPr="001B011F">
        <w:rPr>
          <w:rFonts w:ascii="Times New Roman" w:hAnsi="Times New Roman" w:cs="Times New Roman"/>
        </w:rPr>
        <w:t xml:space="preserve"> związku z tym nie podlega obowiązkowi notyfikacji. </w:t>
      </w:r>
    </w:p>
    <w:p w14:paraId="5BD63283" w14:textId="30C29CBA" w:rsidR="00E45148" w:rsidRPr="001B011F" w:rsidRDefault="00E96B26" w:rsidP="001B011F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</w:pP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Projekt nie będzie miał wpływu na działalność </w:t>
      </w:r>
      <w:proofErr w:type="spellStart"/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mikroprzedsiębiorców</w:t>
      </w:r>
      <w:proofErr w:type="spellEnd"/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oraz małych i średnich przedsiębiorców, o których mowa w ustawie z dnia 6 marca 2018 r. </w:t>
      </w:r>
      <w:r w:rsidR="00F15169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br/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– Prawo przedsiębiorców (Dz. U. z</w:t>
      </w:r>
      <w:r w:rsidR="00B35253"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 </w:t>
      </w:r>
      <w:r w:rsidRPr="001B011F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2025 r. poz. 1480, 1795 i 1826).</w:t>
      </w:r>
    </w:p>
    <w:p w14:paraId="30D5E965" w14:textId="1C494776" w:rsidR="004064A0" w:rsidRPr="001B011F" w:rsidRDefault="009D7BA7" w:rsidP="001B011F">
      <w:pPr>
        <w:spacing w:after="0" w:line="360" w:lineRule="auto"/>
        <w:ind w:firstLine="510"/>
        <w:jc w:val="both"/>
        <w:rPr>
          <w:rFonts w:ascii="Times New Roman" w:hAnsi="Times New Roman" w:cs="Times New Roman"/>
        </w:rPr>
      </w:pPr>
      <w:r w:rsidRPr="001B011F">
        <w:rPr>
          <w:rFonts w:ascii="Times New Roman" w:hAnsi="Times New Roman" w:cs="Times New Roman"/>
        </w:rPr>
        <w:t>Zarządzenie w</w:t>
      </w:r>
      <w:r w:rsidR="002B1FF1" w:rsidRPr="001B011F">
        <w:rPr>
          <w:rFonts w:ascii="Times New Roman" w:hAnsi="Times New Roman" w:cs="Times New Roman"/>
        </w:rPr>
        <w:t xml:space="preserve">chodzi </w:t>
      </w:r>
      <w:r w:rsidRPr="001B011F">
        <w:rPr>
          <w:rFonts w:ascii="Times New Roman" w:hAnsi="Times New Roman" w:cs="Times New Roman"/>
        </w:rPr>
        <w:t xml:space="preserve">w życie z dniem </w:t>
      </w:r>
      <w:r w:rsidR="00BD0525" w:rsidRPr="001B011F">
        <w:rPr>
          <w:rFonts w:ascii="Times New Roman" w:hAnsi="Times New Roman" w:cs="Times New Roman"/>
        </w:rPr>
        <w:t xml:space="preserve">następującym po dniu </w:t>
      </w:r>
      <w:r w:rsidR="00793A99" w:rsidRPr="001B011F">
        <w:rPr>
          <w:rFonts w:ascii="Times New Roman" w:hAnsi="Times New Roman" w:cs="Times New Roman"/>
        </w:rPr>
        <w:t>ogłoszenia</w:t>
      </w:r>
      <w:r w:rsidR="00177393" w:rsidRPr="001B011F">
        <w:rPr>
          <w:rFonts w:ascii="Times New Roman" w:hAnsi="Times New Roman" w:cs="Times New Roman"/>
        </w:rPr>
        <w:t>.</w:t>
      </w:r>
    </w:p>
    <w:p w14:paraId="020E7FD0" w14:textId="77777777" w:rsidR="00414CD6" w:rsidRPr="001B011F" w:rsidRDefault="00414CD6" w:rsidP="002C2CC0">
      <w:pPr>
        <w:spacing w:line="360" w:lineRule="auto"/>
        <w:ind w:firstLine="510"/>
        <w:jc w:val="both"/>
        <w:rPr>
          <w:rFonts w:ascii="Times New Roman" w:hAnsi="Times New Roman" w:cs="Times New Roman"/>
        </w:rPr>
      </w:pPr>
    </w:p>
    <w:p w14:paraId="0C23AF01" w14:textId="77777777" w:rsidR="00414CD6" w:rsidRPr="001B011F" w:rsidRDefault="00414CD6" w:rsidP="002C2CC0">
      <w:pPr>
        <w:spacing w:line="360" w:lineRule="auto"/>
        <w:ind w:firstLine="510"/>
        <w:jc w:val="both"/>
        <w:rPr>
          <w:rFonts w:ascii="Times New Roman" w:hAnsi="Times New Roman" w:cs="Times New Roman"/>
        </w:rPr>
      </w:pPr>
    </w:p>
    <w:p w14:paraId="49A0DCA4" w14:textId="77777777" w:rsidR="00414CD6" w:rsidRPr="001B011F" w:rsidRDefault="00414CD6" w:rsidP="002C2CC0">
      <w:pPr>
        <w:spacing w:line="360" w:lineRule="auto"/>
        <w:ind w:firstLine="510"/>
        <w:jc w:val="both"/>
        <w:rPr>
          <w:rFonts w:ascii="Times New Roman" w:hAnsi="Times New Roman" w:cs="Times New Roman"/>
        </w:rPr>
      </w:pPr>
    </w:p>
    <w:p w14:paraId="3AE717B1" w14:textId="77777777" w:rsidR="00414CD6" w:rsidRPr="001B011F" w:rsidRDefault="00414CD6" w:rsidP="002C2CC0">
      <w:pPr>
        <w:spacing w:line="360" w:lineRule="auto"/>
        <w:ind w:firstLine="510"/>
        <w:jc w:val="both"/>
        <w:rPr>
          <w:rFonts w:ascii="Times New Roman" w:hAnsi="Times New Roman" w:cs="Times New Roman"/>
        </w:rPr>
      </w:pPr>
    </w:p>
    <w:p w14:paraId="53A4D5EA" w14:textId="77777777" w:rsidR="00414CD6" w:rsidRPr="001B011F" w:rsidRDefault="00414CD6" w:rsidP="002C2CC0">
      <w:pPr>
        <w:spacing w:line="360" w:lineRule="auto"/>
        <w:ind w:firstLine="510"/>
        <w:jc w:val="both"/>
        <w:rPr>
          <w:rFonts w:ascii="Times New Roman" w:hAnsi="Times New Roman" w:cs="Times New Roman"/>
        </w:rPr>
      </w:pPr>
    </w:p>
    <w:p w14:paraId="3BF36A0A" w14:textId="77777777" w:rsidR="00414CD6" w:rsidRPr="001B011F" w:rsidRDefault="00414CD6" w:rsidP="00414CD6">
      <w:pPr>
        <w:pStyle w:val="OZNPARAFYADNOTACJE"/>
        <w:rPr>
          <w:rFonts w:cs="Times New Roman"/>
        </w:rPr>
      </w:pPr>
      <w:r w:rsidRPr="001B011F">
        <w:rPr>
          <w:rFonts w:cs="Times New Roman"/>
        </w:rPr>
        <w:t>ZA ZGODNOŚĆ POD WZGLĘDEM PRAWNYM,</w:t>
      </w:r>
    </w:p>
    <w:p w14:paraId="0437D9E7" w14:textId="77777777" w:rsidR="00414CD6" w:rsidRPr="001B011F" w:rsidRDefault="00414CD6" w:rsidP="00414CD6">
      <w:pPr>
        <w:pStyle w:val="OZNPARAFYADNOTACJE"/>
        <w:rPr>
          <w:rFonts w:cs="Times New Roman"/>
        </w:rPr>
      </w:pPr>
      <w:r w:rsidRPr="001B011F">
        <w:rPr>
          <w:rFonts w:cs="Times New Roman"/>
        </w:rPr>
        <w:t>LEGISLACYJNYM I REDAKCYJNYM</w:t>
      </w:r>
    </w:p>
    <w:p w14:paraId="6DAF2558" w14:textId="77777777" w:rsidR="00414CD6" w:rsidRPr="001B011F" w:rsidRDefault="00414CD6" w:rsidP="00414CD6">
      <w:pPr>
        <w:pStyle w:val="OZNPARAFYADNOTACJE"/>
        <w:rPr>
          <w:rFonts w:cs="Times New Roman"/>
        </w:rPr>
      </w:pPr>
      <w:r w:rsidRPr="001B011F">
        <w:rPr>
          <w:rFonts w:cs="Times New Roman"/>
        </w:rPr>
        <w:t>Aleksandra Wrochna</w:t>
      </w:r>
    </w:p>
    <w:p w14:paraId="7338842C" w14:textId="77777777" w:rsidR="00414CD6" w:rsidRPr="001B011F" w:rsidRDefault="00414CD6" w:rsidP="00414CD6">
      <w:pPr>
        <w:pStyle w:val="OZNPARAFYADNOTACJE"/>
        <w:rPr>
          <w:rFonts w:cs="Times New Roman"/>
        </w:rPr>
      </w:pPr>
      <w:r w:rsidRPr="001B011F">
        <w:rPr>
          <w:rFonts w:cs="Times New Roman"/>
        </w:rPr>
        <w:t>Dyrektor Departamentu Prawnego</w:t>
      </w:r>
    </w:p>
    <w:p w14:paraId="5A3378B4" w14:textId="77777777" w:rsidR="00414CD6" w:rsidRPr="001B011F" w:rsidRDefault="00414CD6" w:rsidP="00414CD6">
      <w:pPr>
        <w:pStyle w:val="OZNPARAFYADNOTACJE"/>
        <w:rPr>
          <w:rFonts w:cs="Times New Roman"/>
        </w:rPr>
      </w:pPr>
      <w:r w:rsidRPr="001B011F">
        <w:rPr>
          <w:rFonts w:cs="Times New Roman"/>
        </w:rPr>
        <w:t>w Kancelarii Prezesa Rady Ministrów</w:t>
      </w:r>
    </w:p>
    <w:p w14:paraId="03AA80D0" w14:textId="77777777" w:rsidR="00414CD6" w:rsidRPr="001B011F" w:rsidRDefault="00414CD6" w:rsidP="00414CD6">
      <w:pPr>
        <w:pStyle w:val="OZNPARAFYADNOTACJE"/>
        <w:rPr>
          <w:rFonts w:cs="Times New Roman"/>
        </w:rPr>
      </w:pPr>
      <w:r w:rsidRPr="001B011F">
        <w:rPr>
          <w:rFonts w:cs="Times New Roman"/>
        </w:rPr>
        <w:t>/</w:t>
      </w:r>
      <w:r w:rsidRPr="001B011F">
        <w:rPr>
          <w:rFonts w:cs="Times New Roman"/>
        </w:rPr>
        <w:noBreakHyphen/>
        <w:t xml:space="preserve"> podpisano elektronicznie/</w:t>
      </w:r>
    </w:p>
    <w:p w14:paraId="6361D9F5" w14:textId="77777777" w:rsidR="00414CD6" w:rsidRPr="001B011F" w:rsidRDefault="00414CD6" w:rsidP="002C2CC0">
      <w:pPr>
        <w:spacing w:line="360" w:lineRule="auto"/>
        <w:ind w:firstLine="510"/>
        <w:jc w:val="both"/>
        <w:rPr>
          <w:rFonts w:ascii="Times New Roman" w:hAnsi="Times New Roman" w:cs="Times New Roman"/>
        </w:rPr>
      </w:pPr>
    </w:p>
    <w:sectPr w:rsidR="00414CD6" w:rsidRPr="001B0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4891" w14:textId="77777777" w:rsidR="00A1282D" w:rsidRDefault="00A1282D" w:rsidP="006E0B71">
      <w:pPr>
        <w:spacing w:after="0" w:line="240" w:lineRule="auto"/>
      </w:pPr>
      <w:r>
        <w:separator/>
      </w:r>
    </w:p>
  </w:endnote>
  <w:endnote w:type="continuationSeparator" w:id="0">
    <w:p w14:paraId="232844DE" w14:textId="77777777" w:rsidR="00A1282D" w:rsidRDefault="00A1282D" w:rsidP="006E0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2859" w14:textId="77777777" w:rsidR="00A1282D" w:rsidRDefault="00A1282D" w:rsidP="006E0B71">
      <w:pPr>
        <w:spacing w:after="0" w:line="240" w:lineRule="auto"/>
      </w:pPr>
      <w:r>
        <w:separator/>
      </w:r>
    </w:p>
  </w:footnote>
  <w:footnote w:type="continuationSeparator" w:id="0">
    <w:p w14:paraId="61D75265" w14:textId="77777777" w:rsidR="00A1282D" w:rsidRDefault="00A1282D" w:rsidP="006E0B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322BF"/>
    <w:multiLevelType w:val="hybridMultilevel"/>
    <w:tmpl w:val="5866D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14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71"/>
    <w:rsid w:val="000028F9"/>
    <w:rsid w:val="00051AB9"/>
    <w:rsid w:val="000A5590"/>
    <w:rsid w:val="000B263E"/>
    <w:rsid w:val="000B3F7B"/>
    <w:rsid w:val="000D7E3B"/>
    <w:rsid w:val="0010340F"/>
    <w:rsid w:val="001429E3"/>
    <w:rsid w:val="00144CDF"/>
    <w:rsid w:val="0015741E"/>
    <w:rsid w:val="00161492"/>
    <w:rsid w:val="00171AB1"/>
    <w:rsid w:val="00176850"/>
    <w:rsid w:val="00177393"/>
    <w:rsid w:val="00194821"/>
    <w:rsid w:val="001A0D5B"/>
    <w:rsid w:val="001A4D4A"/>
    <w:rsid w:val="001A768B"/>
    <w:rsid w:val="001B011F"/>
    <w:rsid w:val="001D3C08"/>
    <w:rsid w:val="001D660C"/>
    <w:rsid w:val="001F24C6"/>
    <w:rsid w:val="001F3281"/>
    <w:rsid w:val="00211400"/>
    <w:rsid w:val="00216018"/>
    <w:rsid w:val="002204FF"/>
    <w:rsid w:val="002217B6"/>
    <w:rsid w:val="0026419E"/>
    <w:rsid w:val="0027006E"/>
    <w:rsid w:val="00277C2B"/>
    <w:rsid w:val="002969E6"/>
    <w:rsid w:val="002A05FA"/>
    <w:rsid w:val="002B0D83"/>
    <w:rsid w:val="002B1FF1"/>
    <w:rsid w:val="002B5B2B"/>
    <w:rsid w:val="002C2CC0"/>
    <w:rsid w:val="003142D3"/>
    <w:rsid w:val="003371A3"/>
    <w:rsid w:val="003729AE"/>
    <w:rsid w:val="0038521D"/>
    <w:rsid w:val="00394AD0"/>
    <w:rsid w:val="004064A0"/>
    <w:rsid w:val="0040726F"/>
    <w:rsid w:val="0041038E"/>
    <w:rsid w:val="00414CD6"/>
    <w:rsid w:val="00441304"/>
    <w:rsid w:val="004519AB"/>
    <w:rsid w:val="00470B94"/>
    <w:rsid w:val="0048304C"/>
    <w:rsid w:val="00485B73"/>
    <w:rsid w:val="004A6DAA"/>
    <w:rsid w:val="005227D2"/>
    <w:rsid w:val="005465B7"/>
    <w:rsid w:val="00546C29"/>
    <w:rsid w:val="00551F59"/>
    <w:rsid w:val="00552FE4"/>
    <w:rsid w:val="00584527"/>
    <w:rsid w:val="005924DD"/>
    <w:rsid w:val="005B6090"/>
    <w:rsid w:val="005F664A"/>
    <w:rsid w:val="005F6A19"/>
    <w:rsid w:val="005F6D2F"/>
    <w:rsid w:val="006073FF"/>
    <w:rsid w:val="00627E61"/>
    <w:rsid w:val="00634F85"/>
    <w:rsid w:val="00641335"/>
    <w:rsid w:val="00662C53"/>
    <w:rsid w:val="006941D9"/>
    <w:rsid w:val="006D6F8C"/>
    <w:rsid w:val="006E0B71"/>
    <w:rsid w:val="006E68F4"/>
    <w:rsid w:val="00700892"/>
    <w:rsid w:val="00722079"/>
    <w:rsid w:val="00755120"/>
    <w:rsid w:val="00755378"/>
    <w:rsid w:val="00764ABB"/>
    <w:rsid w:val="00793A99"/>
    <w:rsid w:val="00795400"/>
    <w:rsid w:val="007B1B48"/>
    <w:rsid w:val="007C1B0B"/>
    <w:rsid w:val="007D34F6"/>
    <w:rsid w:val="00856D2A"/>
    <w:rsid w:val="00876EC0"/>
    <w:rsid w:val="00881115"/>
    <w:rsid w:val="008B4AD9"/>
    <w:rsid w:val="008C6DD4"/>
    <w:rsid w:val="0094089A"/>
    <w:rsid w:val="009D7BA7"/>
    <w:rsid w:val="009E106B"/>
    <w:rsid w:val="009E2068"/>
    <w:rsid w:val="00A1282D"/>
    <w:rsid w:val="00A25261"/>
    <w:rsid w:val="00A30BBF"/>
    <w:rsid w:val="00A574F9"/>
    <w:rsid w:val="00A57EC5"/>
    <w:rsid w:val="00A65810"/>
    <w:rsid w:val="00A94E1C"/>
    <w:rsid w:val="00AB70EC"/>
    <w:rsid w:val="00AD2E83"/>
    <w:rsid w:val="00AD5AB0"/>
    <w:rsid w:val="00AE79FE"/>
    <w:rsid w:val="00AE7CE2"/>
    <w:rsid w:val="00B11537"/>
    <w:rsid w:val="00B33DE0"/>
    <w:rsid w:val="00B35253"/>
    <w:rsid w:val="00B36444"/>
    <w:rsid w:val="00B43C51"/>
    <w:rsid w:val="00B56705"/>
    <w:rsid w:val="00B62010"/>
    <w:rsid w:val="00B670CB"/>
    <w:rsid w:val="00B94152"/>
    <w:rsid w:val="00BA2921"/>
    <w:rsid w:val="00BB0739"/>
    <w:rsid w:val="00BD0525"/>
    <w:rsid w:val="00C24FF1"/>
    <w:rsid w:val="00C67787"/>
    <w:rsid w:val="00C77946"/>
    <w:rsid w:val="00C92022"/>
    <w:rsid w:val="00CB1809"/>
    <w:rsid w:val="00D01D7D"/>
    <w:rsid w:val="00D257DD"/>
    <w:rsid w:val="00D3063D"/>
    <w:rsid w:val="00D315C1"/>
    <w:rsid w:val="00D40F62"/>
    <w:rsid w:val="00D648AE"/>
    <w:rsid w:val="00D94925"/>
    <w:rsid w:val="00D97B03"/>
    <w:rsid w:val="00DB1A7F"/>
    <w:rsid w:val="00DB7AC0"/>
    <w:rsid w:val="00DD38A2"/>
    <w:rsid w:val="00DE7DE0"/>
    <w:rsid w:val="00DF0B0F"/>
    <w:rsid w:val="00DF5C49"/>
    <w:rsid w:val="00E131A8"/>
    <w:rsid w:val="00E22D20"/>
    <w:rsid w:val="00E32610"/>
    <w:rsid w:val="00E45148"/>
    <w:rsid w:val="00E82179"/>
    <w:rsid w:val="00E96B26"/>
    <w:rsid w:val="00EA2373"/>
    <w:rsid w:val="00EE4199"/>
    <w:rsid w:val="00EE661E"/>
    <w:rsid w:val="00F031F3"/>
    <w:rsid w:val="00F15169"/>
    <w:rsid w:val="00F8627B"/>
    <w:rsid w:val="00FA0541"/>
    <w:rsid w:val="00FB10D3"/>
    <w:rsid w:val="00FD2BDD"/>
    <w:rsid w:val="00FF5FA4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93F02"/>
  <w15:chartTrackingRefBased/>
  <w15:docId w15:val="{3F2C398B-AEB3-44E0-B378-8C2F3737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0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B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B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B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B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B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B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B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B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B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B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B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B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B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B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B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B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B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B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B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B71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B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B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0B7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1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1D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1D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1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1D7D"/>
    <w:rPr>
      <w:b/>
      <w:bCs/>
      <w:sz w:val="20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634F8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30BBF"/>
    <w:pPr>
      <w:spacing w:after="0" w:line="240" w:lineRule="auto"/>
    </w:pPr>
  </w:style>
  <w:style w:type="paragraph" w:customStyle="1" w:styleId="OZNPARAFYADNOTACJE">
    <w:name w:val="OZN_PARAFY(ADNOTACJE)"/>
    <w:basedOn w:val="Normalny"/>
    <w:uiPriority w:val="26"/>
    <w:qFormat/>
    <w:rsid w:val="00414CD6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0B99-097A-4927-AB88-0E4AA5A0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Nogat Marta</dc:creator>
  <cp:keywords/>
  <dc:description/>
  <cp:lastModifiedBy>Nogat Marta</cp:lastModifiedBy>
  <cp:revision>2</cp:revision>
  <dcterms:created xsi:type="dcterms:W3CDTF">2026-04-28T12:05:00Z</dcterms:created>
  <dcterms:modified xsi:type="dcterms:W3CDTF">2026-04-28T12:05:00Z</dcterms:modified>
</cp:coreProperties>
</file>