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FECE2" w14:textId="7DE32324" w:rsidR="006E77B3" w:rsidRDefault="00000000">
      <w:pPr>
        <w:pStyle w:val="Teksttreci0"/>
        <w:spacing w:after="900" w:line="240" w:lineRule="auto"/>
        <w:jc w:val="right"/>
      </w:pPr>
      <w:r>
        <w:rPr>
          <w:rStyle w:val="Teksttreci"/>
        </w:rPr>
        <w:t xml:space="preserve"> dnia 4 sierpnia 2026 r.</w:t>
      </w:r>
    </w:p>
    <w:p w14:paraId="489F4D6D" w14:textId="77777777" w:rsidR="006E77B3" w:rsidRDefault="00000000">
      <w:pPr>
        <w:pStyle w:val="Teksttreci0"/>
        <w:spacing w:after="0" w:line="300" w:lineRule="auto"/>
        <w:ind w:left="5080"/>
      </w:pPr>
      <w:r>
        <w:rPr>
          <w:rStyle w:val="Teksttreci"/>
        </w:rPr>
        <w:t>Sejm Rzeczypospolitej Polskiej</w:t>
      </w:r>
    </w:p>
    <w:p w14:paraId="226A38B3" w14:textId="77777777" w:rsidR="006E77B3" w:rsidRDefault="00000000">
      <w:pPr>
        <w:pStyle w:val="Teksttreci0"/>
        <w:spacing w:after="280" w:line="300" w:lineRule="auto"/>
        <w:ind w:left="5080"/>
      </w:pPr>
      <w:r>
        <w:rPr>
          <w:rStyle w:val="Teksttreci"/>
        </w:rPr>
        <w:t>Komisja do Spraw Petycji ul. Wiejska 4/6/8 00-902 Warszawa</w:t>
      </w:r>
    </w:p>
    <w:p w14:paraId="600DE64B" w14:textId="77777777" w:rsidR="006E77B3" w:rsidRDefault="00000000">
      <w:pPr>
        <w:pStyle w:val="Teksttreci0"/>
        <w:spacing w:after="0" w:line="240" w:lineRule="auto"/>
        <w:jc w:val="both"/>
      </w:pPr>
      <w:r>
        <w:rPr>
          <w:rStyle w:val="Teksttreci"/>
          <w:b/>
          <w:bCs/>
        </w:rPr>
        <w:t>PETYCJA</w:t>
      </w:r>
    </w:p>
    <w:p w14:paraId="1048BF17" w14:textId="77777777" w:rsidR="006E77B3" w:rsidRDefault="00000000">
      <w:pPr>
        <w:pStyle w:val="Teksttreci0"/>
        <w:spacing w:after="360" w:line="377" w:lineRule="auto"/>
        <w:jc w:val="both"/>
      </w:pPr>
      <w:r>
        <w:rPr>
          <w:rStyle w:val="Teksttreci"/>
        </w:rPr>
        <w:t>w sprawie oceny zasadności i efektywności systemu kaucyjnego oraz rozważenia zastąpienia go systemem selektywnego zbierania i recyklingu opakowań po napojach</w:t>
      </w:r>
    </w:p>
    <w:p w14:paraId="51D781CA" w14:textId="77777777" w:rsidR="006E77B3" w:rsidRDefault="00000000">
      <w:pPr>
        <w:pStyle w:val="Teksttreci0"/>
        <w:spacing w:after="360" w:line="374" w:lineRule="auto"/>
        <w:jc w:val="both"/>
      </w:pPr>
      <w:r>
        <w:rPr>
          <w:rStyle w:val="Teksttreci"/>
        </w:rPr>
        <w:t>Na podstawie art. 2 ust. 1 i 3 oraz art. 4 ustawy z dnia 11 lipca 2014 r. o petycjach zwracam się z petycję o podjęcie przez Sejm Rzeczypospolitej Polskiej działań zmierzających do przeprowadzenia kompleksowej oceny zasadności, efektywności i kosztów funkcjonowania systemu kaucyjnego oraz porównania go z alternatywnym systemem selektywnego zbierania i recyklingu opakowań po napojach.</w:t>
      </w:r>
    </w:p>
    <w:p w14:paraId="539AF135" w14:textId="77777777" w:rsidR="006E77B3" w:rsidRDefault="00000000">
      <w:pPr>
        <w:pStyle w:val="Teksttreci0"/>
        <w:spacing w:after="0" w:line="360" w:lineRule="auto"/>
      </w:pPr>
      <w:r>
        <w:rPr>
          <w:rStyle w:val="Teksttreci"/>
        </w:rPr>
        <w:t>Wnoszę o:</w:t>
      </w:r>
    </w:p>
    <w:p w14:paraId="7A245B63" w14:textId="77777777" w:rsidR="006E77B3" w:rsidRDefault="00000000">
      <w:pPr>
        <w:pStyle w:val="Teksttreci0"/>
        <w:numPr>
          <w:ilvl w:val="0"/>
          <w:numId w:val="1"/>
        </w:numPr>
        <w:tabs>
          <w:tab w:val="left" w:pos="346"/>
        </w:tabs>
        <w:spacing w:after="360" w:line="360" w:lineRule="auto"/>
        <w:jc w:val="both"/>
      </w:pPr>
      <w:r>
        <w:rPr>
          <w:rStyle w:val="Teksttreci"/>
        </w:rPr>
        <w:t>przeprowadzenie kompleksowej oceny funkcjonowania systemu kaucyjnego w Polsce, uruchomionego 1 października 2025 r., pod względem jego skuteczności, kosztów oraz rzeczywistych efektów środowiskowych;</w:t>
      </w:r>
    </w:p>
    <w:p w14:paraId="5FD2DCB3" w14:textId="77777777" w:rsidR="006E77B3" w:rsidRDefault="00000000">
      <w:pPr>
        <w:pStyle w:val="Teksttreci0"/>
        <w:numPr>
          <w:ilvl w:val="0"/>
          <w:numId w:val="1"/>
        </w:numPr>
        <w:tabs>
          <w:tab w:val="left" w:pos="342"/>
        </w:tabs>
        <w:spacing w:after="360" w:line="360" w:lineRule="auto"/>
        <w:jc w:val="both"/>
      </w:pPr>
      <w:r>
        <w:rPr>
          <w:rStyle w:val="Teksttreci"/>
        </w:rPr>
        <w:t>dokonanie oceny, czy system kaucyjny jest konieczny i najbardziej efektywny dla osiągnięcia wymaganych poziomów selektywnego zbierania i recyklingu jednorazowych opakowań po napojach;</w:t>
      </w:r>
    </w:p>
    <w:p w14:paraId="3769A30F" w14:textId="77777777" w:rsidR="006E77B3" w:rsidRDefault="00000000">
      <w:pPr>
        <w:pStyle w:val="Teksttreci0"/>
        <w:numPr>
          <w:ilvl w:val="0"/>
          <w:numId w:val="1"/>
        </w:numPr>
        <w:tabs>
          <w:tab w:val="left" w:pos="367"/>
        </w:tabs>
        <w:spacing w:after="360"/>
        <w:jc w:val="both"/>
      </w:pPr>
      <w:r>
        <w:rPr>
          <w:rStyle w:val="Teksttreci"/>
        </w:rPr>
        <w:t>przeprowadzenie porównania systemu kaucyjnego z alternatywnym systemem selektywnego zbierania i recyklingu opakowań, opartym na istniejącym systemie gospodarki odpadami komunalnymi, z wykorzystaniem i odpowiednim rozwinięciem jego infrastruktury, w tym Punktów Selektywnego Zbierania Odpadów Komunalnych (PSZOK);</w:t>
      </w:r>
    </w:p>
    <w:p w14:paraId="6AA13CBB" w14:textId="77777777" w:rsidR="006E77B3" w:rsidRDefault="00000000">
      <w:pPr>
        <w:pStyle w:val="Teksttreci0"/>
        <w:numPr>
          <w:ilvl w:val="0"/>
          <w:numId w:val="1"/>
        </w:numPr>
        <w:tabs>
          <w:tab w:val="left" w:pos="356"/>
        </w:tabs>
        <w:spacing w:after="0" w:line="360" w:lineRule="auto"/>
      </w:pPr>
      <w:r>
        <w:rPr>
          <w:rStyle w:val="Teksttreci"/>
        </w:rPr>
        <w:t>dokonanie porównania obu modeli w szczególności pod względem:</w:t>
      </w:r>
    </w:p>
    <w:p w14:paraId="46A3BA4F" w14:textId="77777777" w:rsidR="006E77B3" w:rsidRDefault="00000000">
      <w:pPr>
        <w:pStyle w:val="Teksttreci0"/>
        <w:numPr>
          <w:ilvl w:val="0"/>
          <w:numId w:val="2"/>
        </w:numPr>
        <w:tabs>
          <w:tab w:val="left" w:pos="245"/>
        </w:tabs>
        <w:spacing w:after="0" w:line="360" w:lineRule="auto"/>
      </w:pPr>
      <w:r>
        <w:rPr>
          <w:rStyle w:val="Teksttreci"/>
        </w:rPr>
        <w:t>poziomu zbierania opakowań,</w:t>
      </w:r>
    </w:p>
    <w:p w14:paraId="122F4384" w14:textId="77777777" w:rsidR="006E77B3" w:rsidRDefault="00000000">
      <w:pPr>
        <w:pStyle w:val="Teksttreci0"/>
        <w:numPr>
          <w:ilvl w:val="0"/>
          <w:numId w:val="2"/>
        </w:numPr>
        <w:tabs>
          <w:tab w:val="left" w:pos="245"/>
        </w:tabs>
        <w:spacing w:after="0" w:line="360" w:lineRule="auto"/>
      </w:pPr>
      <w:r>
        <w:rPr>
          <w:rStyle w:val="Teksttreci"/>
        </w:rPr>
        <w:t>poziomu odzysku i recyklingu,</w:t>
      </w:r>
    </w:p>
    <w:p w14:paraId="3A3DD820" w14:textId="77777777" w:rsidR="006E77B3" w:rsidRDefault="00000000">
      <w:pPr>
        <w:pStyle w:val="Teksttreci0"/>
        <w:numPr>
          <w:ilvl w:val="0"/>
          <w:numId w:val="2"/>
        </w:numPr>
        <w:tabs>
          <w:tab w:val="left" w:pos="241"/>
        </w:tabs>
        <w:spacing w:after="0" w:line="360" w:lineRule="auto"/>
      </w:pPr>
      <w:r>
        <w:rPr>
          <w:rStyle w:val="Teksttreci"/>
        </w:rPr>
        <w:t>kosztów funkcjonowania,</w:t>
      </w:r>
    </w:p>
    <w:p w14:paraId="71990DCD" w14:textId="77777777" w:rsidR="006E77B3" w:rsidRDefault="00000000">
      <w:pPr>
        <w:pStyle w:val="Teksttreci0"/>
        <w:numPr>
          <w:ilvl w:val="0"/>
          <w:numId w:val="2"/>
        </w:numPr>
        <w:tabs>
          <w:tab w:val="left" w:pos="241"/>
        </w:tabs>
        <w:spacing w:after="0" w:line="360" w:lineRule="auto"/>
      </w:pPr>
      <w:r>
        <w:rPr>
          <w:rStyle w:val="Teksttreci"/>
        </w:rPr>
        <w:t>kosztów infrastruktury,</w:t>
      </w:r>
    </w:p>
    <w:p w14:paraId="17B36AEF" w14:textId="77777777" w:rsidR="006E77B3" w:rsidRDefault="00000000">
      <w:pPr>
        <w:pStyle w:val="Teksttreci0"/>
        <w:numPr>
          <w:ilvl w:val="0"/>
          <w:numId w:val="2"/>
        </w:numPr>
        <w:tabs>
          <w:tab w:val="left" w:pos="245"/>
        </w:tabs>
        <w:spacing w:after="0" w:line="360" w:lineRule="auto"/>
      </w:pPr>
      <w:r>
        <w:rPr>
          <w:rStyle w:val="Teksttreci"/>
        </w:rPr>
        <w:t>kosztów transportu, magazynowania i sortowania,</w:t>
      </w:r>
    </w:p>
    <w:p w14:paraId="591A173C" w14:textId="77777777" w:rsidR="006E77B3" w:rsidRDefault="00000000">
      <w:pPr>
        <w:pStyle w:val="Teksttreci0"/>
        <w:numPr>
          <w:ilvl w:val="0"/>
          <w:numId w:val="2"/>
        </w:numPr>
        <w:tabs>
          <w:tab w:val="left" w:pos="238"/>
        </w:tabs>
        <w:spacing w:after="0" w:line="360" w:lineRule="auto"/>
      </w:pPr>
      <w:r>
        <w:rPr>
          <w:rStyle w:val="Teksttreci"/>
        </w:rPr>
        <w:t>kosztów ponoszonych przez konsumentów,</w:t>
      </w:r>
    </w:p>
    <w:p w14:paraId="58FA2C6A" w14:textId="77777777" w:rsidR="006E77B3" w:rsidRDefault="00000000">
      <w:pPr>
        <w:pStyle w:val="Teksttreci0"/>
        <w:numPr>
          <w:ilvl w:val="0"/>
          <w:numId w:val="2"/>
        </w:numPr>
        <w:tabs>
          <w:tab w:val="left" w:pos="241"/>
        </w:tabs>
        <w:spacing w:after="0" w:line="360" w:lineRule="auto"/>
      </w:pPr>
      <w:r>
        <w:rPr>
          <w:rStyle w:val="Teksttreci"/>
        </w:rPr>
        <w:t>kosztów ponoszonych przez przedsiębiorców,</w:t>
      </w:r>
    </w:p>
    <w:p w14:paraId="1086D3A0" w14:textId="77777777" w:rsidR="006E77B3" w:rsidRDefault="00000000">
      <w:pPr>
        <w:pStyle w:val="Teksttreci0"/>
        <w:numPr>
          <w:ilvl w:val="0"/>
          <w:numId w:val="2"/>
        </w:numPr>
        <w:tabs>
          <w:tab w:val="left" w:pos="245"/>
        </w:tabs>
        <w:spacing w:after="0" w:line="360" w:lineRule="auto"/>
      </w:pPr>
      <w:r>
        <w:rPr>
          <w:rStyle w:val="Teksttreci"/>
        </w:rPr>
        <w:t>kosztów ponoszonych przez gminy,</w:t>
      </w:r>
    </w:p>
    <w:p w14:paraId="1F7150EE" w14:textId="77777777" w:rsidR="006E77B3" w:rsidRDefault="00000000">
      <w:pPr>
        <w:pStyle w:val="Teksttreci0"/>
        <w:numPr>
          <w:ilvl w:val="0"/>
          <w:numId w:val="2"/>
        </w:numPr>
        <w:tabs>
          <w:tab w:val="left" w:pos="241"/>
        </w:tabs>
        <w:spacing w:after="0" w:line="360" w:lineRule="auto"/>
      </w:pPr>
      <w:r>
        <w:rPr>
          <w:rStyle w:val="Teksttreci"/>
        </w:rPr>
        <w:t>wpływu na środowisko,</w:t>
      </w:r>
    </w:p>
    <w:p w14:paraId="593A8FF4" w14:textId="77777777" w:rsidR="006E77B3" w:rsidRDefault="00000000">
      <w:pPr>
        <w:pStyle w:val="Teksttreci0"/>
        <w:numPr>
          <w:ilvl w:val="0"/>
          <w:numId w:val="2"/>
        </w:numPr>
        <w:tabs>
          <w:tab w:val="left" w:pos="241"/>
        </w:tabs>
        <w:spacing w:after="0" w:line="360" w:lineRule="auto"/>
        <w:ind w:left="180" w:hanging="180"/>
      </w:pPr>
      <w:r>
        <w:rPr>
          <w:rStyle w:val="Teksttreci"/>
        </w:rPr>
        <w:t>wpływu na ilość odpadów trafiających do odpadów zmieszanych lub pozostających poza systemem,</w:t>
      </w:r>
    </w:p>
    <w:p w14:paraId="36B16725" w14:textId="77777777" w:rsidR="006E77B3" w:rsidRDefault="00000000">
      <w:pPr>
        <w:pStyle w:val="Teksttreci0"/>
        <w:numPr>
          <w:ilvl w:val="0"/>
          <w:numId w:val="2"/>
        </w:numPr>
        <w:tabs>
          <w:tab w:val="left" w:pos="225"/>
        </w:tabs>
        <w:spacing w:after="360" w:line="374" w:lineRule="auto"/>
        <w:jc w:val="both"/>
      </w:pPr>
      <w:r>
        <w:rPr>
          <w:rStyle w:val="Teksttreci"/>
        </w:rPr>
        <w:t>oraz uciążliwości organizacyjnej dla obywateli;</w:t>
      </w:r>
    </w:p>
    <w:p w14:paraId="4ECED8AC" w14:textId="77777777" w:rsidR="006E77B3" w:rsidRDefault="00000000">
      <w:pPr>
        <w:pStyle w:val="Teksttreci0"/>
        <w:numPr>
          <w:ilvl w:val="0"/>
          <w:numId w:val="1"/>
        </w:numPr>
        <w:tabs>
          <w:tab w:val="left" w:pos="295"/>
        </w:tabs>
        <w:spacing w:after="0" w:line="112" w:lineRule="exact"/>
        <w:ind w:left="6120" w:hanging="6120"/>
        <w:jc w:val="both"/>
      </w:pPr>
      <w:r>
        <w:rPr>
          <w:rStyle w:val="Teksttreci"/>
        </w:rPr>
        <w:t xml:space="preserve">dokonanie szczegółowej analizy wpływu systemu kaucyjnego na gospodarkę </w:t>
      </w:r>
      <w:r>
        <w:rPr>
          <w:rStyle w:val="Teksttreci"/>
          <w:color w:val="626262"/>
        </w:rPr>
        <w:t>r</w:t>
      </w:r>
    </w:p>
    <w:p w14:paraId="705B1D57" w14:textId="77777777" w:rsidR="006E77B3" w:rsidRDefault="00000000">
      <w:pPr>
        <w:pStyle w:val="Teksttreci0"/>
        <w:spacing w:after="0" w:line="377" w:lineRule="auto"/>
        <w:jc w:val="both"/>
      </w:pPr>
      <w:r>
        <w:rPr>
          <w:rStyle w:val="Teksttreci"/>
        </w:rPr>
        <w:t>finansową gmin oraz podmiotów realizujących zadania z zakresu gospodarki odpadami komunalnymi, w szczególności w zakresie:</w:t>
      </w:r>
    </w:p>
    <w:p w14:paraId="72819128" w14:textId="77777777" w:rsidR="006E77B3" w:rsidRDefault="00000000">
      <w:pPr>
        <w:pStyle w:val="Teksttreci0"/>
        <w:numPr>
          <w:ilvl w:val="0"/>
          <w:numId w:val="3"/>
        </w:numPr>
        <w:tabs>
          <w:tab w:val="left" w:pos="225"/>
        </w:tabs>
        <w:spacing w:after="0" w:line="377" w:lineRule="auto"/>
        <w:ind w:left="6120" w:hanging="6120"/>
        <w:jc w:val="both"/>
      </w:pPr>
      <w:r>
        <w:rPr>
          <w:rStyle w:val="Teksttreci"/>
        </w:rPr>
        <w:t>utraty przychodów ze sprzedaży surowców wtórnych, w tym PET i aluminium,</w:t>
      </w:r>
    </w:p>
    <w:p w14:paraId="6FAAA3CA" w14:textId="77777777" w:rsidR="006E77B3" w:rsidRDefault="00000000">
      <w:pPr>
        <w:pStyle w:val="Teksttreci0"/>
        <w:numPr>
          <w:ilvl w:val="0"/>
          <w:numId w:val="3"/>
        </w:numPr>
        <w:tabs>
          <w:tab w:val="left" w:pos="225"/>
        </w:tabs>
        <w:spacing w:after="0" w:line="377" w:lineRule="auto"/>
        <w:ind w:left="200" w:hanging="200"/>
        <w:jc w:val="both"/>
      </w:pPr>
      <w:r>
        <w:rPr>
          <w:rStyle w:val="Teksttreci"/>
        </w:rPr>
        <w:lastRenderedPageBreak/>
        <w:t>zmniejszenia ilości wartościowych surowców pozostających w gminnym strumieniu odpadów,</w:t>
      </w:r>
    </w:p>
    <w:p w14:paraId="005A6AC2" w14:textId="77777777" w:rsidR="006E77B3" w:rsidRDefault="00000000">
      <w:pPr>
        <w:pStyle w:val="Teksttreci0"/>
        <w:numPr>
          <w:ilvl w:val="0"/>
          <w:numId w:val="3"/>
        </w:numPr>
        <w:tabs>
          <w:tab w:val="left" w:pos="225"/>
        </w:tabs>
        <w:spacing w:after="0" w:line="377" w:lineRule="auto"/>
        <w:jc w:val="both"/>
      </w:pPr>
      <w:r>
        <w:rPr>
          <w:rStyle w:val="Teksttreci"/>
        </w:rPr>
        <w:t>wpływu tych zmian na koszty funkcjonowania systemu gospodarki odpadami,</w:t>
      </w:r>
    </w:p>
    <w:p w14:paraId="27BE3705" w14:textId="77777777" w:rsidR="006E77B3" w:rsidRDefault="00000000">
      <w:pPr>
        <w:pStyle w:val="Teksttreci0"/>
        <w:numPr>
          <w:ilvl w:val="0"/>
          <w:numId w:val="3"/>
        </w:numPr>
        <w:tabs>
          <w:tab w:val="left" w:pos="225"/>
        </w:tabs>
        <w:spacing w:after="360" w:line="377" w:lineRule="auto"/>
        <w:ind w:left="200" w:hanging="200"/>
        <w:jc w:val="both"/>
      </w:pPr>
      <w:r>
        <w:rPr>
          <w:rStyle w:val="Teksttreci"/>
        </w:rPr>
        <w:t>oraz wpływu na wysokość opłat za gospodarowanie odpadami ponoszonych przez mieszkańców;</w:t>
      </w:r>
    </w:p>
    <w:p w14:paraId="47518A8B" w14:textId="77777777" w:rsidR="006E77B3" w:rsidRDefault="00000000">
      <w:pPr>
        <w:pStyle w:val="Teksttreci0"/>
        <w:numPr>
          <w:ilvl w:val="0"/>
          <w:numId w:val="1"/>
        </w:numPr>
        <w:tabs>
          <w:tab w:val="left" w:pos="313"/>
        </w:tabs>
        <w:spacing w:after="360" w:line="374" w:lineRule="auto"/>
        <w:jc w:val="both"/>
      </w:pPr>
      <w:r>
        <w:rPr>
          <w:rStyle w:val="Teksttreci"/>
        </w:rPr>
        <w:t>ustalenie, czy oraz w jakim zakresie gminom przysługują jakiekolwiek mechanizmy rekompensowania utraconych przychodów związanych z przejęciem części wartościowych odpadów opakowaniowych przez system kaucyjny, a w przypadku braku takich mechanizmów - rozważenie ich wprowadzenia;</w:t>
      </w:r>
    </w:p>
    <w:p w14:paraId="1E3CC28D" w14:textId="77777777" w:rsidR="006E77B3" w:rsidRDefault="00000000">
      <w:pPr>
        <w:pStyle w:val="Teksttreci0"/>
        <w:numPr>
          <w:ilvl w:val="0"/>
          <w:numId w:val="1"/>
        </w:numPr>
        <w:tabs>
          <w:tab w:val="left" w:pos="302"/>
        </w:tabs>
        <w:spacing w:after="360"/>
        <w:jc w:val="both"/>
      </w:pPr>
      <w:r>
        <w:rPr>
          <w:rStyle w:val="Teksttreci"/>
        </w:rPr>
        <w:t>zwiększenie odpowiedzialności producentów i podmiotów wprowadzających produkty w opakowaniach na rynek za finansowanie zbierania, odzysku i recyklingu opakowań powstających w związku z wprowadzanymi przez nich produktami;</w:t>
      </w:r>
    </w:p>
    <w:p w14:paraId="1C005CB6" w14:textId="77777777" w:rsidR="006E77B3" w:rsidRDefault="00000000">
      <w:pPr>
        <w:pStyle w:val="Teksttreci0"/>
        <w:numPr>
          <w:ilvl w:val="0"/>
          <w:numId w:val="1"/>
        </w:numPr>
        <w:tabs>
          <w:tab w:val="left" w:pos="306"/>
        </w:tabs>
        <w:spacing w:after="360" w:line="374" w:lineRule="auto"/>
        <w:jc w:val="both"/>
      </w:pPr>
      <w:r>
        <w:rPr>
          <w:rStyle w:val="Teksttreci"/>
        </w:rPr>
        <w:t>podjęcie działań zmierzających do zwiększenia skuteczności istniejącego systemu selektywnego zbierania odpadów komunalnych, w szczególności poprzez poprawę dostępności i funkcjonowania PSZOK-ów oraz skuteczniejsze egzekwowanie obowiązków dotyczących prawidłowej segregacji odpadów;</w:t>
      </w:r>
    </w:p>
    <w:p w14:paraId="54F18284" w14:textId="77777777" w:rsidR="006E77B3" w:rsidRDefault="00000000">
      <w:pPr>
        <w:pStyle w:val="Teksttreci0"/>
        <w:numPr>
          <w:ilvl w:val="0"/>
          <w:numId w:val="1"/>
        </w:numPr>
        <w:tabs>
          <w:tab w:val="left" w:pos="295"/>
        </w:tabs>
        <w:spacing w:after="360" w:line="360" w:lineRule="auto"/>
        <w:jc w:val="both"/>
      </w:pPr>
      <w:r>
        <w:rPr>
          <w:rStyle w:val="Teksttreci"/>
        </w:rPr>
        <w:t>rozważenie możliwości skierowania większej części środków związanych z zagospodarowaniem opakowań na finansowanie systemu gospodarki odpadami komunalnymi, zamiast tworzenia równoległego systemu finansowego;</w:t>
      </w:r>
    </w:p>
    <w:p w14:paraId="5028D7F8" w14:textId="77777777" w:rsidR="006E77B3" w:rsidRDefault="00000000">
      <w:pPr>
        <w:pStyle w:val="Teksttreci0"/>
        <w:numPr>
          <w:ilvl w:val="0"/>
          <w:numId w:val="1"/>
        </w:numPr>
        <w:tabs>
          <w:tab w:val="left" w:pos="439"/>
        </w:tabs>
        <w:spacing w:after="360" w:line="360" w:lineRule="auto"/>
        <w:jc w:val="both"/>
      </w:pPr>
      <w:r>
        <w:rPr>
          <w:rStyle w:val="Teksttreci"/>
        </w:rPr>
        <w:t>rozważenie zastąpienia systemu kaucyjnego systemem skutecznego selektywnego zbierania i recyklingu opakowań po napojach, jeżeli przeprowadzona analiza wykaże, że rozwiązanie alternatywne może zapewnić porównywalny lub wyższy poziom zbierania i recyklingu przy niższych kosztach oraz mniejszej uciążliwości dla obywateli;</w:t>
      </w:r>
    </w:p>
    <w:p w14:paraId="49F23303" w14:textId="77777777" w:rsidR="006E77B3" w:rsidRDefault="00000000">
      <w:pPr>
        <w:pStyle w:val="Teksttreci0"/>
        <w:numPr>
          <w:ilvl w:val="0"/>
          <w:numId w:val="1"/>
        </w:numPr>
        <w:tabs>
          <w:tab w:val="left" w:pos="436"/>
        </w:tabs>
        <w:spacing w:after="360" w:line="374" w:lineRule="auto"/>
        <w:jc w:val="both"/>
      </w:pPr>
      <w:r>
        <w:rPr>
          <w:rStyle w:val="Teksttreci"/>
        </w:rPr>
        <w:t>w przypadku pozostawienia systemu kaucyjnego - dokonanie jego przeglądu pod kątem możliwości ograniczenia obciążeń organizacyjnych i finansowych po stronie konsumentów oraz zwiększenia odpowiedzialności producentów za zagospodarowanie opakowań;</w:t>
      </w:r>
    </w:p>
    <w:p w14:paraId="6B9BE5D6" w14:textId="77777777" w:rsidR="006E77B3" w:rsidRDefault="00000000">
      <w:pPr>
        <w:pStyle w:val="Teksttreci0"/>
        <w:numPr>
          <w:ilvl w:val="0"/>
          <w:numId w:val="1"/>
        </w:numPr>
        <w:tabs>
          <w:tab w:val="left" w:pos="442"/>
        </w:tabs>
        <w:spacing w:after="360" w:line="360" w:lineRule="auto"/>
        <w:jc w:val="both"/>
      </w:pPr>
      <w:r>
        <w:rPr>
          <w:rStyle w:val="Teksttreci"/>
        </w:rPr>
        <w:t>zapewnienie regularnego publikowania przez właściwe organy państwa danych dotyczących rzeczywistych kosztów i efektów funkcjonowania systemu kaucyjnego, w tym jego wpływu na finanse gmin i wysokość opłat ponoszonych przez mieszkańców.</w:t>
      </w:r>
    </w:p>
    <w:p w14:paraId="56CD2439" w14:textId="77777777" w:rsidR="006E77B3" w:rsidRDefault="00000000">
      <w:pPr>
        <w:pStyle w:val="Teksttreci0"/>
        <w:spacing w:after="0"/>
        <w:jc w:val="both"/>
      </w:pPr>
      <w:r>
        <w:rPr>
          <w:rStyle w:val="Teksttreci"/>
          <w:b/>
          <w:bCs/>
          <w:color w:val="000000"/>
        </w:rPr>
        <w:t>UZASADNIENIE</w:t>
      </w:r>
    </w:p>
    <w:p w14:paraId="16F384B0" w14:textId="77777777" w:rsidR="006E77B3" w:rsidRDefault="00000000">
      <w:pPr>
        <w:pStyle w:val="Teksttreci0"/>
        <w:spacing w:after="0"/>
        <w:jc w:val="both"/>
      </w:pPr>
      <w:r>
        <w:rPr>
          <w:rStyle w:val="Teksttreci"/>
          <w:color w:val="000000"/>
        </w:rPr>
        <w:t>Celem niniejszej petycji nie jest kwestionowanie potrzeby ochrony środowiska, selektywnego zbierania odpadów ani zwiększania poziomu recyklingu.</w:t>
      </w:r>
    </w:p>
    <w:p w14:paraId="17360F95" w14:textId="77777777" w:rsidR="006E77B3" w:rsidRDefault="00000000">
      <w:pPr>
        <w:pStyle w:val="Teksttreci0"/>
        <w:tabs>
          <w:tab w:val="left" w:pos="8298"/>
        </w:tabs>
        <w:spacing w:after="360"/>
        <w:jc w:val="both"/>
      </w:pPr>
      <w:r>
        <w:rPr>
          <w:rStyle w:val="Teksttreci"/>
          <w:color w:val="000000"/>
        </w:rPr>
        <w:t>Przeciwnie - uważam, że jak największa ilość opakowań powinna być zbierana selektywnie i kierowana do odzysku oraz recyklingu.</w:t>
      </w:r>
      <w:r>
        <w:rPr>
          <w:rStyle w:val="Teksttreci"/>
          <w:color w:val="000000"/>
        </w:rPr>
        <w:tab/>
        <w:t>’</w:t>
      </w:r>
    </w:p>
    <w:p w14:paraId="10009116" w14:textId="77777777" w:rsidR="006E77B3" w:rsidRDefault="00000000">
      <w:pPr>
        <w:pStyle w:val="Teksttreci0"/>
        <w:spacing w:after="360"/>
        <w:jc w:val="both"/>
      </w:pPr>
      <w:r>
        <w:rPr>
          <w:rStyle w:val="Teksttreci"/>
          <w:color w:val="000000"/>
        </w:rPr>
        <w:t>Przedmiotem petycji jest natomiast sposób realizacji tego celu oraz zasadność utrzymywania odrębnego systemu kaucyjnego, jeżeli te same cele można osiągnąć poprzez skuteczniejszy system selektywnego zbierania odpadów.</w:t>
      </w:r>
    </w:p>
    <w:p w14:paraId="00CAB730" w14:textId="77777777" w:rsidR="006E77B3" w:rsidRDefault="00000000">
      <w:pPr>
        <w:pStyle w:val="Teksttreci0"/>
        <w:spacing w:after="360"/>
        <w:jc w:val="both"/>
      </w:pPr>
      <w:r>
        <w:rPr>
          <w:rStyle w:val="Teksttreci"/>
          <w:color w:val="000000"/>
        </w:rPr>
        <w:lastRenderedPageBreak/>
        <w:t>Od 1 października 2025 r. w Polsce funkcjonuje system kaucyjny obejmujący m.in. jednorazowe butelki z tworzyw sztucznych do 3 litrów oraz metalowe puszki do 1 litra. Ministerstwo Klimatu i Środowiska wskazuje, że system ma służyć zwiększeniu poziomu selektywnego zbierania i recyklingu opakowań.</w:t>
      </w:r>
    </w:p>
    <w:p w14:paraId="7BE256C5" w14:textId="77777777" w:rsidR="006E77B3" w:rsidRDefault="00000000">
      <w:pPr>
        <w:pStyle w:val="Teksttreci0"/>
        <w:spacing w:after="360" w:line="374" w:lineRule="auto"/>
        <w:jc w:val="both"/>
      </w:pPr>
      <w:r>
        <w:rPr>
          <w:rStyle w:val="Teksttreci"/>
          <w:color w:val="000000"/>
        </w:rPr>
        <w:t>Nie kwestionuję, że system kaucyjny może być skutecznym instrumentem zwiększającym zwrot opakowań. Uważam jednak, że powinien być oceniany nie tylko pod względem liczby zwróconych opakowań, ale również pod względem całkowitych kosztów, wpływu na system gospodarki odpadami oraz rzeczywistych korzyści środowiskowych.</w:t>
      </w:r>
    </w:p>
    <w:p w14:paraId="3527B576" w14:textId="77777777" w:rsidR="006E77B3" w:rsidRDefault="00000000">
      <w:pPr>
        <w:pStyle w:val="Teksttreci0"/>
        <w:numPr>
          <w:ilvl w:val="0"/>
          <w:numId w:val="4"/>
        </w:numPr>
        <w:tabs>
          <w:tab w:val="left" w:pos="292"/>
        </w:tabs>
        <w:spacing w:after="0" w:line="377" w:lineRule="auto"/>
        <w:jc w:val="both"/>
      </w:pPr>
      <w:r>
        <w:rPr>
          <w:rStyle w:val="Teksttreci"/>
          <w:color w:val="000000"/>
        </w:rPr>
        <w:t>Czy system kaucyjny jest rzeczywiście konieczny?</w:t>
      </w:r>
    </w:p>
    <w:p w14:paraId="4F69327A" w14:textId="77777777" w:rsidR="006E77B3" w:rsidRDefault="00000000">
      <w:pPr>
        <w:pStyle w:val="Teksttreci0"/>
        <w:spacing w:after="0" w:line="377" w:lineRule="auto"/>
        <w:jc w:val="both"/>
      </w:pPr>
      <w:r>
        <w:rPr>
          <w:rStyle w:val="Teksttreci"/>
          <w:color w:val="000000"/>
        </w:rPr>
        <w:t>Polska posiada już system selektywnego zbierania odpadów komunalnych.</w:t>
      </w:r>
    </w:p>
    <w:p w14:paraId="11C25E85" w14:textId="77777777" w:rsidR="006E77B3" w:rsidRDefault="00000000">
      <w:pPr>
        <w:pStyle w:val="Teksttreci0"/>
        <w:spacing w:after="360" w:line="377" w:lineRule="auto"/>
        <w:jc w:val="both"/>
      </w:pPr>
      <w:r>
        <w:rPr>
          <w:rStyle w:val="Teksttreci"/>
          <w:color w:val="000000"/>
        </w:rPr>
        <w:t>Funkcjonują pojemniki przeznaczone do selektywnej zbiórki, instalacje sortowania odpadów oraz Punkty Selektywnego Zbierania Odpadów Komunalnych.</w:t>
      </w:r>
    </w:p>
    <w:p w14:paraId="68B0D2E1" w14:textId="77777777" w:rsidR="006E77B3" w:rsidRDefault="00000000">
      <w:pPr>
        <w:pStyle w:val="Teksttreci0"/>
        <w:spacing w:after="0" w:line="360" w:lineRule="auto"/>
        <w:jc w:val="both"/>
      </w:pPr>
      <w:r>
        <w:rPr>
          <w:rStyle w:val="Teksttreci"/>
          <w:color w:val="000000"/>
        </w:rPr>
        <w:t>Powstaje zatem zasadne pytanie, czy dla osiągnięcia wysokiego poziomu zbierania i recyklingu butelek PET oraz puszek konieczne było stworzenie dodatkowego systemu kaucyjnego, czy też cel ten można osiągnąć poprzez odpowiednie rozwinięcie i usprawnienie już istniejącego systemu.</w:t>
      </w:r>
    </w:p>
    <w:p w14:paraId="6296F547" w14:textId="77777777" w:rsidR="006E77B3" w:rsidRDefault="00000000">
      <w:pPr>
        <w:pStyle w:val="Teksttreci0"/>
        <w:spacing w:after="360" w:line="360" w:lineRule="auto"/>
        <w:jc w:val="both"/>
      </w:pPr>
      <w:r>
        <w:rPr>
          <w:rStyle w:val="Teksttreci"/>
          <w:color w:val="000000"/>
        </w:rPr>
        <w:t>Nie należy z góry zakładać, że tylko jeden model może zapewnić osiągnięcie wymaganych poziomów recyklingu.</w:t>
      </w:r>
    </w:p>
    <w:p w14:paraId="544C8214" w14:textId="77777777" w:rsidR="006E77B3" w:rsidRDefault="00000000">
      <w:pPr>
        <w:pStyle w:val="Teksttreci0"/>
        <w:numPr>
          <w:ilvl w:val="0"/>
          <w:numId w:val="4"/>
        </w:numPr>
        <w:tabs>
          <w:tab w:val="left" w:pos="306"/>
        </w:tabs>
        <w:spacing w:after="0" w:line="360" w:lineRule="auto"/>
        <w:jc w:val="both"/>
      </w:pPr>
      <w:r>
        <w:rPr>
          <w:rStyle w:val="Teksttreci"/>
          <w:color w:val="000000"/>
        </w:rPr>
        <w:t>Wpływ systemu kaucyjnego na finanse gmin</w:t>
      </w:r>
    </w:p>
    <w:p w14:paraId="16271894" w14:textId="77777777" w:rsidR="006E77B3" w:rsidRDefault="00000000">
      <w:pPr>
        <w:pStyle w:val="Teksttreci0"/>
        <w:spacing w:after="0" w:line="360" w:lineRule="auto"/>
        <w:jc w:val="both"/>
      </w:pPr>
      <w:r>
        <w:rPr>
          <w:rStyle w:val="Teksttreci"/>
          <w:color w:val="000000"/>
        </w:rPr>
        <w:t>Szczególnie istotną kwestią jest wpływ systemu kaucyjnego na gminny system gospodarki odpadami.</w:t>
      </w:r>
    </w:p>
    <w:p w14:paraId="74E69B09" w14:textId="77777777" w:rsidR="006E77B3" w:rsidRDefault="00000000">
      <w:pPr>
        <w:pStyle w:val="Teksttreci0"/>
        <w:spacing w:after="360" w:line="360" w:lineRule="auto"/>
        <w:jc w:val="both"/>
      </w:pPr>
      <w:r>
        <w:rPr>
          <w:rStyle w:val="Teksttreci"/>
          <w:color w:val="000000"/>
        </w:rPr>
        <w:t>Przed wprowadzeniem systemu kaucyjnego część butelek PET i puszek trafiała do gminnego strumienia odpadów komunalnych. Po zebraniu i odpowiednim przetworzeniu mogła zostać sprzedana jako surowiec wtórny, generując przychód dla podmiotów funkcjonujących w systemie gospodarki odpadami.</w:t>
      </w:r>
    </w:p>
    <w:p w14:paraId="4DD6AE17" w14:textId="77777777" w:rsidR="006E77B3" w:rsidRDefault="00000000">
      <w:pPr>
        <w:pStyle w:val="Teksttreci0"/>
        <w:spacing w:after="360" w:line="360" w:lineRule="auto"/>
        <w:jc w:val="both"/>
        <w:sectPr w:rsidR="006E77B3">
          <w:headerReference w:type="default" r:id="rId7"/>
          <w:headerReference w:type="first" r:id="rId8"/>
          <w:pgSz w:w="11900" w:h="16840"/>
          <w:pgMar w:top="683" w:right="1422" w:bottom="421" w:left="1348" w:header="0" w:footer="3" w:gutter="0"/>
          <w:pgNumType w:start="1"/>
          <w:cols w:space="720"/>
          <w:noEndnote/>
          <w:titlePg/>
          <w:docGrid w:linePitch="360"/>
        </w:sectPr>
      </w:pPr>
      <w:r>
        <w:rPr>
          <w:rStyle w:val="Teksttreci"/>
          <w:color w:val="000000"/>
        </w:rPr>
        <w:t>Wprowadzenie systemu kaucyjnego powoduje natomiast, że część tych wartościowych surowców zostaje przejęta przez odrębny system kaucyjny.</w:t>
      </w:r>
    </w:p>
    <w:p w14:paraId="3FE19214" w14:textId="77777777" w:rsidR="006E77B3" w:rsidRDefault="00000000">
      <w:pPr>
        <w:pStyle w:val="Teksttreci0"/>
        <w:spacing w:after="360"/>
        <w:jc w:val="both"/>
      </w:pPr>
      <w:r>
        <w:rPr>
          <w:rStyle w:val="Teksttreci"/>
        </w:rPr>
        <w:lastRenderedPageBreak/>
        <w:t>Problem ten był wskazywany już na etapie prac legislacyjnych. W materiałach dotyczących systemu wskazywano na przesunięcie przychodów ze sprzedaży PET z systemu komunalnego do systemu kaucyjnego.</w:t>
      </w:r>
    </w:p>
    <w:p w14:paraId="4BADEE6B" w14:textId="77777777" w:rsidR="006E77B3" w:rsidRDefault="00000000">
      <w:pPr>
        <w:pStyle w:val="Teksttreci0"/>
        <w:spacing w:after="0" w:line="377" w:lineRule="auto"/>
        <w:jc w:val="both"/>
      </w:pPr>
      <w:r>
        <w:rPr>
          <w:rStyle w:val="Teksttreci"/>
        </w:rPr>
        <w:t>Problem ten nie jest wyłącznie teoretyczny.</w:t>
      </w:r>
    </w:p>
    <w:p w14:paraId="6AA060F3" w14:textId="77777777" w:rsidR="006E77B3" w:rsidRDefault="00000000">
      <w:pPr>
        <w:pStyle w:val="Teksttreci0"/>
        <w:spacing w:after="0" w:line="377" w:lineRule="auto"/>
        <w:jc w:val="both"/>
      </w:pPr>
      <w:r>
        <w:rPr>
          <w:rStyle w:val="Teksttreci"/>
        </w:rPr>
        <w:t>Przedstawiciel wskazywał, że związek obejmujący 12 gmin przewidywał od 2026 r. ponad 2,6 min zł utraty przychodów ze sprzedaży butelek PET i puszek aluminiowych, co miało przełożyć się na wzrost opłaty za gospodarowanie odpadami.</w:t>
      </w:r>
    </w:p>
    <w:p w14:paraId="25B44191" w14:textId="77777777" w:rsidR="006E77B3" w:rsidRDefault="00000000">
      <w:pPr>
        <w:pStyle w:val="Teksttreci0"/>
        <w:spacing w:after="360" w:line="377" w:lineRule="auto"/>
        <w:jc w:val="both"/>
      </w:pPr>
      <w:r>
        <w:rPr>
          <w:rStyle w:val="Teksttreci"/>
        </w:rPr>
        <w:t>W związku z tym konieczne jest zbadanie skali tego zjawiska w całym kraju.</w:t>
      </w:r>
    </w:p>
    <w:p w14:paraId="0F4411C0" w14:textId="77777777" w:rsidR="006E77B3" w:rsidRDefault="00000000">
      <w:pPr>
        <w:pStyle w:val="Teksttreci0"/>
        <w:numPr>
          <w:ilvl w:val="0"/>
          <w:numId w:val="4"/>
        </w:numPr>
        <w:tabs>
          <w:tab w:val="left" w:pos="298"/>
        </w:tabs>
        <w:spacing w:after="0" w:line="374" w:lineRule="auto"/>
        <w:jc w:val="both"/>
      </w:pPr>
      <w:r>
        <w:rPr>
          <w:rStyle w:val="Teksttreci"/>
        </w:rPr>
        <w:t>Czy mieszkańcy nie ponoszą pośrednio kosztów?</w:t>
      </w:r>
    </w:p>
    <w:p w14:paraId="41699D76" w14:textId="77777777" w:rsidR="006E77B3" w:rsidRDefault="00000000">
      <w:pPr>
        <w:pStyle w:val="Teksttreci0"/>
        <w:spacing w:after="0" w:line="374" w:lineRule="auto"/>
        <w:jc w:val="both"/>
      </w:pPr>
      <w:r>
        <w:rPr>
          <w:rStyle w:val="Teksttreci"/>
        </w:rPr>
        <w:t>Jeżeli system komunalny traci przychody ze sprzedaży wartościowych surowców, a jednocześnie koszty jego funkcjonowania pozostają, powstaje pytanie, kto ostatecznie pokrywa powstałą różnicę.</w:t>
      </w:r>
    </w:p>
    <w:p w14:paraId="0BCA7FE0" w14:textId="77777777" w:rsidR="006E77B3" w:rsidRDefault="00000000">
      <w:pPr>
        <w:pStyle w:val="Teksttreci0"/>
        <w:spacing w:after="360" w:line="374" w:lineRule="auto"/>
        <w:jc w:val="both"/>
      </w:pPr>
      <w:r>
        <w:rPr>
          <w:rStyle w:val="Teksttreci"/>
        </w:rPr>
        <w:t>Może ona zostać pokryta m.in. poprzez zwiększenie opłat za gospodarowanie odpadami ponoszonych przez mieszkańców.</w:t>
      </w:r>
    </w:p>
    <w:p w14:paraId="72987D34" w14:textId="77777777" w:rsidR="006E77B3" w:rsidRDefault="00000000">
      <w:pPr>
        <w:pStyle w:val="Teksttreci0"/>
        <w:spacing w:after="0" w:line="374" w:lineRule="auto"/>
        <w:jc w:val="both"/>
      </w:pPr>
      <w:r>
        <w:rPr>
          <w:rStyle w:val="Teksttreci"/>
        </w:rPr>
        <w:t>Dlatego ocena systemu kaucyjnego powinna obejmować nie tylko koszty operatorów systemu kaucyjnego i przedsiębiorców, lecz również pośrednie skutki finansowe dla mieszkańców wynikające z sytuacji finansowej gminnego systemu gospodarki odpadami.</w:t>
      </w:r>
    </w:p>
    <w:p w14:paraId="5F082302" w14:textId="77777777" w:rsidR="006E77B3" w:rsidRDefault="00000000">
      <w:pPr>
        <w:pStyle w:val="Teksttreci0"/>
        <w:spacing w:after="360" w:line="374" w:lineRule="auto"/>
        <w:jc w:val="both"/>
      </w:pPr>
      <w:r>
        <w:rPr>
          <w:rStyle w:val="Teksttreci"/>
        </w:rPr>
        <w:t>Nie można bowiem uznać systemu za tani dla obywateli wyłącznie dlatego, że sama kaucja jest zwrotna.</w:t>
      </w:r>
    </w:p>
    <w:p w14:paraId="5633EBF3" w14:textId="77777777" w:rsidR="006E77B3" w:rsidRDefault="00000000">
      <w:pPr>
        <w:pStyle w:val="Teksttreci0"/>
        <w:numPr>
          <w:ilvl w:val="0"/>
          <w:numId w:val="4"/>
        </w:numPr>
        <w:tabs>
          <w:tab w:val="left" w:pos="302"/>
        </w:tabs>
        <w:spacing w:after="0"/>
        <w:jc w:val="both"/>
      </w:pPr>
      <w:r>
        <w:rPr>
          <w:rStyle w:val="Teksttreci"/>
        </w:rPr>
        <w:t>Brak podstaw do przyjęcia, że gminy automatycznie otrzymują rekompensatę</w:t>
      </w:r>
    </w:p>
    <w:p w14:paraId="20EFBC85" w14:textId="77777777" w:rsidR="006E77B3" w:rsidRDefault="00000000">
      <w:pPr>
        <w:pStyle w:val="Teksttreci0"/>
        <w:spacing w:after="0"/>
        <w:jc w:val="both"/>
      </w:pPr>
      <w:r>
        <w:rPr>
          <w:rStyle w:val="Teksttreci"/>
        </w:rPr>
        <w:t>Z dostępnych przepisów i materiałów nie wynika istnienie ogólnego mechanizmu, na podstawie którego każda gmina automatycznie otrzymywałaby rekompensatę odpowiadającą utraconym przychodom ze sprzedaży PET i puszek w związku z funkcjonowaniem systemu kaucyjnego.</w:t>
      </w:r>
    </w:p>
    <w:p w14:paraId="281FFBBB" w14:textId="77777777" w:rsidR="006E77B3" w:rsidRDefault="00000000">
      <w:pPr>
        <w:pStyle w:val="Teksttreci0"/>
        <w:spacing w:after="0"/>
        <w:jc w:val="both"/>
      </w:pPr>
      <w:r>
        <w:rPr>
          <w:rStyle w:val="Teksttreci"/>
        </w:rPr>
        <w:t>Co więcej, w materiałach legislacyjnych zgłaszano postulat, aby dochód ze sprzedaży surowców pochodzących z systemu kaucyjnego trafiał do gmin w celu kompensowania strat, jednak postulat ten nie został uwzględniony.</w:t>
      </w:r>
    </w:p>
    <w:p w14:paraId="6E08FE5C" w14:textId="77777777" w:rsidR="006E77B3" w:rsidRDefault="00000000">
      <w:pPr>
        <w:pStyle w:val="Teksttreci0"/>
        <w:spacing w:after="360"/>
        <w:jc w:val="both"/>
      </w:pPr>
      <w:r>
        <w:rPr>
          <w:rStyle w:val="Teksttreci"/>
        </w:rPr>
        <w:t>Dlatego zasadne jest ustalenie przez ustawodawcę rzeczywistej skali tego problemu oraz rozważenie stworzenia mechanizmu, który zapobiegałby przerzucaniu na mieszkańców kosztów utraty wartościowych surowców z gminnego systemu gospodarki odpadami.</w:t>
      </w:r>
    </w:p>
    <w:p w14:paraId="6A130FEC" w14:textId="77777777" w:rsidR="006E77B3" w:rsidRDefault="00000000">
      <w:pPr>
        <w:pStyle w:val="Teksttreci0"/>
        <w:numPr>
          <w:ilvl w:val="0"/>
          <w:numId w:val="4"/>
        </w:numPr>
        <w:tabs>
          <w:tab w:val="left" w:pos="298"/>
        </w:tabs>
        <w:spacing w:after="0" w:line="360" w:lineRule="auto"/>
        <w:jc w:val="both"/>
      </w:pPr>
      <w:r>
        <w:rPr>
          <w:rStyle w:val="Teksttreci"/>
        </w:rPr>
        <w:t>Odpowiedzialność producentów</w:t>
      </w:r>
    </w:p>
    <w:p w14:paraId="7856BE5A" w14:textId="77777777" w:rsidR="006E77B3" w:rsidRDefault="00000000">
      <w:pPr>
        <w:pStyle w:val="Teksttreci0"/>
        <w:spacing w:after="0" w:line="360" w:lineRule="auto"/>
        <w:jc w:val="both"/>
      </w:pPr>
      <w:r>
        <w:rPr>
          <w:rStyle w:val="Teksttreci"/>
        </w:rPr>
        <w:t>Po wykorzystaniu produktu jego opakowanie staje się odpadem.</w:t>
      </w:r>
    </w:p>
    <w:p w14:paraId="32D178EF" w14:textId="77777777" w:rsidR="006E77B3" w:rsidRDefault="00000000">
      <w:pPr>
        <w:pStyle w:val="Teksttreci0"/>
        <w:spacing w:after="360" w:line="360" w:lineRule="auto"/>
        <w:jc w:val="both"/>
      </w:pPr>
      <w:r>
        <w:rPr>
          <w:rStyle w:val="Teksttreci"/>
        </w:rPr>
        <w:t>W mojej ocenie podstawowa odpowiedzialność za zapewnienie odpowiedniego zagospodarowania opakowań powinna w większym stopniu spoczywać na producentach i podmiotach wprowadzających produkty w opakowaniach na rynek.</w:t>
      </w:r>
    </w:p>
    <w:p w14:paraId="29193494" w14:textId="77777777" w:rsidR="006E77B3" w:rsidRDefault="00000000">
      <w:pPr>
        <w:pStyle w:val="Teksttreci0"/>
        <w:spacing w:after="0"/>
        <w:jc w:val="both"/>
      </w:pPr>
      <w:r>
        <w:rPr>
          <w:rStyle w:val="Teksttreci"/>
          <w:color w:val="000000"/>
        </w:rPr>
        <w:t>Konsument powinien przede wszystkim prawidłowo postępować z odpadem, w szczególności umieścić go w odpowiednim strumieniu selektywnej zbiórki.</w:t>
      </w:r>
    </w:p>
    <w:p w14:paraId="4702DDBE" w14:textId="77777777" w:rsidR="006E77B3" w:rsidRDefault="00000000">
      <w:pPr>
        <w:pStyle w:val="Teksttreci0"/>
        <w:spacing w:after="0"/>
        <w:jc w:val="both"/>
      </w:pPr>
      <w:r>
        <w:rPr>
          <w:rStyle w:val="Teksttreci"/>
          <w:color w:val="000000"/>
        </w:rPr>
        <w:t>Nie oznacza to zwolnienia obywateli z obowiązku segregowania odpadów.</w:t>
      </w:r>
    </w:p>
    <w:p w14:paraId="5401A2E8" w14:textId="77777777" w:rsidR="006E77B3" w:rsidRDefault="00000000">
      <w:pPr>
        <w:pStyle w:val="Teksttreci0"/>
        <w:jc w:val="both"/>
      </w:pPr>
      <w:r>
        <w:rPr>
          <w:rStyle w:val="Teksttreci"/>
          <w:color w:val="000000"/>
        </w:rPr>
        <w:t>Chodzi o stworzenie modelu, w którym obywatel prawidłowo segreguje odpad, producent ponosi odpowiedzialność za jego zagospodarowanie, a sprawnie działający system gospodarki odpadami zapewnia jego odbiór, sortowanie i recykling.</w:t>
      </w:r>
    </w:p>
    <w:p w14:paraId="5DD372CD" w14:textId="77777777" w:rsidR="006E77B3" w:rsidRDefault="00000000">
      <w:pPr>
        <w:pStyle w:val="Teksttreci0"/>
        <w:numPr>
          <w:ilvl w:val="0"/>
          <w:numId w:val="4"/>
        </w:numPr>
        <w:tabs>
          <w:tab w:val="left" w:pos="359"/>
        </w:tabs>
        <w:spacing w:after="0" w:line="377" w:lineRule="auto"/>
        <w:jc w:val="both"/>
      </w:pPr>
      <w:r>
        <w:rPr>
          <w:rStyle w:val="Teksttreci"/>
          <w:color w:val="000000"/>
        </w:rPr>
        <w:lastRenderedPageBreak/>
        <w:t>PSZOK-i i istniejąca infrastruktura</w:t>
      </w:r>
    </w:p>
    <w:p w14:paraId="13E7F81E" w14:textId="77777777" w:rsidR="006E77B3" w:rsidRDefault="00000000">
      <w:pPr>
        <w:pStyle w:val="Teksttreci0"/>
        <w:spacing w:after="0" w:line="377" w:lineRule="auto"/>
        <w:jc w:val="both"/>
      </w:pPr>
      <w:r>
        <w:rPr>
          <w:rStyle w:val="Teksttreci"/>
          <w:color w:val="000000"/>
        </w:rPr>
        <w:t>Należy przeanalizować możliwość wykorzystania i odpowiedniego rozwinięcia istniejącej infrastruktury gospodarki odpadami komunalnymi, w tym PSZOK-ów.</w:t>
      </w:r>
    </w:p>
    <w:p w14:paraId="452661FA" w14:textId="77777777" w:rsidR="006E77B3" w:rsidRDefault="00000000">
      <w:pPr>
        <w:pStyle w:val="Teksttreci0"/>
        <w:spacing w:after="0" w:line="377" w:lineRule="auto"/>
        <w:jc w:val="both"/>
      </w:pPr>
      <w:r>
        <w:rPr>
          <w:rStyle w:val="Teksttreci"/>
          <w:color w:val="000000"/>
        </w:rPr>
        <w:t>Jeżeli system selektywnej zbiórki jest niewystarczająco skuteczny, właściwą odpowiedzią może być jego poprawa - zwiększenie dostępności, częstotliwości odbioru, poziomu kontroli oraz finansowania - zamiast tworzenia kolejnego systemu.</w:t>
      </w:r>
    </w:p>
    <w:p w14:paraId="6C898DCF" w14:textId="77777777" w:rsidR="006E77B3" w:rsidRDefault="00000000">
      <w:pPr>
        <w:pStyle w:val="Teksttreci0"/>
        <w:spacing w:line="377" w:lineRule="auto"/>
        <w:jc w:val="both"/>
      </w:pPr>
      <w:r>
        <w:rPr>
          <w:rStyle w:val="Teksttreci"/>
          <w:color w:val="000000"/>
        </w:rPr>
        <w:t>Również administracja rządowa wskazuje na potrzebę poprawy funkcjonowania PSZOK-ów oraz zwiększenia skuteczności egzekwowania obowiązków w zakresie selektywnej zbiórki odpadów.</w:t>
      </w:r>
    </w:p>
    <w:p w14:paraId="74121DCE" w14:textId="77777777" w:rsidR="006E77B3" w:rsidRDefault="00000000">
      <w:pPr>
        <w:pStyle w:val="Teksttreci0"/>
        <w:numPr>
          <w:ilvl w:val="0"/>
          <w:numId w:val="4"/>
        </w:numPr>
        <w:tabs>
          <w:tab w:val="left" w:pos="352"/>
        </w:tabs>
        <w:spacing w:after="0" w:line="360" w:lineRule="auto"/>
        <w:jc w:val="both"/>
      </w:pPr>
      <w:r>
        <w:rPr>
          <w:rStyle w:val="Teksttreci"/>
          <w:color w:val="000000"/>
        </w:rPr>
        <w:t>Konieczność porównania rzeczywistych kosztów</w:t>
      </w:r>
    </w:p>
    <w:p w14:paraId="760E5F58" w14:textId="77777777" w:rsidR="006E77B3" w:rsidRDefault="00000000">
      <w:pPr>
        <w:pStyle w:val="Teksttreci0"/>
        <w:spacing w:after="0" w:line="360" w:lineRule="auto"/>
        <w:jc w:val="both"/>
      </w:pPr>
      <w:r>
        <w:rPr>
          <w:rStyle w:val="Teksttreci"/>
          <w:color w:val="000000"/>
        </w:rPr>
        <w:t>System kaucyjny wymaga odpowiedniej infrastruktury, punktów odbioru, automatów, transportu, magazynowania, sortowania oraz rozliczania kaucji.</w:t>
      </w:r>
    </w:p>
    <w:p w14:paraId="206CA862" w14:textId="77777777" w:rsidR="006E77B3" w:rsidRDefault="00000000">
      <w:pPr>
        <w:pStyle w:val="Teksttreci0"/>
        <w:spacing w:after="0" w:line="391" w:lineRule="auto"/>
        <w:jc w:val="both"/>
      </w:pPr>
      <w:r>
        <w:rPr>
          <w:rStyle w:val="Teksttreci"/>
          <w:color w:val="000000"/>
        </w:rPr>
        <w:t>Jednocześnie istniejący system gospodarki odpadami komunalnymi posiada już znaczną część infrastruktury służącej selektywnemu zbieraniu odpadów.</w:t>
      </w:r>
    </w:p>
    <w:p w14:paraId="0384835C" w14:textId="77777777" w:rsidR="006E77B3" w:rsidRDefault="00000000">
      <w:pPr>
        <w:pStyle w:val="Teksttreci0"/>
        <w:spacing w:after="0" w:line="377" w:lineRule="auto"/>
        <w:jc w:val="both"/>
      </w:pPr>
      <w:r>
        <w:rPr>
          <w:rStyle w:val="Teksttreci"/>
          <w:color w:val="000000"/>
        </w:rPr>
        <w:t>Dlatego konieczne jest porównanie całkowitych kosztów obu rozwiązań.</w:t>
      </w:r>
    </w:p>
    <w:p w14:paraId="0DB0060A" w14:textId="77777777" w:rsidR="006E77B3" w:rsidRDefault="00000000">
      <w:pPr>
        <w:pStyle w:val="Teksttreci0"/>
        <w:spacing w:after="0" w:line="386" w:lineRule="auto"/>
        <w:jc w:val="both"/>
      </w:pPr>
      <w:r>
        <w:rPr>
          <w:rStyle w:val="Teksttreci"/>
          <w:color w:val="000000"/>
        </w:rPr>
        <w:t>Analiza powinna obejmować nie tylko koszt funkcjonowania systemu kaucyjnego, lecz również:</w:t>
      </w:r>
    </w:p>
    <w:p w14:paraId="34E46827" w14:textId="77777777" w:rsidR="006E77B3" w:rsidRDefault="00000000">
      <w:pPr>
        <w:pStyle w:val="Teksttreci0"/>
        <w:numPr>
          <w:ilvl w:val="0"/>
          <w:numId w:val="5"/>
        </w:numPr>
        <w:tabs>
          <w:tab w:val="left" w:pos="244"/>
        </w:tabs>
        <w:spacing w:after="0" w:line="386" w:lineRule="auto"/>
        <w:jc w:val="both"/>
      </w:pPr>
      <w:r>
        <w:rPr>
          <w:rStyle w:val="Teksttreci"/>
          <w:color w:val="000000"/>
        </w:rPr>
        <w:t>utracone przychody gmin i podmiotów komunalnych ze sprzedaży surowców,</w:t>
      </w:r>
    </w:p>
    <w:p w14:paraId="397C74B0" w14:textId="77777777" w:rsidR="006E77B3" w:rsidRDefault="00000000">
      <w:pPr>
        <w:pStyle w:val="Teksttreci0"/>
        <w:numPr>
          <w:ilvl w:val="0"/>
          <w:numId w:val="5"/>
        </w:numPr>
        <w:tabs>
          <w:tab w:val="left" w:pos="244"/>
        </w:tabs>
        <w:spacing w:after="0" w:line="386" w:lineRule="auto"/>
        <w:jc w:val="both"/>
      </w:pPr>
      <w:r>
        <w:rPr>
          <w:rStyle w:val="Teksttreci"/>
          <w:color w:val="000000"/>
        </w:rPr>
        <w:t>wpływ tych strat na wysokość opłat za gospodarowanie odpadami,</w:t>
      </w:r>
    </w:p>
    <w:p w14:paraId="76955994" w14:textId="77777777" w:rsidR="006E77B3" w:rsidRDefault="00000000">
      <w:pPr>
        <w:pStyle w:val="Teksttreci0"/>
        <w:numPr>
          <w:ilvl w:val="0"/>
          <w:numId w:val="5"/>
        </w:numPr>
        <w:tabs>
          <w:tab w:val="left" w:pos="244"/>
        </w:tabs>
        <w:spacing w:after="0" w:line="377" w:lineRule="auto"/>
        <w:jc w:val="both"/>
      </w:pPr>
      <w:r>
        <w:rPr>
          <w:rStyle w:val="Teksttreci"/>
          <w:color w:val="000000"/>
        </w:rPr>
        <w:t>koszty funkcjonowania PSZOK-ów,</w:t>
      </w:r>
    </w:p>
    <w:p w14:paraId="5A9A7435" w14:textId="77777777" w:rsidR="006E77B3" w:rsidRDefault="00000000">
      <w:pPr>
        <w:pStyle w:val="Teksttreci0"/>
        <w:numPr>
          <w:ilvl w:val="0"/>
          <w:numId w:val="5"/>
        </w:numPr>
        <w:tabs>
          <w:tab w:val="left" w:pos="244"/>
        </w:tabs>
        <w:spacing w:after="0" w:line="377" w:lineRule="auto"/>
        <w:jc w:val="both"/>
      </w:pPr>
      <w:r>
        <w:rPr>
          <w:rStyle w:val="Teksttreci"/>
          <w:color w:val="000000"/>
        </w:rPr>
        <w:t>koszty transportu i sortowania,</w:t>
      </w:r>
    </w:p>
    <w:p w14:paraId="7268EF64" w14:textId="77777777" w:rsidR="006E77B3" w:rsidRDefault="00000000">
      <w:pPr>
        <w:pStyle w:val="Teksttreci0"/>
        <w:numPr>
          <w:ilvl w:val="0"/>
          <w:numId w:val="5"/>
        </w:numPr>
        <w:tabs>
          <w:tab w:val="left" w:pos="247"/>
        </w:tabs>
        <w:spacing w:after="0" w:line="377" w:lineRule="auto"/>
        <w:jc w:val="both"/>
      </w:pPr>
      <w:r>
        <w:rPr>
          <w:rStyle w:val="Teksttreci"/>
          <w:color w:val="000000"/>
        </w:rPr>
        <w:t>koszty infrastruktury,</w:t>
      </w:r>
    </w:p>
    <w:p w14:paraId="3EB4BCE0" w14:textId="77777777" w:rsidR="006E77B3" w:rsidRDefault="00000000">
      <w:pPr>
        <w:pStyle w:val="Teksttreci0"/>
        <w:numPr>
          <w:ilvl w:val="0"/>
          <w:numId w:val="5"/>
        </w:numPr>
        <w:tabs>
          <w:tab w:val="left" w:pos="244"/>
        </w:tabs>
        <w:spacing w:line="377" w:lineRule="auto"/>
        <w:jc w:val="both"/>
      </w:pPr>
      <w:r>
        <w:rPr>
          <w:rStyle w:val="Teksttreci"/>
          <w:color w:val="000000"/>
        </w:rPr>
        <w:t>oraz koszty ponoszone przez konsumentów i przedsiębiorców.</w:t>
      </w:r>
    </w:p>
    <w:p w14:paraId="36BEA66E" w14:textId="77777777" w:rsidR="006E77B3" w:rsidRDefault="00000000">
      <w:pPr>
        <w:pStyle w:val="Teksttreci0"/>
        <w:numPr>
          <w:ilvl w:val="0"/>
          <w:numId w:val="4"/>
        </w:numPr>
        <w:tabs>
          <w:tab w:val="left" w:pos="352"/>
        </w:tabs>
        <w:spacing w:after="0" w:line="379" w:lineRule="auto"/>
        <w:jc w:val="both"/>
      </w:pPr>
      <w:r>
        <w:rPr>
          <w:rStyle w:val="Teksttreci"/>
          <w:color w:val="000000"/>
        </w:rPr>
        <w:t>Cel środowiskowy powinien być osiągany w sposób racjonalny</w:t>
      </w:r>
    </w:p>
    <w:p w14:paraId="4B03A79F" w14:textId="77777777" w:rsidR="006E77B3" w:rsidRDefault="00000000">
      <w:pPr>
        <w:pStyle w:val="Teksttreci0"/>
        <w:spacing w:after="0" w:line="379" w:lineRule="auto"/>
        <w:jc w:val="both"/>
      </w:pPr>
      <w:r>
        <w:rPr>
          <w:rStyle w:val="Teksttreci"/>
          <w:color w:val="000000"/>
        </w:rPr>
        <w:t>Ochrona środowiska i zwiększenie poziomu recyklingu są celami o niewątpliwie istotnym znaczeniu publicznym.</w:t>
      </w:r>
    </w:p>
    <w:p w14:paraId="66425A8C" w14:textId="77777777" w:rsidR="006E77B3" w:rsidRDefault="00000000">
      <w:pPr>
        <w:pStyle w:val="Teksttreci0"/>
        <w:spacing w:line="379" w:lineRule="auto"/>
        <w:jc w:val="both"/>
      </w:pPr>
      <w:r>
        <w:rPr>
          <w:rStyle w:val="Teksttreci"/>
          <w:color w:val="000000"/>
        </w:rPr>
        <w:t>Jednocześnie sposób realizacji tych celów powinien być racjonalny, proporcjonalny i ekonomicznie uzasadniony.</w:t>
      </w:r>
    </w:p>
    <w:p w14:paraId="1A989A42" w14:textId="77777777" w:rsidR="006E77B3" w:rsidRDefault="00000000">
      <w:pPr>
        <w:pStyle w:val="Teksttreci0"/>
        <w:jc w:val="both"/>
      </w:pPr>
      <w:r>
        <w:rPr>
          <w:rStyle w:val="Teksttreci"/>
          <w:color w:val="000000"/>
        </w:rPr>
        <w:t>Jeżeli podobny poziom zbierania i recyklingu można osiągnąć poprzez skuteczny system selektywnej zbiórki, finansowany w większym stopniu przez producentów i oparty na istniejącej infrastrukturze gospodarki odpadami, należy rozważyć, czy utrzymywanie odrębnego systemu kaucyjnego jest nadal uzasadnione.</w:t>
      </w:r>
    </w:p>
    <w:p w14:paraId="6B6290F1" w14:textId="77777777" w:rsidR="006E77B3" w:rsidRDefault="00000000">
      <w:pPr>
        <w:pStyle w:val="Teksttreci0"/>
        <w:numPr>
          <w:ilvl w:val="0"/>
          <w:numId w:val="4"/>
        </w:numPr>
        <w:tabs>
          <w:tab w:val="left" w:pos="345"/>
        </w:tabs>
        <w:spacing w:after="0" w:line="374" w:lineRule="auto"/>
        <w:jc w:val="both"/>
      </w:pPr>
      <w:r>
        <w:rPr>
          <w:rStyle w:val="Teksttreci"/>
        </w:rPr>
        <w:t>Ocena systemu na podstawie rzeczywistych danych</w:t>
      </w:r>
    </w:p>
    <w:p w14:paraId="3F5F6BE1" w14:textId="77777777" w:rsidR="006E77B3" w:rsidRDefault="00000000">
      <w:pPr>
        <w:pStyle w:val="Teksttreci0"/>
        <w:spacing w:after="0" w:line="374" w:lineRule="auto"/>
        <w:jc w:val="both"/>
      </w:pPr>
      <w:r>
        <w:rPr>
          <w:rStyle w:val="Teksttreci"/>
        </w:rPr>
        <w:t>System kaucyjny funkcjonuje w Polsce stosunkowo krótko. Nie można więc na obecnym etapie twierdzić, że jego ostateczne efekty są już znane.</w:t>
      </w:r>
    </w:p>
    <w:p w14:paraId="4ABA7A2B" w14:textId="77777777" w:rsidR="006E77B3" w:rsidRDefault="00000000">
      <w:pPr>
        <w:pStyle w:val="Teksttreci0"/>
        <w:spacing w:after="0" w:line="374" w:lineRule="auto"/>
        <w:jc w:val="both"/>
      </w:pPr>
      <w:r>
        <w:rPr>
          <w:rStyle w:val="Teksttreci"/>
        </w:rPr>
        <w:t>Jednocześnie Ministerstwo Klimatu i Środowiska podaje, że do końca maja 2026 r. w systemie zwrócono około 1,6 mld opakowań.</w:t>
      </w:r>
    </w:p>
    <w:p w14:paraId="6EED9EE2" w14:textId="77777777" w:rsidR="006E77B3" w:rsidRDefault="00000000">
      <w:pPr>
        <w:pStyle w:val="Teksttreci0"/>
        <w:spacing w:after="0" w:line="374" w:lineRule="auto"/>
        <w:jc w:val="both"/>
      </w:pPr>
      <w:r>
        <w:rPr>
          <w:rStyle w:val="Teksttreci"/>
        </w:rPr>
        <w:t>Tym bardziej potrzebne jest zestawienie tych danych z kosztami funkcjonowania systemu oraz jego wpływem na system gospodarki odpadami komunalnymi.</w:t>
      </w:r>
    </w:p>
    <w:p w14:paraId="2CF52715" w14:textId="77777777" w:rsidR="006E77B3" w:rsidRDefault="00000000">
      <w:pPr>
        <w:pStyle w:val="Teksttreci0"/>
        <w:spacing w:after="0" w:line="374" w:lineRule="auto"/>
        <w:jc w:val="both"/>
      </w:pPr>
      <w:r>
        <w:rPr>
          <w:rStyle w:val="Teksttreci"/>
        </w:rPr>
        <w:t>Ocena powinna obejmować m.in.:</w:t>
      </w:r>
    </w:p>
    <w:p w14:paraId="53E92885" w14:textId="77777777" w:rsidR="006E77B3" w:rsidRDefault="00000000">
      <w:pPr>
        <w:pStyle w:val="Teksttreci0"/>
        <w:numPr>
          <w:ilvl w:val="0"/>
          <w:numId w:val="6"/>
        </w:numPr>
        <w:tabs>
          <w:tab w:val="left" w:pos="240"/>
        </w:tabs>
        <w:spacing w:after="0" w:line="374" w:lineRule="auto"/>
        <w:jc w:val="both"/>
      </w:pPr>
      <w:r>
        <w:rPr>
          <w:rStyle w:val="Teksttreci"/>
        </w:rPr>
        <w:t>liczbę zebranych opakowań,</w:t>
      </w:r>
    </w:p>
    <w:p w14:paraId="32C452A1" w14:textId="77777777" w:rsidR="006E77B3" w:rsidRDefault="00000000">
      <w:pPr>
        <w:pStyle w:val="Teksttreci0"/>
        <w:numPr>
          <w:ilvl w:val="0"/>
          <w:numId w:val="6"/>
        </w:numPr>
        <w:tabs>
          <w:tab w:val="left" w:pos="258"/>
        </w:tabs>
        <w:spacing w:after="0" w:line="374" w:lineRule="auto"/>
        <w:jc w:val="both"/>
      </w:pPr>
      <w:r>
        <w:rPr>
          <w:rStyle w:val="Teksttreci"/>
        </w:rPr>
        <w:t>rzeczywisty poziom ich recyklingu,</w:t>
      </w:r>
    </w:p>
    <w:p w14:paraId="30A2BBF0" w14:textId="77777777" w:rsidR="006E77B3" w:rsidRDefault="00000000">
      <w:pPr>
        <w:pStyle w:val="Teksttreci0"/>
        <w:numPr>
          <w:ilvl w:val="0"/>
          <w:numId w:val="6"/>
        </w:numPr>
        <w:tabs>
          <w:tab w:val="left" w:pos="258"/>
        </w:tabs>
        <w:spacing w:after="0" w:line="374" w:lineRule="auto"/>
        <w:jc w:val="both"/>
      </w:pPr>
      <w:r>
        <w:rPr>
          <w:rStyle w:val="Teksttreci"/>
        </w:rPr>
        <w:lastRenderedPageBreak/>
        <w:t>koszty funkcjonowania systemu,</w:t>
      </w:r>
    </w:p>
    <w:p w14:paraId="6E10AAAB" w14:textId="77777777" w:rsidR="006E77B3" w:rsidRDefault="00000000">
      <w:pPr>
        <w:pStyle w:val="Teksttreci0"/>
        <w:numPr>
          <w:ilvl w:val="0"/>
          <w:numId w:val="6"/>
        </w:numPr>
        <w:tabs>
          <w:tab w:val="left" w:pos="255"/>
        </w:tabs>
        <w:spacing w:after="0" w:line="374" w:lineRule="auto"/>
        <w:jc w:val="both"/>
      </w:pPr>
      <w:r>
        <w:rPr>
          <w:rStyle w:val="Teksttreci"/>
        </w:rPr>
        <w:t>koszty infrastruktury,</w:t>
      </w:r>
    </w:p>
    <w:p w14:paraId="10706313" w14:textId="77777777" w:rsidR="006E77B3" w:rsidRDefault="00000000">
      <w:pPr>
        <w:pStyle w:val="Teksttreci0"/>
        <w:numPr>
          <w:ilvl w:val="0"/>
          <w:numId w:val="6"/>
        </w:numPr>
        <w:tabs>
          <w:tab w:val="left" w:pos="255"/>
        </w:tabs>
        <w:spacing w:after="0" w:line="374" w:lineRule="auto"/>
        <w:jc w:val="both"/>
      </w:pPr>
      <w:r>
        <w:rPr>
          <w:rStyle w:val="Teksttreci"/>
        </w:rPr>
        <w:t>koszty ponoszone przez przedsiębiorców,</w:t>
      </w:r>
    </w:p>
    <w:p w14:paraId="42959A9B" w14:textId="77777777" w:rsidR="006E77B3" w:rsidRDefault="00000000">
      <w:pPr>
        <w:pStyle w:val="Teksttreci0"/>
        <w:numPr>
          <w:ilvl w:val="0"/>
          <w:numId w:val="6"/>
        </w:numPr>
        <w:tabs>
          <w:tab w:val="left" w:pos="251"/>
        </w:tabs>
        <w:spacing w:after="0" w:line="374" w:lineRule="auto"/>
        <w:jc w:val="both"/>
      </w:pPr>
      <w:r>
        <w:rPr>
          <w:rStyle w:val="Teksttreci"/>
        </w:rPr>
        <w:t>koszty ponoszone przez gminy,</w:t>
      </w:r>
    </w:p>
    <w:p w14:paraId="005909D3" w14:textId="77777777" w:rsidR="006E77B3" w:rsidRDefault="00000000">
      <w:pPr>
        <w:pStyle w:val="Teksttreci0"/>
        <w:numPr>
          <w:ilvl w:val="0"/>
          <w:numId w:val="6"/>
        </w:numPr>
        <w:tabs>
          <w:tab w:val="left" w:pos="255"/>
        </w:tabs>
        <w:spacing w:after="0" w:line="374" w:lineRule="auto"/>
      </w:pPr>
      <w:r>
        <w:rPr>
          <w:rStyle w:val="Teksttreci"/>
        </w:rPr>
        <w:t>utracone przychody gmin ze sprzedaży surowców,</w:t>
      </w:r>
    </w:p>
    <w:p w14:paraId="72DA8B23" w14:textId="77777777" w:rsidR="006E77B3" w:rsidRDefault="00000000">
      <w:pPr>
        <w:pStyle w:val="Teksttreci0"/>
        <w:numPr>
          <w:ilvl w:val="0"/>
          <w:numId w:val="6"/>
        </w:numPr>
        <w:tabs>
          <w:tab w:val="left" w:pos="255"/>
        </w:tabs>
        <w:spacing w:after="0" w:line="374" w:lineRule="auto"/>
      </w:pPr>
      <w:r>
        <w:rPr>
          <w:rStyle w:val="Teksttreci"/>
        </w:rPr>
        <w:t>wpływ tych zmian na opłaty za gospodarowanie odpadami,</w:t>
      </w:r>
    </w:p>
    <w:p w14:paraId="4518B35B" w14:textId="77777777" w:rsidR="006E77B3" w:rsidRDefault="00000000">
      <w:pPr>
        <w:pStyle w:val="Teksttreci0"/>
        <w:numPr>
          <w:ilvl w:val="0"/>
          <w:numId w:val="6"/>
        </w:numPr>
        <w:tabs>
          <w:tab w:val="left" w:pos="255"/>
        </w:tabs>
        <w:spacing w:after="0" w:line="374" w:lineRule="auto"/>
      </w:pPr>
      <w:r>
        <w:rPr>
          <w:rStyle w:val="Teksttreci"/>
        </w:rPr>
        <w:t>wpływ systemu na ilość odpadów zmieszanych,</w:t>
      </w:r>
    </w:p>
    <w:p w14:paraId="5FA572AA" w14:textId="77777777" w:rsidR="006E77B3" w:rsidRDefault="00000000">
      <w:pPr>
        <w:pStyle w:val="Teksttreci0"/>
        <w:numPr>
          <w:ilvl w:val="0"/>
          <w:numId w:val="6"/>
        </w:numPr>
        <w:tabs>
          <w:tab w:val="left" w:pos="255"/>
        </w:tabs>
        <w:spacing w:line="374" w:lineRule="auto"/>
      </w:pPr>
      <w:r>
        <w:rPr>
          <w:rStyle w:val="Teksttreci"/>
        </w:rPr>
        <w:t>wpływ systemu na zaśmiecanie środowiska, * oraz rzeczywistą efektywność środowiskową.</w:t>
      </w:r>
    </w:p>
    <w:p w14:paraId="692CBDF8" w14:textId="77777777" w:rsidR="006E77B3" w:rsidRDefault="00000000">
      <w:pPr>
        <w:pStyle w:val="Teksttreci0"/>
        <w:spacing w:after="0" w:line="374" w:lineRule="auto"/>
      </w:pPr>
      <w:r>
        <w:rPr>
          <w:rStyle w:val="Teksttreci"/>
        </w:rPr>
        <w:t>10. Konkluzja</w:t>
      </w:r>
    </w:p>
    <w:p w14:paraId="7480C79B" w14:textId="77777777" w:rsidR="006E77B3" w:rsidRDefault="00000000">
      <w:pPr>
        <w:pStyle w:val="Teksttreci0"/>
        <w:spacing w:after="0" w:line="396" w:lineRule="auto"/>
      </w:pPr>
      <w:r>
        <w:rPr>
          <w:rStyle w:val="Teksttreci"/>
        </w:rPr>
        <w:t>Niniejsza petycja nie zmierza do ograniczenia recyklingu ani do rezygnacji z selektywnego zbierania odpadów.</w:t>
      </w:r>
    </w:p>
    <w:p w14:paraId="0B767076" w14:textId="77777777" w:rsidR="006E77B3" w:rsidRDefault="00000000">
      <w:pPr>
        <w:pStyle w:val="Teksttreci0"/>
        <w:spacing w:line="360" w:lineRule="auto"/>
      </w:pPr>
      <w:r>
        <w:rPr>
          <w:rStyle w:val="Teksttreci"/>
        </w:rPr>
        <w:t>Zmierzam do osiągnięcia tego samego celu środowiskowego przy możliwie najmniejszych kosztach i obciążeniach dla obywateli oraz bez pogarszania sytuacji finansowej gminnego systemu gospodarki odpadami.</w:t>
      </w:r>
    </w:p>
    <w:p w14:paraId="59C508C0" w14:textId="77777777" w:rsidR="006E77B3" w:rsidRDefault="00000000">
      <w:pPr>
        <w:pStyle w:val="Teksttreci0"/>
        <w:spacing w:line="374" w:lineRule="auto"/>
      </w:pPr>
      <w:r>
        <w:rPr>
          <w:rStyle w:val="Teksttreci"/>
        </w:rPr>
        <w:t>Uważam, że należy rozważyć model, w którym producent wprowadzający opakowanie na rynek ponosi odpowiedzialność za jego zagospodarowanie, konsument prawidłowo segreguje odpad, a system gospodarki odpadami zapewnia jego odbiór i dalsze zagospodarowanie, w wyniku czego odpad trafia do recyklingu.</w:t>
      </w:r>
    </w:p>
    <w:p w14:paraId="76ED9C31" w14:textId="77777777" w:rsidR="006E77B3" w:rsidRDefault="00000000">
      <w:pPr>
        <w:pStyle w:val="Teksttreci0"/>
      </w:pPr>
      <w:r>
        <w:rPr>
          <w:rStyle w:val="Teksttreci"/>
        </w:rPr>
        <w:t>Jeżeli taki model może zapewnić porównywalny lub wyższy poziom zbierania i recyklingu niż system kaucyjny, przy jednocześnie niższych kosztach, mniejszej uciążliwości dla obywateli oraz bez przerzucania skutków utraty wartościowych surowców na gminy i ich mieszkańców, zasadne jest zastąpienie systemu kaucyjnego takim rozwiązaniem. Wnoszę zatem o podjęcie przez Sejm Rzeczypospolitej Polskiej działań zmierzających do przeprowadzenia opisanej analizy oraz - w przypadku potwierdzenia zasadności przedstawionego rozwiązania - podjęcie odpowiednich prac legislacyjnych.</w:t>
      </w:r>
    </w:p>
    <w:p w14:paraId="148DF9F7" w14:textId="77777777" w:rsidR="006E77B3" w:rsidRDefault="00000000">
      <w:pPr>
        <w:pStyle w:val="Teksttreci0"/>
        <w:spacing w:after="0" w:line="240" w:lineRule="auto"/>
        <w:ind w:left="2180"/>
        <w:jc w:val="both"/>
      </w:pPr>
      <w:r>
        <w:rPr>
          <w:rStyle w:val="Teksttreci"/>
        </w:rPr>
        <w:t>Z poważaniem,</w:t>
      </w:r>
    </w:p>
    <w:sectPr w:rsidR="006E77B3">
      <w:headerReference w:type="default" r:id="rId9"/>
      <w:headerReference w:type="first" r:id="rId10"/>
      <w:pgSz w:w="11900" w:h="16840"/>
      <w:pgMar w:top="683" w:right="1422" w:bottom="421" w:left="1348"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D2119" w14:textId="77777777" w:rsidR="00E60C93" w:rsidRDefault="00E60C93">
      <w:r>
        <w:separator/>
      </w:r>
    </w:p>
  </w:endnote>
  <w:endnote w:type="continuationSeparator" w:id="0">
    <w:p w14:paraId="265619A6" w14:textId="77777777" w:rsidR="00E60C93" w:rsidRDefault="00E6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7B644" w14:textId="77777777" w:rsidR="00E60C93" w:rsidRDefault="00E60C93"/>
  </w:footnote>
  <w:footnote w:type="continuationSeparator" w:id="0">
    <w:p w14:paraId="6DE80EF6" w14:textId="77777777" w:rsidR="00E60C93" w:rsidRDefault="00E60C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17E6" w14:textId="77777777" w:rsidR="006E77B3" w:rsidRDefault="00000000">
    <w:pPr>
      <w:spacing w:line="1" w:lineRule="exact"/>
    </w:pPr>
    <w:r>
      <w:rPr>
        <w:noProof/>
      </w:rPr>
      <mc:AlternateContent>
        <mc:Choice Requires="wps">
          <w:drawing>
            <wp:anchor distT="0" distB="0" distL="0" distR="0" simplePos="0" relativeHeight="62914690" behindDoc="1" locked="0" layoutInCell="1" allowOverlap="1" wp14:anchorId="6956A90F" wp14:editId="3CA083FC">
              <wp:simplePos x="0" y="0"/>
              <wp:positionH relativeFrom="page">
                <wp:posOffset>3590290</wp:posOffset>
              </wp:positionH>
              <wp:positionV relativeFrom="page">
                <wp:posOffset>251460</wp:posOffset>
              </wp:positionV>
              <wp:extent cx="324485" cy="114300"/>
              <wp:effectExtent l="0" t="0" r="0" b="0"/>
              <wp:wrapNone/>
              <wp:docPr id="1" name="Shape 1"/>
              <wp:cNvGraphicFramePr/>
              <a:graphic xmlns:a="http://schemas.openxmlformats.org/drawingml/2006/main">
                <a:graphicData uri="http://schemas.microsoft.com/office/word/2010/wordprocessingShape">
                  <wps:wsp>
                    <wps:cNvSpPr txBox="1"/>
                    <wps:spPr>
                      <a:xfrm>
                        <a:off x="0" y="0"/>
                        <a:ext cx="324485" cy="114300"/>
                      </a:xfrm>
                      <a:prstGeom prst="rect">
                        <a:avLst/>
                      </a:prstGeom>
                      <a:noFill/>
                    </wps:spPr>
                    <wps:txbx>
                      <w:txbxContent>
                        <w:p w14:paraId="527B6318" w14:textId="77777777" w:rsidR="006E77B3" w:rsidRDefault="00000000">
                          <w:pPr>
                            <w:pStyle w:val="Nagweklubstopka20"/>
                            <w:rPr>
                              <w:sz w:val="24"/>
                              <w:szCs w:val="24"/>
                            </w:rPr>
                          </w:pPr>
                          <w:r>
                            <w:fldChar w:fldCharType="begin"/>
                          </w:r>
                          <w:r>
                            <w:instrText xml:space="preserve"> PAGE \* MERGEFORMAT </w:instrText>
                          </w:r>
                          <w:r>
                            <w:fldChar w:fldCharType="separate"/>
                          </w:r>
                          <w:r>
                            <w:rPr>
                              <w:rStyle w:val="Nagweklubstopka2"/>
                              <w:rFonts w:ascii="Arial" w:eastAsia="Arial" w:hAnsi="Arial" w:cs="Arial"/>
                              <w:color w:val="202020"/>
                              <w:sz w:val="24"/>
                              <w:szCs w:val="24"/>
                            </w:rPr>
                            <w:t>#</w:t>
                          </w:r>
                          <w:r>
                            <w:rPr>
                              <w:rStyle w:val="Nagweklubstopka2"/>
                              <w:rFonts w:ascii="Arial" w:eastAsia="Arial" w:hAnsi="Arial" w:cs="Arial"/>
                              <w:color w:val="202020"/>
                              <w:sz w:val="24"/>
                              <w:szCs w:val="24"/>
                            </w:rPr>
                            <w:fldChar w:fldCharType="end"/>
                          </w:r>
                          <w:r>
                            <w:rPr>
                              <w:rStyle w:val="Nagweklubstopka2"/>
                              <w:rFonts w:ascii="Arial" w:eastAsia="Arial" w:hAnsi="Arial" w:cs="Arial"/>
                              <w:color w:val="202020"/>
                              <w:sz w:val="24"/>
                              <w:szCs w:val="24"/>
                            </w:rPr>
                            <w:t>z6</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82.69999999999999pt;margin-top:19.800000000000001pt;width:25.550000000000001pt;height:9.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Style w:val="CharStyle5"/>
                          <w:rFonts w:ascii="Arial" w:eastAsia="Arial" w:hAnsi="Arial" w:cs="Arial"/>
                          <w:color w:val="202020"/>
                          <w:sz w:val="24"/>
                          <w:szCs w:val="24"/>
                        </w:rPr>
                        <w:t>#</w:t>
                      </w:r>
                    </w:fldSimple>
                    <w:r>
                      <w:rPr>
                        <w:rStyle w:val="CharStyle5"/>
                        <w:rFonts w:ascii="Arial" w:eastAsia="Arial" w:hAnsi="Arial" w:cs="Arial"/>
                        <w:color w:val="202020"/>
                        <w:sz w:val="24"/>
                        <w:szCs w:val="24"/>
                      </w:rPr>
                      <w:t>z6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64FB" w14:textId="77777777" w:rsidR="006E77B3" w:rsidRDefault="00000000">
    <w:pPr>
      <w:spacing w:line="1" w:lineRule="exact"/>
    </w:pPr>
    <w:r>
      <w:rPr>
        <w:noProof/>
      </w:rPr>
      <mc:AlternateContent>
        <mc:Choice Requires="wps">
          <w:drawing>
            <wp:anchor distT="0" distB="0" distL="0" distR="0" simplePos="0" relativeHeight="62914692" behindDoc="1" locked="0" layoutInCell="1" allowOverlap="1" wp14:anchorId="74F424B9" wp14:editId="5531C6AA">
              <wp:simplePos x="0" y="0"/>
              <wp:positionH relativeFrom="page">
                <wp:posOffset>3601720</wp:posOffset>
              </wp:positionH>
              <wp:positionV relativeFrom="page">
                <wp:posOffset>292100</wp:posOffset>
              </wp:positionV>
              <wp:extent cx="311150" cy="114300"/>
              <wp:effectExtent l="0" t="0" r="0" b="0"/>
              <wp:wrapNone/>
              <wp:docPr id="3" name="Shape 3"/>
              <wp:cNvGraphicFramePr/>
              <a:graphic xmlns:a="http://schemas.openxmlformats.org/drawingml/2006/main">
                <a:graphicData uri="http://schemas.microsoft.com/office/word/2010/wordprocessingShape">
                  <wps:wsp>
                    <wps:cNvSpPr txBox="1"/>
                    <wps:spPr>
                      <a:xfrm>
                        <a:off x="0" y="0"/>
                        <a:ext cx="311150" cy="114300"/>
                      </a:xfrm>
                      <a:prstGeom prst="rect">
                        <a:avLst/>
                      </a:prstGeom>
                      <a:noFill/>
                    </wps:spPr>
                    <wps:txbx>
                      <w:txbxContent>
                        <w:p w14:paraId="19BFFBF5" w14:textId="77777777" w:rsidR="006E77B3" w:rsidRDefault="00000000">
                          <w:pPr>
                            <w:pStyle w:val="Nagweklubstopka20"/>
                            <w:rPr>
                              <w:sz w:val="24"/>
                              <w:szCs w:val="24"/>
                            </w:rPr>
                          </w:pPr>
                          <w:r>
                            <w:fldChar w:fldCharType="begin"/>
                          </w:r>
                          <w:r>
                            <w:instrText xml:space="preserve"> PAGE \* MERGEFORMAT </w:instrText>
                          </w:r>
                          <w:r>
                            <w:fldChar w:fldCharType="separate"/>
                          </w:r>
                          <w:r>
                            <w:rPr>
                              <w:rStyle w:val="Nagweklubstopka2"/>
                              <w:rFonts w:ascii="Arial" w:eastAsia="Arial" w:hAnsi="Arial" w:cs="Arial"/>
                              <w:color w:val="202020"/>
                              <w:sz w:val="24"/>
                              <w:szCs w:val="24"/>
                            </w:rPr>
                            <w:t>#</w:t>
                          </w:r>
                          <w:r>
                            <w:rPr>
                              <w:rStyle w:val="Nagweklubstopka2"/>
                              <w:rFonts w:ascii="Arial" w:eastAsia="Arial" w:hAnsi="Arial" w:cs="Arial"/>
                              <w:color w:val="202020"/>
                              <w:sz w:val="24"/>
                              <w:szCs w:val="24"/>
                            </w:rPr>
                            <w:fldChar w:fldCharType="end"/>
                          </w:r>
                          <w:r>
                            <w:rPr>
                              <w:rStyle w:val="Nagweklubstopka2"/>
                              <w:rFonts w:ascii="Arial" w:eastAsia="Arial" w:hAnsi="Arial" w:cs="Arial"/>
                              <w:color w:val="202020"/>
                              <w:sz w:val="24"/>
                              <w:szCs w:val="24"/>
                            </w:rPr>
                            <w:t xml:space="preserve"> z6</w:t>
                          </w:r>
                        </w:p>
                      </w:txbxContent>
                    </wps:txbx>
                    <wps:bodyPr wrap="none" lIns="0" tIns="0" rIns="0" bIns="0">
                      <a:spAutoFit/>
                    </wps:bodyPr>
                  </wps:wsp>
                </a:graphicData>
              </a:graphic>
            </wp:anchor>
          </w:drawing>
        </mc:Choice>
        <mc:Fallback>
          <w:pict>
            <v:shape id="_x0000_s1029" type="#_x0000_t202" style="position:absolute;margin-left:283.60000000000002pt;margin-top:23.pt;width:24.5pt;height:9.pt;z-index:-18874406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Style w:val="CharStyle5"/>
                          <w:rFonts w:ascii="Arial" w:eastAsia="Arial" w:hAnsi="Arial" w:cs="Arial"/>
                          <w:color w:val="202020"/>
                          <w:sz w:val="24"/>
                          <w:szCs w:val="24"/>
                        </w:rPr>
                        <w:t>#</w:t>
                      </w:r>
                    </w:fldSimple>
                    <w:r>
                      <w:rPr>
                        <w:rStyle w:val="CharStyle5"/>
                        <w:rFonts w:ascii="Arial" w:eastAsia="Arial" w:hAnsi="Arial" w:cs="Arial"/>
                        <w:color w:val="202020"/>
                        <w:sz w:val="24"/>
                        <w:szCs w:val="24"/>
                      </w:rPr>
                      <w:t xml:space="preserve"> z6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137D" w14:textId="77777777" w:rsidR="006E77B3" w:rsidRDefault="00000000">
    <w:pPr>
      <w:spacing w:line="1" w:lineRule="exact"/>
    </w:pPr>
    <w:r>
      <w:rPr>
        <w:noProof/>
      </w:rPr>
      <mc:AlternateContent>
        <mc:Choice Requires="wps">
          <w:drawing>
            <wp:anchor distT="0" distB="0" distL="0" distR="0" simplePos="0" relativeHeight="62914694" behindDoc="1" locked="0" layoutInCell="1" allowOverlap="1" wp14:anchorId="719F5287" wp14:editId="082DFF08">
              <wp:simplePos x="0" y="0"/>
              <wp:positionH relativeFrom="page">
                <wp:posOffset>3590290</wp:posOffset>
              </wp:positionH>
              <wp:positionV relativeFrom="page">
                <wp:posOffset>251460</wp:posOffset>
              </wp:positionV>
              <wp:extent cx="324485" cy="114300"/>
              <wp:effectExtent l="0" t="0" r="0" b="0"/>
              <wp:wrapNone/>
              <wp:docPr id="5" name="Shape 5"/>
              <wp:cNvGraphicFramePr/>
              <a:graphic xmlns:a="http://schemas.openxmlformats.org/drawingml/2006/main">
                <a:graphicData uri="http://schemas.microsoft.com/office/word/2010/wordprocessingShape">
                  <wps:wsp>
                    <wps:cNvSpPr txBox="1"/>
                    <wps:spPr>
                      <a:xfrm>
                        <a:off x="0" y="0"/>
                        <a:ext cx="324485" cy="114300"/>
                      </a:xfrm>
                      <a:prstGeom prst="rect">
                        <a:avLst/>
                      </a:prstGeom>
                      <a:noFill/>
                    </wps:spPr>
                    <wps:txbx>
                      <w:txbxContent>
                        <w:p w14:paraId="0F6600FB" w14:textId="77777777" w:rsidR="006E77B3" w:rsidRDefault="00000000">
                          <w:pPr>
                            <w:pStyle w:val="Nagweklubstopka20"/>
                            <w:rPr>
                              <w:sz w:val="24"/>
                              <w:szCs w:val="24"/>
                            </w:rPr>
                          </w:pPr>
                          <w:r>
                            <w:fldChar w:fldCharType="begin"/>
                          </w:r>
                          <w:r>
                            <w:instrText xml:space="preserve"> PAGE \* MERGEFORMAT </w:instrText>
                          </w:r>
                          <w:r>
                            <w:fldChar w:fldCharType="separate"/>
                          </w:r>
                          <w:r>
                            <w:rPr>
                              <w:rStyle w:val="Nagweklubstopka2"/>
                              <w:rFonts w:ascii="Arial" w:eastAsia="Arial" w:hAnsi="Arial" w:cs="Arial"/>
                              <w:color w:val="202020"/>
                              <w:sz w:val="24"/>
                              <w:szCs w:val="24"/>
                            </w:rPr>
                            <w:t>#</w:t>
                          </w:r>
                          <w:r>
                            <w:rPr>
                              <w:rStyle w:val="Nagweklubstopka2"/>
                              <w:rFonts w:ascii="Arial" w:eastAsia="Arial" w:hAnsi="Arial" w:cs="Arial"/>
                              <w:color w:val="202020"/>
                              <w:sz w:val="24"/>
                              <w:szCs w:val="24"/>
                            </w:rPr>
                            <w:fldChar w:fldCharType="end"/>
                          </w:r>
                          <w:r>
                            <w:rPr>
                              <w:rStyle w:val="Nagweklubstopka2"/>
                              <w:rFonts w:ascii="Arial" w:eastAsia="Arial" w:hAnsi="Arial" w:cs="Arial"/>
                              <w:color w:val="202020"/>
                              <w:sz w:val="24"/>
                              <w:szCs w:val="24"/>
                            </w:rPr>
                            <w:t>z6</w:t>
                          </w:r>
                        </w:p>
                      </w:txbxContent>
                    </wps:txbx>
                    <wps:bodyPr wrap="none" lIns="0" tIns="0" rIns="0" bIns="0">
                      <a:spAutoFit/>
                    </wps:bodyPr>
                  </wps:wsp>
                </a:graphicData>
              </a:graphic>
            </wp:anchor>
          </w:drawing>
        </mc:Choice>
        <mc:Fallback>
          <w:pict>
            <v:shape id="_x0000_s1031" type="#_x0000_t202" style="position:absolute;margin-left:282.69999999999999pt;margin-top:19.800000000000001pt;width:25.550000000000001pt;height:9.pt;z-index:-18874405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Style w:val="CharStyle5"/>
                          <w:rFonts w:ascii="Arial" w:eastAsia="Arial" w:hAnsi="Arial" w:cs="Arial"/>
                          <w:color w:val="202020"/>
                          <w:sz w:val="24"/>
                          <w:szCs w:val="24"/>
                        </w:rPr>
                        <w:t>#</w:t>
                      </w:r>
                    </w:fldSimple>
                    <w:r>
                      <w:rPr>
                        <w:rStyle w:val="CharStyle5"/>
                        <w:rFonts w:ascii="Arial" w:eastAsia="Arial" w:hAnsi="Arial" w:cs="Arial"/>
                        <w:color w:val="202020"/>
                        <w:sz w:val="24"/>
                        <w:szCs w:val="24"/>
                      </w:rPr>
                      <w:t>z6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242B" w14:textId="77777777" w:rsidR="006E77B3" w:rsidRDefault="00000000">
    <w:pPr>
      <w:spacing w:line="1" w:lineRule="exact"/>
    </w:pPr>
    <w:r>
      <w:rPr>
        <w:noProof/>
      </w:rPr>
      <mc:AlternateContent>
        <mc:Choice Requires="wps">
          <w:drawing>
            <wp:anchor distT="0" distB="0" distL="0" distR="0" simplePos="0" relativeHeight="62914696" behindDoc="1" locked="0" layoutInCell="1" allowOverlap="1" wp14:anchorId="679D7E4A" wp14:editId="2002D96A">
              <wp:simplePos x="0" y="0"/>
              <wp:positionH relativeFrom="page">
                <wp:posOffset>3583305</wp:posOffset>
              </wp:positionH>
              <wp:positionV relativeFrom="page">
                <wp:posOffset>292100</wp:posOffset>
              </wp:positionV>
              <wp:extent cx="322580" cy="114300"/>
              <wp:effectExtent l="0" t="0" r="0" b="0"/>
              <wp:wrapNone/>
              <wp:docPr id="7" name="Shape 7"/>
              <wp:cNvGraphicFramePr/>
              <a:graphic xmlns:a="http://schemas.openxmlformats.org/drawingml/2006/main">
                <a:graphicData uri="http://schemas.microsoft.com/office/word/2010/wordprocessingShape">
                  <wps:wsp>
                    <wps:cNvSpPr txBox="1"/>
                    <wps:spPr>
                      <a:xfrm>
                        <a:off x="0" y="0"/>
                        <a:ext cx="322580" cy="114300"/>
                      </a:xfrm>
                      <a:prstGeom prst="rect">
                        <a:avLst/>
                      </a:prstGeom>
                      <a:noFill/>
                    </wps:spPr>
                    <wps:txbx>
                      <w:txbxContent>
                        <w:p w14:paraId="5C2C14FE" w14:textId="77777777" w:rsidR="006E77B3" w:rsidRDefault="00000000">
                          <w:pPr>
                            <w:pStyle w:val="Nagweklubstopka20"/>
                            <w:rPr>
                              <w:sz w:val="24"/>
                              <w:szCs w:val="24"/>
                            </w:rPr>
                          </w:pPr>
                          <w:r>
                            <w:fldChar w:fldCharType="begin"/>
                          </w:r>
                          <w:r>
                            <w:instrText xml:space="preserve"> PAGE \* MERGEFORMAT </w:instrText>
                          </w:r>
                          <w:r>
                            <w:fldChar w:fldCharType="separate"/>
                          </w:r>
                          <w:r>
                            <w:rPr>
                              <w:rStyle w:val="Nagweklubstopka2"/>
                              <w:rFonts w:ascii="Arial" w:eastAsia="Arial" w:hAnsi="Arial" w:cs="Arial"/>
                              <w:color w:val="202020"/>
                              <w:sz w:val="24"/>
                              <w:szCs w:val="24"/>
                            </w:rPr>
                            <w:t>#</w:t>
                          </w:r>
                          <w:r>
                            <w:rPr>
                              <w:rStyle w:val="Nagweklubstopka2"/>
                              <w:rFonts w:ascii="Arial" w:eastAsia="Arial" w:hAnsi="Arial" w:cs="Arial"/>
                              <w:color w:val="202020"/>
                              <w:sz w:val="24"/>
                              <w:szCs w:val="24"/>
                            </w:rPr>
                            <w:fldChar w:fldCharType="end"/>
                          </w:r>
                          <w:r>
                            <w:rPr>
                              <w:rStyle w:val="Nagweklubstopka2"/>
                              <w:rFonts w:ascii="Arial" w:eastAsia="Arial" w:hAnsi="Arial" w:cs="Arial"/>
                              <w:color w:val="202020"/>
                              <w:sz w:val="24"/>
                              <w:szCs w:val="24"/>
                            </w:rPr>
                            <w:t xml:space="preserve"> z 6</w:t>
                          </w:r>
                        </w:p>
                      </w:txbxContent>
                    </wps:txbx>
                    <wps:bodyPr wrap="none" lIns="0" tIns="0" rIns="0" bIns="0">
                      <a:spAutoFit/>
                    </wps:bodyPr>
                  </wps:wsp>
                </a:graphicData>
              </a:graphic>
            </wp:anchor>
          </w:drawing>
        </mc:Choice>
        <mc:Fallback>
          <w:pict>
            <v:shape id="_x0000_s1033" type="#_x0000_t202" style="position:absolute;margin-left:282.15000000000003pt;margin-top:23.pt;width:25.400000000000002pt;height:9.pt;z-index:-18874405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Style w:val="CharStyle5"/>
                          <w:rFonts w:ascii="Arial" w:eastAsia="Arial" w:hAnsi="Arial" w:cs="Arial"/>
                          <w:color w:val="202020"/>
                          <w:sz w:val="24"/>
                          <w:szCs w:val="24"/>
                        </w:rPr>
                        <w:t>#</w:t>
                      </w:r>
                    </w:fldSimple>
                    <w:r>
                      <w:rPr>
                        <w:rStyle w:val="CharStyle5"/>
                        <w:rFonts w:ascii="Arial" w:eastAsia="Arial" w:hAnsi="Arial" w:cs="Arial"/>
                        <w:color w:val="202020"/>
                        <w:sz w:val="24"/>
                        <w:szCs w:val="24"/>
                      </w:rPr>
                      <w:t xml:space="preserve"> z 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6DE7"/>
    <w:multiLevelType w:val="multilevel"/>
    <w:tmpl w:val="12861A4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68671A"/>
    <w:multiLevelType w:val="multilevel"/>
    <w:tmpl w:val="4C8890AE"/>
    <w:lvl w:ilvl="0">
      <w:start w:val="1"/>
      <w:numFmt w:val="bullet"/>
      <w:lvlText w:val="•"/>
      <w:lvlJc w:val="left"/>
      <w:rPr>
        <w:rFonts w:ascii="Arial" w:eastAsia="Arial" w:hAnsi="Arial" w:cs="Arial"/>
        <w:b w:val="0"/>
        <w:bCs w:val="0"/>
        <w:i w:val="0"/>
        <w:iCs w:val="0"/>
        <w:smallCaps w:val="0"/>
        <w:strike w:val="0"/>
        <w:color w:val="20202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6C5BA0"/>
    <w:multiLevelType w:val="multilevel"/>
    <w:tmpl w:val="A5646100"/>
    <w:lvl w:ilvl="0">
      <w:start w:val="1"/>
      <w:numFmt w:val="decimal"/>
      <w:lvlText w:val="%1."/>
      <w:lvlJc w:val="left"/>
      <w:rPr>
        <w:rFonts w:ascii="Arial" w:eastAsia="Arial" w:hAnsi="Arial" w:cs="Arial"/>
        <w:b w:val="0"/>
        <w:bCs w:val="0"/>
        <w:i w:val="0"/>
        <w:iCs w:val="0"/>
        <w:smallCaps w:val="0"/>
        <w:strike w:val="0"/>
        <w:color w:val="20202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08171F"/>
    <w:multiLevelType w:val="multilevel"/>
    <w:tmpl w:val="8F728EA4"/>
    <w:lvl w:ilvl="0">
      <w:start w:val="1"/>
      <w:numFmt w:val="bullet"/>
      <w:lvlText w:val="*"/>
      <w:lvlJc w:val="left"/>
      <w:rPr>
        <w:rFonts w:ascii="Arial" w:eastAsia="Arial" w:hAnsi="Arial" w:cs="Arial"/>
        <w:b w:val="0"/>
        <w:bCs w:val="0"/>
        <w:i w:val="0"/>
        <w:iCs w:val="0"/>
        <w:smallCaps w:val="0"/>
        <w:strike w:val="0"/>
        <w:color w:val="20202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F176E9"/>
    <w:multiLevelType w:val="multilevel"/>
    <w:tmpl w:val="12DA94A2"/>
    <w:lvl w:ilvl="0">
      <w:start w:val="1"/>
      <w:numFmt w:val="bullet"/>
      <w:lvlText w:val="•"/>
      <w:lvlJc w:val="left"/>
      <w:rPr>
        <w:rFonts w:ascii="Arial" w:eastAsia="Arial" w:hAnsi="Arial" w:cs="Arial"/>
        <w:b w:val="0"/>
        <w:bCs w:val="0"/>
        <w:i w:val="0"/>
        <w:iCs w:val="0"/>
        <w:smallCaps w:val="0"/>
        <w:strike w:val="0"/>
        <w:color w:val="20202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EB1D93"/>
    <w:multiLevelType w:val="multilevel"/>
    <w:tmpl w:val="06D8F696"/>
    <w:lvl w:ilvl="0">
      <w:start w:val="1"/>
      <w:numFmt w:val="decimal"/>
      <w:lvlText w:val="%1."/>
      <w:lvlJc w:val="left"/>
      <w:rPr>
        <w:rFonts w:ascii="Arial" w:eastAsia="Arial" w:hAnsi="Arial" w:cs="Arial"/>
        <w:b w:val="0"/>
        <w:bCs w:val="0"/>
        <w:i w:val="0"/>
        <w:iCs w:val="0"/>
        <w:smallCaps w:val="0"/>
        <w:strike w:val="0"/>
        <w:color w:val="20202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12278239">
    <w:abstractNumId w:val="5"/>
  </w:num>
  <w:num w:numId="2" w16cid:durableId="15816366">
    <w:abstractNumId w:val="4"/>
  </w:num>
  <w:num w:numId="3" w16cid:durableId="1107312301">
    <w:abstractNumId w:val="1"/>
  </w:num>
  <w:num w:numId="4" w16cid:durableId="2013409849">
    <w:abstractNumId w:val="2"/>
  </w:num>
  <w:num w:numId="5" w16cid:durableId="1776824166">
    <w:abstractNumId w:val="0"/>
  </w:num>
  <w:num w:numId="6" w16cid:durableId="1564414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7B3"/>
    <w:rsid w:val="006E77B3"/>
    <w:rsid w:val="00743A33"/>
    <w:rsid w:val="008012E8"/>
    <w:rsid w:val="00E60C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18E42"/>
  <w15:docId w15:val="{8593B4C3-B6C6-49DA-B396-B697A16A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Arial" w:eastAsia="Arial" w:hAnsi="Arial" w:cs="Arial"/>
      <w:b w:val="0"/>
      <w:bCs w:val="0"/>
      <w:i w:val="0"/>
      <w:iCs w:val="0"/>
      <w:smallCaps w:val="0"/>
      <w:strike w:val="0"/>
      <w:color w:val="20202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Teksttreci0">
    <w:name w:val="Tekst treści"/>
    <w:basedOn w:val="Normalny"/>
    <w:link w:val="Teksttreci"/>
    <w:pPr>
      <w:spacing w:after="340" w:line="372" w:lineRule="auto"/>
    </w:pPr>
    <w:rPr>
      <w:rFonts w:ascii="Arial" w:eastAsia="Arial" w:hAnsi="Arial" w:cs="Arial"/>
      <w:color w:val="202020"/>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1906</Words>
  <Characters>11440</Characters>
  <Application>Microsoft Office Word</Application>
  <DocSecurity>0</DocSecurity>
  <Lines>95</Lines>
  <Paragraphs>26</Paragraphs>
  <ScaleCrop>false</ScaleCrop>
  <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Socjusz Marta</cp:lastModifiedBy>
  <cp:revision>2</cp:revision>
  <dcterms:created xsi:type="dcterms:W3CDTF">2026-09-15T06:20:00Z</dcterms:created>
  <dcterms:modified xsi:type="dcterms:W3CDTF">2026-09-15T06:21:00Z</dcterms:modified>
</cp:coreProperties>
</file>