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360"/>
        <w:jc w:val="center"/>
        <w:rPr>
          <w:rFonts w:ascii="Arial" w:hAnsi="Arial"/>
          <w:b/>
          <w:b/>
          <w:color w:val="1F4E79"/>
          <w:sz w:val="44"/>
        </w:rPr>
      </w:pPr>
      <w:r>
        <w:rPr>
          <w:b/>
          <w:color w:val="1F4E79"/>
          <w:sz w:val="44"/>
        </w:rPr>
        <w:t>MATERIAŁY DO NAUKI: MECHANIZACJA ROLNICTWA I AGROTRONIKA</w:t>
      </w:r>
    </w:p>
    <w:p>
      <w:pPr>
        <w:pStyle w:val="Normal"/>
        <w:spacing w:before="0" w:after="480"/>
        <w:jc w:val="center"/>
        <w:rPr>
          <w:i/>
          <w:i/>
          <w:sz w:val="26"/>
        </w:rPr>
      </w:pPr>
      <w:r>
        <w:rPr>
          <w:i/>
          <w:sz w:val="26"/>
        </w:rPr>
      </w:r>
    </w:p>
    <w:p>
      <w:pPr>
        <w:pStyle w:val="Nagwek1"/>
        <w:keepNext w:val="true"/>
        <w:spacing w:before="240" w:after="120"/>
        <w:rPr>
          <w:rFonts w:ascii="Arial" w:hAnsi="Arial"/>
          <w:color w:val="1F4E79"/>
          <w:sz w:val="36"/>
        </w:rPr>
      </w:pPr>
      <w:r>
        <w:rPr>
          <w:rFonts w:ascii="Arial" w:hAnsi="Arial"/>
          <w:color w:val="1F4E79"/>
          <w:sz w:val="36"/>
        </w:rPr>
        <w:t>MODUŁ 1: Ciągnik rolniczy</w:t>
      </w:r>
    </w:p>
    <w:p>
      <w:pPr>
        <w:pStyle w:val="Normal"/>
        <w:rPr>
          <w:sz w:val="22"/>
        </w:rPr>
      </w:pPr>
      <w:r>
        <w:rPr>
          <w:sz w:val="22"/>
        </w:rPr>
        <w:t>Ciągnik rolniczy (traktor) to najważniejszy pojazd w każdym gospodarstwie. Sam w sobie rzadko wykonuje bezpośrednią pracę na polu – jego głównym zadaniem jest ciągnięcie, pchanie lub dostarczanie energii do innych maszyn rolniczych.</w:t>
      </w:r>
    </w:p>
    <w:p>
      <w:pPr>
        <w:pStyle w:val="Nagwek2"/>
        <w:keepNext w:val="true"/>
        <w:spacing w:before="240" w:after="120"/>
        <w:rPr>
          <w:rFonts w:ascii="Arial" w:hAnsi="Arial"/>
          <w:color w:val="3876B9"/>
          <w:sz w:val="28"/>
        </w:rPr>
      </w:pPr>
      <w:r>
        <w:rPr>
          <w:rFonts w:ascii="Arial" w:hAnsi="Arial"/>
          <w:color w:val="3876B9"/>
          <w:sz w:val="28"/>
        </w:rPr>
        <w:t>Kluczowe układy i pojęcia:</w:t>
      </w:r>
    </w:p>
    <w:p>
      <w:pPr>
        <w:pStyle w:val="Lista1"/>
        <w:numPr>
          <w:ilvl w:val="0"/>
          <w:numId w:val="2"/>
        </w:numPr>
        <w:rPr/>
      </w:pPr>
      <w:r>
        <w:rPr>
          <w:b/>
        </w:rPr>
        <w:t xml:space="preserve">WOM (Wałek Odbioru Mocy): </w:t>
      </w:r>
      <w:r>
        <w:rPr/>
        <w:t>To obracający się gruby metalowy wałek wystający z tyłu (a czasem i z przodu) ciągnika. Przekazuje on energię obrotową silnika traktora bezpośrednio do podłączonej maszyny ruchomej, np. glebogryzarki, rozsiewacza nawozów czy opryskiwacza, wprawiając jej elementy w ruch.</w:t>
      </w:r>
    </w:p>
    <w:p>
      <w:pPr>
        <w:pStyle w:val="Lista1"/>
        <w:numPr>
          <w:ilvl w:val="0"/>
          <w:numId w:val="2"/>
        </w:numPr>
        <w:rPr/>
      </w:pPr>
      <w:r>
        <w:rPr>
          <w:b/>
        </w:rPr>
        <w:t xml:space="preserve">TUZ (Trójpunktowy Układ Zawieszenia): </w:t>
      </w:r>
      <w:r>
        <w:rPr/>
        <w:t>Specjalny układ trzech ruchomych ramion z tyłu ciągnika, sterowany za pomocą zaawansowanego układu hydraulicznego (oleju pod wysokim ciśnieniem). Służy do sztywnego podłączania (zawieszania) maszyn do ciągnika oraz do ich unoszenia (np. na czas transportu drogą) i opuszczania (na czas pracy na polu).</w:t>
      </w:r>
    </w:p>
    <w:p>
      <w:pPr>
        <w:pStyle w:val="Lista1"/>
        <w:numPr>
          <w:ilvl w:val="0"/>
          <w:numId w:val="2"/>
        </w:numPr>
        <w:rPr/>
      </w:pPr>
      <w:r>
        <w:rPr>
          <w:b/>
        </w:rPr>
        <w:t xml:space="preserve">Budowa kół i opon: </w:t>
      </w:r>
      <w:r>
        <w:rPr/>
        <w:t>W klasycznych ciągnikach koła tylne są znacznie większe od przednich, a ich opony posiadają charakterystyczny, bardzo głęboki i szeroki bieżnik. Konstrukcja ta ma kluczowe zadanie: zwiększa przyczepność pojazdu do luźnego, grząskiego podłoża na polu oraz maksymalnie ogranicza ślizganie się kół, co pozwala ciągnąć ogromne ciężary.</w:t>
      </w:r>
    </w:p>
    <w:p>
      <w:pPr>
        <w:pStyle w:val="Lista1"/>
        <w:numPr>
          <w:ilvl w:val="0"/>
          <w:numId w:val="2"/>
        </w:numPr>
        <w:rPr/>
      </w:pPr>
      <w:r>
        <w:rPr>
          <w:b/>
        </w:rPr>
        <w:t xml:space="preserve">Obciążniki (balast): </w:t>
      </w:r>
      <w:r>
        <w:rPr/>
        <w:t>Dodatkowe ciężary ze stali lub betonu montowane najczęściej na przednim tuzie lub kołach traktora. Gdy z tyłu zawieszona jest bardzo ciężka maszyna, przód ciągnika mógłby unieść się w powietrze, tracąc sterowność. Obciążniki dbają o odpowiednie wyważenie i stabilność.</w:t>
      </w:r>
    </w:p>
    <w:p>
      <w:pPr>
        <w:pStyle w:val="Lista1"/>
        <w:numPr>
          <w:ilvl w:val="0"/>
          <w:numId w:val="2"/>
        </w:numPr>
        <w:rPr/>
      </w:pPr>
      <w:r>
        <w:rPr>
          <w:b/>
        </w:rPr>
        <w:t xml:space="preserve">Bezpieczeństwo operatora (kabina): </w:t>
      </w:r>
      <w:r>
        <w:rPr/>
        <w:t>Współczesna kabina ciągnika to szczelnie zamknięta i klimatyzowana kapsuła. Wyposażona jest w specjalistyczne filtry węglowe, które skutecznie zatrzymują kurz, pył oraz przede wszystkim niebezpieczne opary chemiczne podczas wykonywania oprysków, chroniąc zdrowie rolnika.</w:t>
      </w:r>
    </w:p>
    <w:p>
      <w:pPr>
        <w:pStyle w:val="Lista1"/>
        <w:numPr>
          <w:ilvl w:val="0"/>
          <w:numId w:val="2"/>
        </w:numPr>
        <w:rPr/>
      </w:pPr>
      <w:r>
        <w:rPr>
          <w:rFonts w:ascii="Google Sans;Arial;sans-serif;Noto Color Emoji" w:hAnsi="Google Sans;Arial;sans-serif;Noto Color Emoji"/>
          <w:b/>
          <w:bCs/>
          <w:strike w:val="false"/>
          <w:dstrike w:val="false"/>
          <w:sz w:val="24"/>
          <w:u w:val="none"/>
          <w:effect w:val="none"/>
        </w:rPr>
        <w:t xml:space="preserve">Mechanizm różnicowy </w:t>
      </w:r>
      <w:r>
        <w:rPr>
          <w:rFonts w:ascii="Google Sans;Arial;sans-serif;Noto Color Emoji" w:hAnsi="Google Sans;Arial;sans-serif;Noto Color Emoji"/>
          <w:b w:val="false"/>
          <w:strike w:val="false"/>
          <w:dstrike w:val="false"/>
          <w:sz w:val="24"/>
          <w:u w:val="none"/>
          <w:effect w:val="none"/>
        </w:rPr>
        <w:t xml:space="preserve">(potocznie zwany dyferencjałem) to </w:t>
      </w:r>
      <w:r>
        <w:rPr/>
        <w:t xml:space="preserve">przekładnia zębata, która umożliwia kołom osi napędowej obrót z różnymi prędkościami przy jednoczesnym przekazywaniu momentu obrotowego. </w:t>
      </w:r>
    </w:p>
    <w:p>
      <w:pPr>
        <w:pStyle w:val="Nagwek1"/>
        <w:keepNext w:val="true"/>
        <w:spacing w:before="240" w:after="120"/>
        <w:rPr>
          <w:rFonts w:ascii="Arial" w:hAnsi="Arial"/>
          <w:color w:val="1F4E79"/>
          <w:sz w:val="36"/>
        </w:rPr>
      </w:pPr>
      <w:r>
        <w:rPr>
          <w:rFonts w:ascii="Arial" w:hAnsi="Arial"/>
          <w:color w:val="1F4E79"/>
          <w:sz w:val="36"/>
        </w:rPr>
        <w:t>MODUŁ 2: Maszyny do uprawy gleby i siewu</w:t>
      </w:r>
    </w:p>
    <w:p>
      <w:pPr>
        <w:pStyle w:val="Normal"/>
        <w:rPr/>
      </w:pPr>
      <w:r>
        <w:rPr/>
        <w:t>Zanim rolnik posieje rośliny, musi odpowiednio przygotować glebę – spulchnić ją, pokruszyć twarde bryły i wymieszać z resztkami poprzednich roślin.</w:t>
      </w:r>
    </w:p>
    <w:p>
      <w:pPr>
        <w:pStyle w:val="Lista1"/>
        <w:numPr>
          <w:ilvl w:val="0"/>
          <w:numId w:val="2"/>
        </w:numPr>
        <w:rPr/>
      </w:pPr>
      <w:r>
        <w:rPr>
          <w:b/>
        </w:rPr>
        <w:t xml:space="preserve">Pług lemieszowy: </w:t>
      </w:r>
      <w:r>
        <w:rPr/>
        <w:t>Służy do podstawowego i najstarszego zabiegu – orki. Jego zadaniem jest podcięcie, pokruszenie i przede wszystkim odwrócenie wierzchniej warstwy gleby (tzw. skiby). Dzięki temu resztki roślinne i chwasty zostają przykryte ziemią, gdzie zamieniają się w naturalny nawóz.</w:t>
      </w:r>
    </w:p>
    <w:p>
      <w:pPr>
        <w:pStyle w:val="Lista1"/>
        <w:numPr>
          <w:ilvl w:val="0"/>
          <w:numId w:val="2"/>
        </w:numPr>
        <w:rPr/>
      </w:pPr>
      <w:r>
        <w:rPr>
          <w:b/>
        </w:rPr>
        <w:t xml:space="preserve">Podorywka: </w:t>
      </w:r>
      <w:r>
        <w:rPr/>
        <w:t>To bardzo płytka orka wykonywana natychmiast po zbiorze zbóż (latem). Ma na celu odcięcie korzeni chwastów, wymieszanie ścierniska z ziemią oraz przerwanie parowania wody z gleby, dzięki czemu wilgoć pozostaje w gruncie.</w:t>
      </w:r>
    </w:p>
    <w:p>
      <w:pPr>
        <w:pStyle w:val="Lista1"/>
        <w:numPr>
          <w:ilvl w:val="0"/>
          <w:numId w:val="2"/>
        </w:numPr>
        <w:rPr/>
      </w:pPr>
      <w:r>
        <w:rPr>
          <w:b/>
        </w:rPr>
        <w:t xml:space="preserve">Brona zębata i talerzowa: </w:t>
      </w:r>
      <w:r>
        <w:rPr/>
        <w:t>Brona zębata posiada pionowe stalowe zęby i służy do wyrównywania powierzchni zaoranego pola oraz rozbijania suchych brył ziemi. Z kolei brona talerzowa (talerzówka) zamiast zębów ma obracające się, ostre, stalowe tarcze (talerze), które rewelacyjnie tną i mieszają resztki roślinne (np. twarde łodygi po kukurydzy) z podłożem.</w:t>
      </w:r>
    </w:p>
    <w:p>
      <w:pPr>
        <w:pStyle w:val="Lista1"/>
        <w:numPr>
          <w:ilvl w:val="0"/>
          <w:numId w:val="2"/>
        </w:numPr>
        <w:rPr/>
      </w:pPr>
      <w:r>
        <w:rPr>
          <w:b/>
        </w:rPr>
        <w:t xml:space="preserve">Siewnik (rzędowy i punktowy): </w:t>
      </w:r>
      <w:r>
        <w:rPr/>
        <w:t>Siewnik rzędowy uniwersalny służy do wysiewu małych nasion (np. pszenicy, rzepaku) blisko siebie w gęstych rzędach. Siewnik punktowy z kolei precyzyjnie odmierza pojedyncze nasiona i układa je w glebie w dokładnie takich samych, zaprogramowanych odstępach (idealny do uprawy kukurydzy, słonecznika czy buraków).</w:t>
      </w:r>
    </w:p>
    <w:p>
      <w:pPr>
        <w:pStyle w:val="Lista1"/>
        <w:numPr>
          <w:ilvl w:val="0"/>
          <w:numId w:val="2"/>
        </w:numPr>
        <w:rPr/>
      </w:pPr>
      <w:r>
        <w:rPr>
          <w:b/>
        </w:rPr>
        <w:t xml:space="preserve">Sadzarka: </w:t>
      </w:r>
      <w:r>
        <w:rPr/>
        <w:t>Maszyna wyspecjalizowana w mechanicznym umieszczaniu w ziemi całych bulw (np. ziemniaków) lub sadzonek młodych roślin zamiast drobnych nasion.</w:t>
      </w:r>
    </w:p>
    <w:p>
      <w:pPr>
        <w:pStyle w:val="Lista1"/>
        <w:numPr>
          <w:ilvl w:val="0"/>
          <w:numId w:val="2"/>
        </w:numPr>
        <w:rPr/>
      </w:pPr>
      <w:r>
        <w:rPr>
          <w:b/>
        </w:rPr>
        <w:t xml:space="preserve">Wały posiewne (np. Cambridge): </w:t>
      </w:r>
      <w:r>
        <w:rPr/>
        <w:t>Ciężkie, obracające się metalowe walce ciągane za traktorem. Stosuje się je tuż po siewie. Ich celem jest delikatne ubicie i zagęszczenie wzruszonej gleby. Dzięki temu nasiona mają lepszy kontakt z wilgocią zawartą w ziemi, co sprawia, że kiełkują znacznie szybciej i równomierniej.</w:t>
      </w:r>
    </w:p>
    <w:p>
      <w:pPr>
        <w:pStyle w:val="Lista1"/>
        <w:numPr>
          <w:ilvl w:val="0"/>
          <w:numId w:val="2"/>
        </w:numPr>
        <w:rPr/>
      </w:pPr>
      <w:r>
        <w:rPr>
          <w:b/>
        </w:rPr>
        <w:t xml:space="preserve">Pielnik (obsypnik): </w:t>
      </w:r>
      <w:r>
        <w:rPr/>
        <w:t>Narzędzie używane do mechanicznego, w pełni ekologicznego (bez chemii) usuwania chwastów rosnących w przestrzeniach pomiędzy rzędami uprawnych roślin.</w:t>
      </w:r>
    </w:p>
    <w:p>
      <w:pPr>
        <w:pStyle w:val="Nagwek1"/>
        <w:keepNext w:val="true"/>
        <w:spacing w:before="240" w:after="120"/>
        <w:rPr>
          <w:rFonts w:ascii="Arial" w:hAnsi="Arial"/>
          <w:color w:val="1F4E79"/>
          <w:sz w:val="36"/>
        </w:rPr>
      </w:pPr>
      <w:r>
        <w:rPr>
          <w:rFonts w:ascii="Arial" w:hAnsi="Arial"/>
          <w:color w:val="1F4E79"/>
          <w:sz w:val="36"/>
        </w:rPr>
        <w:t>MODUŁ 3: Pielęgnacja, nawożenie i ochrona upraw</w:t>
      </w:r>
    </w:p>
    <w:p>
      <w:pPr>
        <w:pStyle w:val="Normal"/>
        <w:rPr/>
      </w:pPr>
      <w:r>
        <w:rPr/>
        <w:t>Rośliny w trakcie wzrostu potrzebują pożywienia (nawozów) oraz ochrony przed chorobami i szkodnikami. Służą do tego zaawansowane maszyny dozujące.</w:t>
      </w:r>
    </w:p>
    <w:p>
      <w:pPr>
        <w:pStyle w:val="Lista1"/>
        <w:numPr>
          <w:ilvl w:val="0"/>
          <w:numId w:val="2"/>
        </w:numPr>
        <w:rPr/>
      </w:pPr>
      <w:r>
        <w:rPr>
          <w:b/>
        </w:rPr>
        <w:t xml:space="preserve">Rozsiewacz nawozów: </w:t>
      </w:r>
      <w:r>
        <w:rPr/>
        <w:t>Maszyna wyposażona w zbiornik na nawóz granulowany (przypominający małe białe kulki) oraz obracające się tarcze z łopatkami. Tarcze te siłą odśrodkową rozrzucają nawóz na dużą odległość wokół maszyny, dbając o zasilenie roślin w minerały.</w:t>
      </w:r>
    </w:p>
    <w:p>
      <w:pPr>
        <w:pStyle w:val="Lista1"/>
        <w:numPr>
          <w:ilvl w:val="0"/>
          <w:numId w:val="2"/>
        </w:numPr>
        <w:rPr/>
      </w:pPr>
      <w:r>
        <w:rPr>
          <w:b/>
        </w:rPr>
        <w:t xml:space="preserve">Rozrzutnik obornika: </w:t>
      </w:r>
      <w:r>
        <w:rPr>
          <w:b w:val="false"/>
          <w:bCs w:val="false"/>
        </w:rPr>
        <w:t>P</w:t>
      </w:r>
      <w:r>
        <w:rPr>
          <w:b w:val="false"/>
          <w:bCs w:val="false"/>
        </w:rPr>
        <w:t>r</w:t>
      </w:r>
      <w:r>
        <w:rPr/>
        <w:t>zyczepa rolnicza, która posiada na dnie specjalny ruchomy przenośnik łańcuchowy (podłogę), przesuwający obornik w stronę tyłu. Tam obracające się bębny z nożami rozdrabniają go i równomiernie rozrzucają na powierzchni pola jako naturalny nawóz organiczny.</w:t>
      </w:r>
    </w:p>
    <w:p>
      <w:pPr>
        <w:pStyle w:val="Lista1"/>
        <w:numPr>
          <w:ilvl w:val="0"/>
          <w:numId w:val="2"/>
        </w:numPr>
        <w:rPr/>
      </w:pPr>
      <w:r>
        <w:rPr>
          <w:b/>
        </w:rPr>
        <w:t xml:space="preserve">Opryskiwacz polowy: </w:t>
      </w:r>
      <w:r>
        <w:rPr/>
        <w:t>Jedna z najważniejszych i najbardziej precyzyjnych maszyn. Składa się ze zbiornika na wodę połączoną ze środkiem ochrony roślin, wydajnej pompy hydraulicznej oraz bardzo długiej rozkładanej belki roboczej. Na belce zamontowane są małe elementy zwane rozpylaczami (dyszami), które zamieniają płyn w idealną, drobną mgiełkę opadającą na rośliny.</w:t>
      </w:r>
    </w:p>
    <w:p>
      <w:pPr>
        <w:pStyle w:val="Lista1"/>
        <w:numPr>
          <w:ilvl w:val="0"/>
          <w:numId w:val="2"/>
        </w:numPr>
        <w:rPr/>
      </w:pPr>
      <w:r>
        <w:rPr>
          <w:b/>
        </w:rPr>
        <w:t xml:space="preserve">Wóz asenizacyjny (beczkowóz): </w:t>
      </w:r>
      <w:r>
        <w:rPr/>
        <w:t>Duży, szczelny zbiornik na kołach służący do transportu oraz ciśnieniowego lub grawitacyjnego rozlewania na polach nawozów płynnych pochodzenia zwierzęcego (np. gnojowicy).</w:t>
      </w:r>
    </w:p>
    <w:p>
      <w:pPr>
        <w:pStyle w:val="Nagwek1"/>
        <w:keepNext w:val="true"/>
        <w:spacing w:before="240" w:after="120"/>
        <w:rPr>
          <w:rFonts w:ascii="Arial" w:hAnsi="Arial"/>
          <w:color w:val="1F4E79"/>
          <w:sz w:val="36"/>
        </w:rPr>
      </w:pPr>
      <w:r>
        <w:rPr>
          <w:rFonts w:ascii="Arial" w:hAnsi="Arial"/>
          <w:color w:val="1F4E79"/>
          <w:sz w:val="36"/>
        </w:rPr>
        <w:t>MODUŁ 4: Maszyny do zbioru płodów rolnych</w:t>
      </w:r>
    </w:p>
    <w:p>
      <w:pPr>
        <w:pStyle w:val="Normal"/>
        <w:rPr/>
      </w:pPr>
      <w:r>
        <w:rPr/>
        <w:t>Zbiór plonów to czas największej intensywności prac w gospodarstwie, wymagający maszyn o potężnej wydajności.</w:t>
      </w:r>
    </w:p>
    <w:p>
      <w:pPr>
        <w:pStyle w:val="Lista1"/>
        <w:numPr>
          <w:ilvl w:val="0"/>
          <w:numId w:val="2"/>
        </w:numPr>
        <w:rPr/>
      </w:pPr>
      <w:r>
        <w:rPr>
          <w:b/>
        </w:rPr>
        <w:t xml:space="preserve">Kombajn zbożowy: </w:t>
      </w:r>
      <w:r>
        <w:rPr>
          <w:b w:val="false"/>
          <w:bCs w:val="false"/>
        </w:rPr>
        <w:t>M</w:t>
      </w:r>
      <w:r>
        <w:rPr/>
        <w:t>aszyna wielofunkcyjna. Wykonuje jednocześnie trzy trudne zadania: kosi stojące zboże za pomocą przedniego zespołu żniwnego (hederu), młóci je (czyli oddziela ziarno od kłosów w specjalnym bębnie obrotowym) oraz dokładnie czyści uzyskane ziarno na sitach za pomocą strumienia powietrza. Czyste ziarno trafia do zbiornika kombajnu, a słoma jest wyrzucana z tyłu na pole.</w:t>
      </w:r>
    </w:p>
    <w:p>
      <w:pPr>
        <w:pStyle w:val="Lista1"/>
        <w:numPr>
          <w:ilvl w:val="0"/>
          <w:numId w:val="2"/>
        </w:numPr>
        <w:rPr/>
      </w:pPr>
      <w:r>
        <w:rPr>
          <w:b/>
        </w:rPr>
        <w:t xml:space="preserve">Kosiarka rotacyjna i dyskowa: </w:t>
      </w:r>
      <w:r>
        <w:rPr/>
        <w:t>Maszyny podłączane do traktora, wyposażone w bardzo szybko obracające się noże stalowe. Służą do szybkiego i równego ścinania wysokich traw na łąkach w celu przygotowania paszy.</w:t>
      </w:r>
    </w:p>
    <w:p>
      <w:pPr>
        <w:pStyle w:val="Lista1"/>
        <w:numPr>
          <w:ilvl w:val="0"/>
          <w:numId w:val="2"/>
        </w:numPr>
        <w:rPr/>
      </w:pPr>
      <w:r>
        <w:rPr>
          <w:b/>
        </w:rPr>
        <w:t xml:space="preserve">Przetrząsacz: </w:t>
      </w:r>
      <w:r>
        <w:rPr/>
        <w:t>Posiada obracające się ramiona z elastycznymi palcami z drutu. Służy do rozrzucania i odwracania skoszonej na zielono trawy, co przyspiesza jej wysychanie na słońcu i zapobiega gniciu.</w:t>
      </w:r>
    </w:p>
    <w:p>
      <w:pPr>
        <w:pStyle w:val="Lista1"/>
        <w:numPr>
          <w:ilvl w:val="0"/>
          <w:numId w:val="2"/>
        </w:numPr>
        <w:rPr/>
      </w:pPr>
      <w:r>
        <w:rPr>
          <w:b/>
        </w:rPr>
        <w:t xml:space="preserve">Prasa zbierająca (zwijająca): </w:t>
      </w:r>
      <w:r>
        <w:rPr/>
        <w:t>Maszyna, która jedzie za ciągnikiem, zbiera wysuszone siano lub słomę z ziemi, mocno ubija materiał w swojej komorze wewnętrznej i wiąże go sznurkiem lub siatką, wypuszczając na pole gotowe, ciężkie, okrągłe bele (walce) lub prostokątne kostki.</w:t>
      </w:r>
    </w:p>
    <w:p>
      <w:pPr>
        <w:pStyle w:val="Lista1"/>
        <w:numPr>
          <w:ilvl w:val="0"/>
          <w:numId w:val="2"/>
        </w:numPr>
        <w:rPr/>
      </w:pPr>
      <w:r>
        <w:rPr>
          <w:b/>
        </w:rPr>
        <w:t xml:space="preserve">Wóz paszowy (paszowóz): </w:t>
      </w:r>
      <w:r>
        <w:rPr/>
        <w:t>Używany wewnątrz nowoczesnych obór. To specjalny mieszalnik na kołach, który tnie, precyzyjnie miesza różne rodzaje pasz (siano, kukurydzę, witaminy) w jednolitą masę (tzw. TMR) i wysypuje ją bezpośrednio przed krowy, dbając o ich zbilansowaną dietę.</w:t>
      </w:r>
    </w:p>
    <w:p>
      <w:pPr>
        <w:pStyle w:val="Nagwek1"/>
        <w:keepNext w:val="true"/>
        <w:spacing w:before="240" w:after="120"/>
        <w:rPr>
          <w:rFonts w:ascii="Arial" w:hAnsi="Arial"/>
          <w:color w:val="1F4E79"/>
          <w:sz w:val="36"/>
        </w:rPr>
      </w:pPr>
      <w:r>
        <w:rPr>
          <w:rFonts w:ascii="Arial" w:hAnsi="Arial"/>
          <w:color w:val="1F4E79"/>
          <w:sz w:val="36"/>
        </w:rPr>
        <w:t>MODUŁ 5: Agrotronika i Rolnictwo 4.0</w:t>
      </w:r>
    </w:p>
    <w:p>
      <w:pPr>
        <w:pStyle w:val="Normal"/>
        <w:rPr/>
      </w:pPr>
      <w:r>
        <w:rPr/>
        <w:t>Agrotronika to nowoczesna nauka łącząca rolnictwo z elektroniką, automatyką komputerową i informatyką. Dzięki niej maszyny pracują dokładniej, zużywając mniej paliwa, nasion i nawozów.</w:t>
      </w:r>
    </w:p>
    <w:p>
      <w:pPr>
        <w:pStyle w:val="Lista1"/>
        <w:numPr>
          <w:ilvl w:val="0"/>
          <w:numId w:val="2"/>
        </w:numPr>
        <w:rPr/>
      </w:pPr>
      <w:r>
        <w:rPr>
          <w:b/>
        </w:rPr>
        <w:t xml:space="preserve">Nawigacja satelitarna (GPS i RTK): </w:t>
      </w:r>
      <w:r>
        <w:rPr/>
        <w:t>Odbiorniki GPS montowane na dachach ciągników pozwalają komputerowi pokładowemu na idealne prowadzenie maszyny po polu (tzw. jazda równoległa). Rolnik nie musi trzymać kierownicy, a ciągnik jedzie co do centymetra (dzięki systemom korekcji RTK dokładność wynosi nawet do 2 cm!). Zapobiega to powstawaniu ominięć lub nakładających się pasów (tzw. omijaki i nakładki).</w:t>
      </w:r>
    </w:p>
    <w:p>
      <w:pPr>
        <w:pStyle w:val="Lista1"/>
        <w:numPr>
          <w:ilvl w:val="0"/>
          <w:numId w:val="2"/>
        </w:numPr>
        <w:rPr/>
      </w:pPr>
      <w:r>
        <w:rPr>
          <w:b/>
        </w:rPr>
        <w:t xml:space="preserve">ISOBUS: </w:t>
      </w:r>
      <w:r>
        <w:rPr/>
        <w:t>Międzynarodowy, ujednolicony standard elektroniczny. Dawniej każda maszyna (siewnik, opryskiwacz) wymagała montowania w kabinie innego ekranu i sterownika. Dzięki ISOBUS rolnik podpina jeden główny kabel maszyny do ciągnika i steruje wszystkimi funkcjami różnych narzędzi z poziomu tylko jednego fabrycznego terminala (ekranu) w traktorze.</w:t>
      </w:r>
    </w:p>
    <w:p>
      <w:pPr>
        <w:pStyle w:val="Lista1"/>
        <w:numPr>
          <w:ilvl w:val="0"/>
          <w:numId w:val="2"/>
        </w:numPr>
        <w:rPr/>
      </w:pPr>
      <w:r>
        <w:rPr>
          <w:b/>
        </w:rPr>
        <w:t xml:space="preserve">Drony rolnicze i indeks NDVI: </w:t>
      </w:r>
      <w:r>
        <w:rPr/>
        <w:t>Latające drony wyposażone w specjalne kamery wielospektralne wykonują zdjęcia pól z powietrza. Na ich podstawie komputery wyliczają indeks roślinny NDVI – cyfrowy wskaźnik pokazujący zdrowie, gęstość i wigor roślin. Rolnik od razu widzi na mapie, w którym miejscu pola rośliny chorują lub potrzebują wody.</w:t>
      </w:r>
    </w:p>
    <w:p>
      <w:pPr>
        <w:pStyle w:val="Lista1"/>
        <w:numPr>
          <w:ilvl w:val="0"/>
          <w:numId w:val="2"/>
        </w:numPr>
        <w:rPr/>
      </w:pPr>
      <w:r>
        <w:rPr>
          <w:b/>
        </w:rPr>
        <w:t xml:space="preserve">Mapowanie plonów: </w:t>
      </w:r>
      <w:r>
        <w:rPr/>
        <w:t>Nowoczesne kombajny posiadają czujniki mierzące masę przepływającego ziarna oraz jego wilgotność w czasie rzeczywistym. Łącząc te dane z pozycją GPS, komputer tworzy kolorową mapę plonu – dokładnie widać na niej, które części pola dały ogromny plon, a które słabszy.</w:t>
      </w:r>
    </w:p>
    <w:p>
      <w:pPr>
        <w:pStyle w:val="Lista1"/>
        <w:numPr>
          <w:ilvl w:val="0"/>
          <w:numId w:val="2"/>
        </w:numPr>
        <w:rPr/>
      </w:pPr>
      <w:r>
        <w:rPr>
          <w:b/>
        </w:rPr>
        <w:t xml:space="preserve">Section Control (Kontrola Sekcji): </w:t>
      </w:r>
      <w:r>
        <w:rPr/>
        <w:t>Automatyczny system współpracujący z GPS. Gdy opryskiwacz lub siewnik wjeżdża na fragment pola, który został już wcześniej opryskany lub obsiany (np. na zakrętach, tzw. uwrociach), komputer automatycznie wyłącza poszczególne części maszyny (sekcje), aby nie dawkować nasion lub chemii podwójnie.</w:t>
      </w:r>
    </w:p>
    <w:p>
      <w:pPr>
        <w:pStyle w:val="Lista1"/>
        <w:numPr>
          <w:ilvl w:val="0"/>
          <w:numId w:val="2"/>
        </w:numPr>
        <w:rPr/>
      </w:pPr>
      <w:r>
        <w:rPr>
          <w:b/>
        </w:rPr>
        <w:t xml:space="preserve">Telemetria: </w:t>
      </w:r>
      <w:r>
        <w:rPr/>
        <w:t>System zdalnego bezprzewodowego przesyłania danych. Ciągnik pracujący na polu samoczynnie wysyła przez sieć komórkową informacje o swoim położeniu, prędkości, zużyciu paliwa czy usterkach wprost na telefon komórkowy lub komputer właściciela gospodarstwa.</w:t>
      </w:r>
    </w:p>
    <w:p>
      <w:pPr>
        <w:pStyle w:val="Lista1"/>
        <w:numPr>
          <w:ilvl w:val="0"/>
          <w:numId w:val="2"/>
        </w:numPr>
        <w:rPr>
          <w:b/>
          <w:b/>
        </w:rPr>
      </w:pPr>
      <w:r>
        <w:rPr>
          <w:b/>
        </w:rPr>
        <w:t>Cyfrowy słownik pojęć agrotroniki (Zapamiętaj na test!):</w:t>
      </w:r>
    </w:p>
    <w:tbl>
      <w:tblPr>
        <w:tblW w:w="9360" w:type="dxa"/>
        <w:jc w:val="left"/>
        <w:tblInd w:w="-108" w:type="dxa"/>
        <w:tblCellMar>
          <w:top w:w="0" w:type="dxa"/>
          <w:left w:w="108" w:type="dxa"/>
          <w:bottom w:w="0" w:type="dxa"/>
          <w:right w:w="108" w:type="dxa"/>
        </w:tblCellMar>
      </w:tblPr>
      <w:tblGrid>
        <w:gridCol w:w="4680"/>
        <w:gridCol w:w="4680"/>
      </w:tblGrid>
      <w:tr>
        <w:trPr/>
        <w:tc>
          <w:tcPr>
            <w:tcW w:w="4680" w:type="dxa"/>
            <w:tcBorders>
              <w:top w:val="single" w:sz="8" w:space="0" w:color="4F81BD"/>
              <w:bottom w:val="single" w:sz="8" w:space="0" w:color="4F81BD"/>
            </w:tcBorders>
            <w:shd w:fill="auto" w:val="clear"/>
          </w:tcPr>
          <w:p>
            <w:pPr>
              <w:pStyle w:val="Normal"/>
              <w:widowControl/>
              <w:spacing w:lineRule="auto" w:line="240" w:before="0" w:after="0"/>
              <w:jc w:val="left"/>
              <w:rPr>
                <w:rFonts w:eastAsia="ＭＳ 明朝"/>
                <w:b/>
                <w:b/>
                <w:bCs/>
                <w:color w:val="auto"/>
                <w:kern w:val="0"/>
                <w:szCs w:val="22"/>
                <w:lang w:val="en-US" w:eastAsia="en-US" w:bidi="ar-SA"/>
              </w:rPr>
            </w:pPr>
            <w:r>
              <w:rPr>
                <w:rFonts w:eastAsia="ＭＳ 明朝"/>
                <w:b/>
                <w:bCs/>
                <w:color w:val="auto"/>
                <w:kern w:val="0"/>
                <w:szCs w:val="22"/>
                <w:lang w:val="en-US" w:eastAsia="en-US" w:bidi="ar-SA"/>
              </w:rPr>
              <w:t>Skrót / Pojęcie</w:t>
            </w:r>
          </w:p>
        </w:tc>
        <w:tc>
          <w:tcPr>
            <w:tcW w:w="4680" w:type="dxa"/>
            <w:tcBorders>
              <w:top w:val="single" w:sz="8" w:space="0" w:color="4F81BD"/>
              <w:bottom w:val="single" w:sz="8" w:space="0" w:color="4F81BD"/>
            </w:tcBorders>
            <w:shd w:fill="auto" w:val="clear"/>
          </w:tcPr>
          <w:p>
            <w:pPr>
              <w:pStyle w:val="Normal"/>
              <w:widowControl/>
              <w:spacing w:lineRule="auto" w:line="240" w:before="0" w:after="0"/>
              <w:jc w:val="left"/>
              <w:rPr>
                <w:rFonts w:eastAsia="ＭＳ 明朝"/>
                <w:b/>
                <w:b/>
                <w:bCs/>
                <w:color w:val="auto"/>
                <w:kern w:val="0"/>
                <w:szCs w:val="22"/>
                <w:lang w:val="en-US" w:eastAsia="en-US" w:bidi="ar-SA"/>
              </w:rPr>
            </w:pPr>
            <w:r>
              <w:rPr>
                <w:rFonts w:eastAsia="ＭＳ 明朝"/>
                <w:b/>
                <w:bCs/>
                <w:color w:val="auto"/>
                <w:kern w:val="0"/>
                <w:szCs w:val="22"/>
                <w:lang w:val="en-US" w:eastAsia="en-US" w:bidi="ar-SA"/>
              </w:rPr>
              <w:t>Co oznacza w praktyce?</w:t>
            </w:r>
          </w:p>
        </w:tc>
      </w:tr>
      <w:tr>
        <w:trPr/>
        <w:tc>
          <w:tcPr>
            <w:tcW w:w="4680" w:type="dxa"/>
            <w:tcBorders/>
            <w:shd w:fill="D3DFEE" w:val="clear"/>
          </w:tcPr>
          <w:p>
            <w:pPr>
              <w:pStyle w:val="Normal"/>
              <w:widowControl/>
              <w:spacing w:lineRule="auto" w:line="240" w:before="0" w:after="0"/>
              <w:jc w:val="left"/>
              <w:rPr>
                <w:rFonts w:eastAsia="ＭＳ 明朝"/>
                <w:b/>
                <w:b/>
                <w:bCs/>
                <w:color w:val="auto"/>
                <w:kern w:val="0"/>
                <w:szCs w:val="22"/>
                <w:lang w:val="en-US" w:eastAsia="en-US" w:bidi="ar-SA"/>
              </w:rPr>
            </w:pPr>
            <w:r>
              <w:rPr>
                <w:rFonts w:eastAsia="ＭＳ 明朝"/>
                <w:b/>
                <w:bCs/>
                <w:color w:val="auto"/>
                <w:kern w:val="0"/>
                <w:szCs w:val="22"/>
                <w:lang w:val="en-US" w:eastAsia="en-US" w:bidi="ar-SA"/>
              </w:rPr>
              <w:t>WOM</w:t>
            </w:r>
          </w:p>
        </w:tc>
        <w:tc>
          <w:tcPr>
            <w:tcW w:w="4680" w:type="dxa"/>
            <w:tcBorders/>
            <w:shd w:fill="D3DFEE" w:val="clear"/>
          </w:tcPr>
          <w:p>
            <w:pPr>
              <w:pStyle w:val="Normal"/>
              <w:widowControl/>
              <w:spacing w:lineRule="auto" w:line="240" w:before="0" w:after="0"/>
              <w:jc w:val="left"/>
              <w:rPr>
                <w:rFonts w:eastAsia="ＭＳ 明朝"/>
                <w:color w:val="auto"/>
                <w:kern w:val="0"/>
                <w:szCs w:val="22"/>
                <w:lang w:val="en-US" w:eastAsia="en-US" w:bidi="ar-SA"/>
              </w:rPr>
            </w:pPr>
            <w:r>
              <w:rPr>
                <w:rFonts w:eastAsia="ＭＳ 明朝"/>
                <w:color w:val="auto"/>
                <w:kern w:val="0"/>
                <w:szCs w:val="22"/>
                <w:lang w:val="en-US" w:eastAsia="en-US" w:bidi="ar-SA"/>
              </w:rPr>
              <w:t>Wałek Odbioru Mocy – przekazuje napęd obrotowy z silnika ciągnika do maszyny.</w:t>
            </w:r>
          </w:p>
        </w:tc>
      </w:tr>
      <w:tr>
        <w:trPr/>
        <w:tc>
          <w:tcPr>
            <w:tcW w:w="4680" w:type="dxa"/>
            <w:tcBorders/>
            <w:shd w:fill="auto" w:val="clear"/>
          </w:tcPr>
          <w:p>
            <w:pPr>
              <w:pStyle w:val="Normal"/>
              <w:widowControl/>
              <w:spacing w:lineRule="auto" w:line="240" w:before="0" w:after="0"/>
              <w:jc w:val="left"/>
              <w:rPr>
                <w:rFonts w:eastAsia="ＭＳ 明朝"/>
                <w:b/>
                <w:b/>
                <w:bCs/>
                <w:color w:val="auto"/>
                <w:kern w:val="0"/>
                <w:szCs w:val="22"/>
                <w:lang w:val="en-US" w:eastAsia="en-US" w:bidi="ar-SA"/>
              </w:rPr>
            </w:pPr>
            <w:r>
              <w:rPr>
                <w:rFonts w:eastAsia="ＭＳ 明朝"/>
                <w:b/>
                <w:bCs/>
                <w:color w:val="auto"/>
                <w:kern w:val="0"/>
                <w:szCs w:val="22"/>
                <w:lang w:val="en-US" w:eastAsia="en-US" w:bidi="ar-SA"/>
              </w:rPr>
              <w:t>TUZ</w:t>
            </w:r>
          </w:p>
        </w:tc>
        <w:tc>
          <w:tcPr>
            <w:tcW w:w="4680" w:type="dxa"/>
            <w:tcBorders/>
            <w:shd w:fill="auto" w:val="clear"/>
          </w:tcPr>
          <w:p>
            <w:pPr>
              <w:pStyle w:val="Normal"/>
              <w:widowControl/>
              <w:spacing w:lineRule="auto" w:line="240" w:before="0" w:after="0"/>
              <w:jc w:val="left"/>
              <w:rPr>
                <w:rFonts w:eastAsia="ＭＳ 明朝"/>
                <w:color w:val="auto"/>
                <w:kern w:val="0"/>
                <w:szCs w:val="22"/>
                <w:lang w:val="en-US" w:eastAsia="en-US" w:bidi="ar-SA"/>
              </w:rPr>
            </w:pPr>
            <w:r>
              <w:rPr>
                <w:rFonts w:eastAsia="ＭＳ 明朝"/>
                <w:color w:val="auto"/>
                <w:kern w:val="0"/>
                <w:szCs w:val="22"/>
                <w:lang w:val="en-US" w:eastAsia="en-US" w:bidi="ar-SA"/>
              </w:rPr>
              <w:t>Trójpunktowy Układ Zawieszenia – hydrauliczne ramiona do podnoszenia maszyn.</w:t>
            </w:r>
          </w:p>
        </w:tc>
      </w:tr>
      <w:tr>
        <w:trPr/>
        <w:tc>
          <w:tcPr>
            <w:tcW w:w="4680" w:type="dxa"/>
            <w:tcBorders/>
            <w:shd w:fill="D3DFEE" w:val="clear"/>
          </w:tcPr>
          <w:p>
            <w:pPr>
              <w:pStyle w:val="Normal"/>
              <w:widowControl/>
              <w:spacing w:lineRule="auto" w:line="240" w:before="0" w:after="0"/>
              <w:jc w:val="left"/>
              <w:rPr>
                <w:rFonts w:eastAsia="ＭＳ 明朝"/>
                <w:b/>
                <w:b/>
                <w:bCs/>
                <w:color w:val="auto"/>
                <w:kern w:val="0"/>
                <w:szCs w:val="22"/>
                <w:lang w:val="en-US" w:eastAsia="en-US" w:bidi="ar-SA"/>
              </w:rPr>
            </w:pPr>
            <w:r>
              <w:rPr>
                <w:rFonts w:eastAsia="ＭＳ 明朝"/>
                <w:b/>
                <w:bCs/>
                <w:color w:val="auto"/>
                <w:kern w:val="0"/>
                <w:szCs w:val="22"/>
                <w:lang w:val="en-US" w:eastAsia="en-US" w:bidi="ar-SA"/>
              </w:rPr>
              <w:t>ISOBUS</w:t>
            </w:r>
          </w:p>
        </w:tc>
        <w:tc>
          <w:tcPr>
            <w:tcW w:w="4680" w:type="dxa"/>
            <w:tcBorders/>
            <w:shd w:fill="D3DFEE" w:val="clear"/>
          </w:tcPr>
          <w:p>
            <w:pPr>
              <w:pStyle w:val="Normal"/>
              <w:widowControl/>
              <w:spacing w:lineRule="auto" w:line="240" w:before="0" w:after="0"/>
              <w:jc w:val="left"/>
              <w:rPr>
                <w:rFonts w:eastAsia="ＭＳ 明朝"/>
                <w:color w:val="auto"/>
                <w:kern w:val="0"/>
                <w:szCs w:val="22"/>
                <w:lang w:val="en-US" w:eastAsia="en-US" w:bidi="ar-SA"/>
              </w:rPr>
            </w:pPr>
            <w:r>
              <w:rPr>
                <w:rFonts w:eastAsia="ＭＳ 明朝"/>
                <w:color w:val="auto"/>
                <w:kern w:val="0"/>
                <w:szCs w:val="22"/>
                <w:lang w:val="en-US" w:eastAsia="en-US" w:bidi="ar-SA"/>
              </w:rPr>
              <w:t>Jeden standard komunikacji – obsługa wielu maszyn na jednym ekranie ciągnika.</w:t>
            </w:r>
          </w:p>
        </w:tc>
      </w:tr>
      <w:tr>
        <w:trPr/>
        <w:tc>
          <w:tcPr>
            <w:tcW w:w="4680" w:type="dxa"/>
            <w:tcBorders/>
            <w:shd w:fill="auto" w:val="clear"/>
          </w:tcPr>
          <w:p>
            <w:pPr>
              <w:pStyle w:val="Normal"/>
              <w:widowControl/>
              <w:spacing w:lineRule="auto" w:line="240" w:before="0" w:after="0"/>
              <w:jc w:val="left"/>
              <w:rPr>
                <w:rFonts w:eastAsia="ＭＳ 明朝"/>
                <w:b/>
                <w:b/>
                <w:bCs/>
                <w:color w:val="auto"/>
                <w:kern w:val="0"/>
                <w:szCs w:val="22"/>
                <w:lang w:val="en-US" w:eastAsia="en-US" w:bidi="ar-SA"/>
              </w:rPr>
            </w:pPr>
            <w:r>
              <w:rPr>
                <w:rFonts w:eastAsia="ＭＳ 明朝"/>
                <w:b/>
                <w:bCs/>
                <w:color w:val="auto"/>
                <w:kern w:val="0"/>
                <w:szCs w:val="22"/>
                <w:lang w:val="en-US" w:eastAsia="en-US" w:bidi="ar-SA"/>
              </w:rPr>
              <w:t>VRA</w:t>
            </w:r>
          </w:p>
        </w:tc>
        <w:tc>
          <w:tcPr>
            <w:tcW w:w="4680" w:type="dxa"/>
            <w:tcBorders/>
            <w:shd w:fill="auto" w:val="clear"/>
          </w:tcPr>
          <w:p>
            <w:pPr>
              <w:pStyle w:val="Normal"/>
              <w:widowControl/>
              <w:spacing w:lineRule="auto" w:line="240" w:before="0" w:after="0"/>
              <w:jc w:val="left"/>
              <w:rPr>
                <w:rFonts w:eastAsia="ＭＳ 明朝"/>
                <w:color w:val="auto"/>
                <w:kern w:val="0"/>
                <w:szCs w:val="22"/>
                <w:lang w:val="en-US" w:eastAsia="en-US" w:bidi="ar-SA"/>
              </w:rPr>
            </w:pPr>
            <w:r>
              <w:rPr>
                <w:rFonts w:eastAsia="ＭＳ 明朝"/>
                <w:color w:val="auto"/>
                <w:kern w:val="0"/>
                <w:szCs w:val="22"/>
                <w:lang w:val="en-US" w:eastAsia="en-US" w:bidi="ar-SA"/>
              </w:rPr>
              <w:t>Variable Rate Application – automatyczne, zmienne dawkowanie nawozów na polu.</w:t>
            </w:r>
          </w:p>
        </w:tc>
      </w:tr>
      <w:tr>
        <w:trPr/>
        <w:tc>
          <w:tcPr>
            <w:tcW w:w="4680" w:type="dxa"/>
            <w:tcBorders/>
            <w:shd w:fill="D3DFEE" w:val="clear"/>
          </w:tcPr>
          <w:p>
            <w:pPr>
              <w:pStyle w:val="Normal"/>
              <w:widowControl/>
              <w:spacing w:lineRule="auto" w:line="240" w:before="0" w:after="0"/>
              <w:jc w:val="left"/>
              <w:rPr>
                <w:rFonts w:eastAsia="ＭＳ 明朝"/>
                <w:b/>
                <w:b/>
                <w:bCs/>
                <w:color w:val="auto"/>
                <w:kern w:val="0"/>
                <w:szCs w:val="22"/>
                <w:lang w:val="en-US" w:eastAsia="en-US" w:bidi="ar-SA"/>
              </w:rPr>
            </w:pPr>
            <w:r>
              <w:rPr>
                <w:rFonts w:eastAsia="ＭＳ 明朝"/>
                <w:b/>
                <w:bCs/>
                <w:color w:val="auto"/>
                <w:kern w:val="0"/>
                <w:szCs w:val="22"/>
                <w:lang w:val="en-US" w:eastAsia="en-US" w:bidi="ar-SA"/>
              </w:rPr>
              <w:t>RTK</w:t>
            </w:r>
          </w:p>
        </w:tc>
        <w:tc>
          <w:tcPr>
            <w:tcW w:w="4680" w:type="dxa"/>
            <w:tcBorders/>
            <w:shd w:fill="D3DFEE" w:val="clear"/>
          </w:tcPr>
          <w:p>
            <w:pPr>
              <w:pStyle w:val="Normal"/>
              <w:widowControl/>
              <w:spacing w:lineRule="auto" w:line="240" w:before="0" w:after="0"/>
              <w:jc w:val="left"/>
              <w:rPr>
                <w:rFonts w:eastAsia="ＭＳ 明朝"/>
                <w:color w:val="auto"/>
                <w:kern w:val="0"/>
                <w:szCs w:val="22"/>
                <w:lang w:val="en-US" w:eastAsia="en-US" w:bidi="ar-SA"/>
              </w:rPr>
            </w:pPr>
            <w:r>
              <w:rPr>
                <w:rFonts w:eastAsia="ＭＳ 明朝"/>
                <w:color w:val="auto"/>
                <w:kern w:val="0"/>
                <w:szCs w:val="22"/>
                <w:lang w:val="en-US" w:eastAsia="en-US" w:bidi="ar-SA"/>
              </w:rPr>
              <w:t>Satelitarny system korekcji pozycji GPS dający centymetrową dokładność (do 2 cm).</w:t>
            </w:r>
          </w:p>
        </w:tc>
      </w:tr>
      <w:tr>
        <w:trPr/>
        <w:tc>
          <w:tcPr>
            <w:tcW w:w="4680" w:type="dxa"/>
            <w:tcBorders/>
            <w:shd w:fill="auto" w:val="clear"/>
          </w:tcPr>
          <w:p>
            <w:pPr>
              <w:pStyle w:val="Normal"/>
              <w:widowControl/>
              <w:spacing w:lineRule="auto" w:line="240" w:before="0" w:after="0"/>
              <w:jc w:val="left"/>
              <w:rPr>
                <w:rFonts w:eastAsia="ＭＳ 明朝"/>
                <w:b/>
                <w:b/>
                <w:bCs/>
                <w:color w:val="auto"/>
                <w:kern w:val="0"/>
                <w:szCs w:val="22"/>
                <w:lang w:val="en-US" w:eastAsia="en-US" w:bidi="ar-SA"/>
              </w:rPr>
            </w:pPr>
            <w:r>
              <w:rPr>
                <w:rFonts w:eastAsia="ＭＳ 明朝"/>
                <w:b/>
                <w:bCs/>
                <w:color w:val="auto"/>
                <w:kern w:val="0"/>
                <w:szCs w:val="22"/>
                <w:lang w:val="en-US" w:eastAsia="en-US" w:bidi="ar-SA"/>
              </w:rPr>
              <w:t>NDVI</w:t>
            </w:r>
          </w:p>
        </w:tc>
        <w:tc>
          <w:tcPr>
            <w:tcW w:w="4680" w:type="dxa"/>
            <w:tcBorders/>
            <w:shd w:fill="auto" w:val="clear"/>
          </w:tcPr>
          <w:p>
            <w:pPr>
              <w:pStyle w:val="Normal"/>
              <w:widowControl/>
              <w:spacing w:lineRule="auto" w:line="240" w:before="0" w:after="0"/>
              <w:jc w:val="left"/>
              <w:rPr>
                <w:rFonts w:eastAsia="ＭＳ 明朝"/>
                <w:color w:val="auto"/>
                <w:kern w:val="0"/>
                <w:szCs w:val="22"/>
                <w:lang w:val="en-US" w:eastAsia="en-US" w:bidi="ar-SA"/>
              </w:rPr>
            </w:pPr>
            <w:r>
              <w:rPr>
                <w:rFonts w:eastAsia="ＭＳ 明朝"/>
                <w:color w:val="auto"/>
                <w:kern w:val="0"/>
                <w:szCs w:val="22"/>
                <w:lang w:val="en-US" w:eastAsia="en-US" w:bidi="ar-SA"/>
              </w:rPr>
              <w:t>Wskaźnik zdrowia i zieloności roślin obliczany ze zdjęć satelitarnych lub dronów.</w:t>
            </w:r>
          </w:p>
        </w:tc>
      </w:tr>
      <w:tr>
        <w:trPr/>
        <w:tc>
          <w:tcPr>
            <w:tcW w:w="4680" w:type="dxa"/>
            <w:tcBorders>
              <w:bottom w:val="single" w:sz="8" w:space="0" w:color="4F81BD"/>
            </w:tcBorders>
            <w:shd w:fill="D3DFEE" w:val="clear"/>
          </w:tcPr>
          <w:p>
            <w:pPr>
              <w:pStyle w:val="Normal"/>
              <w:widowControl/>
              <w:spacing w:lineRule="auto" w:line="240" w:before="0" w:after="0"/>
              <w:jc w:val="left"/>
              <w:rPr>
                <w:rFonts w:eastAsia="ＭＳ 明朝"/>
                <w:b/>
                <w:b/>
                <w:bCs/>
                <w:color w:val="auto"/>
                <w:kern w:val="0"/>
                <w:szCs w:val="22"/>
                <w:lang w:val="en-US" w:eastAsia="en-US" w:bidi="ar-SA"/>
              </w:rPr>
            </w:pPr>
            <w:r>
              <w:rPr>
                <w:rFonts w:eastAsia="ＭＳ 明朝"/>
                <w:b/>
                <w:bCs/>
                <w:color w:val="auto"/>
                <w:kern w:val="0"/>
                <w:szCs w:val="22"/>
                <w:lang w:val="en-US" w:eastAsia="en-US" w:bidi="ar-SA"/>
              </w:rPr>
              <w:t>GIS</w:t>
            </w:r>
          </w:p>
        </w:tc>
        <w:tc>
          <w:tcPr>
            <w:tcW w:w="4680" w:type="dxa"/>
            <w:tcBorders>
              <w:bottom w:val="single" w:sz="8" w:space="0" w:color="4F81BD"/>
            </w:tcBorders>
            <w:shd w:fill="D3DFEE" w:val="clear"/>
          </w:tcPr>
          <w:p>
            <w:pPr>
              <w:pStyle w:val="Normal"/>
              <w:widowControl/>
              <w:spacing w:lineRule="auto" w:line="240" w:before="0" w:after="0"/>
              <w:jc w:val="left"/>
              <w:rPr>
                <w:rFonts w:eastAsia="ＭＳ 明朝"/>
                <w:color w:val="auto"/>
                <w:kern w:val="0"/>
                <w:szCs w:val="22"/>
                <w:lang w:val="en-US" w:eastAsia="en-US" w:bidi="ar-SA"/>
              </w:rPr>
            </w:pPr>
            <w:r>
              <w:rPr>
                <w:rFonts w:eastAsia="ＭＳ 明朝"/>
                <w:color w:val="auto"/>
                <w:kern w:val="0"/>
                <w:szCs w:val="22"/>
                <w:lang w:val="en-US" w:eastAsia="en-US" w:bidi="ar-SA"/>
              </w:rPr>
              <w:t>Systemy Informacji Geograficznej – programy do tworzenia cyfrowych map pól.</w:t>
            </w:r>
          </w:p>
        </w:tc>
      </w:tr>
    </w:tbl>
    <w:p>
      <w:pPr>
        <w:pStyle w:val="Normal"/>
        <w:spacing w:before="360" w:after="200"/>
        <w:rPr>
          <w:i/>
          <w:i/>
        </w:rPr>
      </w:pPr>
      <w:r>
        <w:rPr>
          <w:i/>
        </w:rPr>
      </w:r>
    </w:p>
    <w:sectPr>
      <w:type w:val="nextPage"/>
      <w:pgSz w:w="12240" w:h="15840"/>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Arial">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swiss"/>
    <w:pitch w:val="variable"/>
  </w:font>
  <w:font w:name="Google Sans">
    <w:altName w:val="Arial"/>
    <w:charset w:val="ee"/>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Tahoma"/>
        <w:szCs w:val="22"/>
        <w:lang w:val="en-US" w:eastAsia="en-US" w:bidi="ar-SA"/>
      </w:rPr>
    </w:rPrDefault>
    <w:pPrDefault>
      <w:pPr/>
    </w:pPrDefault>
  </w:docDefaults>
  <w:style w:type="paragraph" w:styleId="Normal">
    <w:name w:val="Normal"/>
    <w:qFormat/>
    <w:pPr>
      <w:widowControl/>
      <w:kinsoku w:val="true"/>
      <w:overflowPunct w:val="true"/>
      <w:autoSpaceDE w:val="true"/>
      <w:bidi w:val="0"/>
      <w:spacing w:lineRule="auto" w:line="276" w:before="0" w:after="200"/>
      <w:jc w:val="left"/>
    </w:pPr>
    <w:rPr>
      <w:rFonts w:ascii="Arial" w:hAnsi="Arial" w:eastAsia="ＭＳ 明朝" w:cs="Tahoma"/>
      <w:color w:val="auto"/>
      <w:kern w:val="0"/>
      <w:sz w:val="22"/>
      <w:szCs w:val="22"/>
      <w:lang w:val="en-US" w:eastAsia="en-US" w:bidi="ar-SA"/>
    </w:rPr>
  </w:style>
  <w:style w:type="paragraph" w:styleId="Nagwek1">
    <w:name w:val="Heading 1"/>
    <w:basedOn w:val="Normal"/>
    <w:next w:val="Normal"/>
    <w:qFormat/>
    <w:pPr>
      <w:keepNext w:val="true"/>
      <w:keepLines/>
      <w:numPr>
        <w:ilvl w:val="0"/>
        <w:numId w:val="0"/>
      </w:numPr>
      <w:spacing w:before="480" w:after="0"/>
      <w:outlineLvl w:val="0"/>
    </w:pPr>
    <w:rPr>
      <w:rFonts w:ascii="Calibri" w:hAnsi="Calibri" w:eastAsia="ＭＳ ゴシック" w:cs="Tahoma"/>
      <w:b/>
      <w:bCs/>
      <w:color w:val="365F91"/>
      <w:sz w:val="28"/>
      <w:szCs w:val="28"/>
    </w:rPr>
  </w:style>
  <w:style w:type="paragraph" w:styleId="Nagwek2">
    <w:name w:val="Heading 2"/>
    <w:basedOn w:val="Normal"/>
    <w:next w:val="Normal"/>
    <w:qFormat/>
    <w:pPr>
      <w:keepNext w:val="true"/>
      <w:keepLines/>
      <w:numPr>
        <w:ilvl w:val="0"/>
        <w:numId w:val="0"/>
      </w:numPr>
      <w:spacing w:before="200" w:after="0"/>
      <w:outlineLvl w:val="1"/>
    </w:pPr>
    <w:rPr>
      <w:rFonts w:ascii="Calibri" w:hAnsi="Calibri" w:eastAsia="ＭＳ ゴシック" w:cs="Tahoma"/>
      <w:b/>
      <w:bCs/>
      <w:color w:val="4F81BD"/>
      <w:sz w:val="26"/>
      <w:szCs w:val="26"/>
    </w:rPr>
  </w:style>
  <w:style w:type="paragraph" w:styleId="Nagwek3">
    <w:name w:val="Heading 3"/>
    <w:basedOn w:val="Normal"/>
    <w:next w:val="Normal"/>
    <w:qFormat/>
    <w:pPr>
      <w:keepNext w:val="true"/>
      <w:keepLines/>
      <w:numPr>
        <w:ilvl w:val="0"/>
        <w:numId w:val="0"/>
      </w:numPr>
      <w:spacing w:before="200" w:after="0"/>
      <w:outlineLvl w:val="2"/>
    </w:pPr>
    <w:rPr>
      <w:rFonts w:ascii="Calibri" w:hAnsi="Calibri" w:eastAsia="ＭＳ ゴシック" w:cs="Tahoma"/>
      <w:b/>
      <w:bCs/>
      <w:color w:val="4F81BD"/>
    </w:rPr>
  </w:style>
  <w:style w:type="paragraph" w:styleId="Nagwek4">
    <w:name w:val="Heading 4"/>
    <w:basedOn w:val="Normal"/>
    <w:next w:val="Normal"/>
    <w:qFormat/>
    <w:pPr>
      <w:keepNext w:val="true"/>
      <w:keepLines/>
      <w:numPr>
        <w:ilvl w:val="0"/>
        <w:numId w:val="0"/>
      </w:numPr>
      <w:spacing w:before="200" w:after="0"/>
      <w:outlineLvl w:val="3"/>
    </w:pPr>
    <w:rPr>
      <w:rFonts w:ascii="Calibri" w:hAnsi="Calibri" w:eastAsia="ＭＳ ゴシック" w:cs="Tahoma"/>
      <w:b/>
      <w:bCs/>
      <w:i/>
      <w:iCs/>
      <w:color w:val="4F81BD"/>
    </w:rPr>
  </w:style>
  <w:style w:type="paragraph" w:styleId="Nagwek5">
    <w:name w:val="Heading 5"/>
    <w:basedOn w:val="Normal"/>
    <w:next w:val="Normal"/>
    <w:qFormat/>
    <w:pPr>
      <w:keepNext w:val="true"/>
      <w:keepLines/>
      <w:numPr>
        <w:ilvl w:val="0"/>
        <w:numId w:val="0"/>
      </w:numPr>
      <w:spacing w:before="200" w:after="0"/>
      <w:outlineLvl w:val="4"/>
    </w:pPr>
    <w:rPr>
      <w:rFonts w:ascii="Calibri" w:hAnsi="Calibri" w:eastAsia="ＭＳ ゴシック" w:cs="Tahoma"/>
      <w:color w:val="243F60"/>
    </w:rPr>
  </w:style>
  <w:style w:type="paragraph" w:styleId="Nagwek6">
    <w:name w:val="Heading 6"/>
    <w:basedOn w:val="Normal"/>
    <w:next w:val="Normal"/>
    <w:qFormat/>
    <w:pPr>
      <w:keepNext w:val="true"/>
      <w:keepLines/>
      <w:numPr>
        <w:ilvl w:val="0"/>
        <w:numId w:val="0"/>
      </w:numPr>
      <w:spacing w:before="200" w:after="0"/>
      <w:outlineLvl w:val="5"/>
    </w:pPr>
    <w:rPr>
      <w:rFonts w:ascii="Calibri" w:hAnsi="Calibri" w:eastAsia="ＭＳ ゴシック" w:cs="Tahoma"/>
      <w:i/>
      <w:iCs/>
      <w:color w:val="243F60"/>
    </w:rPr>
  </w:style>
  <w:style w:type="paragraph" w:styleId="Nagwek7">
    <w:name w:val="Heading 7"/>
    <w:basedOn w:val="Normal"/>
    <w:next w:val="Normal"/>
    <w:qFormat/>
    <w:pPr>
      <w:keepNext w:val="true"/>
      <w:keepLines/>
      <w:numPr>
        <w:ilvl w:val="0"/>
        <w:numId w:val="0"/>
      </w:numPr>
      <w:spacing w:before="200" w:after="0"/>
      <w:outlineLvl w:val="6"/>
    </w:pPr>
    <w:rPr>
      <w:rFonts w:ascii="Calibri" w:hAnsi="Calibri" w:eastAsia="ＭＳ ゴシック" w:cs="Tahoma"/>
      <w:i/>
      <w:iCs/>
      <w:color w:val="404040"/>
    </w:rPr>
  </w:style>
  <w:style w:type="paragraph" w:styleId="Nagwek8">
    <w:name w:val="Heading 8"/>
    <w:basedOn w:val="Normal"/>
    <w:next w:val="Normal"/>
    <w:qFormat/>
    <w:pPr>
      <w:keepNext w:val="true"/>
      <w:keepLines/>
      <w:numPr>
        <w:ilvl w:val="0"/>
        <w:numId w:val="0"/>
      </w:numPr>
      <w:spacing w:before="200" w:after="0"/>
      <w:outlineLvl w:val="7"/>
    </w:pPr>
    <w:rPr>
      <w:rFonts w:ascii="Calibri" w:hAnsi="Calibri" w:eastAsia="ＭＳ ゴシック" w:cs="Tahoma"/>
      <w:color w:val="4F81BD"/>
      <w:sz w:val="20"/>
      <w:szCs w:val="20"/>
    </w:rPr>
  </w:style>
  <w:style w:type="paragraph" w:styleId="Nagwek9">
    <w:name w:val="Heading 9"/>
    <w:basedOn w:val="Normal"/>
    <w:next w:val="Normal"/>
    <w:qFormat/>
    <w:pPr>
      <w:keepNext w:val="true"/>
      <w:keepLines/>
      <w:numPr>
        <w:ilvl w:val="0"/>
        <w:numId w:val="0"/>
      </w:numPr>
      <w:spacing w:before="200" w:after="0"/>
      <w:outlineLvl w:val="8"/>
    </w:pPr>
    <w:rPr>
      <w:rFonts w:ascii="Calibri" w:hAnsi="Calibri" w:eastAsia="ＭＳ ゴシック" w:cs="Tahoma"/>
      <w:i/>
      <w:iCs/>
      <w:color w:val="404040"/>
      <w:sz w:val="20"/>
      <w:szCs w:val="20"/>
    </w:rPr>
  </w:style>
  <w:style w:type="character" w:styleId="HeaderChar">
    <w:name w:val="Header Char"/>
    <w:basedOn w:val="DefaultParagraphFont"/>
    <w:qFormat/>
    <w:rPr/>
  </w:style>
  <w:style w:type="character" w:styleId="FooterChar">
    <w:name w:val="Footer Char"/>
    <w:basedOn w:val="DefaultParagraphFont"/>
    <w:qFormat/>
    <w:rPr/>
  </w:style>
  <w:style w:type="character" w:styleId="DefaultParagraphFont">
    <w:name w:val="Default Paragraph Font"/>
    <w:qFormat/>
    <w:rPr/>
  </w:style>
  <w:style w:type="character" w:styleId="Heading1Char">
    <w:name w:val="Heading 1 Char"/>
    <w:basedOn w:val="DefaultParagraphFont"/>
    <w:qFormat/>
    <w:rPr>
      <w:rFonts w:ascii="Calibri" w:hAnsi="Calibri" w:eastAsia="ＭＳ ゴシック" w:cs="Tahoma"/>
      <w:b/>
      <w:bCs/>
      <w:color w:val="365F91"/>
      <w:sz w:val="28"/>
      <w:szCs w:val="28"/>
    </w:rPr>
  </w:style>
  <w:style w:type="character" w:styleId="Heading2Char">
    <w:name w:val="Heading 2 Char"/>
    <w:basedOn w:val="DefaultParagraphFont"/>
    <w:qFormat/>
    <w:rPr>
      <w:rFonts w:ascii="Calibri" w:hAnsi="Calibri" w:eastAsia="ＭＳ ゴシック" w:cs="Tahoma"/>
      <w:b/>
      <w:bCs/>
      <w:color w:val="4F81BD"/>
      <w:sz w:val="26"/>
      <w:szCs w:val="26"/>
    </w:rPr>
  </w:style>
  <w:style w:type="character" w:styleId="Heading3Char">
    <w:name w:val="Heading 3 Char"/>
    <w:basedOn w:val="DefaultParagraphFont"/>
    <w:qFormat/>
    <w:rPr>
      <w:rFonts w:ascii="Calibri" w:hAnsi="Calibri" w:eastAsia="ＭＳ ゴシック" w:cs="Tahoma"/>
      <w:b/>
      <w:bCs/>
      <w:color w:val="4F81BD"/>
    </w:rPr>
  </w:style>
  <w:style w:type="character" w:styleId="TitleChar">
    <w:name w:val="Title Char"/>
    <w:basedOn w:val="DefaultParagraphFont"/>
    <w:qFormat/>
    <w:rPr>
      <w:rFonts w:ascii="Calibri" w:hAnsi="Calibri" w:eastAsia="ＭＳ ゴシック" w:cs="Tahoma"/>
      <w:color w:val="17365D"/>
      <w:spacing w:val="5"/>
      <w:kern w:val="2"/>
      <w:sz w:val="52"/>
      <w:szCs w:val="52"/>
    </w:rPr>
  </w:style>
  <w:style w:type="character" w:styleId="SubtitleChar">
    <w:name w:val="Subtitle Char"/>
    <w:basedOn w:val="DefaultParagraphFont"/>
    <w:qFormat/>
    <w:rPr>
      <w:rFonts w:ascii="Calibri" w:hAnsi="Calibri" w:eastAsia="ＭＳ ゴシック" w:cs="Tahoma"/>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 w:hAnsi="Courier"/>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eastAsia="ＭＳ ゴシック" w:cs="Tahoma"/>
      <w:b/>
      <w:bCs/>
      <w:i/>
      <w:iCs/>
      <w:color w:val="4F81BD"/>
    </w:rPr>
  </w:style>
  <w:style w:type="character" w:styleId="Heading5Char">
    <w:name w:val="Heading 5 Char"/>
    <w:basedOn w:val="DefaultParagraphFont"/>
    <w:qFormat/>
    <w:rPr>
      <w:rFonts w:ascii="Calibri" w:hAnsi="Calibri" w:eastAsia="ＭＳ ゴシック" w:cs="Tahoma"/>
      <w:color w:val="243F60"/>
    </w:rPr>
  </w:style>
  <w:style w:type="character" w:styleId="Heading6Char">
    <w:name w:val="Heading 6 Char"/>
    <w:basedOn w:val="DefaultParagraphFont"/>
    <w:qFormat/>
    <w:rPr>
      <w:rFonts w:ascii="Calibri" w:hAnsi="Calibri" w:eastAsia="ＭＳ ゴシック" w:cs="Tahoma"/>
      <w:i/>
      <w:iCs/>
      <w:color w:val="243F60"/>
    </w:rPr>
  </w:style>
  <w:style w:type="character" w:styleId="Heading7Char">
    <w:name w:val="Heading 7 Char"/>
    <w:basedOn w:val="DefaultParagraphFont"/>
    <w:qFormat/>
    <w:rPr>
      <w:rFonts w:ascii="Calibri" w:hAnsi="Calibri" w:eastAsia="ＭＳ ゴシック" w:cs="Tahoma"/>
      <w:i/>
      <w:iCs/>
      <w:color w:val="404040"/>
    </w:rPr>
  </w:style>
  <w:style w:type="character" w:styleId="Heading8Char">
    <w:name w:val="Heading 8 Char"/>
    <w:basedOn w:val="DefaultParagraphFont"/>
    <w:qFormat/>
    <w:rPr>
      <w:rFonts w:ascii="Calibri" w:hAnsi="Calibri" w:eastAsia="ＭＳ ゴシック" w:cs="Tahoma"/>
      <w:color w:val="4F81BD"/>
      <w:sz w:val="20"/>
      <w:szCs w:val="20"/>
    </w:rPr>
  </w:style>
  <w:style w:type="character" w:styleId="Heading9Char">
    <w:name w:val="Heading 9 Char"/>
    <w:basedOn w:val="DefaultParagraphFont"/>
    <w:qFormat/>
    <w:rPr>
      <w:rFonts w:ascii="Calibri" w:hAnsi="Calibri" w:eastAsia="ＭＳ ゴシック" w:cs="Tahoma"/>
      <w:i/>
      <w:iCs/>
      <w:color w:val="404040"/>
      <w:sz w:val="20"/>
      <w:szCs w:val="20"/>
    </w:rPr>
  </w:style>
  <w:style w:type="character" w:styleId="Mocnowyrniony">
    <w:name w:val="Mocno wyróżniony"/>
    <w:basedOn w:val="DefaultParagraphFont"/>
    <w:qFormat/>
    <w:rPr>
      <w:b/>
      <w:bCs/>
    </w:rPr>
  </w:style>
  <w:style w:type="character" w:styleId="Wyrnienie">
    <w:name w:val="Wyróżnienie"/>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before="0" w:after="120"/>
    </w:pPr>
    <w:rPr/>
  </w:style>
  <w:style w:type="paragraph" w:styleId="Lista">
    <w:name w:val="List"/>
    <w:basedOn w:val="Normal"/>
    <w:pPr>
      <w:spacing w:before="0" w:after="200"/>
      <w:ind w:left="360" w:hanging="360"/>
      <w:contextualSpacing/>
    </w:pPr>
    <w:rPr/>
  </w:style>
  <w:style w:type="paragraph" w:styleId="Podpis">
    <w:name w:val="Caption"/>
    <w:basedOn w:val="Normal"/>
    <w:next w:val="Normal"/>
    <w:qFormat/>
    <w:pPr>
      <w:spacing w:lineRule="auto" w:line="240"/>
    </w:pPr>
    <w:rPr>
      <w:b/>
      <w:bCs/>
      <w:color w:val="4F81BD"/>
      <w:sz w:val="18"/>
      <w:szCs w:val="18"/>
    </w:rPr>
  </w:style>
  <w:style w:type="paragraph" w:styleId="Indeks">
    <w:name w:val="Indeks"/>
    <w:basedOn w:val="Normal"/>
    <w:qFormat/>
    <w:pPr>
      <w:suppressLineNumbers/>
    </w:pPr>
    <w:rPr>
      <w:rFonts w:cs="Lucida Sans"/>
    </w:rPr>
  </w:style>
  <w:style w:type="paragraph" w:styleId="Gwkaistopka">
    <w:name w:val="Główka i stopka"/>
    <w:basedOn w:val="Normal"/>
    <w:qFormat/>
    <w:pPr/>
    <w:rPr/>
  </w:style>
  <w:style w:type="paragraph" w:styleId="Gwka">
    <w:name w:val="Header"/>
    <w:basedOn w:val="Normal"/>
    <w:pPr>
      <w:tabs>
        <w:tab w:val="clear" w:pos="720"/>
        <w:tab w:val="center" w:pos="4680" w:leader="none"/>
        <w:tab w:val="right" w:pos="9360" w:leader="none"/>
      </w:tabs>
      <w:spacing w:lineRule="auto" w:line="240" w:before="0" w:after="0"/>
    </w:pPr>
    <w:rPr/>
  </w:style>
  <w:style w:type="paragraph" w:styleId="Stopka">
    <w:name w:val="Footer"/>
    <w:basedOn w:val="Normal"/>
    <w:pPr>
      <w:tabs>
        <w:tab w:val="clear" w:pos="720"/>
        <w:tab w:val="center" w:pos="4680" w:leader="none"/>
        <w:tab w:val="right" w:pos="9360" w:leader="none"/>
      </w:tabs>
      <w:spacing w:lineRule="auto" w:line="240" w:before="0" w:after="0"/>
    </w:pPr>
    <w:rPr/>
  </w:style>
  <w:style w:type="paragraph" w:styleId="NoSpacing">
    <w:name w:val="No Spacing"/>
    <w:qFormat/>
    <w:pPr>
      <w:widowControl/>
      <w:kinsoku w:val="true"/>
      <w:overflowPunct w:val="true"/>
      <w:autoSpaceDE w:val="true"/>
      <w:bidi w:val="0"/>
      <w:spacing w:lineRule="auto" w:line="240" w:before="0" w:after="0"/>
      <w:jc w:val="left"/>
    </w:pPr>
    <w:rPr>
      <w:rFonts w:ascii="Cambria" w:hAnsi="Cambria" w:eastAsia="ＭＳ 明朝" w:cs="Tahoma"/>
      <w:color w:val="auto"/>
      <w:kern w:val="0"/>
      <w:sz w:val="22"/>
      <w:szCs w:val="22"/>
      <w:lang w:val="en-US" w:eastAsia="en-US" w:bidi="ar-SA"/>
    </w:rPr>
  </w:style>
  <w:style w:type="paragraph" w:styleId="Tytu">
    <w:name w:val="Title"/>
    <w:basedOn w:val="Normal"/>
    <w:next w:val="Normal"/>
    <w:qFormat/>
    <w:pPr>
      <w:pBdr>
        <w:bottom w:val="single" w:sz="8" w:space="4" w:color="4F81BD"/>
      </w:pBdr>
      <w:spacing w:lineRule="auto" w:line="240" w:before="0" w:after="300"/>
      <w:contextualSpacing/>
    </w:pPr>
    <w:rPr>
      <w:rFonts w:ascii="Calibri" w:hAnsi="Calibri" w:eastAsia="ＭＳ ゴシック" w:cs="Tahoma"/>
      <w:color w:val="17365D"/>
      <w:spacing w:val="5"/>
      <w:kern w:val="2"/>
      <w:sz w:val="52"/>
      <w:szCs w:val="52"/>
    </w:rPr>
  </w:style>
  <w:style w:type="paragraph" w:styleId="Podtytu">
    <w:name w:val="Subtitle"/>
    <w:basedOn w:val="Normal"/>
    <w:next w:val="Normal"/>
    <w:qFormat/>
    <w:pPr/>
    <w:rPr>
      <w:rFonts w:ascii="Calibri" w:hAnsi="Calibri" w:eastAsia="ＭＳ ゴシック" w:cs="Tahoma"/>
      <w:i/>
      <w:iCs/>
      <w:color w:val="4F81BD"/>
      <w:spacing w:val="15"/>
      <w:sz w:val="24"/>
      <w:szCs w:val="24"/>
    </w:rPr>
  </w:style>
  <w:style w:type="paragraph" w:styleId="ListParagraph">
    <w:name w:val="List Paragraph"/>
    <w:basedOn w:val="Normal"/>
    <w:qFormat/>
    <w:pPr>
      <w:spacing w:before="0" w:after="200"/>
      <w:ind w:left="720" w:hanging="0"/>
      <w:contextualSpacing/>
    </w:pPr>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List2WW">
    <w:name w:val="List 2 (WW)"/>
    <w:basedOn w:val="Normal"/>
    <w:qFormat/>
    <w:pPr>
      <w:spacing w:before="0" w:after="200"/>
      <w:ind w:left="720" w:hanging="360"/>
      <w:contextualSpacing/>
    </w:pPr>
    <w:rPr/>
  </w:style>
  <w:style w:type="paragraph" w:styleId="List3WW">
    <w:name w:val="List 3 (WW)"/>
    <w:basedOn w:val="Normal"/>
    <w:qFormat/>
    <w:pPr>
      <w:spacing w:before="0" w:after="200"/>
      <w:ind w:left="1080" w:hanging="360"/>
      <w:contextualSpacing/>
    </w:pPr>
    <w:rPr/>
  </w:style>
  <w:style w:type="paragraph" w:styleId="Lista1">
    <w:name w:val="List 2"/>
    <w:basedOn w:val="Normal"/>
    <w:pPr>
      <w:numPr>
        <w:ilvl w:val="0"/>
        <w:numId w:val="2"/>
      </w:numPr>
      <w:spacing w:before="0" w:after="200"/>
      <w:contextualSpacing/>
    </w:pPr>
    <w:rPr/>
  </w:style>
  <w:style w:type="paragraph" w:styleId="Lista2">
    <w:name w:val="List Bullet 3"/>
    <w:basedOn w:val="Normal"/>
    <w:pPr>
      <w:numPr>
        <w:ilvl w:val="0"/>
        <w:numId w:val="3"/>
      </w:numPr>
      <w:spacing w:before="0" w:after="200"/>
      <w:contextualSpacing/>
    </w:pPr>
    <w:rPr/>
  </w:style>
  <w:style w:type="paragraph" w:styleId="Lista3">
    <w:name w:val="List Bullet 4"/>
    <w:basedOn w:val="Normal"/>
    <w:pPr>
      <w:numPr>
        <w:ilvl w:val="0"/>
        <w:numId w:val="4"/>
      </w:numPr>
      <w:spacing w:before="0" w:after="200"/>
      <w:contextualSpacing/>
    </w:pPr>
    <w:rPr/>
  </w:style>
  <w:style w:type="paragraph" w:styleId="Numeracja1">
    <w:name w:val="List 3"/>
    <w:basedOn w:val="Normal"/>
    <w:pPr>
      <w:numPr>
        <w:ilvl w:val="0"/>
        <w:numId w:val="5"/>
      </w:numPr>
      <w:spacing w:before="0" w:after="200"/>
      <w:contextualSpacing/>
    </w:pPr>
    <w:rPr/>
  </w:style>
  <w:style w:type="paragraph" w:styleId="Numeracja2">
    <w:name w:val="List Number 2"/>
    <w:basedOn w:val="Normal"/>
    <w:pPr>
      <w:numPr>
        <w:ilvl w:val="0"/>
        <w:numId w:val="6"/>
      </w:numPr>
      <w:spacing w:before="0" w:after="200"/>
      <w:contextualSpacing/>
    </w:pPr>
    <w:rPr/>
  </w:style>
  <w:style w:type="paragraph" w:styleId="Numeracja3">
    <w:name w:val="List Number 3"/>
    <w:basedOn w:val="Normal"/>
    <w:pPr>
      <w:numPr>
        <w:ilvl w:val="0"/>
        <w:numId w:val="7"/>
      </w:numPr>
      <w:spacing w:before="0" w:after="200"/>
      <w:contextualSpacing/>
    </w:pPr>
    <w:rPr/>
  </w:style>
  <w:style w:type="paragraph" w:styleId="Kontynuacjalisty1">
    <w:name w:val="List Continue"/>
    <w:basedOn w:val="Normal"/>
    <w:pPr>
      <w:spacing w:before="0" w:after="120"/>
      <w:ind w:left="360" w:hanging="0"/>
      <w:contextualSpacing/>
    </w:pPr>
    <w:rPr/>
  </w:style>
  <w:style w:type="paragraph" w:styleId="Kontynuacjalisty2">
    <w:name w:val="List Continue 2"/>
    <w:basedOn w:val="Normal"/>
    <w:pPr>
      <w:spacing w:before="0" w:after="120"/>
      <w:ind w:left="720" w:hanging="0"/>
      <w:contextualSpacing/>
    </w:pPr>
    <w:rPr/>
  </w:style>
  <w:style w:type="paragraph" w:styleId="Kontynuacjalisty3">
    <w:name w:val="List Continue 3"/>
    <w:basedOn w:val="Normal"/>
    <w:pPr>
      <w:spacing w:before="0" w:after="120"/>
      <w:ind w:left="1080" w:hanging="0"/>
      <w:contextualSpacing/>
    </w:pPr>
    <w:rPr/>
  </w:style>
  <w:style w:type="paragraph" w:styleId="Macro">
    <w:name w:val="macro"/>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kinsoku w:val="true"/>
      <w:overflowPunct w:val="true"/>
      <w:autoSpaceDE w:val="true"/>
      <w:bidi w:val="0"/>
      <w:spacing w:lineRule="auto" w:line="276" w:before="0" w:after="200"/>
      <w:jc w:val="left"/>
    </w:pPr>
    <w:rPr>
      <w:rFonts w:ascii="Courier" w:hAnsi="Courier" w:eastAsia="ＭＳ 明朝" w:cs="Tahoma"/>
      <w:color w:val="auto"/>
      <w:kern w:val="0"/>
      <w:sz w:val="20"/>
      <w:szCs w:val="20"/>
      <w:lang w:val="en-US" w:eastAsia="en-US" w:bidi="ar-SA"/>
    </w:rPr>
  </w:style>
  <w:style w:type="paragraph" w:styleId="Quote">
    <w:name w:val="Quote"/>
    <w:basedOn w:val="Normal"/>
    <w:next w:val="Normal"/>
    <w:qFormat/>
    <w:pPr/>
    <w:rPr>
      <w:i/>
      <w:iCs/>
      <w:color w:val="000000"/>
    </w:rPr>
  </w:style>
  <w:style w:type="paragraph" w:styleId="IntenseQuote">
    <w:name w:val="Intense Quote"/>
    <w:basedOn w:val="Normal"/>
    <w:next w:val="Normal"/>
    <w:qFormat/>
    <w:pPr>
      <w:pBdr>
        <w:bottom w:val="single" w:sz="4" w:space="4" w:color="4F81BD"/>
      </w:pBdr>
      <w:spacing w:before="200" w:after="280"/>
      <w:ind w:left="936" w:right="936" w:hanging="0"/>
    </w:pPr>
    <w:rPr>
      <w:b/>
      <w:bCs/>
      <w:i/>
      <w:iCs/>
      <w:color w:val="4F81BD"/>
    </w:rPr>
  </w:style>
  <w:style w:type="paragraph" w:styleId="Nagwekindeksu">
    <w:name w:val="Index Heading"/>
    <w:basedOn w:val="Nagwek"/>
    <w:pPr/>
    <w:rPr/>
  </w:style>
  <w:style w:type="paragraph" w:styleId="Nagwekspisutreci">
    <w:name w:val="TOA Heading"/>
    <w:basedOn w:val="Nagwek1"/>
    <w:next w:val="Normal"/>
    <w:pPr/>
    <w:rPr/>
  </w:style>
  <w:style w:type="paragraph" w:styleId="Zawartotabeli">
    <w:name w:val="Zawartość tabeli"/>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23</TotalTime>
  <Application>LibreOffice/6.3.4.2$Windows_X86_64 LibreOffice_project/60da17e045e08f1793c57c00ba83cdfce946d0aa</Application>
  <Pages>4</Pages>
  <Words>1348</Words>
  <Characters>8528</Characters>
  <CharactersWithSpaces>9801</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pl-PL</dc:language>
  <cp:lastModifiedBy/>
  <dcterms:modified xsi:type="dcterms:W3CDTF">2026-10-01T10:05:26Z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ies>
</file>