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52975C85"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5959BF6" w14:textId="77777777" w:rsidR="00AD3426" w:rsidRPr="00D37A69" w:rsidRDefault="00AD3426"/>
    <w:p w14:paraId="3D6F4254" w14:textId="2694EBF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7050731E" w14:textId="5E0CBB9D" w:rsidR="002C65A6" w:rsidRDefault="00074381">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595D4799" w14:textId="22A45FAD" w:rsidR="002C65A6" w:rsidRDefault="00074381">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6A90A29A" w14:textId="2465FE0E" w:rsidR="002C65A6" w:rsidRDefault="00074381">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9BAEEF9" w14:textId="08B79E33" w:rsidR="002C65A6" w:rsidRDefault="00074381">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236E980E" w14:textId="3E359659" w:rsidR="002C65A6" w:rsidRDefault="00074381">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64CC2381" w14:textId="2995D380"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67B0494" w14:textId="66B57584"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386B46C8" w14:textId="3A90D4B0"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6873629" w14:textId="5C912A31"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0C356BA9" w14:textId="22441AAA"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786FDEAD" w14:textId="397A3961"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76BE7A19" w14:textId="699AFF1B"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045EF69D" w14:textId="10F92367"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4A279D4E" w14:textId="04ACCC6A"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6CCAA2FB" w14:textId="245FA934" w:rsidR="002C65A6" w:rsidRDefault="00074381">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34DB7BBC" w14:textId="46AAAA93"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63269B35" w14:textId="734DAE5A"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5B1D3E22" w14:textId="130F114F"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0BE57E30" w14:textId="5D6224F1"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7E26B720" w14:textId="62D8B102"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2E4C2F9A" w14:textId="0A31DE45"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3BCAECDB" w14:textId="54C9D67B"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72ED5317" w14:textId="5D7F07FE"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159988C7" w14:textId="760581C3"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3E20F1AA" w14:textId="3844EBEA" w:rsidR="002C65A6" w:rsidRDefault="00074381">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0E3E984" w14:textId="7CF57B1D" w:rsidR="002C65A6" w:rsidRDefault="00074381">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65DDC0BD"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1215E61" w14:textId="77777777" w:rsidR="00AD3426" w:rsidRPr="00D37A69" w:rsidRDefault="00AD3426">
      <w:pPr>
        <w:pStyle w:val="Tekstpodstawowy"/>
        <w:widowControl/>
        <w:rPr>
          <w:rFonts w:ascii="Verdana" w:hAnsi="Verdana"/>
          <w:b/>
          <w:bCs/>
          <w:sz w:val="20"/>
          <w:u w:val="none"/>
        </w:rPr>
      </w:pPr>
    </w:p>
    <w:p w14:paraId="4CA94EA0" w14:textId="77777777" w:rsidR="00F609F2" w:rsidRPr="00F609F2" w:rsidRDefault="00F609F2" w:rsidP="00F609F2">
      <w:pPr>
        <w:widowControl/>
        <w:spacing w:line="360" w:lineRule="auto"/>
        <w:jc w:val="both"/>
        <w:rPr>
          <w:rFonts w:ascii="Verdana" w:hAnsi="Verdana"/>
          <w:bCs/>
        </w:rPr>
      </w:pPr>
      <w:r w:rsidRPr="00F609F2">
        <w:rPr>
          <w:rFonts w:ascii="Verdana" w:hAnsi="Verdana"/>
          <w:bCs/>
        </w:rPr>
        <w:t>1.  Krzysztof Strzelczyk          -    Dyrektor Oddziału</w:t>
      </w:r>
    </w:p>
    <w:p w14:paraId="3F0E0C66" w14:textId="0F898F2A" w:rsidR="00AD3426" w:rsidRDefault="00F609F2" w:rsidP="00F609F2">
      <w:pPr>
        <w:widowControl/>
        <w:spacing w:line="360" w:lineRule="auto"/>
        <w:jc w:val="both"/>
        <w:rPr>
          <w:rFonts w:ascii="Verdana" w:hAnsi="Verdana"/>
          <w:bCs/>
        </w:rPr>
      </w:pPr>
      <w:r w:rsidRPr="00F609F2">
        <w:rPr>
          <w:rFonts w:ascii="Verdana" w:hAnsi="Verdana"/>
          <w:bCs/>
        </w:rPr>
        <w:t xml:space="preserve">2.  Marcin </w:t>
      </w:r>
      <w:proofErr w:type="spellStart"/>
      <w:r w:rsidRPr="00F609F2">
        <w:rPr>
          <w:rFonts w:ascii="Verdana" w:hAnsi="Verdana"/>
          <w:bCs/>
        </w:rPr>
        <w:t>Niewadził</w:t>
      </w:r>
      <w:proofErr w:type="spellEnd"/>
      <w:r w:rsidRPr="00F609F2">
        <w:rPr>
          <w:rFonts w:ascii="Verdana" w:hAnsi="Verdana"/>
          <w:bCs/>
        </w:rPr>
        <w:t xml:space="preserve">               -    Z-ca</w:t>
      </w:r>
      <w:bookmarkStart w:id="1" w:name="_GoBack"/>
      <w:bookmarkEnd w:id="1"/>
      <w:r w:rsidRPr="00F609F2">
        <w:rPr>
          <w:rFonts w:ascii="Verdana" w:hAnsi="Verdana"/>
          <w:bCs/>
        </w:rPr>
        <w:t xml:space="preserve"> Dyrektora Oddziału</w:t>
      </w:r>
    </w:p>
    <w:p w14:paraId="2B45FF72" w14:textId="77777777" w:rsidR="00F609F2" w:rsidRPr="00D37A69" w:rsidRDefault="00F609F2" w:rsidP="00F609F2">
      <w:pPr>
        <w:widowControl/>
        <w:jc w:val="both"/>
        <w:rPr>
          <w:rFonts w:ascii="Verdana" w:hAnsi="Verdana"/>
        </w:rPr>
      </w:pPr>
    </w:p>
    <w:p w14:paraId="18FE6AF7" w14:textId="4D611464"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F609F2">
        <w:rPr>
          <w:rFonts w:ascii="Verdana" w:hAnsi="Verdana"/>
          <w:b/>
        </w:rPr>
        <w:t>Kielcach</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F609F2">
        <w:rPr>
          <w:rFonts w:ascii="Verdana" w:hAnsi="Verdana"/>
        </w:rPr>
        <w:t xml:space="preserve">Kielcach  </w:t>
      </w:r>
      <w:r w:rsidR="00077930" w:rsidRPr="00D37A69">
        <w:rPr>
          <w:rFonts w:ascii="Verdana" w:hAnsi="Verdana"/>
        </w:rPr>
        <w:t xml:space="preserve"> </w:t>
      </w:r>
      <w:r w:rsidRPr="00D37A69">
        <w:rPr>
          <w:rFonts w:ascii="Verdana" w:hAnsi="Verdana"/>
        </w:rPr>
        <w:t xml:space="preserve">przy </w:t>
      </w:r>
      <w:r w:rsidR="00F609F2" w:rsidRPr="00F609F2">
        <w:rPr>
          <w:rFonts w:ascii="Verdana" w:hAnsi="Verdana"/>
        </w:rPr>
        <w:t>ul. Paderewskiego 43/45, kod pocztowy 25 – 950 Kielce, NIP 657-03-86-703, REGON 017511575-00068</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7ED27FC8"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53066C0F" w14:textId="77777777" w:rsidR="00AD3426" w:rsidRPr="00D37A69" w:rsidRDefault="00AD3426">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7777777" w:rsidR="00AD3426" w:rsidRPr="00D37A69" w:rsidRDefault="00AD3426">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70FBE38" w14:textId="77777777" w:rsidR="00AD3426" w:rsidRPr="00D37A69" w:rsidRDefault="00AD3426">
      <w:pPr>
        <w:pStyle w:val="Tekstpodstawowy3"/>
        <w:spacing w:line="276" w:lineRule="auto"/>
        <w:rPr>
          <w:rFonts w:ascii="Verdana" w:hAnsi="Verdana"/>
          <w:sz w:val="20"/>
        </w:rPr>
      </w:pPr>
    </w:p>
    <w:p w14:paraId="72013425" w14:textId="4A46D3CF"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ED0B4D">
        <w:rPr>
          <w:rFonts w:ascii="Verdana" w:hAnsi="Verdana"/>
          <w:b w:val="0"/>
          <w:bCs/>
          <w:sz w:val="20"/>
        </w:rPr>
        <w:t xml:space="preserve"> </w:t>
      </w:r>
      <w:r w:rsidR="00ED0B4D">
        <w:rPr>
          <w:rFonts w:ascii="Verdana" w:hAnsi="Verdana"/>
          <w:bCs/>
          <w:sz w:val="20"/>
        </w:rPr>
        <w:t>S7r</w:t>
      </w:r>
      <w:r w:rsidR="007246CE" w:rsidRPr="00D37A69">
        <w:rPr>
          <w:rFonts w:ascii="Verdana" w:hAnsi="Verdana"/>
          <w:b w:val="0"/>
          <w:bCs/>
          <w:sz w:val="20"/>
        </w:rPr>
        <w:t xml:space="preserve"> </w:t>
      </w:r>
    </w:p>
    <w:p w14:paraId="333A6C6C" w14:textId="3E75DCEF"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007246CE" w:rsidRPr="00D37A69">
        <w:rPr>
          <w:rFonts w:ascii="Verdana" w:hAnsi="Verdana"/>
          <w:b w:val="0"/>
          <w:bCs/>
          <w:sz w:val="20"/>
        </w:rPr>
        <w:t>drogi ekspresowej nr</w:t>
      </w:r>
      <w:r w:rsidR="00AD07F1">
        <w:rPr>
          <w:rFonts w:ascii="Verdana" w:hAnsi="Verdana"/>
          <w:b w:val="0"/>
          <w:bCs/>
          <w:sz w:val="20"/>
        </w:rPr>
        <w:t xml:space="preserve"> </w:t>
      </w:r>
      <w:r w:rsidR="00AD07F1">
        <w:rPr>
          <w:rFonts w:ascii="Verdana" w:hAnsi="Verdana"/>
          <w:bCs/>
          <w:sz w:val="20"/>
        </w:rPr>
        <w:t>S7r</w:t>
      </w:r>
      <w:r w:rsidRPr="00D37A69">
        <w:rPr>
          <w:rFonts w:ascii="Verdana" w:hAnsi="Verdana"/>
          <w:b w:val="0"/>
          <w:bCs/>
          <w:sz w:val="20"/>
        </w:rPr>
        <w:t xml:space="preserve"> znajduje się Nieruchomość przeznaczona na Miejsce </w:t>
      </w:r>
      <w:r w:rsidR="0058639D" w:rsidRPr="00D37A69">
        <w:rPr>
          <w:rFonts w:ascii="Verdana" w:hAnsi="Verdana"/>
          <w:b w:val="0"/>
          <w:bCs/>
          <w:sz w:val="20"/>
        </w:rPr>
        <w:t xml:space="preserve">Obsługi Podróżnych kat. </w:t>
      </w:r>
      <w:r w:rsidR="00AD07F1">
        <w:rPr>
          <w:rFonts w:ascii="Verdana" w:hAnsi="Verdana"/>
          <w:b w:val="0"/>
          <w:bCs/>
          <w:sz w:val="20"/>
        </w:rPr>
        <w:t>II</w:t>
      </w:r>
    </w:p>
    <w:p w14:paraId="635E442C" w14:textId="54B3194A" w:rsidR="00AD3426" w:rsidRPr="00D37A69" w:rsidRDefault="00673601">
      <w:pPr>
        <w:pStyle w:val="Tekstpodstawowy3"/>
        <w:spacing w:line="276" w:lineRule="auto"/>
        <w:ind w:left="720"/>
        <w:rPr>
          <w:rFonts w:ascii="Verdana" w:hAnsi="Verdana"/>
          <w:bCs/>
          <w:sz w:val="20"/>
        </w:rPr>
      </w:pPr>
      <w:r w:rsidRPr="00D37A69">
        <w:rPr>
          <w:rFonts w:ascii="Verdana" w:hAnsi="Verdana"/>
          <w:bCs/>
          <w:sz w:val="20"/>
        </w:rPr>
        <w:t>MOP</w:t>
      </w:r>
      <w:r w:rsidR="00AD07F1">
        <w:rPr>
          <w:rFonts w:ascii="Verdana" w:hAnsi="Verdana"/>
          <w:bCs/>
          <w:sz w:val="20"/>
        </w:rPr>
        <w:t xml:space="preserve"> Smyków</w:t>
      </w:r>
    </w:p>
    <w:p w14:paraId="326A3D21" w14:textId="16C37F04" w:rsidR="00AD3426" w:rsidRPr="00D37A69" w:rsidRDefault="00673601">
      <w:pPr>
        <w:pStyle w:val="Tekstpodstawowy3"/>
        <w:spacing w:line="276" w:lineRule="auto"/>
        <w:ind w:left="720"/>
        <w:rPr>
          <w:rFonts w:ascii="Verdana" w:hAnsi="Verdana"/>
          <w:bCs/>
          <w:sz w:val="20"/>
        </w:rPr>
      </w:pPr>
      <w:r w:rsidRPr="00D37A69">
        <w:rPr>
          <w:rFonts w:ascii="Verdana" w:hAnsi="Verdana"/>
          <w:b w:val="0"/>
          <w:bCs/>
          <w:sz w:val="20"/>
        </w:rPr>
        <w:t xml:space="preserve">zlokalizowany po </w:t>
      </w:r>
      <w:r w:rsidR="00AD07F1">
        <w:rPr>
          <w:rFonts w:ascii="Verdana" w:hAnsi="Verdana"/>
          <w:b w:val="0"/>
          <w:bCs/>
          <w:sz w:val="20"/>
        </w:rPr>
        <w:t xml:space="preserve">lewej </w:t>
      </w:r>
      <w:r w:rsidRPr="00D37A69">
        <w:rPr>
          <w:rFonts w:ascii="Verdana" w:hAnsi="Verdana"/>
          <w:b w:val="0"/>
          <w:bCs/>
          <w:sz w:val="20"/>
        </w:rPr>
        <w:t xml:space="preserve">stronie </w:t>
      </w:r>
      <w:r w:rsidR="007246CE" w:rsidRPr="00D37A69">
        <w:rPr>
          <w:rFonts w:ascii="Verdana" w:hAnsi="Verdana"/>
          <w:b w:val="0"/>
          <w:bCs/>
          <w:sz w:val="20"/>
        </w:rPr>
        <w:t>drogi ekspresowej nr</w:t>
      </w:r>
      <w:r w:rsidR="00AD07F1">
        <w:rPr>
          <w:rFonts w:ascii="Verdana" w:hAnsi="Verdana"/>
          <w:b w:val="0"/>
          <w:bCs/>
          <w:sz w:val="20"/>
        </w:rPr>
        <w:t xml:space="preserve"> S7r</w:t>
      </w:r>
      <w:r w:rsidRPr="00D37A69">
        <w:rPr>
          <w:rFonts w:ascii="Verdana" w:hAnsi="Verdana"/>
          <w:b w:val="0"/>
          <w:bCs/>
          <w:i/>
          <w:sz w:val="20"/>
        </w:rPr>
        <w:t>,</w:t>
      </w:r>
      <w:r w:rsidRPr="00D37A69">
        <w:rPr>
          <w:rFonts w:ascii="Verdana" w:hAnsi="Verdana"/>
          <w:b w:val="0"/>
          <w:bCs/>
          <w:sz w:val="20"/>
        </w:rPr>
        <w:t xml:space="preserve"> na odcinku </w:t>
      </w:r>
      <w:r w:rsidR="00AD07F1">
        <w:rPr>
          <w:rFonts w:ascii="Verdana" w:hAnsi="Verdana"/>
          <w:b w:val="0"/>
          <w:bCs/>
          <w:sz w:val="20"/>
        </w:rPr>
        <w:t>pomiędzy Węzłem Brzegi a Węzłem Mnichów</w:t>
      </w:r>
      <w:r w:rsidRPr="00D37A69">
        <w:rPr>
          <w:rFonts w:ascii="Verdana" w:hAnsi="Verdana"/>
          <w:b w:val="0"/>
          <w:bCs/>
          <w:sz w:val="20"/>
        </w:rPr>
        <w:t xml:space="preserve">, w województwie </w:t>
      </w:r>
      <w:r w:rsidR="00AD07F1">
        <w:rPr>
          <w:rFonts w:ascii="Verdana" w:hAnsi="Verdana"/>
          <w:b w:val="0"/>
          <w:bCs/>
          <w:sz w:val="20"/>
        </w:rPr>
        <w:t>świętokrzyskim</w:t>
      </w:r>
      <w:r w:rsidRPr="00D37A69">
        <w:rPr>
          <w:rFonts w:ascii="Verdana" w:hAnsi="Verdana"/>
          <w:b w:val="0"/>
          <w:bCs/>
          <w:sz w:val="20"/>
        </w:rPr>
        <w:t xml:space="preserve">, na terenie gminy </w:t>
      </w:r>
      <w:r w:rsidR="00AD07F1">
        <w:rPr>
          <w:rFonts w:ascii="Verdana" w:hAnsi="Verdana"/>
          <w:b w:val="0"/>
          <w:bCs/>
          <w:sz w:val="20"/>
        </w:rPr>
        <w:t>Sobków,</w:t>
      </w:r>
      <w:r w:rsidR="007246CE" w:rsidRPr="00D37A69">
        <w:rPr>
          <w:rFonts w:ascii="Verdana" w:hAnsi="Verdana"/>
          <w:b w:val="0"/>
          <w:bCs/>
          <w:sz w:val="20"/>
        </w:rPr>
        <w:t xml:space="preserve"> MOP</w:t>
      </w:r>
      <w:r w:rsidR="00AD07F1">
        <w:rPr>
          <w:rFonts w:ascii="Verdana" w:hAnsi="Verdana"/>
          <w:b w:val="0"/>
          <w:bCs/>
          <w:sz w:val="20"/>
        </w:rPr>
        <w:t xml:space="preserve"> Smyków </w:t>
      </w:r>
      <w:r w:rsidR="007246CE" w:rsidRPr="00D37A69">
        <w:rPr>
          <w:rFonts w:ascii="Verdana" w:hAnsi="Verdana"/>
          <w:b w:val="0"/>
          <w:bCs/>
          <w:sz w:val="20"/>
        </w:rPr>
        <w:t>położony jest na działkach nr</w:t>
      </w:r>
      <w:r w:rsidR="00AD07F1">
        <w:rPr>
          <w:rFonts w:ascii="Verdana" w:hAnsi="Verdana"/>
          <w:b w:val="0"/>
          <w:bCs/>
          <w:sz w:val="20"/>
        </w:rPr>
        <w:t xml:space="preserve"> </w:t>
      </w:r>
      <w:r w:rsidR="007405A1">
        <w:rPr>
          <w:rFonts w:ascii="Verdana" w:hAnsi="Verdana" w:cs="Arial"/>
          <w:sz w:val="18"/>
          <w:szCs w:val="18"/>
        </w:rPr>
        <w:t>313, 314, 500, 441/1, 348, 349, 350, 351, 352, 353</w:t>
      </w:r>
      <w:r w:rsidR="000A5F89">
        <w:rPr>
          <w:rFonts w:ascii="Verdana" w:hAnsi="Verdana" w:cs="Arial"/>
          <w:sz w:val="18"/>
          <w:szCs w:val="18"/>
        </w:rPr>
        <w:t xml:space="preserve"> </w:t>
      </w:r>
      <w:r w:rsidR="000A5F89" w:rsidRPr="000A5F89">
        <w:rPr>
          <w:rFonts w:ascii="Verdana" w:hAnsi="Verdana" w:cs="Arial"/>
          <w:b w:val="0"/>
          <w:sz w:val="18"/>
          <w:szCs w:val="18"/>
        </w:rPr>
        <w:t>i gminy Jędrzejów działka nr</w:t>
      </w:r>
      <w:r w:rsidR="000A5F89">
        <w:rPr>
          <w:rFonts w:ascii="Verdana" w:hAnsi="Verdana" w:cs="Arial"/>
          <w:sz w:val="18"/>
          <w:szCs w:val="18"/>
        </w:rPr>
        <w:t xml:space="preserve"> </w:t>
      </w:r>
      <w:r w:rsidR="007405A1">
        <w:rPr>
          <w:rFonts w:ascii="Verdana" w:hAnsi="Verdana" w:cs="Arial"/>
          <w:sz w:val="18"/>
          <w:szCs w:val="18"/>
        </w:rPr>
        <w:t>109.</w:t>
      </w: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0594E362" w14:textId="07C1A752" w:rsidR="00A66D0F" w:rsidRPr="00A66D0F" w:rsidRDefault="00673601" w:rsidP="00A66D0F">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11A64036" w:rsidR="00AD3426" w:rsidRPr="0073235A" w:rsidRDefault="007405A1" w:rsidP="007405A1">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492" w:type="dxa"/>
            <w:tcMar>
              <w:top w:w="85" w:type="dxa"/>
              <w:left w:w="108" w:type="dxa"/>
              <w:bottom w:w="85" w:type="dxa"/>
              <w:right w:w="108" w:type="dxa"/>
            </w:tcMar>
          </w:tcPr>
          <w:p w14:paraId="3C5E0FCF" w14:textId="4D8AFC4D" w:rsidR="00AD3426" w:rsidRPr="0073235A" w:rsidRDefault="00673601" w:rsidP="007405A1">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7405A1">
              <w:rPr>
                <w:rFonts w:ascii="Verdana" w:hAnsi="Verdana"/>
                <w:bCs/>
                <w:sz w:val="20"/>
                <w:u w:val="none"/>
              </w:rPr>
              <w:t xml:space="preserve">S7r </w:t>
            </w:r>
            <w:r w:rsidRPr="0073235A">
              <w:rPr>
                <w:rFonts w:ascii="Verdana" w:hAnsi="Verdana"/>
                <w:bCs/>
                <w:sz w:val="20"/>
                <w:u w:val="none"/>
              </w:rPr>
              <w:t>na odcinku</w:t>
            </w:r>
            <w:r w:rsidR="007405A1">
              <w:rPr>
                <w:rFonts w:ascii="Verdana" w:hAnsi="Verdana"/>
                <w:bCs/>
                <w:sz w:val="20"/>
                <w:u w:val="none"/>
              </w:rPr>
              <w:t xml:space="preserve"> Węzeł Brzegi – Węzeł Mnichów.</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606C14A7" w:rsidR="00AD3426" w:rsidRPr="0073235A" w:rsidRDefault="00673601" w:rsidP="007405A1">
            <w:pPr>
              <w:pStyle w:val="Tekstpodstawowy"/>
              <w:rPr>
                <w:rFonts w:ascii="Verdana" w:hAnsi="Verdana" w:cs="Arial"/>
                <w:sz w:val="20"/>
                <w:u w:val="none"/>
              </w:rPr>
            </w:pPr>
            <w:r w:rsidRPr="0073235A">
              <w:rPr>
                <w:rFonts w:ascii="Verdana" w:hAnsi="Verdana" w:cs="Arial"/>
                <w:sz w:val="20"/>
                <w:u w:val="none"/>
              </w:rPr>
              <w:t xml:space="preserve">Należy przez to rozumieć Miejsce Obsługi Podróżnych spełniające warunki </w:t>
            </w:r>
            <w:r w:rsidR="00F844DA" w:rsidRPr="0073235A">
              <w:rPr>
                <w:rFonts w:ascii="Verdana" w:hAnsi="Verdana" w:cs="Arial"/>
                <w:sz w:val="20"/>
                <w:u w:val="none"/>
              </w:rPr>
              <w:t>przepisów Rozporządzenia Ministra Transportu i Gospodarki Morskiej z dnia 2 marca 1999 roku w sprawie warunków technicznych, jakim powinny odpowiadać drogi publiczne i ich usytuowanie (Dz. U. z 2016 r. poz</w:t>
            </w:r>
            <w:r w:rsidR="007405A1">
              <w:rPr>
                <w:rFonts w:ascii="Verdana" w:hAnsi="Verdana" w:cs="Arial"/>
                <w:sz w:val="20"/>
                <w:u w:val="none"/>
              </w:rPr>
              <w:t>.</w:t>
            </w:r>
            <w:r w:rsidR="00F844DA" w:rsidRPr="0073235A">
              <w:rPr>
                <w:rFonts w:ascii="Verdana" w:hAnsi="Verdana" w:cs="Arial"/>
                <w:sz w:val="20"/>
                <w:u w:val="none"/>
              </w:rPr>
              <w:t xml:space="preserve"> 124)</w:t>
            </w:r>
            <w:r w:rsidR="007405A1">
              <w:rPr>
                <w:rFonts w:ascii="Verdana" w:hAnsi="Verdana" w:cs="Arial"/>
                <w:sz w:val="20"/>
                <w:u w:val="none"/>
              </w:rPr>
              <w:t>.</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77777777"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7777777"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7AE6A597" w:rsidR="00AD3426" w:rsidRPr="0073235A" w:rsidRDefault="00673601">
      <w:pPr>
        <w:widowControl/>
        <w:numPr>
          <w:ilvl w:val="1"/>
          <w:numId w:val="3"/>
        </w:numPr>
        <w:jc w:val="both"/>
        <w:rPr>
          <w:rFonts w:ascii="Verdana" w:hAnsi="Verdana"/>
          <w:bCs/>
        </w:rPr>
      </w:pPr>
      <w:r w:rsidRPr="0073235A">
        <w:rPr>
          <w:rFonts w:ascii="Verdana" w:hAnsi="Verdana"/>
          <w:bCs/>
        </w:rPr>
        <w:t xml:space="preserve">Wydzierżawiający oddaje Dzierżawcy Nieruchomość z przeznaczeniem pod Miejsce Obsługi Podróżnych </w:t>
      </w:r>
      <w:r w:rsidR="007405A1">
        <w:rPr>
          <w:rFonts w:ascii="Verdana" w:hAnsi="Verdana"/>
          <w:bCs/>
        </w:rPr>
        <w:t>MOP Smyków</w:t>
      </w:r>
      <w:r w:rsidRPr="0073235A">
        <w:rPr>
          <w:rFonts w:ascii="Verdana" w:hAnsi="Verdana"/>
          <w:bCs/>
        </w:rPr>
        <w:t xml:space="preserve"> kategorii </w:t>
      </w:r>
      <w:r w:rsidR="007405A1">
        <w:rPr>
          <w:rFonts w:ascii="Verdana" w:hAnsi="Verdana"/>
          <w:bCs/>
        </w:rPr>
        <w:t>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lastRenderedPageBreak/>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rsidP="00D338B1">
      <w:pPr>
        <w:widowControl/>
        <w:ind w:left="720"/>
        <w:jc w:val="both"/>
        <w:rPr>
          <w:rFonts w:ascii="Verdana" w:hAnsi="Verdana"/>
        </w:rPr>
      </w:pPr>
    </w:p>
    <w:p w14:paraId="309850CF" w14:textId="7D59D24F"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7405A1">
        <w:rPr>
          <w:rFonts w:ascii="Verdana" w:hAnsi="Verdana"/>
        </w:rPr>
        <w:t xml:space="preserve"> Kielcach</w:t>
      </w:r>
      <w:r w:rsidRPr="00D338B1">
        <w:rPr>
          <w:rFonts w:ascii="Verdana" w:hAnsi="Verdana"/>
        </w:rPr>
        <w:t>, z prawem dalszej substytucji. Jednocześnie Wydzierżawiający może wyznaczać inny podmiot lub osoby reprezentujące go w stosunkach z Dzierżawcą</w:t>
      </w:r>
      <w:r w:rsidR="007405A1">
        <w:rPr>
          <w:rFonts w:ascii="Verdana" w:hAnsi="Verdana"/>
        </w:rPr>
        <w:br/>
      </w:r>
      <w:r w:rsidRPr="00D338B1">
        <w:rPr>
          <w:rFonts w:ascii="Verdana" w:hAnsi="Verdana"/>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3F4A6356"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7405A1">
        <w:rPr>
          <w:rFonts w:ascii="Verdana" w:hAnsi="Verdana"/>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FB85039"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Pr="0073235A">
        <w:rPr>
          <w:rFonts w:ascii="Verdana" w:hAnsi="Verdana"/>
        </w:rPr>
        <w:t xml:space="preserve">z tym zastrzeżeniem, że oddanie do użytkowania poszczególnych Etapów Inwestycji </w:t>
      </w:r>
      <w:r w:rsidRPr="0073235A">
        <w:rPr>
          <w:rFonts w:ascii="Verdana" w:hAnsi="Verdana"/>
        </w:rPr>
        <w:lastRenderedPageBreak/>
        <w:t xml:space="preserve">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B56D709"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w:t>
      </w:r>
      <w:r w:rsidR="006C77F7">
        <w:rPr>
          <w:rFonts w:ascii="Verdana" w:hAnsi="Verdana"/>
        </w:rPr>
        <w:t xml:space="preserve"> </w:t>
      </w:r>
      <w:r w:rsidRPr="0073235A">
        <w:rPr>
          <w:rFonts w:ascii="Verdana" w:hAnsi="Verdana"/>
        </w:rPr>
        <w:t>w związku</w:t>
      </w:r>
      <w:r w:rsidR="006C77F7">
        <w:rPr>
          <w:rFonts w:ascii="Verdana" w:hAnsi="Verdana"/>
        </w:rPr>
        <w:br/>
      </w:r>
      <w:r w:rsidRPr="0073235A">
        <w:rPr>
          <w:rFonts w:ascii="Verdana" w:hAnsi="Verdana"/>
        </w:rPr>
        <w:t>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E014905"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 xml:space="preserve">5.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Strony ustalają również, że zatwierdzenie dokumentów przez Wydzierżawiającego lub wniesienie do nich zastrzeżeń nie będzie stanowić podstawy odpowiedzialności </w:t>
      </w:r>
      <w:r w:rsidRPr="0073235A">
        <w:rPr>
          <w:rFonts w:ascii="Verdana" w:hAnsi="Verdana"/>
        </w:rPr>
        <w:lastRenderedPageBreak/>
        <w:t>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 Dz. U. z 2018 r. poz. 1202</w:t>
      </w:r>
      <w:r w:rsidRPr="0073235A">
        <w:rPr>
          <w:rFonts w:ascii="Verdana" w:hAnsi="Verdana"/>
        </w:rPr>
        <w:t xml:space="preserve"> ze zm.) oraz do dokonywania zmian w przedmiocie dzierżawy </w:t>
      </w:r>
      <w:r w:rsidRPr="0073235A">
        <w:rPr>
          <w:rFonts w:ascii="Verdana" w:hAnsi="Verdana"/>
        </w:rPr>
        <w:br/>
        <w:t>w zakresie zgodnym z niniejszą Umową.</w:t>
      </w: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6DA85BF5" w:rsidR="00AD3426" w:rsidRPr="0073235A" w:rsidRDefault="00673601" w:rsidP="006C77F7">
      <w:pPr>
        <w:widowControl/>
        <w:numPr>
          <w:ilvl w:val="1"/>
          <w:numId w:val="6"/>
        </w:numPr>
        <w:adjustRightInd/>
        <w:ind w:left="720" w:hanging="720"/>
        <w:jc w:val="both"/>
        <w:rPr>
          <w:rFonts w:ascii="Verdana" w:hAnsi="Verdana"/>
        </w:rPr>
      </w:pPr>
      <w:r w:rsidRPr="006C77F7">
        <w:rPr>
          <w:rFonts w:ascii="Verdana" w:hAnsi="Verdana"/>
        </w:rPr>
        <w:t>Nieruchomość może być wykorzystywana wyłącznie w celu prowadzenia M</w:t>
      </w:r>
      <w:r w:rsidR="00F26318" w:rsidRPr="006C77F7">
        <w:rPr>
          <w:rFonts w:ascii="Verdana" w:hAnsi="Verdana"/>
        </w:rPr>
        <w:t xml:space="preserve">OP </w:t>
      </w:r>
      <w:r w:rsidR="00F26318" w:rsidRPr="006C77F7">
        <w:rPr>
          <w:rFonts w:ascii="Verdana" w:hAnsi="Verdana"/>
        </w:rPr>
        <w:br/>
        <w:t xml:space="preserve">w rozumieniu art. 4 pkt 10 lit. </w:t>
      </w:r>
      <w:r w:rsidRPr="006C77F7">
        <w:rPr>
          <w:rFonts w:ascii="Verdana" w:hAnsi="Verdana"/>
        </w:rPr>
        <w:t>c.</w:t>
      </w:r>
      <w:r w:rsidR="00F26318" w:rsidRPr="006C77F7">
        <w:rPr>
          <w:rFonts w:ascii="Verdana" w:hAnsi="Verdana"/>
        </w:rPr>
        <w:t xml:space="preserve"> </w:t>
      </w:r>
      <w:r w:rsidRPr="006C77F7">
        <w:rPr>
          <w:rFonts w:ascii="Verdana" w:hAnsi="Verdana"/>
        </w:rPr>
        <w:t xml:space="preserve">ustawy z dnia 21 marca 1985 roku o drogach publicznych </w:t>
      </w:r>
      <w:r w:rsidR="00C06E3E" w:rsidRPr="006C77F7">
        <w:rPr>
          <w:rFonts w:ascii="Verdana" w:hAnsi="Verdana"/>
        </w:rPr>
        <w:t>( Dz. U. z 2018 r. poz. 2068)</w:t>
      </w:r>
      <w:r w:rsidR="005B4CC7" w:rsidRPr="006C77F7">
        <w:rPr>
          <w:rFonts w:ascii="Verdana" w:hAnsi="Verdana"/>
        </w:rPr>
        <w:t xml:space="preserve"> </w:t>
      </w:r>
      <w:r w:rsidRPr="006C77F7">
        <w:rPr>
          <w:rFonts w:ascii="Verdana" w:hAnsi="Verdana"/>
        </w:rPr>
        <w:t>i przepisów</w:t>
      </w:r>
      <w:r w:rsidR="0087718E" w:rsidRPr="006C77F7">
        <w:rPr>
          <w:rFonts w:ascii="Verdana" w:hAnsi="Verdana"/>
        </w:rPr>
        <w:t xml:space="preserve"> </w:t>
      </w:r>
      <w:r w:rsidRPr="006C77F7">
        <w:rPr>
          <w:rFonts w:ascii="Verdana" w:hAnsi="Verdana"/>
        </w:rPr>
        <w:t>Rozporządzenia Ministra Transportu i Gospodarki Morskiej z 2 marca 1999r. w sprawie warunków technicznych, jakim powinny odpowiadać drogi publiczne i ich usytuowanie</w:t>
      </w:r>
      <w:r w:rsidR="0087718E" w:rsidRPr="006C77F7">
        <w:rPr>
          <w:rFonts w:ascii="Verdana" w:hAnsi="Verdana"/>
        </w:rPr>
        <w:t xml:space="preserve"> </w:t>
      </w:r>
      <w:r w:rsidRPr="006C77F7">
        <w:rPr>
          <w:rFonts w:ascii="Verdana" w:hAnsi="Verdana"/>
        </w:rPr>
        <w:t>oraz</w:t>
      </w:r>
      <w:r w:rsidR="005B4CC7" w:rsidRPr="006C77F7">
        <w:rPr>
          <w:rFonts w:ascii="Verdana" w:hAnsi="Verdana"/>
        </w:rPr>
        <w:br/>
      </w:r>
      <w:r w:rsidRPr="006C77F7">
        <w:rPr>
          <w:rFonts w:ascii="Verdana" w:hAnsi="Verdana"/>
        </w:rPr>
        <w:t xml:space="preserve"> w celu prowadzenia Działalności Podstawowej. </w:t>
      </w: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 xml:space="preserve">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w:t>
      </w:r>
      <w:r w:rsidRPr="0073235A">
        <w:rPr>
          <w:rFonts w:ascii="Verdana" w:hAnsi="Verdana"/>
        </w:rPr>
        <w:lastRenderedPageBreak/>
        <w:t>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w:t>
      </w:r>
      <w:r w:rsidRPr="0073235A">
        <w:rPr>
          <w:rFonts w:ascii="Verdana" w:hAnsi="Verdana"/>
        </w:rPr>
        <w:lastRenderedPageBreak/>
        <w:t xml:space="preserve">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4788CA44" w14:textId="06C62702" w:rsidR="006C77F7" w:rsidRPr="006C77F7" w:rsidRDefault="00673601" w:rsidP="006C77F7">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430D577F" w14:textId="46508D7E" w:rsidR="006C77F7" w:rsidRPr="0073235A" w:rsidRDefault="006C77F7">
      <w:pPr>
        <w:widowControl/>
        <w:overflowPunct/>
        <w:autoSpaceDE/>
        <w:autoSpaceDN/>
        <w:adjustRightInd/>
        <w:rPr>
          <w:rFonts w:ascii="Verdana" w:hAnsi="Verdana"/>
        </w:rPr>
      </w:pPr>
    </w:p>
    <w:p w14:paraId="5386E3F8" w14:textId="3FD228F3"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lastRenderedPageBreak/>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84C48D0" w14:textId="77777777" w:rsidR="007405A1"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w:t>
      </w:r>
    </w:p>
    <w:p w14:paraId="4CC6F88F" w14:textId="47CB0FD0" w:rsidR="00203A8D" w:rsidRPr="0073235A" w:rsidRDefault="001C62A8" w:rsidP="007405A1">
      <w:pPr>
        <w:widowControl/>
        <w:ind w:left="720"/>
        <w:jc w:val="both"/>
        <w:rPr>
          <w:rFonts w:ascii="Verdana" w:hAnsi="Verdana"/>
        </w:rPr>
      </w:pPr>
      <w:r>
        <w:rPr>
          <w:rFonts w:ascii="Verdana" w:hAnsi="Verdana"/>
          <w:b/>
        </w:rPr>
        <w:t>1,</w:t>
      </w:r>
      <w:r w:rsidR="007405A1">
        <w:rPr>
          <w:rFonts w:ascii="Verdana" w:hAnsi="Verdana"/>
          <w:b/>
        </w:rPr>
        <w:t>0</w:t>
      </w:r>
      <w:r w:rsidR="00203A8D" w:rsidRPr="007405A1">
        <w:rPr>
          <w:rFonts w:ascii="Verdana" w:hAnsi="Verdana"/>
          <w:b/>
        </w:rPr>
        <w:t>%</w:t>
      </w:r>
      <w:r w:rsidR="00203A8D" w:rsidRPr="0073235A">
        <w:rPr>
          <w:rFonts w:ascii="Verdana" w:hAnsi="Verdana"/>
        </w:rPr>
        <w:t xml:space="preserve"> (</w:t>
      </w:r>
      <w:r>
        <w:rPr>
          <w:rFonts w:ascii="Verdana" w:hAnsi="Verdana"/>
        </w:rPr>
        <w:t xml:space="preserve">jeden </w:t>
      </w:r>
      <w:r w:rsidR="00203A8D" w:rsidRPr="0073235A">
        <w:rPr>
          <w:rFonts w:ascii="Verdana" w:hAnsi="Verdana"/>
        </w:rPr>
        <w:t>procent) od całości przychodu netto uzyskanego przez Dzierżawcę,</w:t>
      </w:r>
      <w:r w:rsidR="007405A1">
        <w:rPr>
          <w:rFonts w:ascii="Verdana" w:hAnsi="Verdana"/>
        </w:rPr>
        <w:br/>
      </w:r>
      <w:r w:rsidR="00203A8D" w:rsidRPr="0073235A">
        <w:rPr>
          <w:rFonts w:ascii="Verdana" w:hAnsi="Verdana"/>
        </w:rPr>
        <w:t>w danym miesiącu, z tytułu sprzedaży paliw w ramach działalności gospodarczej prowadzonej na Nieruchomości</w:t>
      </w:r>
      <w:r w:rsidR="008C4046" w:rsidRPr="0073235A">
        <w:rPr>
          <w:rFonts w:ascii="Verdana" w:hAnsi="Verdana"/>
        </w:rPr>
        <w:t>, z zastrzeżeniem akapitu poniżej,</w:t>
      </w:r>
      <w:r w:rsidR="00203A8D"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00203A8D" w:rsidRPr="0073235A">
        <w:rPr>
          <w:rFonts w:ascii="Verdana" w:hAnsi="Verdana"/>
        </w:rPr>
        <w:t>z wyłączeniem przychodu z tytułu sprzedaży paliw</w:t>
      </w:r>
      <w:r w:rsidR="00FF60B7" w:rsidRPr="0073235A">
        <w:rPr>
          <w:rFonts w:ascii="Verdana" w:hAnsi="Verdana"/>
        </w:rPr>
        <w:t>.</w:t>
      </w:r>
      <w:r w:rsidR="00203A8D"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77777777" w:rsidR="007C4D63" w:rsidRPr="0073235A" w:rsidRDefault="007C4D63" w:rsidP="005A5B08">
      <w:pPr>
        <w:widowControl/>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 xml:space="preserve">miesiąca w którym </w:t>
      </w:r>
      <w:r w:rsidR="00CC7026" w:rsidRPr="0073235A">
        <w:rPr>
          <w:rFonts w:ascii="Verdana" w:hAnsi="Verdana"/>
        </w:rPr>
        <w:t>uzyskan</w:t>
      </w:r>
      <w:r w:rsidR="00715783" w:rsidRPr="0073235A">
        <w:rPr>
          <w:rFonts w:ascii="Verdana" w:hAnsi="Verdana"/>
        </w:rPr>
        <w:t xml:space="preserve">o pierwszy przychód z ich  sprzedaży </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5A5B08">
      <w:pPr>
        <w:ind w:left="720"/>
        <w:jc w:val="both"/>
        <w:rPr>
          <w:rFonts w:ascii="Verdana" w:hAnsi="Verdana"/>
        </w:rPr>
      </w:pPr>
      <w:r w:rsidRPr="0073235A">
        <w:rPr>
          <w:rFonts w:ascii="Verdana" w:hAnsi="Verdana"/>
        </w:rPr>
        <w:t xml:space="preserve"> </w:t>
      </w:r>
    </w:p>
    <w:p w14:paraId="4CF35F31" w14:textId="449C5FD5" w:rsidR="00203A8D" w:rsidRPr="0073235A" w:rsidRDefault="00203A8D" w:rsidP="005A5B08">
      <w:pPr>
        <w:ind w:left="709"/>
        <w:jc w:val="both"/>
        <w:rPr>
          <w:rFonts w:ascii="Verdana" w:hAnsi="Verdana"/>
        </w:rPr>
      </w:pPr>
      <w:r w:rsidRPr="0073235A">
        <w:rPr>
          <w:rFonts w:ascii="Verdana" w:hAnsi="Verdana"/>
        </w:rPr>
        <w:t>Czynsz od Przychodu powiększany będzie o podatek VAT w stawce obowiązującej</w:t>
      </w:r>
      <w:r w:rsidR="005A5B08">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433806">
      <w:pPr>
        <w:widowControl/>
        <w:ind w:left="720"/>
        <w:jc w:val="both"/>
        <w:rPr>
          <w:rFonts w:ascii="Verdana" w:hAnsi="Verdana"/>
        </w:rPr>
      </w:pPr>
    </w:p>
    <w:p w14:paraId="36C27A53"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7BCC7EE2" w14:textId="77777777" w:rsidR="00395AB7" w:rsidRPr="0073235A" w:rsidRDefault="00395AB7" w:rsidP="00395AB7">
      <w:pPr>
        <w:widowControl/>
        <w:ind w:left="1134"/>
        <w:jc w:val="both"/>
        <w:rPr>
          <w:rFonts w:ascii="Verdana" w:hAnsi="Verdana"/>
        </w:rPr>
      </w:pPr>
    </w:p>
    <w:p w14:paraId="6F2CAB7F"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lastRenderedPageBreak/>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7777777"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 xml:space="preserve">. </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oraz utratą prawa do dokonania korekty za dany rok</w:t>
      </w:r>
      <w:r w:rsidR="00AA7FB5" w:rsidRPr="0073235A">
        <w:rPr>
          <w:rFonts w:ascii="Verdana" w:hAnsi="Verdana"/>
        </w:rPr>
        <w:t xml:space="preserve">. </w:t>
      </w:r>
      <w:r w:rsidR="008E0658" w:rsidRPr="0073235A">
        <w:rPr>
          <w:rFonts w:ascii="Verdana" w:hAnsi="Verdana"/>
        </w:rPr>
        <w:t xml:space="preserve">W wypadku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77777777"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 </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77777777"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w:t>
      </w:r>
      <w:r w:rsidRPr="0073235A">
        <w:rPr>
          <w:rFonts w:ascii="Verdana" w:hAnsi="Verdana"/>
          <w:sz w:val="20"/>
        </w:rPr>
        <w:lastRenderedPageBreak/>
        <w:t xml:space="preserve">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w:t>
      </w:r>
      <w:r w:rsidRPr="0073235A">
        <w:rPr>
          <w:rFonts w:ascii="Verdana" w:hAnsi="Verdana" w:cs="Arial"/>
        </w:rPr>
        <w:lastRenderedPageBreak/>
        <w:t xml:space="preserve">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w:t>
      </w:r>
      <w:proofErr w:type="spellStart"/>
      <w:r w:rsidR="00B012CE" w:rsidRPr="0073235A">
        <w:rPr>
          <w:rFonts w:ascii="Verdana" w:hAnsi="Verdana"/>
        </w:rPr>
        <w:t>późn</w:t>
      </w:r>
      <w:proofErr w:type="spellEnd"/>
      <w:r w:rsidR="00B012CE" w:rsidRPr="0073235A">
        <w:rPr>
          <w:rFonts w:ascii="Verdana" w:hAnsi="Verdana"/>
        </w:rPr>
        <w:t>.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lastRenderedPageBreak/>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lastRenderedPageBreak/>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77777777"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 xml:space="preserve">W przypadku nie dostarczenia Wydzierżawiającemu nowej gwarancji bankowej lub ubezpieczeniowej na warunkach określonych powyżej, Wydzierżawiający, niezależnie od możliwości żądania kary umownej wskazanej w art. 23 Umowy, może dokonać </w:t>
      </w:r>
      <w:r w:rsidRPr="0073235A">
        <w:rPr>
          <w:rFonts w:ascii="Verdana" w:hAnsi="Verdana"/>
        </w:rPr>
        <w:lastRenderedPageBreak/>
        <w:t>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niezwłocznie, pisemnie zawiadamiać Wydzierżawiającego, jeżeli w trakcie trwania Umowy powstanie konieczność </w:t>
      </w:r>
      <w:r w:rsidRPr="00D37A69">
        <w:rPr>
          <w:rFonts w:ascii="Verdana" w:hAnsi="Verdana"/>
        </w:rPr>
        <w:lastRenderedPageBreak/>
        <w:t>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37978DDB"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132A1A34"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3E5E6025"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lastRenderedPageBreak/>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w:t>
      </w:r>
      <w:r w:rsidRPr="00D37A69">
        <w:rPr>
          <w:rFonts w:ascii="Verdana" w:hAnsi="Verdana"/>
        </w:rPr>
        <w:lastRenderedPageBreak/>
        <w:t xml:space="preserve">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PLN,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w:t>
      </w:r>
      <w:r w:rsidR="00526A82" w:rsidRPr="00D37A69">
        <w:rPr>
          <w:rFonts w:ascii="Verdana" w:hAnsi="Verdana"/>
        </w:rPr>
        <w:t>PLN</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r>
      <w:r w:rsidRPr="00D37A69">
        <w:rPr>
          <w:rFonts w:ascii="Verdana" w:hAnsi="Verdana"/>
        </w:rPr>
        <w:lastRenderedPageBreak/>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r>
      <w:r w:rsidRPr="00D37A69">
        <w:rPr>
          <w:rFonts w:ascii="Verdana" w:hAnsi="Verdana"/>
        </w:rPr>
        <w:lastRenderedPageBreak/>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1A52F914" w14:textId="77777777" w:rsidR="00AD3426" w:rsidRPr="00D37A69"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w:t>
      </w:r>
      <w:r w:rsidRPr="0073235A">
        <w:rPr>
          <w:rFonts w:ascii="Verdana" w:hAnsi="Verdana"/>
        </w:rPr>
        <w:lastRenderedPageBreak/>
        <w:t xml:space="preserve">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w:t>
      </w:r>
      <w:proofErr w:type="spellStart"/>
      <w:r w:rsidR="00E324BA" w:rsidRPr="0073235A">
        <w:rPr>
          <w:rFonts w:ascii="Verdana" w:hAnsi="Verdana"/>
        </w:rPr>
        <w:t>późn</w:t>
      </w:r>
      <w:proofErr w:type="spellEnd"/>
      <w:r w:rsidR="00E324BA" w:rsidRPr="0073235A">
        <w:rPr>
          <w:rFonts w:ascii="Verdana" w:hAnsi="Verdana"/>
        </w:rPr>
        <w:t>.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rozpowszechniania Utworów w sposób inny niż określony powyżej – publiczne udostępnianie, w szczególności, na ogólnodostępnych wystawach, przy prezentacji i reklamie w mediach, utrwalaniu na nośnikach elektronicznych, </w:t>
      </w:r>
      <w:r w:rsidRPr="0073235A">
        <w:rPr>
          <w:rFonts w:ascii="Verdana" w:hAnsi="Verdana"/>
        </w:rPr>
        <w:lastRenderedPageBreak/>
        <w:t>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lastRenderedPageBreak/>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w:t>
      </w:r>
      <w:r w:rsidR="00670844" w:rsidRPr="0073235A">
        <w:rPr>
          <w:rFonts w:ascii="Verdana" w:hAnsi="Verdana" w:cs="Verdana"/>
        </w:rPr>
        <w:lastRenderedPageBreak/>
        <w:t>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7777777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w:t>
      </w:r>
      <w:r w:rsidRPr="0073235A">
        <w:rPr>
          <w:rFonts w:ascii="Verdana" w:hAnsi="Verdana"/>
        </w:rPr>
        <w:lastRenderedPageBreak/>
        <w:t xml:space="preserve">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043B0768" w14:textId="77777777" w:rsidR="00AD3426" w:rsidRPr="0073235A" w:rsidRDefault="00673601">
      <w:pPr>
        <w:widowControl/>
        <w:jc w:val="both"/>
        <w:rPr>
          <w:rFonts w:ascii="Verdana" w:hAnsi="Verdana"/>
        </w:rPr>
      </w:pPr>
      <w:r w:rsidRPr="0073235A">
        <w:rPr>
          <w:rFonts w:ascii="Verdana" w:hAnsi="Verdana"/>
        </w:rPr>
        <w:t xml:space="preserve"> </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z Umową lub dokumentacją techniczną lub planami lub innymi projektami zatwierdzonymi przez Wydzierżawiającego - po wyznaczeniu Dzierżawcy co najmniej 14 (</w:t>
      </w:r>
      <w:proofErr w:type="spellStart"/>
      <w:r w:rsidRPr="0073235A">
        <w:rPr>
          <w:rFonts w:ascii="Verdana" w:hAnsi="Verdana"/>
        </w:rPr>
        <w:t>czternasto</w:t>
      </w:r>
      <w:proofErr w:type="spellEnd"/>
      <w:r w:rsidRPr="0073235A">
        <w:rPr>
          <w:rFonts w:ascii="Verdana" w:hAnsi="Verdana"/>
        </w:rPr>
        <w:t xml:space="preserve">)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w:t>
      </w:r>
      <w:r w:rsidRPr="0073235A">
        <w:rPr>
          <w:rFonts w:ascii="Verdana" w:hAnsi="Verdana"/>
        </w:rPr>
        <w:lastRenderedPageBreak/>
        <w:t xml:space="preserve">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77777777"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9852109"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w zawiadomieniu, to tym samym nieodwołalnie upoważnia Wydzierżawiającego do sporządzenia protok</w:t>
      </w:r>
      <w:r w:rsidR="00A66D0F">
        <w:rPr>
          <w:rFonts w:ascii="Verdana" w:hAnsi="Verdana" w:cs="Arial"/>
        </w:rPr>
        <w:t>o</w:t>
      </w:r>
      <w:r w:rsidRPr="0073235A">
        <w:rPr>
          <w:rFonts w:ascii="Verdana" w:hAnsi="Verdana" w:cs="Arial"/>
        </w:rPr>
        <w:t xml:space="preserve">łu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lastRenderedPageBreak/>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9C10CBF" w14:textId="77777777" w:rsidR="00AD3426" w:rsidRPr="0073235A" w:rsidRDefault="00AD3426" w:rsidP="004B1882">
      <w:pPr>
        <w:jc w:val="both"/>
      </w:pP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73241E56" w14:textId="77777777" w:rsidR="00AD3426" w:rsidRPr="0073235A" w:rsidRDefault="00AD3426">
      <w:pPr>
        <w:widowControl/>
        <w:jc w:val="both"/>
        <w:rPr>
          <w:rFonts w:ascii="Verdana" w:hAnsi="Verdana"/>
        </w:rPr>
      </w:pPr>
    </w:p>
    <w:p w14:paraId="4BACB690" w14:textId="77777777" w:rsidR="008B3F2C" w:rsidRPr="0073235A" w:rsidRDefault="008B3F2C" w:rsidP="008B3F2C">
      <w:pPr>
        <w:pStyle w:val="Akapitzlist"/>
        <w:widowControl/>
        <w:numPr>
          <w:ilvl w:val="0"/>
          <w:numId w:val="25"/>
        </w:numPr>
        <w:jc w:val="both"/>
        <w:rPr>
          <w:rFonts w:ascii="Verdana" w:hAnsi="Verdana"/>
          <w:vanish/>
        </w:rPr>
      </w:pPr>
    </w:p>
    <w:p w14:paraId="3BE48CC0" w14:textId="77777777" w:rsidR="008B3F2C" w:rsidRPr="0073235A" w:rsidRDefault="008B3F2C" w:rsidP="008B3F2C">
      <w:pPr>
        <w:pStyle w:val="Akapitzlist"/>
        <w:widowControl/>
        <w:numPr>
          <w:ilvl w:val="0"/>
          <w:numId w:val="25"/>
        </w:numPr>
        <w:jc w:val="both"/>
        <w:rPr>
          <w:rFonts w:ascii="Verdana" w:hAnsi="Verdana"/>
          <w:vanish/>
        </w:rPr>
      </w:pPr>
    </w:p>
    <w:p w14:paraId="49F884C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A66D0F">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lastRenderedPageBreak/>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0B1B39BE"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 xml:space="preserve">985 roku o drogach publicznych, </w:t>
      </w:r>
      <w:r w:rsidR="00F01919">
        <w:rPr>
          <w:rFonts w:ascii="Verdana" w:hAnsi="Verdana"/>
        </w:rPr>
        <w:t xml:space="preserve">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39B7B548"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4D86DFFA" w:rsidR="008B3F2C" w:rsidRDefault="008B3F2C" w:rsidP="004B1882">
      <w:pPr>
        <w:pStyle w:val="Akapitzlist"/>
        <w:widowControl/>
        <w:ind w:left="1134"/>
        <w:jc w:val="both"/>
        <w:rPr>
          <w:rFonts w:ascii="Verdana" w:hAnsi="Verdana"/>
        </w:rPr>
      </w:pPr>
    </w:p>
    <w:p w14:paraId="4A4B4C77" w14:textId="1D6E9629" w:rsidR="00A66D0F" w:rsidRDefault="00A66D0F" w:rsidP="004B1882">
      <w:pPr>
        <w:pStyle w:val="Akapitzlist"/>
        <w:widowControl/>
        <w:ind w:left="1134"/>
        <w:jc w:val="both"/>
        <w:rPr>
          <w:rFonts w:ascii="Verdana" w:hAnsi="Verdana"/>
        </w:rPr>
      </w:pPr>
    </w:p>
    <w:p w14:paraId="368374CB" w14:textId="458AD21B" w:rsidR="00A66D0F" w:rsidRDefault="00A66D0F" w:rsidP="004B1882">
      <w:pPr>
        <w:pStyle w:val="Akapitzlist"/>
        <w:widowControl/>
        <w:ind w:left="1134"/>
        <w:jc w:val="both"/>
        <w:rPr>
          <w:rFonts w:ascii="Verdana" w:hAnsi="Verdana"/>
        </w:rPr>
      </w:pPr>
    </w:p>
    <w:p w14:paraId="79AB2441" w14:textId="0B70CA18" w:rsidR="00A66D0F" w:rsidRDefault="00A66D0F" w:rsidP="004B1882">
      <w:pPr>
        <w:pStyle w:val="Akapitzlist"/>
        <w:widowControl/>
        <w:ind w:left="1134"/>
        <w:jc w:val="both"/>
        <w:rPr>
          <w:rFonts w:ascii="Verdana" w:hAnsi="Verdana"/>
        </w:rPr>
      </w:pPr>
    </w:p>
    <w:p w14:paraId="0105C07B" w14:textId="7D13FFBC" w:rsidR="00A66D0F" w:rsidRDefault="00A66D0F" w:rsidP="004B1882">
      <w:pPr>
        <w:pStyle w:val="Akapitzlist"/>
        <w:widowControl/>
        <w:ind w:left="1134"/>
        <w:jc w:val="both"/>
        <w:rPr>
          <w:rFonts w:ascii="Verdana" w:hAnsi="Verdana"/>
        </w:rPr>
      </w:pPr>
    </w:p>
    <w:p w14:paraId="0346BFD8" w14:textId="569D9F8E" w:rsidR="00A66D0F" w:rsidRDefault="00A66D0F" w:rsidP="004B1882">
      <w:pPr>
        <w:pStyle w:val="Akapitzlist"/>
        <w:widowControl/>
        <w:ind w:left="1134"/>
        <w:jc w:val="both"/>
        <w:rPr>
          <w:rFonts w:ascii="Verdana" w:hAnsi="Verdana"/>
        </w:rPr>
      </w:pPr>
    </w:p>
    <w:p w14:paraId="77FEE0AD" w14:textId="4B235D4D" w:rsidR="00A66D0F" w:rsidRDefault="00A66D0F" w:rsidP="004B1882">
      <w:pPr>
        <w:pStyle w:val="Akapitzlist"/>
        <w:widowControl/>
        <w:ind w:left="1134"/>
        <w:jc w:val="both"/>
        <w:rPr>
          <w:rFonts w:ascii="Verdana" w:hAnsi="Verdana"/>
        </w:rPr>
      </w:pPr>
    </w:p>
    <w:p w14:paraId="26BF294B" w14:textId="43E95311" w:rsidR="00A66D0F" w:rsidRDefault="00A66D0F" w:rsidP="004B1882">
      <w:pPr>
        <w:pStyle w:val="Akapitzlist"/>
        <w:widowControl/>
        <w:ind w:left="1134"/>
        <w:jc w:val="both"/>
        <w:rPr>
          <w:rFonts w:ascii="Verdana" w:hAnsi="Verdana"/>
        </w:rPr>
      </w:pPr>
    </w:p>
    <w:p w14:paraId="69248179" w14:textId="01A14280" w:rsidR="00A66D0F" w:rsidRDefault="00A66D0F" w:rsidP="004B1882">
      <w:pPr>
        <w:pStyle w:val="Akapitzlist"/>
        <w:widowControl/>
        <w:ind w:left="1134"/>
        <w:jc w:val="both"/>
        <w:rPr>
          <w:rFonts w:ascii="Verdana" w:hAnsi="Verdana"/>
        </w:rPr>
      </w:pPr>
    </w:p>
    <w:p w14:paraId="2280E139" w14:textId="77777777" w:rsidR="00A66D0F" w:rsidRPr="00D37A69" w:rsidRDefault="00A66D0F"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7525458D"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r w:rsidR="005A5B08">
        <w:rPr>
          <w:rFonts w:ascii="Verdana" w:hAnsi="Verdana"/>
          <w:b/>
        </w:rPr>
        <w:t>MOP II Smyków</w:t>
      </w:r>
      <w:r w:rsidR="007F32B2" w:rsidRPr="00D37A69">
        <w:rPr>
          <w:rFonts w:ascii="Verdana" w:hAnsi="Verdana"/>
          <w:b/>
        </w:rPr>
        <w:t>.</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52F96B28"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r>
            <w:r w:rsidRPr="00D37A69">
              <w:rPr>
                <w:rFonts w:ascii="Calibri" w:hAnsi="Calibri" w:cs="Arial"/>
                <w:bCs/>
              </w:rPr>
              <w:lastRenderedPageBreak/>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rsidSect="006C77F7">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86D16" w14:textId="77777777" w:rsidR="00074381" w:rsidRDefault="00074381">
      <w:r>
        <w:separator/>
      </w:r>
    </w:p>
  </w:endnote>
  <w:endnote w:type="continuationSeparator" w:id="0">
    <w:p w14:paraId="5F33DF27" w14:textId="77777777" w:rsidR="00074381" w:rsidRDefault="0007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5B4CC7" w:rsidRDefault="005B4C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5B4CC7" w:rsidRDefault="005B4CC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7DE5932C" w:rsidR="005B4CC7" w:rsidRDefault="005B4CC7">
    <w:pPr>
      <w:pStyle w:val="Stopka"/>
      <w:jc w:val="center"/>
    </w:pPr>
    <w:r>
      <w:rPr>
        <w:sz w:val="18"/>
        <w:szCs w:val="18"/>
      </w:rPr>
      <w:fldChar w:fldCharType="begin"/>
    </w:r>
    <w:r>
      <w:rPr>
        <w:sz w:val="18"/>
        <w:szCs w:val="18"/>
      </w:rPr>
      <w:instrText>PAGE   \* MERGEFORMAT</w:instrText>
    </w:r>
    <w:r>
      <w:rPr>
        <w:sz w:val="18"/>
        <w:szCs w:val="18"/>
      </w:rPr>
      <w:fldChar w:fldCharType="separate"/>
    </w:r>
    <w:r w:rsidR="00F609F2" w:rsidRPr="00F609F2">
      <w:rPr>
        <w:noProof/>
        <w:sz w:val="18"/>
        <w:szCs w:val="18"/>
        <w:lang w:val="pl-PL"/>
      </w:rPr>
      <w:t>21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BD89" w14:textId="77777777" w:rsidR="00074381" w:rsidRDefault="00074381">
      <w:r>
        <w:separator/>
      </w:r>
    </w:p>
  </w:footnote>
  <w:footnote w:type="continuationSeparator" w:id="0">
    <w:p w14:paraId="3FD28397" w14:textId="77777777" w:rsidR="00074381" w:rsidRDefault="0007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6FCE" w14:textId="77777777" w:rsidR="005B4CC7" w:rsidRDefault="005B4CC7">
    <w:pPr>
      <w:pStyle w:val="Nagwek"/>
      <w:jc w:val="center"/>
      <w:rPr>
        <w:rFonts w:ascii="Verdana" w:hAnsi="Verdana"/>
        <w:sz w:val="15"/>
        <w:szCs w:val="15"/>
        <w:lang w:val="pl-PL"/>
      </w:rPr>
    </w:pPr>
    <w:r>
      <w:rPr>
        <w:rFonts w:ascii="Verdana" w:hAnsi="Verdana"/>
        <w:sz w:val="15"/>
        <w:szCs w:val="15"/>
        <w:lang w:val="pl-PL"/>
      </w:rPr>
      <w:t>UMOWA DZIERŻAWY NIERUCHOMOŚCI MOP …</w:t>
    </w:r>
  </w:p>
  <w:p w14:paraId="606F1A0F" w14:textId="77777777" w:rsidR="005B4CC7" w:rsidRDefault="005B4CC7">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0"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5"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6"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39"/>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lvlOverride w:ilvl="0">
      <w:startOverride w:val="1"/>
    </w:lvlOverride>
  </w:num>
  <w:num w:numId="10">
    <w:abstractNumId w:val="33"/>
  </w:num>
  <w:num w:numId="1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50"/>
  </w:num>
  <w:num w:numId="16">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9"/>
  </w:num>
  <w:num w:numId="27">
    <w:abstractNumId w:val="0"/>
  </w:num>
  <w:num w:numId="28">
    <w:abstractNumId w:val="46"/>
  </w:num>
  <w:num w:numId="29">
    <w:abstractNumId w:val="9"/>
  </w:num>
  <w:num w:numId="30">
    <w:abstractNumId w:val="29"/>
  </w:num>
  <w:num w:numId="31">
    <w:abstractNumId w:val="47"/>
  </w:num>
  <w:num w:numId="32">
    <w:abstractNumId w:val="44"/>
  </w:num>
  <w:num w:numId="33">
    <w:abstractNumId w:val="28"/>
  </w:num>
  <w:num w:numId="34">
    <w:abstractNumId w:val="48"/>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8"/>
  </w:num>
  <w:num w:numId="42">
    <w:abstractNumId w:val="10"/>
  </w:num>
  <w:num w:numId="43">
    <w:abstractNumId w:val="35"/>
  </w:num>
  <w:num w:numId="44">
    <w:abstractNumId w:val="1"/>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1"/>
  </w:num>
  <w:num w:numId="52">
    <w:abstractNumId w:val="49"/>
  </w:num>
  <w:num w:numId="53">
    <w:abstractNumId w:val="25"/>
  </w:num>
  <w:num w:numId="54">
    <w:abstractNumId w:val="15"/>
  </w:num>
  <w:num w:numId="55">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381"/>
    <w:rsid w:val="000745F7"/>
    <w:rsid w:val="000758BC"/>
    <w:rsid w:val="00077930"/>
    <w:rsid w:val="00082141"/>
    <w:rsid w:val="000A5F89"/>
    <w:rsid w:val="000D22EF"/>
    <w:rsid w:val="000E264A"/>
    <w:rsid w:val="0011467D"/>
    <w:rsid w:val="001735BB"/>
    <w:rsid w:val="001A5D97"/>
    <w:rsid w:val="001C06E9"/>
    <w:rsid w:val="001C62A8"/>
    <w:rsid w:val="001F30D6"/>
    <w:rsid w:val="00203A8D"/>
    <w:rsid w:val="002257D2"/>
    <w:rsid w:val="00230D4D"/>
    <w:rsid w:val="00240750"/>
    <w:rsid w:val="002531CB"/>
    <w:rsid w:val="002879C2"/>
    <w:rsid w:val="002A44F1"/>
    <w:rsid w:val="002B155E"/>
    <w:rsid w:val="002B6B94"/>
    <w:rsid w:val="002B78C0"/>
    <w:rsid w:val="002C65A6"/>
    <w:rsid w:val="002C7862"/>
    <w:rsid w:val="003020DD"/>
    <w:rsid w:val="00343680"/>
    <w:rsid w:val="00345EBE"/>
    <w:rsid w:val="00364B92"/>
    <w:rsid w:val="00381284"/>
    <w:rsid w:val="00391B38"/>
    <w:rsid w:val="00395AB7"/>
    <w:rsid w:val="00395C32"/>
    <w:rsid w:val="003A5C4E"/>
    <w:rsid w:val="003B3DF9"/>
    <w:rsid w:val="003B4687"/>
    <w:rsid w:val="003C0A54"/>
    <w:rsid w:val="003E1F8A"/>
    <w:rsid w:val="003F06F7"/>
    <w:rsid w:val="003F2B29"/>
    <w:rsid w:val="003F429C"/>
    <w:rsid w:val="00400A94"/>
    <w:rsid w:val="004253F1"/>
    <w:rsid w:val="00433806"/>
    <w:rsid w:val="00437A58"/>
    <w:rsid w:val="00493070"/>
    <w:rsid w:val="0049435E"/>
    <w:rsid w:val="004B0F0E"/>
    <w:rsid w:val="004B1882"/>
    <w:rsid w:val="004B6980"/>
    <w:rsid w:val="00506AE1"/>
    <w:rsid w:val="00510A08"/>
    <w:rsid w:val="00524DDE"/>
    <w:rsid w:val="00526A82"/>
    <w:rsid w:val="00564B58"/>
    <w:rsid w:val="0058639D"/>
    <w:rsid w:val="005937A7"/>
    <w:rsid w:val="005A5B08"/>
    <w:rsid w:val="005B4CC7"/>
    <w:rsid w:val="005C2B6D"/>
    <w:rsid w:val="005C308B"/>
    <w:rsid w:val="005E2CB6"/>
    <w:rsid w:val="00610603"/>
    <w:rsid w:val="0064396C"/>
    <w:rsid w:val="0066112F"/>
    <w:rsid w:val="00670844"/>
    <w:rsid w:val="00673601"/>
    <w:rsid w:val="00675777"/>
    <w:rsid w:val="006A50EE"/>
    <w:rsid w:val="006A514F"/>
    <w:rsid w:val="006A7935"/>
    <w:rsid w:val="006B46A2"/>
    <w:rsid w:val="006B77BB"/>
    <w:rsid w:val="006C0F73"/>
    <w:rsid w:val="006C15E0"/>
    <w:rsid w:val="006C403D"/>
    <w:rsid w:val="006C77F7"/>
    <w:rsid w:val="006F0B93"/>
    <w:rsid w:val="006F6166"/>
    <w:rsid w:val="00715783"/>
    <w:rsid w:val="007246CE"/>
    <w:rsid w:val="0073235A"/>
    <w:rsid w:val="007405A1"/>
    <w:rsid w:val="0076114B"/>
    <w:rsid w:val="00792CC6"/>
    <w:rsid w:val="007A3558"/>
    <w:rsid w:val="007C4D63"/>
    <w:rsid w:val="007D3F38"/>
    <w:rsid w:val="007D5FD4"/>
    <w:rsid w:val="007F01FA"/>
    <w:rsid w:val="007F32B2"/>
    <w:rsid w:val="00817A6F"/>
    <w:rsid w:val="00833AA1"/>
    <w:rsid w:val="00850CAA"/>
    <w:rsid w:val="008644AA"/>
    <w:rsid w:val="0087718E"/>
    <w:rsid w:val="0089294C"/>
    <w:rsid w:val="008A3E92"/>
    <w:rsid w:val="008A575E"/>
    <w:rsid w:val="008A614D"/>
    <w:rsid w:val="008B3F2C"/>
    <w:rsid w:val="008C0A5A"/>
    <w:rsid w:val="008C4046"/>
    <w:rsid w:val="008E0658"/>
    <w:rsid w:val="0090596A"/>
    <w:rsid w:val="00912449"/>
    <w:rsid w:val="0091538B"/>
    <w:rsid w:val="009246FE"/>
    <w:rsid w:val="00931BFC"/>
    <w:rsid w:val="009374DF"/>
    <w:rsid w:val="00966BF5"/>
    <w:rsid w:val="009835BC"/>
    <w:rsid w:val="0098676B"/>
    <w:rsid w:val="009D1523"/>
    <w:rsid w:val="009D29F3"/>
    <w:rsid w:val="00A12AD3"/>
    <w:rsid w:val="00A45963"/>
    <w:rsid w:val="00A66D0F"/>
    <w:rsid w:val="00A700E9"/>
    <w:rsid w:val="00A71105"/>
    <w:rsid w:val="00A8330E"/>
    <w:rsid w:val="00A85A08"/>
    <w:rsid w:val="00AA7FB5"/>
    <w:rsid w:val="00AB0DFA"/>
    <w:rsid w:val="00AB65FC"/>
    <w:rsid w:val="00AC0D67"/>
    <w:rsid w:val="00AC3AC3"/>
    <w:rsid w:val="00AD07F1"/>
    <w:rsid w:val="00AD3426"/>
    <w:rsid w:val="00AE4A33"/>
    <w:rsid w:val="00AE53E9"/>
    <w:rsid w:val="00AE606A"/>
    <w:rsid w:val="00B012CE"/>
    <w:rsid w:val="00B10F3C"/>
    <w:rsid w:val="00B27FDE"/>
    <w:rsid w:val="00B376D8"/>
    <w:rsid w:val="00B37EE1"/>
    <w:rsid w:val="00BA778C"/>
    <w:rsid w:val="00BB1FDB"/>
    <w:rsid w:val="00BE7568"/>
    <w:rsid w:val="00C06E3E"/>
    <w:rsid w:val="00C24717"/>
    <w:rsid w:val="00C346A2"/>
    <w:rsid w:val="00C353F0"/>
    <w:rsid w:val="00C62563"/>
    <w:rsid w:val="00CA57D4"/>
    <w:rsid w:val="00CB4109"/>
    <w:rsid w:val="00CC7026"/>
    <w:rsid w:val="00CE32EF"/>
    <w:rsid w:val="00D01441"/>
    <w:rsid w:val="00D047A8"/>
    <w:rsid w:val="00D15493"/>
    <w:rsid w:val="00D16AE2"/>
    <w:rsid w:val="00D338B1"/>
    <w:rsid w:val="00D37A69"/>
    <w:rsid w:val="00D75B10"/>
    <w:rsid w:val="00D96AF4"/>
    <w:rsid w:val="00DA50E5"/>
    <w:rsid w:val="00DA6177"/>
    <w:rsid w:val="00DE7E90"/>
    <w:rsid w:val="00E02B65"/>
    <w:rsid w:val="00E16DE1"/>
    <w:rsid w:val="00E305E7"/>
    <w:rsid w:val="00E324BA"/>
    <w:rsid w:val="00E80D59"/>
    <w:rsid w:val="00EC5E4D"/>
    <w:rsid w:val="00ED0B4D"/>
    <w:rsid w:val="00ED148A"/>
    <w:rsid w:val="00ED4C2B"/>
    <w:rsid w:val="00EE1345"/>
    <w:rsid w:val="00EF1709"/>
    <w:rsid w:val="00F01919"/>
    <w:rsid w:val="00F03456"/>
    <w:rsid w:val="00F035A4"/>
    <w:rsid w:val="00F26318"/>
    <w:rsid w:val="00F42EBB"/>
    <w:rsid w:val="00F47BA0"/>
    <w:rsid w:val="00F5781F"/>
    <w:rsid w:val="00F609F2"/>
    <w:rsid w:val="00F66731"/>
    <w:rsid w:val="00F835BD"/>
    <w:rsid w:val="00F844DA"/>
    <w:rsid w:val="00FA13FC"/>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CBF8B-3979-4CF6-8C90-53DB504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15923</Words>
  <Characters>95543</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111244</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Woźniak Anna</cp:lastModifiedBy>
  <cp:revision>3</cp:revision>
  <cp:lastPrinted>2019-04-26T13:17:00Z</cp:lastPrinted>
  <dcterms:created xsi:type="dcterms:W3CDTF">2021-12-06T13:51:00Z</dcterms:created>
  <dcterms:modified xsi:type="dcterms:W3CDTF">2021-12-13T06:30:00Z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