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4678"/>
        <w:gridCol w:w="5812"/>
        <w:gridCol w:w="1359"/>
      </w:tblGrid>
      <w:tr w:rsidR="00A06425" w:rsidRPr="00122483" w:rsidTr="004C6029">
        <w:trPr>
          <w:cantSplit/>
          <w:trHeight w:val="569"/>
          <w:tblHeader/>
        </w:trPr>
        <w:tc>
          <w:tcPr>
            <w:tcW w:w="15388" w:type="dxa"/>
            <w:gridSpan w:val="6"/>
            <w:shd w:val="clear" w:color="auto" w:fill="auto"/>
            <w:vAlign w:val="center"/>
          </w:tcPr>
          <w:p w:rsidR="00A06425" w:rsidRPr="00122483" w:rsidRDefault="00A06425" w:rsidP="004C6029">
            <w:pPr>
              <w:rPr>
                <w:rFonts w:asciiTheme="minorHAnsi" w:hAnsiTheme="minorHAnsi" w:cstheme="minorHAnsi"/>
                <w:b/>
                <w:i/>
                <w:sz w:val="22"/>
                <w:szCs w:val="22"/>
              </w:rPr>
            </w:pPr>
            <w:r w:rsidRPr="00122483">
              <w:rPr>
                <w:rFonts w:asciiTheme="minorHAnsi" w:hAnsiTheme="minorHAnsi" w:cstheme="minorHAnsi"/>
                <w:b/>
                <w:i/>
                <w:sz w:val="22"/>
                <w:szCs w:val="22"/>
              </w:rPr>
              <w:t>Nazwa dokumentu: Projekt ustawy o zmianie ustawy o działalności leczniczej oraz niektórych innych ustaw (UD234)</w:t>
            </w:r>
          </w:p>
        </w:tc>
      </w:tr>
      <w:tr w:rsidR="00A06425" w:rsidRPr="00122483" w:rsidTr="00A06425">
        <w:trPr>
          <w:cantSplit/>
          <w:tblHeader/>
        </w:trPr>
        <w:tc>
          <w:tcPr>
            <w:tcW w:w="562" w:type="dxa"/>
            <w:shd w:val="clear" w:color="auto" w:fill="auto"/>
            <w:vAlign w:val="center"/>
          </w:tcPr>
          <w:p w:rsidR="00A06425" w:rsidRPr="00122483" w:rsidRDefault="00A06425" w:rsidP="004D086F">
            <w:pPr>
              <w:jc w:val="center"/>
              <w:rPr>
                <w:rFonts w:asciiTheme="minorHAnsi" w:hAnsiTheme="minorHAnsi" w:cstheme="minorHAnsi"/>
                <w:b/>
                <w:sz w:val="22"/>
                <w:szCs w:val="22"/>
              </w:rPr>
            </w:pPr>
            <w:r w:rsidRPr="00122483">
              <w:rPr>
                <w:rFonts w:asciiTheme="minorHAnsi" w:hAnsiTheme="minorHAnsi" w:cstheme="minorHAnsi"/>
                <w:b/>
                <w:sz w:val="22"/>
                <w:szCs w:val="22"/>
              </w:rPr>
              <w:t>Lp.</w:t>
            </w:r>
          </w:p>
        </w:tc>
        <w:tc>
          <w:tcPr>
            <w:tcW w:w="1134" w:type="dxa"/>
            <w:shd w:val="clear" w:color="auto" w:fill="auto"/>
            <w:vAlign w:val="center"/>
          </w:tcPr>
          <w:p w:rsidR="00A06425" w:rsidRPr="00122483" w:rsidRDefault="00A06425" w:rsidP="004D086F">
            <w:pPr>
              <w:jc w:val="center"/>
              <w:rPr>
                <w:rFonts w:asciiTheme="minorHAnsi" w:hAnsiTheme="minorHAnsi" w:cstheme="minorHAnsi"/>
                <w:b/>
                <w:sz w:val="22"/>
                <w:szCs w:val="22"/>
              </w:rPr>
            </w:pPr>
            <w:r w:rsidRPr="00122483">
              <w:rPr>
                <w:rFonts w:asciiTheme="minorHAnsi" w:hAnsiTheme="minorHAnsi" w:cstheme="minorHAnsi"/>
                <w:b/>
                <w:sz w:val="22"/>
                <w:szCs w:val="22"/>
              </w:rPr>
              <w:t>Organ wnoszący uwagi</w:t>
            </w:r>
          </w:p>
        </w:tc>
        <w:tc>
          <w:tcPr>
            <w:tcW w:w="1843" w:type="dxa"/>
            <w:shd w:val="clear" w:color="auto" w:fill="auto"/>
            <w:vAlign w:val="center"/>
          </w:tcPr>
          <w:p w:rsidR="00A06425" w:rsidRPr="00122483" w:rsidRDefault="00A06425" w:rsidP="004D086F">
            <w:pPr>
              <w:jc w:val="center"/>
              <w:rPr>
                <w:rFonts w:asciiTheme="minorHAnsi" w:hAnsiTheme="minorHAnsi" w:cstheme="minorHAnsi"/>
                <w:b/>
                <w:sz w:val="22"/>
                <w:szCs w:val="22"/>
              </w:rPr>
            </w:pPr>
            <w:r w:rsidRPr="00122483">
              <w:rPr>
                <w:rFonts w:asciiTheme="minorHAnsi" w:hAnsiTheme="minorHAnsi" w:cstheme="minorHAnsi"/>
                <w:b/>
                <w:sz w:val="22"/>
                <w:szCs w:val="22"/>
              </w:rPr>
              <w:t>Jednostka redakcyjna, do której wnoszone są uwagi</w:t>
            </w:r>
          </w:p>
        </w:tc>
        <w:tc>
          <w:tcPr>
            <w:tcW w:w="4678" w:type="dxa"/>
            <w:shd w:val="clear" w:color="auto" w:fill="auto"/>
            <w:vAlign w:val="center"/>
          </w:tcPr>
          <w:p w:rsidR="00A06425" w:rsidRPr="00122483" w:rsidRDefault="00A06425" w:rsidP="004D086F">
            <w:pPr>
              <w:jc w:val="center"/>
              <w:rPr>
                <w:rFonts w:asciiTheme="minorHAnsi" w:hAnsiTheme="minorHAnsi" w:cstheme="minorHAnsi"/>
                <w:b/>
                <w:sz w:val="22"/>
                <w:szCs w:val="22"/>
              </w:rPr>
            </w:pPr>
            <w:r w:rsidRPr="00122483">
              <w:rPr>
                <w:rFonts w:asciiTheme="minorHAnsi" w:hAnsiTheme="minorHAnsi" w:cstheme="minorHAnsi"/>
                <w:b/>
                <w:sz w:val="22"/>
                <w:szCs w:val="22"/>
              </w:rPr>
              <w:t>Treść uwagi</w:t>
            </w:r>
          </w:p>
        </w:tc>
        <w:tc>
          <w:tcPr>
            <w:tcW w:w="5812" w:type="dxa"/>
            <w:shd w:val="clear" w:color="auto" w:fill="auto"/>
            <w:vAlign w:val="center"/>
          </w:tcPr>
          <w:p w:rsidR="00A06425" w:rsidRPr="00122483" w:rsidRDefault="00A06425" w:rsidP="004D086F">
            <w:pPr>
              <w:jc w:val="center"/>
              <w:rPr>
                <w:rFonts w:asciiTheme="minorHAnsi" w:hAnsiTheme="minorHAnsi" w:cstheme="minorHAnsi"/>
                <w:b/>
                <w:sz w:val="22"/>
                <w:szCs w:val="22"/>
              </w:rPr>
            </w:pPr>
            <w:r w:rsidRPr="00122483">
              <w:rPr>
                <w:rFonts w:asciiTheme="minorHAnsi" w:hAnsiTheme="minorHAnsi" w:cstheme="minorHAnsi"/>
                <w:b/>
                <w:sz w:val="22"/>
                <w:szCs w:val="22"/>
              </w:rPr>
              <w:t>Propozycja zmian zapisu</w:t>
            </w:r>
          </w:p>
        </w:tc>
        <w:tc>
          <w:tcPr>
            <w:tcW w:w="1359" w:type="dxa"/>
            <w:vAlign w:val="center"/>
          </w:tcPr>
          <w:p w:rsidR="00A06425" w:rsidRPr="00122483" w:rsidRDefault="00A06425" w:rsidP="00A06425">
            <w:pPr>
              <w:jc w:val="center"/>
              <w:rPr>
                <w:rFonts w:asciiTheme="minorHAnsi" w:hAnsiTheme="minorHAnsi" w:cstheme="minorHAnsi"/>
                <w:b/>
                <w:sz w:val="22"/>
                <w:szCs w:val="22"/>
              </w:rPr>
            </w:pPr>
            <w:r w:rsidRPr="00122483">
              <w:rPr>
                <w:rFonts w:asciiTheme="minorHAnsi" w:hAnsiTheme="minorHAnsi" w:cstheme="minorHAnsi"/>
                <w:b/>
                <w:sz w:val="22"/>
                <w:szCs w:val="22"/>
              </w:rPr>
              <w:t>Odniesienie do uwagi</w:t>
            </w: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hAnsiTheme="minorHAnsi" w:cstheme="minorHAnsi"/>
                <w:b/>
                <w:sz w:val="22"/>
                <w:szCs w:val="22"/>
              </w:rPr>
            </w:pPr>
            <w:r w:rsidRPr="00122483">
              <w:rPr>
                <w:rFonts w:asciiTheme="minorHAnsi" w:eastAsia="Arial" w:hAnsiTheme="minorHAnsi" w:cstheme="minorHAnsi"/>
                <w:b/>
                <w:sz w:val="18"/>
              </w:rPr>
              <w:t>1</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Art. 1 pkt 7 projektu – projektowany art. 92c ust. 1 pkt 16 lit. a ustawy o działalności leczniczej</w:t>
            </w:r>
          </w:p>
        </w:tc>
        <w:tc>
          <w:tcPr>
            <w:tcW w:w="4678"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 xml:space="preserve">Opracowanie danych o odstępach między porodami wymaga dysponowania przez GUS pełną datą (rok, miesiąc i dzień) poprzedniego porodu. Operowanie wyłącznie miesiącem i rokiem może spowodować istotne (nawet 2 miesięczne różnice) w stosunku do wyliczeń opartych na pełnych danych w zakresie daty. Dane te są istotne dla realizacji badania urodzeń, ustawowego </w:t>
            </w:r>
            <w:bookmarkStart w:id="0" w:name="_GoBack"/>
            <w:r w:rsidRPr="00122483">
              <w:rPr>
                <w:rFonts w:asciiTheme="minorHAnsi" w:eastAsia="Arial" w:hAnsiTheme="minorHAnsi" w:cstheme="minorHAnsi"/>
                <w:sz w:val="18"/>
              </w:rPr>
              <w:t>zadania</w:t>
            </w:r>
            <w:bookmarkEnd w:id="0"/>
            <w:r w:rsidR="001442CE">
              <w:rPr>
                <w:rFonts w:asciiTheme="minorHAnsi" w:eastAsia="Arial" w:hAnsiTheme="minorHAnsi" w:cstheme="minorHAnsi"/>
                <w:sz w:val="18"/>
              </w:rPr>
              <w:t xml:space="preserve"> Prezesa</w:t>
            </w:r>
            <w:r w:rsidRPr="00122483">
              <w:rPr>
                <w:rFonts w:asciiTheme="minorHAnsi" w:eastAsia="Arial" w:hAnsiTheme="minorHAnsi" w:cstheme="minorHAnsi"/>
                <w:sz w:val="18"/>
              </w:rPr>
              <w:t xml:space="preserve"> GUS.</w:t>
            </w:r>
          </w:p>
        </w:tc>
        <w:tc>
          <w:tcPr>
            <w:tcW w:w="5812" w:type="dxa"/>
            <w:shd w:val="clear" w:color="auto" w:fill="auto"/>
          </w:tcPr>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„16) informacje o poprzednim porodzie:</w:t>
            </w:r>
          </w:p>
          <w:p w:rsidR="00BB0F94" w:rsidRPr="00122483" w:rsidRDefault="00BB0F94" w:rsidP="00BB0F94">
            <w:pPr>
              <w:rPr>
                <w:rFonts w:asciiTheme="minorHAnsi" w:hAnsiTheme="minorHAnsi" w:cstheme="minorHAnsi"/>
              </w:rPr>
            </w:pPr>
            <w:r w:rsidRPr="00122483">
              <w:rPr>
                <w:rFonts w:asciiTheme="minorHAnsi" w:eastAsia="Arial" w:hAnsiTheme="minorHAnsi" w:cstheme="minorHAnsi"/>
                <w:sz w:val="18"/>
              </w:rPr>
              <w:t>a) rok, miesiąc i dzień poprzedniego porodu,”</w:t>
            </w: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hAnsiTheme="minorHAnsi" w:cstheme="minorHAnsi"/>
                <w:b/>
                <w:sz w:val="22"/>
                <w:szCs w:val="22"/>
              </w:rPr>
            </w:pPr>
            <w:r>
              <w:rPr>
                <w:rFonts w:asciiTheme="minorHAnsi" w:eastAsia="Arial" w:hAnsiTheme="minorHAnsi" w:cstheme="minorHAnsi"/>
                <w:b/>
                <w:sz w:val="18"/>
              </w:rPr>
              <w:t>2</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Art. 1 pkt 7 projektu – projektowany art. 92d ust. 4 ustawy o działalności leczniczej</w:t>
            </w:r>
          </w:p>
        </w:tc>
        <w:tc>
          <w:tcPr>
            <w:tcW w:w="4678" w:type="dxa"/>
            <w:shd w:val="clear" w:color="auto" w:fill="auto"/>
          </w:tcPr>
          <w:p w:rsidR="00BB0F94" w:rsidRPr="00122483" w:rsidRDefault="00BB0F94" w:rsidP="00BB0F94">
            <w:pPr>
              <w:spacing w:after="40"/>
              <w:rPr>
                <w:rFonts w:asciiTheme="minorHAnsi" w:eastAsia="Arial" w:hAnsiTheme="minorHAnsi" w:cstheme="minorHAnsi"/>
                <w:sz w:val="18"/>
              </w:rPr>
            </w:pPr>
            <w:r w:rsidRPr="00122483">
              <w:rPr>
                <w:rFonts w:asciiTheme="minorHAnsi" w:eastAsia="Arial" w:hAnsiTheme="minorHAnsi" w:cstheme="minorHAnsi"/>
                <w:sz w:val="18"/>
              </w:rPr>
              <w:t>Projekt przewiduje niezwłoczne przekazywanie do systemu obsługującego Prezesa GUS danych z e-karty urodzenia oraz dokumentów korekty. Dokument anulowania e-karty urodzenia ma być natomiast przekazywany wyłącznie kierownikowi urzędu stanu cywilnego. Może to skutkować pozostawieniem w zasobach statystyki publicznej rekordu dotyczącego zdarzenia, które zostało anulowane albo powinno zostać zakwalifikowane jako martwe urodzenie. Dla zapewnienia spójności, kompletności i aktualności danych informacja o anulowaniu powinna trafiać również do GUS.</w:t>
            </w:r>
          </w:p>
        </w:tc>
        <w:tc>
          <w:tcPr>
            <w:tcW w:w="5812"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Po art. 92d ust. 4 dodać ust. 4a w brzmieniu:</w:t>
            </w:r>
          </w:p>
          <w:p w:rsidR="00BB0F94" w:rsidRPr="00122483" w:rsidRDefault="00BB0F94" w:rsidP="00BB0F94">
            <w:pPr>
              <w:spacing w:after="40"/>
              <w:rPr>
                <w:rFonts w:asciiTheme="minorHAnsi" w:hAnsiTheme="minorHAnsi" w:cstheme="minorHAnsi"/>
              </w:rPr>
            </w:pPr>
            <w:r w:rsidRPr="00122483">
              <w:rPr>
                <w:rFonts w:asciiTheme="minorHAnsi" w:eastAsia="Arial" w:hAnsiTheme="minorHAnsi" w:cstheme="minorHAnsi"/>
                <w:sz w:val="18"/>
              </w:rPr>
              <w:t>„4a. Dokument anulowania e-karty urodzenia, o którym mowa w ust. 4, jest przekazywany również do systemu teleinformatycznego obsługującego Prezesa Głównego Urzędu Statystycznego, jeżeli dane z anulowanej e-karty urodzenia zostały uprzednio przekazane do tego systemu.”</w:t>
            </w: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t>3</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spacing w:after="40"/>
              <w:rPr>
                <w:rFonts w:asciiTheme="minorHAnsi" w:eastAsia="Arial" w:hAnsiTheme="minorHAnsi" w:cstheme="minorHAnsi"/>
                <w:sz w:val="18"/>
              </w:rPr>
            </w:pPr>
            <w:r w:rsidRPr="00122483">
              <w:rPr>
                <w:rFonts w:asciiTheme="minorHAnsi" w:eastAsia="Arial" w:hAnsiTheme="minorHAnsi" w:cstheme="minorHAnsi"/>
                <w:sz w:val="18"/>
              </w:rPr>
              <w:t>Art. 1 pkt 7 projektu – projektowany art. 92g ust. 4 pkt 1 lit. b ustawy o działalności leczniczej</w:t>
            </w:r>
          </w:p>
        </w:tc>
        <w:tc>
          <w:tcPr>
            <w:tcW w:w="4678" w:type="dxa"/>
            <w:shd w:val="clear" w:color="auto" w:fill="auto"/>
          </w:tcPr>
          <w:p w:rsidR="00BB0F94" w:rsidRPr="00122483" w:rsidRDefault="00BB0F94" w:rsidP="00BB0F94">
            <w:pPr>
              <w:spacing w:after="40"/>
              <w:rPr>
                <w:rFonts w:asciiTheme="minorHAnsi" w:eastAsia="Arial" w:hAnsiTheme="minorHAnsi" w:cstheme="minorHAnsi"/>
                <w:sz w:val="18"/>
              </w:rPr>
            </w:pPr>
            <w:r w:rsidRPr="00122483">
              <w:rPr>
                <w:rFonts w:asciiTheme="minorHAnsi" w:eastAsia="Arial" w:hAnsiTheme="minorHAnsi" w:cstheme="minorHAnsi"/>
                <w:sz w:val="18"/>
              </w:rPr>
              <w:t>Skorygowanie zapisu (jest niejednoznaczny) w protokole stwierdzenia zgonu dane w zakresie miejsca i daty urodzenia powinny odnosić się do osoby o ustalonej tożsamości bez nadanego numeru PESEL, a nie do osoby o nieustalonej tożsamości.</w:t>
            </w:r>
            <w:r w:rsidRPr="00122483">
              <w:rPr>
                <w:rFonts w:asciiTheme="minorHAnsi" w:hAnsiTheme="minorHAnsi" w:cstheme="minorHAnsi"/>
                <w:sz w:val="22"/>
                <w:szCs w:val="22"/>
              </w:rPr>
              <w:t xml:space="preserve"> </w:t>
            </w:r>
          </w:p>
        </w:tc>
        <w:tc>
          <w:tcPr>
            <w:tcW w:w="5812" w:type="dxa"/>
            <w:shd w:val="clear" w:color="auto" w:fill="auto"/>
          </w:tcPr>
          <w:p w:rsidR="00BB0F94" w:rsidRPr="00122483" w:rsidRDefault="00BB0F94" w:rsidP="00BB0F94">
            <w:pPr>
              <w:spacing w:after="40"/>
              <w:rPr>
                <w:rFonts w:asciiTheme="minorHAnsi" w:eastAsia="Arial" w:hAnsiTheme="minorHAnsi" w:cstheme="minorHAnsi"/>
                <w:sz w:val="18"/>
              </w:rPr>
            </w:pPr>
            <w:r w:rsidRPr="00122483">
              <w:rPr>
                <w:rFonts w:asciiTheme="minorHAnsi" w:eastAsia="Arial" w:hAnsiTheme="minorHAnsi" w:cstheme="minorHAnsi"/>
                <w:sz w:val="18"/>
              </w:rPr>
              <w:t xml:space="preserve"> „b) numer PESEL, a w przypadku osób, którym nie nadano numeru PESEL – rodzaj, seria i numer dokumentu potwierdzającego tożsamość oraz państwo jego wydania, datę i miejsce urodzenia, a w przypadku osób o nieustalonej tożsamości – identyfikator osoby zmarłej o nieustalonej tożsamości, o którym mowa w art. 92s pkt 2”</w:t>
            </w: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hAnsiTheme="minorHAnsi" w:cstheme="minorHAnsi"/>
                <w:b/>
                <w:sz w:val="22"/>
                <w:szCs w:val="22"/>
              </w:rPr>
            </w:pPr>
            <w:r>
              <w:rPr>
                <w:rFonts w:asciiTheme="minorHAnsi" w:eastAsia="Arial" w:hAnsiTheme="minorHAnsi" w:cstheme="minorHAnsi"/>
                <w:b/>
                <w:sz w:val="18"/>
              </w:rPr>
              <w:t>4</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Art. 1 pkt 7 projektu – projektowany art. 92u ust. 1 pkt 2 lit. a w związku z art. 92p ust. 1 pkt 12 i 13</w:t>
            </w:r>
          </w:p>
        </w:tc>
        <w:tc>
          <w:tcPr>
            <w:tcW w:w="4678"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 xml:space="preserve">Zakres danych przekazywanych bezpośrednio z Systemu P1 do systemu obsługującego Prezesa GUS nie obejmuje daty i miejsca urodzenia ani obywatelstwa osoby zmarłej, mimo że dane te są elementem e-karty zgonu. Brak tych danych może utrudniać prawidłowe ustalenie wieku i łączenie informacji dotyczących osób, którym nie nadano numeru PESEL, oraz powodować konieczność pozyskiwania danych z kilku </w:t>
            </w:r>
            <w:r w:rsidR="001442CE">
              <w:rPr>
                <w:rFonts w:asciiTheme="minorHAnsi" w:eastAsia="Arial" w:hAnsiTheme="minorHAnsi" w:cstheme="minorHAnsi"/>
                <w:sz w:val="18"/>
              </w:rPr>
              <w:t>źródeł</w:t>
            </w:r>
            <w:r w:rsidRPr="00122483">
              <w:rPr>
                <w:rFonts w:asciiTheme="minorHAnsi" w:eastAsia="Arial" w:hAnsiTheme="minorHAnsi" w:cstheme="minorHAnsi"/>
                <w:sz w:val="18"/>
              </w:rPr>
              <w:t>. Uzupełnienie zakresu przekazywanych danych zwiększy kompletność i spójność danych o zgonach.</w:t>
            </w:r>
          </w:p>
        </w:tc>
        <w:tc>
          <w:tcPr>
            <w:tcW w:w="5812"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W art. 92u ust. 1 pkt 2 lit. a wyrazy „art. 92p ust. 1 pkt 3–8 i 14–19” zastąpić wyrazami „art. 92p ust. 1 pkt 3–8 i 12–19”.</w:t>
            </w: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t>5</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spacing w:after="40"/>
              <w:rPr>
                <w:rFonts w:asciiTheme="minorHAnsi" w:eastAsia="Arial" w:hAnsiTheme="minorHAnsi" w:cstheme="minorHAnsi"/>
                <w:sz w:val="18"/>
              </w:rPr>
            </w:pPr>
            <w:r w:rsidRPr="00122483">
              <w:rPr>
                <w:rFonts w:asciiTheme="minorHAnsi" w:eastAsia="Arial" w:hAnsiTheme="minorHAnsi" w:cstheme="minorHAnsi"/>
                <w:sz w:val="18"/>
              </w:rPr>
              <w:t>Art. 1 pkt 7 projektu – projektowany art. 92p ust. 1 pkt. 3 ustawy o działalności leczniczej</w:t>
            </w:r>
          </w:p>
        </w:tc>
        <w:tc>
          <w:tcPr>
            <w:tcW w:w="4678" w:type="dxa"/>
            <w:shd w:val="clear" w:color="auto" w:fill="auto"/>
          </w:tcPr>
          <w:p w:rsidR="00BB0F94" w:rsidRPr="00122483" w:rsidRDefault="00BB0F94" w:rsidP="00BB0F94">
            <w:pPr>
              <w:rPr>
                <w:rFonts w:asciiTheme="minorHAnsi" w:hAnsiTheme="minorHAnsi" w:cstheme="minorHAnsi"/>
                <w:sz w:val="22"/>
                <w:szCs w:val="22"/>
              </w:rPr>
            </w:pPr>
            <w:r w:rsidRPr="00122483">
              <w:rPr>
                <w:rFonts w:asciiTheme="minorHAnsi" w:eastAsia="Arial" w:hAnsiTheme="minorHAnsi" w:cstheme="minorHAnsi"/>
                <w:sz w:val="18"/>
              </w:rPr>
              <w:t>Rodzaj miejsca zgonu powinien zostać doprecyzowany – istnieje potrzeba dodania w nawiasie (szpital, podmiot leczniczy wykonujący działalność leczniczą w rodzaju stacjonarne i całodobowe świadczenia zdrowotne inny niż szpital, dom, inne), podobnie jak ma to miejsce w przypadku rodzaju miejsca porodu w e-karcie urodzenia (Art. 92c ust. 1 pkt 10).</w:t>
            </w:r>
          </w:p>
        </w:tc>
        <w:tc>
          <w:tcPr>
            <w:tcW w:w="5812" w:type="dxa"/>
            <w:shd w:val="clear" w:color="auto" w:fill="auto"/>
          </w:tcPr>
          <w:p w:rsidR="00BB0F94" w:rsidRPr="00122483" w:rsidRDefault="00BB0F94" w:rsidP="00BB0F94">
            <w:pPr>
              <w:pStyle w:val="ZPKTzmpktartykuempunktem"/>
              <w:spacing w:line="240" w:lineRule="auto"/>
              <w:ind w:left="40" w:firstLine="0"/>
              <w:rPr>
                <w:rFonts w:asciiTheme="minorHAnsi" w:eastAsia="Arial" w:hAnsiTheme="minorHAnsi" w:cstheme="minorHAnsi"/>
                <w:bCs w:val="0"/>
                <w:sz w:val="18"/>
                <w:szCs w:val="24"/>
              </w:rPr>
            </w:pPr>
            <w:r w:rsidRPr="00122483">
              <w:rPr>
                <w:rFonts w:asciiTheme="minorHAnsi" w:eastAsia="Arial" w:hAnsiTheme="minorHAnsi" w:cstheme="minorHAnsi"/>
                <w:bCs w:val="0"/>
                <w:sz w:val="18"/>
                <w:szCs w:val="24"/>
              </w:rPr>
              <w:t>„3) informację o rodzaju miejsca zgonu (szpital, podmiot leczniczy wykonujący działalność leczniczą w rodzaju stacjonarne i całodobowe świadczenia zdrowotne inny niż szpital, dom, inne);”</w:t>
            </w: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lastRenderedPageBreak/>
              <w:t>6</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spacing w:after="40"/>
              <w:rPr>
                <w:rFonts w:asciiTheme="minorHAnsi" w:eastAsia="Arial" w:hAnsiTheme="minorHAnsi" w:cstheme="minorHAnsi"/>
                <w:sz w:val="18"/>
              </w:rPr>
            </w:pPr>
            <w:r w:rsidRPr="00122483">
              <w:rPr>
                <w:rFonts w:asciiTheme="minorHAnsi" w:eastAsia="Arial" w:hAnsiTheme="minorHAnsi" w:cstheme="minorHAnsi"/>
                <w:sz w:val="18"/>
              </w:rPr>
              <w:t>Art. 1 pkt 7 projektu – projektowany art. 92p ust. 4 ustawy o działalności leczniczej</w:t>
            </w:r>
          </w:p>
        </w:tc>
        <w:tc>
          <w:tcPr>
            <w:tcW w:w="4678" w:type="dxa"/>
            <w:shd w:val="clear" w:color="auto" w:fill="auto"/>
          </w:tcPr>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Zakres danych zawartych w postaci papierowej karty zgonu powinien zostać rozszerzony ponad minimalny zakres danych przeznaczonych dla USC. Taka postać karty zgonu powinna zawierać również pełny zakres danych na potrzeby statystyki publicznej. Istnieje uzasadniona obawa, że po wystawieniu karty papierowej dane nie zostaną uzupełnione w P1, w tym przede wszystkim dane o przyczynach zgonu.</w:t>
            </w:r>
          </w:p>
          <w:p w:rsidR="00BB0F94" w:rsidRPr="00122483" w:rsidRDefault="00BB0F94" w:rsidP="00BB0F94">
            <w:pPr>
              <w:rPr>
                <w:rFonts w:asciiTheme="minorHAnsi" w:hAnsiTheme="minorHAnsi" w:cstheme="minorHAnsi"/>
                <w:sz w:val="22"/>
                <w:szCs w:val="22"/>
              </w:rPr>
            </w:pPr>
            <w:r w:rsidRPr="00122483">
              <w:rPr>
                <w:rFonts w:asciiTheme="minorHAnsi" w:eastAsia="Arial" w:hAnsiTheme="minorHAnsi" w:cstheme="minorHAnsi"/>
                <w:sz w:val="18"/>
              </w:rPr>
              <w:t xml:space="preserve">Brak danych o przyczynach zgonu uniemożliwi realizację ustawowego zadania </w:t>
            </w:r>
            <w:r w:rsidR="001442CE">
              <w:rPr>
                <w:rFonts w:asciiTheme="minorHAnsi" w:eastAsia="Arial" w:hAnsiTheme="minorHAnsi" w:cstheme="minorHAnsi"/>
                <w:sz w:val="18"/>
              </w:rPr>
              <w:t xml:space="preserve">Prezesa </w:t>
            </w:r>
            <w:r w:rsidRPr="00122483">
              <w:rPr>
                <w:rFonts w:asciiTheme="minorHAnsi" w:eastAsia="Arial" w:hAnsiTheme="minorHAnsi" w:cstheme="minorHAnsi"/>
                <w:sz w:val="18"/>
              </w:rPr>
              <w:t>GUS – badania o zgonach według przyczyn zgonu.</w:t>
            </w:r>
          </w:p>
        </w:tc>
        <w:tc>
          <w:tcPr>
            <w:tcW w:w="5812" w:type="dxa"/>
            <w:shd w:val="clear" w:color="auto" w:fill="auto"/>
          </w:tcPr>
          <w:p w:rsidR="00BB0F94" w:rsidRPr="00122483" w:rsidRDefault="00BB0F94" w:rsidP="00BB0F94">
            <w:pPr>
              <w:spacing w:after="40"/>
              <w:rPr>
                <w:rFonts w:asciiTheme="minorHAnsi" w:eastAsia="Arial" w:hAnsiTheme="minorHAnsi" w:cstheme="minorHAnsi"/>
                <w:sz w:val="18"/>
              </w:rPr>
            </w:pP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hAnsiTheme="minorHAnsi" w:cstheme="minorHAnsi"/>
                <w:b/>
                <w:sz w:val="22"/>
                <w:szCs w:val="22"/>
              </w:rPr>
            </w:pPr>
            <w:r>
              <w:rPr>
                <w:rFonts w:asciiTheme="minorHAnsi" w:eastAsia="Arial" w:hAnsiTheme="minorHAnsi" w:cstheme="minorHAnsi"/>
                <w:b/>
                <w:sz w:val="18"/>
              </w:rPr>
              <w:t>7</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Art. 1 pkt 7 projektu – projektowany art. 92p ust. 8 i 9 oraz art. 92q ust. 11 i 12</w:t>
            </w:r>
          </w:p>
        </w:tc>
        <w:tc>
          <w:tcPr>
            <w:tcW w:w="4678"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W przypadku zastosowania papierowej karty zgonu albo papierowej karty urodzenia z adnotacją o martwym urodzeniu projekt nakłada na wystawcę obowiązek późniejszego uzupełnienia w Systemie P1 danych dla potrzeb statystyki publicznej. Nie określa jednak terminu wykonania tego obowiązku ani mechanizmu powiadomienia wystawcy o przekazaniu danych z rejestru stanu cywilnego do Systemu P1. Brak terminu może prowadzić do niekompletności danych oraz opóźnień w opracowaniach statystycznych.</w:t>
            </w:r>
          </w:p>
        </w:tc>
        <w:tc>
          <w:tcPr>
            <w:tcW w:w="5812"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Po art. 92p ust. 8 dodać ust. 8a w brzmieniu:</w:t>
            </w:r>
          </w:p>
          <w:p w:rsidR="00BB0F94" w:rsidRPr="00122483" w:rsidRDefault="00BB0F94" w:rsidP="00BB0F94">
            <w:pPr>
              <w:spacing w:after="40"/>
              <w:rPr>
                <w:rFonts w:asciiTheme="minorHAnsi" w:hAnsiTheme="minorHAnsi" w:cstheme="minorHAnsi"/>
              </w:rPr>
            </w:pPr>
            <w:r w:rsidRPr="00122483">
              <w:rPr>
                <w:rFonts w:asciiTheme="minorHAnsi" w:eastAsia="Arial" w:hAnsiTheme="minorHAnsi" w:cstheme="minorHAnsi"/>
                <w:sz w:val="18"/>
              </w:rPr>
              <w:t>„8a. System P1 niezwłocznie powiadamia podmiot, o którym mowa w ust. 8, o przekazaniu danych z rejestru stanu cywilnego. Podmiot ten uzupełnia dane dla potrzeb statystyki publicznej w terminie 3 dni roboczych od dnia otrzymania powiadomienia.”</w:t>
            </w:r>
          </w:p>
          <w:p w:rsidR="00BB0F94" w:rsidRPr="00122483" w:rsidRDefault="00BB0F94" w:rsidP="00BB0F94">
            <w:pPr>
              <w:spacing w:after="40"/>
              <w:rPr>
                <w:rFonts w:asciiTheme="minorHAnsi" w:hAnsiTheme="minorHAnsi" w:cstheme="minorHAnsi"/>
              </w:rPr>
            </w:pPr>
            <w:r w:rsidRPr="00122483">
              <w:rPr>
                <w:rFonts w:asciiTheme="minorHAnsi" w:eastAsia="Arial" w:hAnsiTheme="minorHAnsi" w:cstheme="minorHAnsi"/>
                <w:sz w:val="18"/>
              </w:rPr>
              <w:t>Analogiczny przepis dodać po art. 92q ust. 11.</w:t>
            </w: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hAnsiTheme="minorHAnsi" w:cstheme="minorHAnsi"/>
                <w:b/>
                <w:sz w:val="22"/>
                <w:szCs w:val="22"/>
              </w:rPr>
            </w:pPr>
            <w:r>
              <w:rPr>
                <w:rFonts w:asciiTheme="minorHAnsi" w:eastAsia="Arial" w:hAnsiTheme="minorHAnsi" w:cstheme="minorHAnsi"/>
                <w:b/>
                <w:sz w:val="18"/>
              </w:rPr>
              <w:t>8</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Art. 1 pkt 7 projektu – projektowany art. 92p ust. 1 pkt 4 oraz art. 92v ust. 1 i 2</w:t>
            </w:r>
          </w:p>
        </w:tc>
        <w:tc>
          <w:tcPr>
            <w:tcW w:w="4678" w:type="dxa"/>
            <w:shd w:val="clear" w:color="auto" w:fill="auto"/>
          </w:tcPr>
          <w:p w:rsidR="00BB0F94" w:rsidRPr="00122483" w:rsidRDefault="00BB0F94" w:rsidP="00BB0F94">
            <w:pPr>
              <w:spacing w:after="40"/>
              <w:rPr>
                <w:rFonts w:asciiTheme="minorHAnsi" w:eastAsia="Arial" w:hAnsiTheme="minorHAnsi" w:cstheme="minorHAnsi"/>
                <w:sz w:val="18"/>
              </w:rPr>
            </w:pPr>
            <w:r w:rsidRPr="00122483">
              <w:rPr>
                <w:rFonts w:asciiTheme="minorHAnsi" w:eastAsia="Arial" w:hAnsiTheme="minorHAnsi" w:cstheme="minorHAnsi"/>
                <w:sz w:val="18"/>
              </w:rPr>
              <w:t>Projektowany art. 92p ust. 1 pkt 4 wskazuje, że e-karta zgonu zawiera opis słowny oraz kod przyczyny zgonu zgodny z klasyfikacją ICD. Jednocześnie art. 92v stanowi, że nadawanie kodów zapewnia Prezes GUS za pośrednictwem kodera. Powstaje zatem wątpliwość, czy kod ma być nadawany już przez wystawcę e-karty, czy dopiero przez kodera, oraz który kod ma charakter wiążący dla statystyki publicznej. Należy jednoznacznie rozdzielić medyczny opis przyczyn zgonu od statystycznego kodowania wykonywanego przez kodera.</w:t>
            </w:r>
          </w:p>
          <w:p w:rsidR="00BB0F94" w:rsidRPr="00122483" w:rsidRDefault="00BB0F94" w:rsidP="00BB0F94">
            <w:pPr>
              <w:spacing w:after="40"/>
              <w:rPr>
                <w:rFonts w:asciiTheme="minorHAnsi" w:hAnsiTheme="minorHAnsi" w:cstheme="minorHAnsi"/>
                <w:sz w:val="22"/>
                <w:szCs w:val="22"/>
              </w:rPr>
            </w:pPr>
          </w:p>
          <w:p w:rsidR="00BB0F94" w:rsidRPr="00122483" w:rsidRDefault="00BB0F94" w:rsidP="00BB0F94">
            <w:pPr>
              <w:spacing w:after="40"/>
              <w:rPr>
                <w:rFonts w:asciiTheme="minorHAnsi" w:hAnsiTheme="minorHAnsi" w:cstheme="minorHAnsi"/>
                <w:sz w:val="22"/>
                <w:szCs w:val="22"/>
              </w:rPr>
            </w:pPr>
          </w:p>
        </w:tc>
        <w:tc>
          <w:tcPr>
            <w:tcW w:w="5812"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W art. 92p ust. 1 pkt 4 wyrazy „opis słowny oraz kod zgodne z Międzynarodową Statystyczną Klasyfikacją Chorób i Problemów Zdrowotnych” zastąpić wyrazami „opis słowny”, a na końcu pkt 4 dodać zdanie: „Kod przyczyny zgonu nadaje się na zasadach określonych w art. 92v.”</w:t>
            </w: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lastRenderedPageBreak/>
              <w:t>9</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spacing w:after="40"/>
              <w:rPr>
                <w:rFonts w:asciiTheme="minorHAnsi" w:eastAsia="Arial" w:hAnsiTheme="minorHAnsi" w:cstheme="minorHAnsi"/>
                <w:sz w:val="18"/>
              </w:rPr>
            </w:pPr>
            <w:r w:rsidRPr="00122483">
              <w:rPr>
                <w:rFonts w:asciiTheme="minorHAnsi" w:eastAsia="Arial" w:hAnsiTheme="minorHAnsi" w:cstheme="minorHAnsi"/>
                <w:sz w:val="18"/>
              </w:rPr>
              <w:t>Art. 1 pkt 7 projektu – projektowany art. 92p ust. 8 ustawy o działalności leczniczej</w:t>
            </w:r>
          </w:p>
        </w:tc>
        <w:tc>
          <w:tcPr>
            <w:tcW w:w="4678" w:type="dxa"/>
            <w:shd w:val="clear" w:color="auto" w:fill="auto"/>
          </w:tcPr>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Konieczność uzupełnienia o zapis odnoszący się do przekazania danych do statystyki wg zestawu z art. 92u, ust. 1, pkt 2 lit. a z uwagami GUS zawartymi poniżej.</w:t>
            </w:r>
          </w:p>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 xml:space="preserve">Dodane zmienne są istotne dla realizacji badania zgonów, opracowania bilansu ludności i danych o rezydentach – ustawowego zadania </w:t>
            </w:r>
            <w:r w:rsidR="001442CE">
              <w:rPr>
                <w:rFonts w:asciiTheme="minorHAnsi" w:eastAsia="Arial" w:hAnsiTheme="minorHAnsi" w:cstheme="minorHAnsi"/>
                <w:sz w:val="18"/>
              </w:rPr>
              <w:t xml:space="preserve">Prezesa </w:t>
            </w:r>
            <w:r w:rsidRPr="00122483">
              <w:rPr>
                <w:rFonts w:asciiTheme="minorHAnsi" w:eastAsia="Arial" w:hAnsiTheme="minorHAnsi" w:cstheme="minorHAnsi"/>
                <w:sz w:val="18"/>
              </w:rPr>
              <w:t>GUS.</w:t>
            </w:r>
          </w:p>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 xml:space="preserve">Dodatkowo wątpliwości GUS budzą następujące kwestie: </w:t>
            </w:r>
          </w:p>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1. W jaki sposób lekarz otrzyma informację, że dane z karty papierowej w postaci elektronicznej zostały przekazane z rejestru stanu cywilnego do Systemu P1? Pytanie to zadał też Uniwersytet Medyczny w Poznaniu - odpowiedź „przepisy odnośnie przekazywania danych zostały zmodyfikowane – informacja będzie przekazywana przez system informatyczny” – prosimy o wskazanie tych przepisów.</w:t>
            </w:r>
          </w:p>
          <w:p w:rsidR="00BB0F94" w:rsidRPr="00122483" w:rsidRDefault="00BB0F94" w:rsidP="00BB0F94">
            <w:pPr>
              <w:rPr>
                <w:rFonts w:asciiTheme="minorHAnsi" w:hAnsiTheme="minorHAnsi" w:cstheme="minorHAnsi"/>
                <w:sz w:val="22"/>
                <w:szCs w:val="22"/>
              </w:rPr>
            </w:pPr>
            <w:r w:rsidRPr="00122483">
              <w:rPr>
                <w:rFonts w:asciiTheme="minorHAnsi" w:eastAsia="Arial" w:hAnsiTheme="minorHAnsi" w:cstheme="minorHAnsi"/>
                <w:sz w:val="18"/>
              </w:rPr>
              <w:t>2. W jaki sposób będzie monitorowane uzupełnianie i przesłanie danych na potrzeby statystyki publicznej?</w:t>
            </w:r>
          </w:p>
        </w:tc>
        <w:tc>
          <w:tcPr>
            <w:tcW w:w="5812" w:type="dxa"/>
            <w:shd w:val="clear" w:color="auto" w:fill="auto"/>
          </w:tcPr>
          <w:p w:rsidR="00BB0F94" w:rsidRPr="00122483" w:rsidRDefault="00BB0F94" w:rsidP="00BB0F94">
            <w:pPr>
              <w:spacing w:after="40"/>
              <w:rPr>
                <w:rFonts w:asciiTheme="minorHAnsi" w:eastAsia="Arial" w:hAnsiTheme="minorHAnsi" w:cstheme="minorHAnsi"/>
                <w:sz w:val="18"/>
              </w:rPr>
            </w:pP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t>10</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rPr>
                <w:rFonts w:asciiTheme="minorHAnsi" w:hAnsiTheme="minorHAnsi" w:cstheme="minorHAnsi"/>
                <w:sz w:val="22"/>
                <w:szCs w:val="22"/>
              </w:rPr>
            </w:pPr>
            <w:r w:rsidRPr="00122483">
              <w:rPr>
                <w:rFonts w:asciiTheme="minorHAnsi" w:eastAsia="Arial" w:hAnsiTheme="minorHAnsi" w:cstheme="minorHAnsi"/>
                <w:sz w:val="18"/>
              </w:rPr>
              <w:t>Art. 1 pkt 7 projektu – projektowany art. 92q ust. 2 pkt 14 lit. a ustawy o działalności leczniczej</w:t>
            </w:r>
          </w:p>
        </w:tc>
        <w:tc>
          <w:tcPr>
            <w:tcW w:w="4678" w:type="dxa"/>
            <w:shd w:val="clear" w:color="auto" w:fill="auto"/>
          </w:tcPr>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Opracowanie danych o odstępach między porodami wymaga dysponowania przez GUS pełną datą (rok, miesiąc i dzień) poprzedniego porodu. Operowanie wyłącznie miesiącem i rokiem może spowodować istotne (nawet około 2 miesięczne różnice) w stosunku do wyliczeń opartych na pełnych danych w zakresie daty.</w:t>
            </w:r>
          </w:p>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 xml:space="preserve">Dane te są istotne dla realizacji badania urodzeń, ustawowego zadania </w:t>
            </w:r>
            <w:r w:rsidR="001442CE">
              <w:rPr>
                <w:rFonts w:asciiTheme="minorHAnsi" w:eastAsia="Arial" w:hAnsiTheme="minorHAnsi" w:cstheme="minorHAnsi"/>
                <w:sz w:val="18"/>
              </w:rPr>
              <w:t xml:space="preserve">Prezesa </w:t>
            </w:r>
            <w:r w:rsidRPr="00122483">
              <w:rPr>
                <w:rFonts w:asciiTheme="minorHAnsi" w:eastAsia="Arial" w:hAnsiTheme="minorHAnsi" w:cstheme="minorHAnsi"/>
                <w:sz w:val="18"/>
              </w:rPr>
              <w:t>GUS.</w:t>
            </w:r>
          </w:p>
        </w:tc>
        <w:tc>
          <w:tcPr>
            <w:tcW w:w="5812" w:type="dxa"/>
            <w:shd w:val="clear" w:color="auto" w:fill="auto"/>
          </w:tcPr>
          <w:p w:rsidR="00BB0F94" w:rsidRPr="00122483" w:rsidRDefault="00BB0F94" w:rsidP="00BB0F94">
            <w:pPr>
              <w:pStyle w:val="ZPKTzmpktartykuempunktem"/>
              <w:spacing w:line="240" w:lineRule="auto"/>
              <w:ind w:left="0" w:firstLine="0"/>
              <w:rPr>
                <w:rFonts w:asciiTheme="minorHAnsi" w:eastAsia="Arial" w:hAnsiTheme="minorHAnsi" w:cstheme="minorHAnsi"/>
                <w:bCs w:val="0"/>
                <w:sz w:val="18"/>
                <w:szCs w:val="24"/>
              </w:rPr>
            </w:pPr>
            <w:r w:rsidRPr="00122483">
              <w:rPr>
                <w:rFonts w:asciiTheme="minorHAnsi" w:eastAsia="Arial" w:hAnsiTheme="minorHAnsi" w:cstheme="minorHAnsi"/>
                <w:bCs w:val="0"/>
                <w:sz w:val="18"/>
                <w:szCs w:val="24"/>
              </w:rPr>
              <w:t>„14) informację o poprzednim porodzie:</w:t>
            </w:r>
          </w:p>
          <w:p w:rsidR="00BB0F94" w:rsidRPr="00122483" w:rsidRDefault="00BB0F94" w:rsidP="00BB0F94">
            <w:pPr>
              <w:pStyle w:val="ZLITwPKTzmlitwpktartykuempunktem"/>
              <w:spacing w:line="240" w:lineRule="auto"/>
              <w:ind w:left="0" w:firstLine="0"/>
              <w:rPr>
                <w:rFonts w:asciiTheme="minorHAnsi" w:eastAsia="Arial" w:hAnsiTheme="minorHAnsi" w:cstheme="minorHAnsi"/>
                <w:bCs w:val="0"/>
                <w:sz w:val="18"/>
                <w:szCs w:val="24"/>
              </w:rPr>
            </w:pPr>
            <w:r w:rsidRPr="00122483">
              <w:rPr>
                <w:rFonts w:asciiTheme="minorHAnsi" w:eastAsia="Arial" w:hAnsiTheme="minorHAnsi" w:cstheme="minorHAnsi"/>
                <w:bCs w:val="0"/>
                <w:sz w:val="18"/>
                <w:szCs w:val="24"/>
              </w:rPr>
              <w:t>a) rok, miesiąc i dzień poprzedniego porodu,”</w:t>
            </w:r>
          </w:p>
          <w:p w:rsidR="00BB0F94" w:rsidRPr="00122483" w:rsidRDefault="00BB0F94" w:rsidP="00BB0F94">
            <w:pPr>
              <w:spacing w:after="40"/>
              <w:rPr>
                <w:rFonts w:asciiTheme="minorHAnsi" w:eastAsia="Arial" w:hAnsiTheme="minorHAnsi" w:cstheme="minorHAnsi"/>
                <w:sz w:val="18"/>
              </w:rPr>
            </w:pP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t>11</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rPr>
                <w:rFonts w:asciiTheme="minorHAnsi" w:hAnsiTheme="minorHAnsi" w:cstheme="minorHAnsi"/>
                <w:sz w:val="22"/>
                <w:szCs w:val="22"/>
              </w:rPr>
            </w:pPr>
            <w:r w:rsidRPr="00122483">
              <w:rPr>
                <w:rFonts w:asciiTheme="minorHAnsi" w:eastAsia="Arial" w:hAnsiTheme="minorHAnsi" w:cstheme="minorHAnsi"/>
                <w:sz w:val="18"/>
              </w:rPr>
              <w:t>Art. 1 pkt 7 projektu – projektowany art. 92q ust. 11 ustawy o działalności leczniczej</w:t>
            </w:r>
          </w:p>
        </w:tc>
        <w:tc>
          <w:tcPr>
            <w:tcW w:w="4678" w:type="dxa"/>
            <w:shd w:val="clear" w:color="auto" w:fill="auto"/>
          </w:tcPr>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Konieczne jest uzupełnienie o zapis odnoszący się do przekazania danych do statystyki wg zestawu z art. 92u, ust. 1, pkt 2 lit. b z uwagami GUS zawartymi poniżej.</w:t>
            </w:r>
          </w:p>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Zmienne istotne dla realizacji badania urodzeń – ustawowe zadania</w:t>
            </w:r>
            <w:r w:rsidR="001442CE">
              <w:rPr>
                <w:rFonts w:asciiTheme="minorHAnsi" w:eastAsia="Arial" w:hAnsiTheme="minorHAnsi" w:cstheme="minorHAnsi"/>
                <w:sz w:val="18"/>
              </w:rPr>
              <w:t xml:space="preserve"> Prezesa</w:t>
            </w:r>
            <w:r w:rsidRPr="00122483">
              <w:rPr>
                <w:rFonts w:asciiTheme="minorHAnsi" w:eastAsia="Arial" w:hAnsiTheme="minorHAnsi" w:cstheme="minorHAnsi"/>
                <w:sz w:val="18"/>
              </w:rPr>
              <w:t xml:space="preserve"> GUS.</w:t>
            </w:r>
          </w:p>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 xml:space="preserve">Dodatkowo wątpliwości GUS budzą następujące kwestie: 1. W jaki sposób lekarz otrzyma informację, że dane z karty papierowej w postaci elektronicznej zostały przekazane z rejestru stanu cywilnego do Systemu P1? </w:t>
            </w:r>
          </w:p>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2. W jaki sposób będzie monitorowane uzupełnianie i przesłanie danych na potrzeby statystyki publicznej?</w:t>
            </w:r>
          </w:p>
          <w:p w:rsidR="00BB0F94" w:rsidRPr="00122483" w:rsidRDefault="00BB0F94" w:rsidP="00BB0F94">
            <w:pPr>
              <w:jc w:val="both"/>
              <w:rPr>
                <w:rFonts w:asciiTheme="minorHAnsi" w:hAnsiTheme="minorHAnsi" w:cstheme="minorHAnsi"/>
                <w:sz w:val="22"/>
                <w:szCs w:val="22"/>
              </w:rPr>
            </w:pPr>
          </w:p>
        </w:tc>
        <w:tc>
          <w:tcPr>
            <w:tcW w:w="5812" w:type="dxa"/>
            <w:shd w:val="clear" w:color="auto" w:fill="auto"/>
          </w:tcPr>
          <w:p w:rsidR="00BB0F94" w:rsidRPr="00122483" w:rsidRDefault="00BB0F94" w:rsidP="00BB0F94">
            <w:pPr>
              <w:spacing w:after="40"/>
              <w:rPr>
                <w:rFonts w:asciiTheme="minorHAnsi" w:hAnsiTheme="minorHAnsi" w:cstheme="minorHAnsi"/>
                <w:sz w:val="18"/>
              </w:rPr>
            </w:pP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lastRenderedPageBreak/>
              <w:t>12</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Art. 1 pkt 7 projektu – projektowany art. 92u ust. 1 pkt 1 lit. b ustawy o działalności leczniczej</w:t>
            </w:r>
          </w:p>
        </w:tc>
        <w:tc>
          <w:tcPr>
            <w:tcW w:w="4678" w:type="dxa"/>
            <w:shd w:val="clear" w:color="auto" w:fill="auto"/>
          </w:tcPr>
          <w:p w:rsidR="00BB0F94" w:rsidRPr="00122483" w:rsidRDefault="00BB0F94" w:rsidP="00BB0F94">
            <w:pPr>
              <w:rPr>
                <w:rFonts w:asciiTheme="minorHAnsi" w:hAnsiTheme="minorHAnsi" w:cstheme="minorHAnsi"/>
                <w:sz w:val="22"/>
                <w:szCs w:val="22"/>
              </w:rPr>
            </w:pPr>
            <w:r w:rsidRPr="00122483">
              <w:rPr>
                <w:rFonts w:asciiTheme="minorHAnsi" w:eastAsia="Arial" w:hAnsiTheme="minorHAnsi" w:cstheme="minorHAnsi"/>
                <w:sz w:val="18"/>
              </w:rPr>
              <w:t>Postulujemy usunięcie zapisu „oraz gdy nie jest ustalona płeć dziecka”. Zgodnie z projektowanym Art. 92h ust.1 ustawy z dnia 15 kwietnia 2011 r. o działalności leczniczej e-kartę urodzenia z adnotacją o martwym urodzeniu sporządza się tylko jeżeli znana jest płeć dziecka.</w:t>
            </w:r>
            <w:r w:rsidRPr="00122483">
              <w:rPr>
                <w:rFonts w:asciiTheme="minorHAnsi" w:hAnsiTheme="minorHAnsi" w:cstheme="minorHAnsi"/>
                <w:sz w:val="22"/>
                <w:szCs w:val="22"/>
              </w:rPr>
              <w:t xml:space="preserve"> </w:t>
            </w:r>
          </w:p>
        </w:tc>
        <w:tc>
          <w:tcPr>
            <w:tcW w:w="5812" w:type="dxa"/>
            <w:shd w:val="clear" w:color="auto" w:fill="auto"/>
          </w:tcPr>
          <w:p w:rsidR="00BB0F94" w:rsidRPr="00122483" w:rsidRDefault="00BB0F94" w:rsidP="00BB0F94">
            <w:pPr>
              <w:spacing w:after="40"/>
              <w:rPr>
                <w:rFonts w:asciiTheme="minorHAnsi" w:hAnsiTheme="minorHAnsi" w:cstheme="minorHAnsi"/>
                <w:sz w:val="18"/>
              </w:rPr>
            </w:pP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t>13</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rPr>
                <w:rFonts w:asciiTheme="minorHAnsi" w:hAnsiTheme="minorHAnsi" w:cstheme="minorHAnsi"/>
                <w:sz w:val="22"/>
                <w:szCs w:val="22"/>
              </w:rPr>
            </w:pPr>
            <w:r w:rsidRPr="00122483">
              <w:rPr>
                <w:rFonts w:asciiTheme="minorHAnsi" w:eastAsia="Arial" w:hAnsiTheme="minorHAnsi" w:cstheme="minorHAnsi"/>
                <w:sz w:val="18"/>
              </w:rPr>
              <w:t>Art. 1 pkt 7 projektu – projektowany art. 92u ust. 1 pkt 2 lit. a ustawy o działalności leczniczej</w:t>
            </w:r>
            <w:r w:rsidRPr="00122483">
              <w:rPr>
                <w:rFonts w:asciiTheme="minorHAnsi" w:hAnsiTheme="minorHAnsi" w:cstheme="minorHAnsi"/>
                <w:sz w:val="22"/>
                <w:szCs w:val="22"/>
              </w:rPr>
              <w:t xml:space="preserve"> </w:t>
            </w:r>
          </w:p>
        </w:tc>
        <w:tc>
          <w:tcPr>
            <w:tcW w:w="4678" w:type="dxa"/>
            <w:shd w:val="clear" w:color="auto" w:fill="auto"/>
          </w:tcPr>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Zakres zmiennych z e-karty zgonu przekazywany na potrzeby statystyki publicznej powinien obejmować dane ujęte w art. 92p ust. 1 pkt 1-8, pkt 12-19.</w:t>
            </w:r>
          </w:p>
          <w:p w:rsidR="00BB0F94" w:rsidRPr="00122483" w:rsidRDefault="00BB0F94" w:rsidP="00BB0F94">
            <w:pPr>
              <w:rPr>
                <w:rFonts w:asciiTheme="minorHAnsi" w:hAnsiTheme="minorHAnsi" w:cstheme="minorHAnsi"/>
                <w:sz w:val="22"/>
                <w:szCs w:val="22"/>
              </w:rPr>
            </w:pPr>
            <w:r w:rsidRPr="00122483">
              <w:rPr>
                <w:rFonts w:asciiTheme="minorHAnsi" w:eastAsia="Arial" w:hAnsiTheme="minorHAnsi" w:cstheme="minorHAnsi"/>
                <w:sz w:val="18"/>
              </w:rPr>
              <w:t xml:space="preserve">Dodane zmienne są istotne dla realizacji badania zgonów, opracowania bilansu ludności i danych o rezydentach – ustawowe zadania </w:t>
            </w:r>
            <w:r w:rsidR="001442CE">
              <w:rPr>
                <w:rFonts w:asciiTheme="minorHAnsi" w:eastAsia="Arial" w:hAnsiTheme="minorHAnsi" w:cstheme="minorHAnsi"/>
                <w:sz w:val="18"/>
              </w:rPr>
              <w:t xml:space="preserve">Prezesa </w:t>
            </w:r>
            <w:r w:rsidRPr="00122483">
              <w:rPr>
                <w:rFonts w:asciiTheme="minorHAnsi" w:eastAsia="Arial" w:hAnsiTheme="minorHAnsi" w:cstheme="minorHAnsi"/>
                <w:sz w:val="18"/>
              </w:rPr>
              <w:t>GUS.</w:t>
            </w:r>
          </w:p>
        </w:tc>
        <w:tc>
          <w:tcPr>
            <w:tcW w:w="5812" w:type="dxa"/>
            <w:shd w:val="clear" w:color="auto" w:fill="auto"/>
          </w:tcPr>
          <w:p w:rsidR="00BB0F94" w:rsidRPr="00122483" w:rsidRDefault="00BB0F94" w:rsidP="00BB0F94">
            <w:pPr>
              <w:spacing w:after="40"/>
              <w:rPr>
                <w:rFonts w:asciiTheme="minorHAnsi" w:hAnsiTheme="minorHAnsi" w:cstheme="minorHAnsi"/>
                <w:sz w:val="18"/>
              </w:rPr>
            </w:pP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t>14</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rPr>
                <w:rFonts w:asciiTheme="minorHAnsi" w:hAnsiTheme="minorHAnsi" w:cstheme="minorHAnsi"/>
                <w:sz w:val="22"/>
                <w:szCs w:val="22"/>
              </w:rPr>
            </w:pPr>
            <w:r w:rsidRPr="00122483">
              <w:rPr>
                <w:rFonts w:asciiTheme="minorHAnsi" w:eastAsia="Arial" w:hAnsiTheme="minorHAnsi" w:cstheme="minorHAnsi"/>
                <w:sz w:val="18"/>
              </w:rPr>
              <w:t>Art. 1 pkt 7 projektu – projektowany art. 92u ust. 1 pkt 2 lit. b ustawy o działalności leczniczej</w:t>
            </w:r>
          </w:p>
        </w:tc>
        <w:tc>
          <w:tcPr>
            <w:tcW w:w="4678" w:type="dxa"/>
            <w:shd w:val="clear" w:color="auto" w:fill="auto"/>
          </w:tcPr>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Zakres zmiennych z e-karty urodzenia z adnotacją o martwym urodzeniu przekazywany na potrzeby statystyki publicznej powinien obejmować dodatkowo dane ujęte w art. 92q ust. 2 pkt 19-20.</w:t>
            </w:r>
          </w:p>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Zmienne są istotne dla realizacji badania o urodzeniach.</w:t>
            </w:r>
          </w:p>
          <w:p w:rsidR="00BB0F94" w:rsidRPr="00122483" w:rsidRDefault="00BB0F94" w:rsidP="00BB0F94">
            <w:pPr>
              <w:rPr>
                <w:rFonts w:asciiTheme="minorHAnsi" w:hAnsiTheme="minorHAnsi" w:cstheme="minorHAnsi"/>
                <w:sz w:val="22"/>
                <w:szCs w:val="22"/>
              </w:rPr>
            </w:pPr>
            <w:r w:rsidRPr="00122483">
              <w:rPr>
                <w:rFonts w:asciiTheme="minorHAnsi" w:eastAsia="Arial" w:hAnsiTheme="minorHAnsi" w:cstheme="minorHAnsi"/>
                <w:sz w:val="18"/>
              </w:rPr>
              <w:t>Dodatkowo postulujemy dodanie zapisu informującego, że danych nie przekazuje się, gdy nie jest ustalona tożsamość matki dziecka.</w:t>
            </w:r>
          </w:p>
        </w:tc>
        <w:tc>
          <w:tcPr>
            <w:tcW w:w="5812" w:type="dxa"/>
            <w:shd w:val="clear" w:color="auto" w:fill="auto"/>
          </w:tcPr>
          <w:p w:rsidR="00BB0F94" w:rsidRPr="00122483" w:rsidRDefault="00BB0F94" w:rsidP="00BB0F94">
            <w:pPr>
              <w:spacing w:after="40"/>
              <w:rPr>
                <w:rFonts w:asciiTheme="minorHAnsi" w:hAnsiTheme="minorHAnsi" w:cstheme="minorHAnsi"/>
                <w:sz w:val="18"/>
              </w:rPr>
            </w:pP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t>15</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Art. 11 projektu – projektowany art. 60a ustawy – Prawo o aktach stanu cywilnego</w:t>
            </w:r>
          </w:p>
        </w:tc>
        <w:tc>
          <w:tcPr>
            <w:tcW w:w="4678" w:type="dxa"/>
            <w:shd w:val="clear" w:color="auto" w:fill="auto"/>
          </w:tcPr>
          <w:p w:rsidR="00BB0F94" w:rsidRPr="00122483" w:rsidRDefault="00BB0F94" w:rsidP="00BB0F94">
            <w:pPr>
              <w:rPr>
                <w:rFonts w:asciiTheme="minorHAnsi" w:hAnsiTheme="minorHAnsi" w:cstheme="minorHAnsi"/>
                <w:sz w:val="22"/>
                <w:szCs w:val="22"/>
              </w:rPr>
            </w:pPr>
            <w:r w:rsidRPr="00122483">
              <w:rPr>
                <w:rFonts w:asciiTheme="minorHAnsi" w:eastAsia="Arial" w:hAnsiTheme="minorHAnsi" w:cstheme="minorHAnsi"/>
                <w:sz w:val="18"/>
              </w:rPr>
              <w:t>Postulujemy dodanie: „unikalny numer identyfikujący e-kartę urodzenia”. Statystyka publiczna powinna w każdym przypadku otrzymać identyfikator e-karty urodzenia, ponieważ jest to jedyna zmienna umożliwiająca integrację danych z rejestru stanu cywilnego i Systemu P1.</w:t>
            </w:r>
          </w:p>
        </w:tc>
        <w:tc>
          <w:tcPr>
            <w:tcW w:w="5812" w:type="dxa"/>
            <w:shd w:val="clear" w:color="auto" w:fill="auto"/>
          </w:tcPr>
          <w:p w:rsidR="00BB0F94" w:rsidRPr="00122483" w:rsidRDefault="00BB0F94" w:rsidP="00BB0F94">
            <w:pPr>
              <w:spacing w:after="40"/>
              <w:rPr>
                <w:rFonts w:asciiTheme="minorHAnsi" w:hAnsiTheme="minorHAnsi" w:cstheme="minorHAnsi"/>
                <w:sz w:val="18"/>
              </w:rPr>
            </w:pP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EB16CD">
        <w:trPr>
          <w:cantSplit/>
          <w:trHeight w:val="3578"/>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lastRenderedPageBreak/>
              <w:t>16</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rPr>
                <w:rFonts w:asciiTheme="minorHAnsi" w:hAnsiTheme="minorHAnsi" w:cstheme="minorHAnsi"/>
                <w:sz w:val="22"/>
                <w:szCs w:val="22"/>
              </w:rPr>
            </w:pPr>
            <w:r w:rsidRPr="00122483">
              <w:rPr>
                <w:rFonts w:asciiTheme="minorHAnsi" w:eastAsia="Arial" w:hAnsiTheme="minorHAnsi" w:cstheme="minorHAnsi"/>
                <w:sz w:val="18"/>
              </w:rPr>
              <w:t>Art. 11 projektu – projektowany art. 92 ust. 7 ustawy – Prawo o aktach stanu cywilnego</w:t>
            </w:r>
          </w:p>
        </w:tc>
        <w:tc>
          <w:tcPr>
            <w:tcW w:w="4678" w:type="dxa"/>
            <w:shd w:val="clear" w:color="auto" w:fill="auto"/>
          </w:tcPr>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Postulujemy dodanie: miejsce zamieszkania osoby zmarłej, okres przebywania na terytorium RP osoby zmarłej, wykształcenie osoby zmarłej, rodzaj karty zgonu, a w przypadku osoby, której nie nadano nr PESEL – państwo wydania dokumentu potwierdzającego tożsamość.</w:t>
            </w:r>
          </w:p>
          <w:p w:rsidR="00BB0F94" w:rsidRPr="00122483" w:rsidRDefault="00BB0F94" w:rsidP="00BB0F94">
            <w:pPr>
              <w:rPr>
                <w:rFonts w:asciiTheme="minorHAnsi" w:eastAsia="Arial" w:hAnsiTheme="minorHAnsi" w:cstheme="minorHAnsi"/>
                <w:sz w:val="18"/>
              </w:rPr>
            </w:pPr>
            <w:r w:rsidRPr="00122483">
              <w:rPr>
                <w:rFonts w:asciiTheme="minorHAnsi" w:eastAsia="Arial" w:hAnsiTheme="minorHAnsi" w:cstheme="minorHAnsi"/>
                <w:sz w:val="18"/>
              </w:rPr>
              <w:t xml:space="preserve">Zmienne istotne dla realizacji badania zgonów, opracowania bilansu ludności i danych o rezydentach – ustawowe zadania </w:t>
            </w:r>
            <w:r w:rsidR="001442CE">
              <w:rPr>
                <w:rFonts w:asciiTheme="minorHAnsi" w:eastAsia="Arial" w:hAnsiTheme="minorHAnsi" w:cstheme="minorHAnsi"/>
                <w:sz w:val="18"/>
              </w:rPr>
              <w:t xml:space="preserve">Prezesa </w:t>
            </w:r>
            <w:r w:rsidRPr="00122483">
              <w:rPr>
                <w:rFonts w:asciiTheme="minorHAnsi" w:eastAsia="Arial" w:hAnsiTheme="minorHAnsi" w:cstheme="minorHAnsi"/>
                <w:sz w:val="18"/>
              </w:rPr>
              <w:t>GUS.</w:t>
            </w:r>
          </w:p>
        </w:tc>
        <w:tc>
          <w:tcPr>
            <w:tcW w:w="5812" w:type="dxa"/>
            <w:shd w:val="clear" w:color="auto" w:fill="auto"/>
          </w:tcPr>
          <w:p w:rsidR="00BB0F94" w:rsidRPr="00122483" w:rsidRDefault="00BB0F94" w:rsidP="00BB0F94">
            <w:pPr>
              <w:spacing w:after="40"/>
              <w:rPr>
                <w:rFonts w:asciiTheme="minorHAnsi" w:hAnsiTheme="minorHAnsi" w:cstheme="minorHAnsi"/>
                <w:sz w:val="18"/>
              </w:rPr>
            </w:pPr>
          </w:p>
        </w:tc>
        <w:tc>
          <w:tcPr>
            <w:tcW w:w="1359" w:type="dxa"/>
          </w:tcPr>
          <w:p w:rsidR="00BB0F94" w:rsidRPr="00122483" w:rsidRDefault="00BB0F94" w:rsidP="00BB0F94">
            <w:pPr>
              <w:spacing w:after="40"/>
              <w:rPr>
                <w:rFonts w:asciiTheme="minorHAnsi" w:hAnsiTheme="minorHAnsi" w:cstheme="minorHAnsi"/>
                <w:sz w:val="22"/>
                <w:szCs w:val="22"/>
              </w:rPr>
            </w:pPr>
          </w:p>
        </w:tc>
      </w:tr>
      <w:tr w:rsidR="00BB0F94" w:rsidRPr="00122483" w:rsidTr="00A06425">
        <w:trPr>
          <w:cantSplit/>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t>17</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OSR – pkt 6 „Wpływ na sektor finansów publicznych” oraz część dotycząca ewaluacji efektów projektu</w:t>
            </w:r>
          </w:p>
        </w:tc>
        <w:tc>
          <w:tcPr>
            <w:tcW w:w="4678"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OSR wskazuje GUS jako podmiot objęty regulacją i przewiduje konieczność dostosowania do zmian prawnych i technicznych, nie przedstawia jednak kosztów dostosowania i utrzymania systemów GUS ani skutków organizacji procesu kodowania przyczyn zgonów. Jednocześnie przyjęto, że efekty regulacji nie wymagają pomiaru, mimo że jednym z podstawowych celów projektu jest poprawa jakości i szybkości pozyskiwania danych statystycznych. Bez mierników nie będzie możliwa ocena, czy cel regulacji został osiągnięty.</w:t>
            </w:r>
          </w:p>
        </w:tc>
        <w:tc>
          <w:tcPr>
            <w:tcW w:w="5812"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W pkt 6 OSR wskazać koszty dostosowania i utrzymania systemów GUS oraz organizacji procesu kodowania przyczyn zgonów albo przedstawić uzasadnienie, że zadania zostaną wykonane w ramach posiadanych zasobów.</w:t>
            </w:r>
          </w:p>
          <w:p w:rsidR="00BB0F94" w:rsidRPr="00122483" w:rsidRDefault="00BB0F94" w:rsidP="00BB0F94">
            <w:pPr>
              <w:spacing w:after="40"/>
              <w:rPr>
                <w:rFonts w:asciiTheme="minorHAnsi" w:hAnsiTheme="minorHAnsi" w:cstheme="minorHAnsi"/>
              </w:rPr>
            </w:pPr>
            <w:r w:rsidRPr="00122483">
              <w:rPr>
                <w:rFonts w:asciiTheme="minorHAnsi" w:eastAsia="Arial" w:hAnsiTheme="minorHAnsi" w:cstheme="minorHAnsi"/>
                <w:sz w:val="18"/>
              </w:rPr>
              <w:t>W części dotyczącej ewaluacji zastąpić obecny zapis następującą treścią:</w:t>
            </w:r>
          </w:p>
          <w:p w:rsidR="00BB0F94" w:rsidRPr="00122483" w:rsidRDefault="00BB0F94" w:rsidP="00BB0F94">
            <w:pPr>
              <w:spacing w:after="40"/>
              <w:rPr>
                <w:rFonts w:asciiTheme="minorHAnsi" w:hAnsiTheme="minorHAnsi" w:cstheme="minorHAnsi"/>
              </w:rPr>
            </w:pPr>
            <w:r w:rsidRPr="00122483">
              <w:rPr>
                <w:rFonts w:asciiTheme="minorHAnsi" w:eastAsia="Arial" w:hAnsiTheme="minorHAnsi" w:cstheme="minorHAnsi"/>
                <w:sz w:val="18"/>
              </w:rPr>
              <w:t>„Ewaluacja zostanie przeprowadzona po 12 i 36 miesiącach od uruchomienia elektronicznego obiegu kart. Obejmie w szczególności udział kart przekazanych elektronicznie, czas przekazania danych do GUS, udział kart wymagających korekty lub anulowania, udział kart papierowych nieuzupełnionych terminowo oraz udział zgonów oznaczonych kodami nieprecyzyjnymi.”</w:t>
            </w:r>
          </w:p>
        </w:tc>
        <w:tc>
          <w:tcPr>
            <w:tcW w:w="1359" w:type="dxa"/>
          </w:tcPr>
          <w:p w:rsidR="00BB0F94" w:rsidRPr="00122483" w:rsidRDefault="00BB0F94" w:rsidP="00BB0F94">
            <w:pPr>
              <w:jc w:val="center"/>
              <w:rPr>
                <w:rFonts w:asciiTheme="minorHAnsi" w:hAnsiTheme="minorHAnsi" w:cstheme="minorHAnsi"/>
                <w:b/>
                <w:sz w:val="22"/>
                <w:szCs w:val="22"/>
              </w:rPr>
            </w:pPr>
            <w:r w:rsidRPr="00122483">
              <w:rPr>
                <w:rFonts w:asciiTheme="minorHAnsi" w:eastAsia="Arial" w:hAnsiTheme="minorHAnsi" w:cstheme="minorHAnsi"/>
                <w:sz w:val="18"/>
              </w:rPr>
              <w:t>Prezes GUS</w:t>
            </w:r>
          </w:p>
        </w:tc>
      </w:tr>
      <w:tr w:rsidR="00BB0F94" w:rsidRPr="004C6029" w:rsidTr="00A06425">
        <w:trPr>
          <w:cantSplit/>
        </w:trPr>
        <w:tc>
          <w:tcPr>
            <w:tcW w:w="562" w:type="dxa"/>
            <w:shd w:val="clear" w:color="auto" w:fill="auto"/>
          </w:tcPr>
          <w:p w:rsidR="00BB0F94" w:rsidRPr="00122483" w:rsidRDefault="00BB0F94" w:rsidP="00BB0F94">
            <w:pPr>
              <w:spacing w:after="40"/>
              <w:jc w:val="center"/>
              <w:rPr>
                <w:rFonts w:asciiTheme="minorHAnsi" w:eastAsia="Arial" w:hAnsiTheme="minorHAnsi" w:cstheme="minorHAnsi"/>
                <w:b/>
                <w:sz w:val="18"/>
              </w:rPr>
            </w:pPr>
            <w:r>
              <w:rPr>
                <w:rFonts w:asciiTheme="minorHAnsi" w:eastAsia="Arial" w:hAnsiTheme="minorHAnsi" w:cstheme="minorHAnsi"/>
                <w:b/>
                <w:sz w:val="18"/>
              </w:rPr>
              <w:t>18</w:t>
            </w:r>
          </w:p>
        </w:tc>
        <w:tc>
          <w:tcPr>
            <w:tcW w:w="1134" w:type="dxa"/>
            <w:shd w:val="clear" w:color="auto" w:fill="auto"/>
          </w:tcPr>
          <w:p w:rsidR="00BB0F94" w:rsidRDefault="00BB0F94" w:rsidP="00BB0F94">
            <w:r w:rsidRPr="004B1511">
              <w:rPr>
                <w:rFonts w:asciiTheme="minorHAnsi" w:eastAsia="Arial" w:hAnsiTheme="minorHAnsi" w:cstheme="minorHAnsi"/>
                <w:sz w:val="18"/>
              </w:rPr>
              <w:t>Prezes GUS</w:t>
            </w:r>
          </w:p>
        </w:tc>
        <w:tc>
          <w:tcPr>
            <w:tcW w:w="1843"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eastAsia="Arial" w:hAnsiTheme="minorHAnsi" w:cstheme="minorHAnsi"/>
                <w:sz w:val="18"/>
              </w:rPr>
              <w:t>Lista kontrolna interoperacyjności – pkt 7–10 oraz dokumentacja integracji Systemu P1 z systemami GUS</w:t>
            </w:r>
          </w:p>
        </w:tc>
        <w:tc>
          <w:tcPr>
            <w:tcW w:w="4678"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hAnsiTheme="minorHAnsi" w:cstheme="minorHAnsi"/>
                <w:sz w:val="18"/>
              </w:rPr>
              <w:t>Lista kontrolna w pkt 7 zawiera niespójność. Zaznaczono, że System P1 nie będzie korzystał z danych z innych rejestrów, a jednocześnie wskazano rejestry PESEL, RPWDL/</w:t>
            </w:r>
            <w:proofErr w:type="spellStart"/>
            <w:r w:rsidRPr="00122483">
              <w:rPr>
                <w:rFonts w:asciiTheme="minorHAnsi" w:hAnsiTheme="minorHAnsi" w:cstheme="minorHAnsi"/>
                <w:sz w:val="18"/>
              </w:rPr>
              <w:t>CWUd</w:t>
            </w:r>
            <w:proofErr w:type="spellEnd"/>
            <w:r w:rsidRPr="00122483">
              <w:rPr>
                <w:rFonts w:asciiTheme="minorHAnsi" w:hAnsiTheme="minorHAnsi" w:cstheme="minorHAnsi"/>
                <w:sz w:val="18"/>
              </w:rPr>
              <w:t xml:space="preserve"> i </w:t>
            </w:r>
            <w:proofErr w:type="spellStart"/>
            <w:r w:rsidRPr="00122483">
              <w:rPr>
                <w:rFonts w:asciiTheme="minorHAnsi" w:hAnsiTheme="minorHAnsi" w:cstheme="minorHAnsi"/>
                <w:sz w:val="18"/>
              </w:rPr>
              <w:t>CWPm</w:t>
            </w:r>
            <w:proofErr w:type="spellEnd"/>
            <w:r w:rsidRPr="00122483">
              <w:rPr>
                <w:rFonts w:asciiTheme="minorHAnsi" w:hAnsiTheme="minorHAnsi" w:cstheme="minorHAnsi"/>
                <w:sz w:val="18"/>
              </w:rPr>
              <w:t>. Należy to poprawić oraz zapewnić, aby sposób wymiany danych z GUS został uzgodniony przed uruchomieniem systemu.</w:t>
            </w:r>
          </w:p>
        </w:tc>
        <w:tc>
          <w:tcPr>
            <w:tcW w:w="5812" w:type="dxa"/>
            <w:shd w:val="clear" w:color="auto" w:fill="auto"/>
          </w:tcPr>
          <w:p w:rsidR="00BB0F94" w:rsidRPr="00122483" w:rsidRDefault="00BB0F94" w:rsidP="00BB0F94">
            <w:pPr>
              <w:spacing w:after="40"/>
              <w:rPr>
                <w:rFonts w:asciiTheme="minorHAnsi" w:hAnsiTheme="minorHAnsi" w:cstheme="minorHAnsi"/>
                <w:sz w:val="22"/>
                <w:szCs w:val="22"/>
              </w:rPr>
            </w:pPr>
            <w:r w:rsidRPr="00122483">
              <w:rPr>
                <w:rFonts w:asciiTheme="minorHAnsi" w:hAnsiTheme="minorHAnsi" w:cstheme="minorHAnsi"/>
                <w:sz w:val="18"/>
              </w:rPr>
              <w:t>W pkt 7 listy kontrolnej zaznaczyć odpowiedź „TAK” i wskazać rejestry PESEL, RPWDL/</w:t>
            </w:r>
            <w:proofErr w:type="spellStart"/>
            <w:r w:rsidRPr="00122483">
              <w:rPr>
                <w:rFonts w:asciiTheme="minorHAnsi" w:hAnsiTheme="minorHAnsi" w:cstheme="minorHAnsi"/>
                <w:sz w:val="18"/>
              </w:rPr>
              <w:t>CWUd</w:t>
            </w:r>
            <w:proofErr w:type="spellEnd"/>
            <w:r w:rsidRPr="00122483">
              <w:rPr>
                <w:rFonts w:asciiTheme="minorHAnsi" w:hAnsiTheme="minorHAnsi" w:cstheme="minorHAnsi"/>
                <w:sz w:val="18"/>
              </w:rPr>
              <w:t xml:space="preserve"> oraz </w:t>
            </w:r>
            <w:proofErr w:type="spellStart"/>
            <w:r w:rsidRPr="00122483">
              <w:rPr>
                <w:rFonts w:asciiTheme="minorHAnsi" w:hAnsiTheme="minorHAnsi" w:cstheme="minorHAnsi"/>
                <w:sz w:val="18"/>
              </w:rPr>
              <w:t>CWPm</w:t>
            </w:r>
            <w:proofErr w:type="spellEnd"/>
            <w:r w:rsidRPr="00122483">
              <w:rPr>
                <w:rFonts w:asciiTheme="minorHAnsi" w:hAnsiTheme="minorHAnsi" w:cstheme="minorHAnsi"/>
                <w:sz w:val="18"/>
              </w:rPr>
              <w:t>. Ponadto należy uzgodnić z GUS sposób przekazywania danych, w tym obsługę błędów, korekt i anulowań, przed uruchomieniem integracji.</w:t>
            </w:r>
          </w:p>
        </w:tc>
        <w:tc>
          <w:tcPr>
            <w:tcW w:w="1359" w:type="dxa"/>
          </w:tcPr>
          <w:p w:rsidR="00BB0F94" w:rsidRPr="004C6029" w:rsidRDefault="00BB0F94" w:rsidP="00BB0F94">
            <w:pPr>
              <w:jc w:val="center"/>
              <w:rPr>
                <w:rFonts w:asciiTheme="minorHAnsi" w:hAnsiTheme="minorHAnsi" w:cstheme="minorHAnsi"/>
                <w:b/>
                <w:sz w:val="22"/>
                <w:szCs w:val="22"/>
              </w:rPr>
            </w:pPr>
            <w:r w:rsidRPr="00122483">
              <w:rPr>
                <w:rFonts w:asciiTheme="minorHAnsi" w:eastAsia="Arial" w:hAnsiTheme="minorHAnsi" w:cstheme="minorHAnsi"/>
                <w:sz w:val="18"/>
              </w:rPr>
              <w:t>Prezes GUS</w:t>
            </w:r>
          </w:p>
        </w:tc>
      </w:tr>
    </w:tbl>
    <w:p w:rsidR="00C64B1B" w:rsidRPr="004C6029" w:rsidRDefault="00C64B1B" w:rsidP="00C64B1B">
      <w:pPr>
        <w:jc w:val="center"/>
        <w:rPr>
          <w:rFonts w:asciiTheme="minorHAnsi" w:hAnsiTheme="minorHAnsi" w:cstheme="minorHAnsi"/>
        </w:rPr>
      </w:pPr>
    </w:p>
    <w:sectPr w:rsidR="00C64B1B" w:rsidRPr="004C6029" w:rsidSect="00A06425">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34258"/>
    <w:rsid w:val="00122483"/>
    <w:rsid w:val="00140BE8"/>
    <w:rsid w:val="001442CE"/>
    <w:rsid w:val="00146253"/>
    <w:rsid w:val="0019648E"/>
    <w:rsid w:val="00252CF9"/>
    <w:rsid w:val="002715B2"/>
    <w:rsid w:val="003124D1"/>
    <w:rsid w:val="003B4105"/>
    <w:rsid w:val="004C6029"/>
    <w:rsid w:val="004D086F"/>
    <w:rsid w:val="00501363"/>
    <w:rsid w:val="005305FB"/>
    <w:rsid w:val="0057480E"/>
    <w:rsid w:val="005F6527"/>
    <w:rsid w:val="006705EC"/>
    <w:rsid w:val="006E16E9"/>
    <w:rsid w:val="00807385"/>
    <w:rsid w:val="00875EA8"/>
    <w:rsid w:val="00944932"/>
    <w:rsid w:val="009E5FDB"/>
    <w:rsid w:val="00A06425"/>
    <w:rsid w:val="00AC7796"/>
    <w:rsid w:val="00B5321C"/>
    <w:rsid w:val="00B871B6"/>
    <w:rsid w:val="00BB0F94"/>
    <w:rsid w:val="00C64B1B"/>
    <w:rsid w:val="00CD5EB0"/>
    <w:rsid w:val="00E14C33"/>
    <w:rsid w:val="00EB16CD"/>
    <w:rsid w:val="00F44F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F8F0A"/>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customStyle="1" w:styleId="ZPKTzmpktartykuempunktem">
    <w:name w:val="Z/PKT – zm. pkt artykułem (punktem)"/>
    <w:basedOn w:val="Normalny"/>
    <w:uiPriority w:val="31"/>
    <w:qFormat/>
    <w:rsid w:val="00B5321C"/>
    <w:pPr>
      <w:spacing w:line="360" w:lineRule="auto"/>
      <w:ind w:left="1020" w:hanging="510"/>
      <w:jc w:val="both"/>
    </w:pPr>
    <w:rPr>
      <w:rFonts w:ascii="Times" w:eastAsiaTheme="minorEastAsia" w:hAnsi="Times" w:cs="Arial"/>
      <w:bCs/>
      <w:szCs w:val="20"/>
    </w:rPr>
  </w:style>
  <w:style w:type="paragraph" w:customStyle="1" w:styleId="ZLITwPKTzmlitwpktartykuempunktem">
    <w:name w:val="Z/LIT_w_PKT – zm. lit. w pkt artykułem (punktem)"/>
    <w:basedOn w:val="Normalny"/>
    <w:uiPriority w:val="32"/>
    <w:qFormat/>
    <w:rsid w:val="00252CF9"/>
    <w:pPr>
      <w:spacing w:line="360" w:lineRule="auto"/>
      <w:ind w:left="1497" w:hanging="476"/>
      <w:jc w:val="both"/>
    </w:pPr>
    <w:rPr>
      <w:rFonts w:ascii="Times" w:eastAsiaTheme="minorEastAsia" w:hAnsi="Times"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1786</Words>
  <Characters>10722</Characters>
  <Application>Microsoft Office Word</Application>
  <DocSecurity>0</DocSecurity>
  <Lines>89</Lines>
  <Paragraphs>24</Paragraphs>
  <ScaleCrop>false</ScaleCrop>
  <HeadingPairs>
    <vt:vector size="2" baseType="variant">
      <vt:variant>
        <vt:lpstr>Tytuł</vt:lpstr>
      </vt:variant>
      <vt:variant>
        <vt:i4>1</vt:i4>
      </vt:variant>
    </vt:vector>
  </HeadingPairs>
  <TitlesOfParts>
    <vt:vector size="1" baseType="lpstr">
      <vt:lpstr>Tabela uwag GUS do projektu ustawy UD234</vt:lpstr>
    </vt:vector>
  </TitlesOfParts>
  <Company>MSWIA</Company>
  <LinksUpToDate>false</LinksUpToDate>
  <CharactersWithSpaces>12484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Tabela uwag GUS do projektu ustawy UD234</dc:title>
  <dc:subject>Uwagi dotyczące wpływu projektu na statystykę publiczną i statystykę zdrowia</dc:subject>
  <dc:creator>Główny Urząd Statystyczny</dc:creator>
  <cp:keywords/>
  <cp:lastModifiedBy>Guzik Żaneta</cp:lastModifiedBy>
  <cp:revision>5</cp:revision>
  <dcterms:created xsi:type="dcterms:W3CDTF">2026-07-22T08:12:00Z</dcterms:created>
  <dcterms:modified xsi:type="dcterms:W3CDTF">2026-07-22T11:13:00Z</dcterms:modified>
</cp:coreProperties>
</file>