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1071"/>
        <w:tblW w:w="15115" w:type="dxa"/>
        <w:tblLayout w:type="fixed"/>
        <w:tblLook w:val="01E0" w:firstRow="1" w:lastRow="1" w:firstColumn="1" w:lastColumn="1" w:noHBand="0" w:noVBand="0"/>
      </w:tblPr>
      <w:tblGrid>
        <w:gridCol w:w="421"/>
        <w:gridCol w:w="1417"/>
        <w:gridCol w:w="1276"/>
        <w:gridCol w:w="3260"/>
        <w:gridCol w:w="8741"/>
      </w:tblGrid>
      <w:tr w:rsidR="00C019E3" w:rsidRPr="003265FD" w14:paraId="7D0B3F43" w14:textId="77777777" w:rsidTr="002F1A80">
        <w:tc>
          <w:tcPr>
            <w:tcW w:w="15115" w:type="dxa"/>
            <w:gridSpan w:val="5"/>
          </w:tcPr>
          <w:p w14:paraId="56B51C4B" w14:textId="51392545" w:rsidR="00C019E3" w:rsidRPr="003265FD" w:rsidRDefault="007C6876" w:rsidP="004E11B7">
            <w:pPr>
              <w:spacing w:before="120" w:after="120"/>
              <w:jc w:val="both"/>
              <w:rPr>
                <w:rFonts w:eastAsia="Times New Roman" w:cstheme="minorHAnsi"/>
                <w:b/>
                <w:i/>
                <w:lang w:eastAsia="pl-PL"/>
              </w:rPr>
            </w:pPr>
            <w:r w:rsidRPr="003265FD">
              <w:rPr>
                <w:rFonts w:eastAsia="Times New Roman" w:cstheme="minorHAnsi"/>
                <w:b/>
                <w:i/>
                <w:lang w:eastAsia="pl-PL"/>
              </w:rPr>
              <w:t xml:space="preserve">Protokół rozbieżności </w:t>
            </w:r>
            <w:r w:rsidR="00E5354D" w:rsidRPr="003265FD">
              <w:rPr>
                <w:rFonts w:eastAsia="Times New Roman" w:cstheme="minorHAnsi"/>
                <w:b/>
                <w:i/>
                <w:lang w:eastAsia="pl-PL"/>
              </w:rPr>
              <w:t>do p</w:t>
            </w:r>
            <w:r w:rsidR="001D6392" w:rsidRPr="003265FD">
              <w:rPr>
                <w:rFonts w:cstheme="minorHAnsi"/>
                <w:b/>
                <w:i/>
              </w:rPr>
              <w:t>rojekt</w:t>
            </w:r>
            <w:r w:rsidR="00E5354D" w:rsidRPr="003265FD">
              <w:rPr>
                <w:rFonts w:cstheme="minorHAnsi"/>
                <w:b/>
                <w:i/>
              </w:rPr>
              <w:t>u</w:t>
            </w:r>
            <w:r w:rsidR="00F67E6F" w:rsidRPr="003265FD">
              <w:rPr>
                <w:rFonts w:cstheme="minorHAnsi"/>
                <w:b/>
                <w:i/>
              </w:rPr>
              <w:t xml:space="preserve"> ustawy</w:t>
            </w:r>
            <w:r w:rsidR="002267F4" w:rsidRPr="003265FD">
              <w:rPr>
                <w:rFonts w:cstheme="minorHAnsi"/>
                <w:b/>
                <w:i/>
              </w:rPr>
              <w:t xml:space="preserve"> o udziale R</w:t>
            </w:r>
            <w:r w:rsidR="00AD0874">
              <w:rPr>
                <w:rFonts w:cstheme="minorHAnsi"/>
                <w:b/>
                <w:i/>
              </w:rPr>
              <w:t xml:space="preserve">zeczypospolitej </w:t>
            </w:r>
            <w:r w:rsidR="002267F4" w:rsidRPr="003265FD">
              <w:rPr>
                <w:rFonts w:cstheme="minorHAnsi"/>
                <w:b/>
                <w:i/>
              </w:rPr>
              <w:t>P</w:t>
            </w:r>
            <w:r w:rsidR="00AD0874">
              <w:rPr>
                <w:rFonts w:cstheme="minorHAnsi"/>
                <w:b/>
                <w:i/>
              </w:rPr>
              <w:t>olskiej</w:t>
            </w:r>
            <w:r w:rsidR="002267F4" w:rsidRPr="003265FD">
              <w:rPr>
                <w:rFonts w:cstheme="minorHAnsi"/>
                <w:b/>
                <w:i/>
              </w:rPr>
              <w:t xml:space="preserve"> </w:t>
            </w:r>
            <w:r w:rsidR="00724D7A">
              <w:rPr>
                <w:rFonts w:cstheme="minorHAnsi"/>
                <w:b/>
                <w:i/>
              </w:rPr>
              <w:t xml:space="preserve">w </w:t>
            </w:r>
            <w:r w:rsidR="004E11B7">
              <w:rPr>
                <w:rFonts w:cstheme="minorHAnsi"/>
                <w:b/>
                <w:i/>
              </w:rPr>
              <w:t>europejskim systemie informacji o podróży oraz zezwoleń na podróż (ETIAS) – UC104</w:t>
            </w:r>
          </w:p>
        </w:tc>
      </w:tr>
      <w:tr w:rsidR="00FB7994" w:rsidRPr="003265FD" w14:paraId="7AD74809" w14:textId="77777777" w:rsidTr="00AD0874">
        <w:tc>
          <w:tcPr>
            <w:tcW w:w="421" w:type="dxa"/>
          </w:tcPr>
          <w:p w14:paraId="3386DB43" w14:textId="77777777" w:rsidR="00FB7994" w:rsidRPr="003265FD" w:rsidRDefault="00FB7994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>Lp</w:t>
            </w:r>
            <w:r w:rsidR="0054431D" w:rsidRPr="003265FD">
              <w:rPr>
                <w:rFonts w:eastAsia="Times New Roman" w:cstheme="minorHAnsi"/>
                <w:b/>
                <w:lang w:eastAsia="pl-PL"/>
              </w:rPr>
              <w:t>.</w:t>
            </w:r>
          </w:p>
        </w:tc>
        <w:tc>
          <w:tcPr>
            <w:tcW w:w="1417" w:type="dxa"/>
          </w:tcPr>
          <w:p w14:paraId="57965ECC" w14:textId="77777777" w:rsidR="00FB7994" w:rsidRPr="003265FD" w:rsidRDefault="00FB7994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>Podmiot wnoszący uwagi</w:t>
            </w:r>
          </w:p>
        </w:tc>
        <w:tc>
          <w:tcPr>
            <w:tcW w:w="1276" w:type="dxa"/>
          </w:tcPr>
          <w:p w14:paraId="3EBFA08F" w14:textId="75782808" w:rsidR="001759BD" w:rsidRPr="003265FD" w:rsidRDefault="00AD0874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Jednostka redakcyjna</w:t>
            </w:r>
            <w:r w:rsidR="00FB7994" w:rsidRPr="003265FD">
              <w:rPr>
                <w:rFonts w:eastAsia="Times New Roman" w:cstheme="minorHAnsi"/>
                <w:b/>
                <w:lang w:eastAsia="pl-PL"/>
              </w:rPr>
              <w:t xml:space="preserve">, </w:t>
            </w:r>
          </w:p>
          <w:p w14:paraId="587F6FBB" w14:textId="77777777" w:rsidR="00FB7994" w:rsidRPr="003265FD" w:rsidRDefault="00FB7994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 xml:space="preserve">do której wnoszone są uwagi </w:t>
            </w:r>
          </w:p>
        </w:tc>
        <w:tc>
          <w:tcPr>
            <w:tcW w:w="3260" w:type="dxa"/>
          </w:tcPr>
          <w:p w14:paraId="2BEE3459" w14:textId="77777777" w:rsidR="00FB7994" w:rsidRPr="003265FD" w:rsidRDefault="00FB7994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>Treść uwagi</w:t>
            </w:r>
          </w:p>
        </w:tc>
        <w:tc>
          <w:tcPr>
            <w:tcW w:w="8741" w:type="dxa"/>
          </w:tcPr>
          <w:p w14:paraId="6C5B04E2" w14:textId="77777777" w:rsidR="00FB7994" w:rsidRPr="003265FD" w:rsidRDefault="009C37E3" w:rsidP="003A4B18">
            <w:pPr>
              <w:spacing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>Stanowisko proje</w:t>
            </w:r>
            <w:r w:rsidR="00D43C5A" w:rsidRPr="003265FD">
              <w:rPr>
                <w:rFonts w:eastAsia="Times New Roman" w:cstheme="minorHAnsi"/>
                <w:b/>
                <w:lang w:eastAsia="pl-PL"/>
              </w:rPr>
              <w:t>ktodawcy</w:t>
            </w:r>
            <w:r w:rsidR="002267F4" w:rsidRPr="003265FD">
              <w:rPr>
                <w:rFonts w:eastAsia="Times New Roman" w:cstheme="minorHAnsi"/>
                <w:b/>
                <w:lang w:eastAsia="pl-PL"/>
              </w:rPr>
              <w:t xml:space="preserve"> </w:t>
            </w:r>
          </w:p>
        </w:tc>
      </w:tr>
      <w:tr w:rsidR="009F18E2" w:rsidRPr="003265FD" w14:paraId="182C388F" w14:textId="77777777" w:rsidTr="00AD0874">
        <w:tc>
          <w:tcPr>
            <w:tcW w:w="421" w:type="dxa"/>
          </w:tcPr>
          <w:p w14:paraId="2FF37DE0" w14:textId="77777777" w:rsidR="009F18E2" w:rsidRPr="003265FD" w:rsidRDefault="009F18E2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 w:rsidRPr="003265FD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1417" w:type="dxa"/>
          </w:tcPr>
          <w:p w14:paraId="2B30D6EA" w14:textId="19CB52BA" w:rsidR="009F18E2" w:rsidRPr="003265FD" w:rsidRDefault="00C7438D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Minister Finansów i </w:t>
            </w:r>
            <w:r w:rsidR="009F18E2" w:rsidRPr="003265FD">
              <w:rPr>
                <w:rFonts w:eastAsia="Times New Roman" w:cstheme="minorHAnsi"/>
                <w:lang w:eastAsia="pl-PL"/>
              </w:rPr>
              <w:t>Gospodarki</w:t>
            </w:r>
          </w:p>
        </w:tc>
        <w:tc>
          <w:tcPr>
            <w:tcW w:w="1276" w:type="dxa"/>
          </w:tcPr>
          <w:p w14:paraId="0BB18F00" w14:textId="09B38401" w:rsidR="009F18E2" w:rsidRPr="003265FD" w:rsidRDefault="00077256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Pkt 6 OSR</w:t>
            </w:r>
          </w:p>
        </w:tc>
        <w:tc>
          <w:tcPr>
            <w:tcW w:w="3260" w:type="dxa"/>
          </w:tcPr>
          <w:p w14:paraId="50E7B429" w14:textId="26EDD0D8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Jak wskazano w pkt. 6 Oceny Skutków Regulacji projektowane rozwiązania skutkują kosztami dla wielu dysponentów części budżetu państwa, wobec czego nie do przyjęcia jest brak wskazania konkretnych </w:t>
            </w:r>
            <w:r w:rsidRPr="00B22C04">
              <w:rPr>
                <w:rFonts w:cstheme="minorHAnsi"/>
                <w:b/>
                <w:bCs/>
                <w:sz w:val="18"/>
                <w:szCs w:val="18"/>
              </w:rPr>
              <w:t>źródeł ich finansowania</w:t>
            </w:r>
            <w:r w:rsidRPr="00B22C04">
              <w:rPr>
                <w:rFonts w:cstheme="minorHAnsi"/>
                <w:sz w:val="18"/>
                <w:szCs w:val="18"/>
              </w:rPr>
              <w:t xml:space="preserve">, w tym zalecaną realokację środków w ramach budżetów dysponentów. Ponownie należy jednoznacznie podkreślić, że </w:t>
            </w:r>
            <w:r w:rsidRPr="00B22C04">
              <w:rPr>
                <w:rFonts w:cstheme="minorHAnsi"/>
                <w:b/>
                <w:bCs/>
                <w:sz w:val="18"/>
                <w:szCs w:val="18"/>
              </w:rPr>
              <w:t xml:space="preserve">wszelkie nowe rozwiązania - co do zasady - powinny być realizowane </w:t>
            </w:r>
            <w:r w:rsidRPr="00B22C04">
              <w:rPr>
                <w:rFonts w:cstheme="minorHAnsi"/>
                <w:b/>
                <w:bCs/>
                <w:sz w:val="18"/>
                <w:szCs w:val="18"/>
                <w:u w:val="single"/>
              </w:rPr>
              <w:t>w ramach dotychczasowych środków pozostających w dyspozycji dysponentów części budżetowych</w:t>
            </w:r>
            <w:r w:rsidRPr="00B22C04">
              <w:rPr>
                <w:rFonts w:cstheme="minorHAnsi"/>
                <w:sz w:val="18"/>
                <w:szCs w:val="18"/>
                <w:u w:val="single"/>
              </w:rPr>
              <w:t>.</w:t>
            </w:r>
            <w:r w:rsidRPr="00B22C04">
              <w:rPr>
                <w:rFonts w:cstheme="minorHAnsi"/>
                <w:sz w:val="18"/>
                <w:szCs w:val="18"/>
              </w:rPr>
              <w:t xml:space="preserve"> Wskazane przez projektodawcę obniżenie poziomu wydatków jest marginalne, zatem konieczna jest dalsza analiza i poszukiwanie oszczędności w poszczególnych częściach budżetu państwa w celu sfinansowania skutków finansowych projektowanych rozwiązań.</w:t>
            </w:r>
          </w:p>
          <w:p w14:paraId="63F7594A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23296844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  <w:u w:val="single"/>
              </w:rPr>
            </w:pPr>
            <w:r w:rsidRPr="00B22C04">
              <w:rPr>
                <w:rFonts w:cstheme="minorHAnsi"/>
                <w:sz w:val="18"/>
                <w:szCs w:val="18"/>
                <w:u w:val="single"/>
              </w:rPr>
              <w:t>Niezależnie od powyższego, przedstawiam poniższe uwagi szczegółowe:</w:t>
            </w:r>
          </w:p>
          <w:p w14:paraId="0691C043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20898FBA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  <w:r w:rsidRPr="00B22C04">
              <w:rPr>
                <w:rFonts w:cstheme="minorHAnsi"/>
                <w:sz w:val="18"/>
                <w:szCs w:val="18"/>
              </w:rPr>
              <w:t>Zgodnie z informacjami zawartymi w OSR wejście w życie ustawy wywoła skutki finansowe dla budżetu państwa - przewiduje się wzrost wydatków w okresie 10 lat od wejścia w życie zmian mają wynieść 221,777 mln zł. Jak wskazano w OSR, wejście w życie projektowanych przepisów będzie stanowiło stanowić podstawę do zwiększenia limitu wydatków w części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B22C04">
              <w:rPr>
                <w:rFonts w:cstheme="minorHAnsi"/>
                <w:sz w:val="18"/>
                <w:szCs w:val="18"/>
              </w:rPr>
              <w:t xml:space="preserve">42 </w:t>
            </w:r>
            <w:r w:rsidRPr="00B22C04">
              <w:rPr>
                <w:rFonts w:cstheme="minorHAnsi"/>
                <w:sz w:val="18"/>
                <w:szCs w:val="18"/>
              </w:rPr>
              <w:lastRenderedPageBreak/>
              <w:t>– Sprawy wewnętrzne w zakresie środków zaplanowanych na funkcjonowanie Straży Granicznej, Ministerstwa Spraw Wewnętrznych i Administracji oraz Szefa Urzędu do Spraw Cudzoziemców.</w:t>
            </w:r>
          </w:p>
          <w:p w14:paraId="585B8DB0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W projekcie nadal nie zawarto jakichkolwiek precyzyjnych informacji dotyczących skutków finansowych poszczególnych rozwiązań </w:t>
            </w:r>
            <w:r w:rsidRPr="00B22C04">
              <w:rPr>
                <w:rFonts w:cstheme="minorHAnsi"/>
                <w:b/>
                <w:bCs/>
                <w:sz w:val="18"/>
                <w:szCs w:val="18"/>
              </w:rPr>
              <w:t>wraz ze wskazaniem konkretnych źródeł ich sfinansowania oraz szczegółową kalkulacją kosztów.</w:t>
            </w:r>
            <w:r w:rsidRPr="00B22C04">
              <w:rPr>
                <w:rFonts w:cstheme="minorHAnsi"/>
                <w:sz w:val="18"/>
                <w:szCs w:val="18"/>
              </w:rPr>
              <w:t xml:space="preserve"> Zauważenia przy tym wymaga, że załącznik do OSR określający skutki finansowe, przedstawia jedynie podział kwot oraz w niektórych przypadkach uzasadnienie wydatków. Nie prezentuje on jednak przyjętych założeń oraz sposobu wyliczenia poszczególnych wydatków, zatem pozostaje on niewystarczający do kompleksowej oceny projektu w powyższym zakresie i nie spełnia podstawowych wymogów dla OSR przygotowanych przez Koordynatora Oceny Skutków Regulacji.</w:t>
            </w:r>
          </w:p>
          <w:p w14:paraId="4B577ED7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76A9D924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W tym miejscu zauważenia wymaga również, że budżet państwa jest objęty stabilizującą regułą wydatkową i limitem wydatków, o którym mowa w art. 112aa ust. 3 ustawy o finansach publicznych. Skutki finansowe wynikające z projektowanych rozwiązań nie powinny zatem dodatkowo obciążać budżetu państwa, wydatki powinny być pokrywane w ramach corocznie przyznawanych limitów w ustawach budżetowych. Dodatkowo przypomnienia wymaga, że Polska została objęta procedurą nadmiernego deficytu (EDP), zatem nie ma przestrzeni na nowe </w:t>
            </w:r>
            <w:r w:rsidRPr="00B22C04">
              <w:rPr>
                <w:rFonts w:cstheme="minorHAnsi"/>
                <w:sz w:val="18"/>
                <w:szCs w:val="18"/>
              </w:rPr>
              <w:lastRenderedPageBreak/>
              <w:t>wydatki ponoszone z budżetu państwa w najbliższych latach budżetowych.</w:t>
            </w:r>
          </w:p>
          <w:p w14:paraId="6CFC2E84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47FC9FF9" w14:textId="21916249" w:rsidR="009F18E2" w:rsidRPr="003265FD" w:rsidRDefault="00077256" w:rsidP="00077256">
            <w:pPr>
              <w:jc w:val="both"/>
              <w:rPr>
                <w:rFonts w:eastAsia="Times New Roman" w:cstheme="minorHAnsi"/>
                <w:lang w:eastAsia="pl-PL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Mając na uwadze powyższe, </w:t>
            </w:r>
            <w:r w:rsidRPr="00B22C04">
              <w:rPr>
                <w:rFonts w:cstheme="minorHAnsi"/>
                <w:b/>
                <w:bCs/>
                <w:sz w:val="18"/>
                <w:szCs w:val="18"/>
              </w:rPr>
              <w:t>wszystkie skutki finansowe przedmiotowego projektu powinny zostać w całości sfinansowane w ramach dostępnego limitu wydatków poszczególnych dysponentów</w:t>
            </w:r>
            <w:r w:rsidRPr="00B22C04">
              <w:rPr>
                <w:rFonts w:cstheme="minorHAnsi"/>
                <w:sz w:val="18"/>
                <w:szCs w:val="18"/>
              </w:rPr>
              <w:t>, z uwzględnieniem możliwości wygenerowania oszczędności w budżecie dysponenta poprzez zmniejszenie innych wydatków lub racjonalizację kosztów w ramach przyznanego limitu na dany rok budżetowy, bez konieczności ubiegania się o nowe środki i generowania dodatkowych obciążeń dla budżetu państwa.</w:t>
            </w:r>
          </w:p>
        </w:tc>
        <w:tc>
          <w:tcPr>
            <w:tcW w:w="8741" w:type="dxa"/>
          </w:tcPr>
          <w:p w14:paraId="6445D9B1" w14:textId="6E035868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137412">
              <w:rPr>
                <w:rFonts w:cstheme="minorHAnsi"/>
                <w:sz w:val="18"/>
                <w:szCs w:val="18"/>
              </w:rPr>
              <w:lastRenderedPageBreak/>
              <w:t>Ws</w:t>
            </w:r>
            <w:r w:rsidR="00724D7A">
              <w:rPr>
                <w:rFonts w:cstheme="minorHAnsi"/>
                <w:sz w:val="18"/>
                <w:szCs w:val="18"/>
              </w:rPr>
              <w:t xml:space="preserve">kazanie konkretnych źródeł </w:t>
            </w:r>
            <w:r w:rsidRPr="00137412">
              <w:rPr>
                <w:rFonts w:cstheme="minorHAnsi"/>
                <w:sz w:val="18"/>
                <w:szCs w:val="18"/>
              </w:rPr>
              <w:t xml:space="preserve">sfinansowania </w:t>
            </w:r>
            <w:r w:rsidR="00724D7A">
              <w:rPr>
                <w:rFonts w:cstheme="minorHAnsi"/>
                <w:sz w:val="18"/>
                <w:szCs w:val="18"/>
              </w:rPr>
              <w:t xml:space="preserve">kosztów </w:t>
            </w:r>
            <w:r w:rsidRPr="00137412">
              <w:rPr>
                <w:rFonts w:cstheme="minorHAnsi"/>
                <w:sz w:val="18"/>
                <w:szCs w:val="18"/>
              </w:rPr>
              <w:t xml:space="preserve">oraz szczegółowej kalkulacji kosztów wobec informacji zawartych w OSR i wskazania na brak środków w budżecie </w:t>
            </w:r>
            <w:r>
              <w:rPr>
                <w:rFonts w:cstheme="minorHAnsi"/>
                <w:sz w:val="18"/>
                <w:szCs w:val="18"/>
              </w:rPr>
              <w:t xml:space="preserve">resortu </w:t>
            </w:r>
            <w:proofErr w:type="spellStart"/>
            <w:r>
              <w:rPr>
                <w:rFonts w:cstheme="minorHAnsi"/>
                <w:sz w:val="18"/>
                <w:szCs w:val="18"/>
              </w:rPr>
              <w:t>SWiA</w:t>
            </w:r>
            <w:proofErr w:type="spellEnd"/>
            <w:r w:rsidRPr="00137412">
              <w:rPr>
                <w:rFonts w:cstheme="minorHAnsi"/>
                <w:sz w:val="18"/>
                <w:szCs w:val="18"/>
              </w:rPr>
              <w:t xml:space="preserve"> na realizację zadań przewidzianych w projektowanej ustawie uniemożliwi</w:t>
            </w:r>
            <w:r>
              <w:rPr>
                <w:rFonts w:cstheme="minorHAnsi"/>
                <w:sz w:val="18"/>
                <w:szCs w:val="18"/>
              </w:rPr>
              <w:t xml:space="preserve">a zrealizowanie postulatu </w:t>
            </w:r>
            <w:proofErr w:type="spellStart"/>
            <w:r>
              <w:rPr>
                <w:rFonts w:cstheme="minorHAnsi"/>
                <w:sz w:val="18"/>
                <w:szCs w:val="18"/>
              </w:rPr>
              <w:t>MF</w:t>
            </w:r>
            <w:r w:rsidR="00724D7A">
              <w:rPr>
                <w:rFonts w:cstheme="minorHAnsi"/>
                <w:sz w:val="18"/>
                <w:szCs w:val="18"/>
              </w:rPr>
              <w:t>iG</w:t>
            </w:r>
            <w:proofErr w:type="spellEnd"/>
            <w:r>
              <w:rPr>
                <w:rFonts w:cstheme="minorHAnsi"/>
                <w:sz w:val="18"/>
                <w:szCs w:val="18"/>
              </w:rPr>
              <w:t>. W </w:t>
            </w:r>
            <w:r w:rsidRPr="00137412">
              <w:rPr>
                <w:rFonts w:cstheme="minorHAnsi"/>
                <w:sz w:val="18"/>
                <w:szCs w:val="18"/>
              </w:rPr>
              <w:t>ramach dotychczasowych środków przydzielonych</w:t>
            </w:r>
            <w:r>
              <w:rPr>
                <w:rFonts w:cstheme="minorHAnsi"/>
                <w:sz w:val="18"/>
                <w:szCs w:val="18"/>
              </w:rPr>
              <w:t xml:space="preserve"> np.</w:t>
            </w:r>
            <w:r w:rsidRPr="00137412">
              <w:rPr>
                <w:rFonts w:cstheme="minorHAnsi"/>
                <w:sz w:val="18"/>
                <w:szCs w:val="18"/>
              </w:rPr>
              <w:t xml:space="preserve"> Straży Granicznej brak jest m</w:t>
            </w:r>
            <w:r>
              <w:rPr>
                <w:rFonts w:cstheme="minorHAnsi"/>
                <w:sz w:val="18"/>
                <w:szCs w:val="18"/>
              </w:rPr>
              <w:t>ożliwości wyasygnowania kwot, o </w:t>
            </w:r>
            <w:r w:rsidRPr="00137412">
              <w:rPr>
                <w:rFonts w:cstheme="minorHAnsi"/>
                <w:sz w:val="18"/>
                <w:szCs w:val="18"/>
              </w:rPr>
              <w:t>których mowa u ustawie.</w:t>
            </w:r>
          </w:p>
          <w:p w14:paraId="66BD3FB4" w14:textId="0D9B4056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137412">
              <w:rPr>
                <w:rFonts w:cstheme="minorHAnsi"/>
                <w:sz w:val="18"/>
                <w:szCs w:val="18"/>
              </w:rPr>
              <w:t>Z tego względu aktualn</w:t>
            </w:r>
            <w:r>
              <w:rPr>
                <w:rFonts w:cstheme="minorHAnsi"/>
                <w:sz w:val="18"/>
                <w:szCs w:val="18"/>
              </w:rPr>
              <w:t>ymi</w:t>
            </w:r>
            <w:r w:rsidRPr="00137412">
              <w:rPr>
                <w:rFonts w:cstheme="minorHAnsi"/>
                <w:sz w:val="18"/>
                <w:szCs w:val="18"/>
              </w:rPr>
              <w:t xml:space="preserve"> pozostają informacj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Pr="00137412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z </w:t>
            </w:r>
            <w:r w:rsidR="00724D7A">
              <w:rPr>
                <w:rFonts w:cstheme="minorHAnsi"/>
                <w:sz w:val="18"/>
                <w:szCs w:val="18"/>
              </w:rPr>
              <w:t>pkt</w:t>
            </w:r>
            <w:r w:rsidRPr="00137412">
              <w:rPr>
                <w:rFonts w:cstheme="minorHAnsi"/>
                <w:sz w:val="18"/>
                <w:szCs w:val="18"/>
              </w:rPr>
              <w:t xml:space="preserve"> 6 OSR (pod tabelą), że </w:t>
            </w:r>
          </w:p>
          <w:p w14:paraId="0541C585" w14:textId="77777777" w:rsidR="00077256" w:rsidRPr="00FA60F6" w:rsidRDefault="00077256" w:rsidP="00077256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FA60F6">
              <w:rPr>
                <w:rFonts w:cstheme="minorHAnsi"/>
                <w:i/>
                <w:sz w:val="18"/>
                <w:szCs w:val="18"/>
              </w:rPr>
              <w:t xml:space="preserve">„W odniesieniu do źródeł zabezpieczenia szacowanych wydatków w ramach budżetu państwa, podkreślenia wymaga, iż ubieganie się o zwiększenie limitu wydatków w części 42 – Sprawy wewnętrzne dla środków zaplanowanych na funkcjonowanie Straży Granicznej jest spowodowane brakiem funduszy na zakładane wdrożenie przez </w:t>
            </w:r>
            <w:r>
              <w:rPr>
                <w:rFonts w:cstheme="minorHAnsi"/>
                <w:i/>
                <w:sz w:val="18"/>
                <w:szCs w:val="18"/>
              </w:rPr>
              <w:t>Straż Graniczną systemu ETIAS w </w:t>
            </w:r>
            <w:r w:rsidRPr="00FA60F6">
              <w:rPr>
                <w:rFonts w:cstheme="minorHAnsi"/>
                <w:i/>
                <w:sz w:val="18"/>
                <w:szCs w:val="18"/>
              </w:rPr>
              <w:t>ramach przyznanego z budżetu państwa dla Straży Granicznej limitu wydatków.</w:t>
            </w:r>
            <w:r w:rsidRPr="00FA60F6">
              <w:rPr>
                <w:i/>
                <w:iCs/>
                <w:sz w:val="18"/>
                <w:szCs w:val="18"/>
              </w:rPr>
              <w:t xml:space="preserve"> </w:t>
            </w:r>
            <w:r w:rsidRPr="00FA60F6">
              <w:rPr>
                <w:rFonts w:cstheme="minorHAnsi"/>
                <w:i/>
                <w:sz w:val="18"/>
                <w:szCs w:val="18"/>
              </w:rPr>
              <w:t>Straż Graniczna prowadzi starania o pozyskanie środków z budżetu Unii Europejskiej na realizację niektórych swoich potrzeb, jednak nie jest pewne, czy uda się pozyskać środki europejskie w jakiejkolwiek wysokości na wdrożenie systemu ETIAS.”.</w:t>
            </w:r>
          </w:p>
          <w:p w14:paraId="47432CB9" w14:textId="77777777" w:rsidR="00077256" w:rsidRPr="00CE7C02" w:rsidRDefault="00077256" w:rsidP="00077256">
            <w:pPr>
              <w:jc w:val="both"/>
              <w:rPr>
                <w:rFonts w:cstheme="minorHAnsi"/>
                <w:b/>
                <w:i/>
                <w:sz w:val="18"/>
                <w:szCs w:val="18"/>
                <w:u w:val="single"/>
              </w:rPr>
            </w:pPr>
            <w:r w:rsidRPr="00137412">
              <w:rPr>
                <w:rFonts w:cstheme="minorHAnsi"/>
                <w:sz w:val="18"/>
                <w:szCs w:val="18"/>
              </w:rPr>
              <w:t xml:space="preserve">Należy zauważyć, że w OSR wskazano, </w:t>
            </w:r>
            <w:r w:rsidRPr="00CE7C02">
              <w:rPr>
                <w:rFonts w:cstheme="minorHAnsi"/>
                <w:b/>
                <w:sz w:val="18"/>
                <w:szCs w:val="18"/>
                <w:u w:val="single"/>
              </w:rPr>
              <w:t xml:space="preserve">że potrzeby kadrowe dla SG wynikające z ustawy zostaną zabezpieczone ze środków jakie zostaną przydzielone Straży Granicznej na dodatkowe etaty w ramach </w:t>
            </w:r>
            <w:r w:rsidRPr="00CE7C02">
              <w:rPr>
                <w:rFonts w:cstheme="minorHAnsi"/>
                <w:b/>
                <w:i/>
                <w:sz w:val="18"/>
                <w:szCs w:val="18"/>
                <w:u w:val="single"/>
              </w:rPr>
              <w:t>Programu Modernizacji Policji, Straży Graniczne</w:t>
            </w:r>
            <w:r>
              <w:rPr>
                <w:rFonts w:cstheme="minorHAnsi"/>
                <w:b/>
                <w:i/>
                <w:sz w:val="18"/>
                <w:szCs w:val="18"/>
                <w:u w:val="single"/>
              </w:rPr>
              <w:t>j, Państwowej Straży Pożarnej i </w:t>
            </w:r>
            <w:r w:rsidRPr="00CE7C02">
              <w:rPr>
                <w:rFonts w:cstheme="minorHAnsi"/>
                <w:b/>
                <w:i/>
                <w:sz w:val="18"/>
                <w:szCs w:val="18"/>
                <w:u w:val="single"/>
              </w:rPr>
              <w:t>Służby Ochrony Państwa na lata 2026 – 2029.</w:t>
            </w:r>
          </w:p>
          <w:p w14:paraId="771791E4" w14:textId="77777777" w:rsidR="00077256" w:rsidRPr="00137412" w:rsidRDefault="00077256" w:rsidP="00077256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E44CC1E" w14:textId="77777777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137412">
              <w:rPr>
                <w:rFonts w:cstheme="minorHAnsi"/>
                <w:sz w:val="18"/>
                <w:szCs w:val="18"/>
              </w:rPr>
              <w:t>Nie ma innych możliwości wygenerowania oszczędności w budżecie</w:t>
            </w:r>
            <w:r>
              <w:rPr>
                <w:rFonts w:cstheme="minorHAnsi"/>
                <w:sz w:val="18"/>
                <w:szCs w:val="18"/>
              </w:rPr>
              <w:t xml:space="preserve"> resortu</w:t>
            </w:r>
            <w:r w:rsidRPr="00137412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18"/>
              </w:rPr>
              <w:t>SWiA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– np. </w:t>
            </w:r>
            <w:r w:rsidRPr="00137412">
              <w:rPr>
                <w:rFonts w:cstheme="minorHAnsi"/>
                <w:sz w:val="18"/>
                <w:szCs w:val="18"/>
              </w:rPr>
              <w:t>poprzez zmniejszenie innych wydatków lub racjonalizację kosztów w ramach przyznanego limitu na dany rok budżetowy, ze względu na wagę oraz istotę pozostałych niezbędnych w obecnej sytuacji geopolitycznej zadań nałożonych</w:t>
            </w:r>
            <w:r>
              <w:rPr>
                <w:rFonts w:cstheme="minorHAnsi"/>
                <w:sz w:val="18"/>
                <w:szCs w:val="18"/>
              </w:rPr>
              <w:t xml:space="preserve"> na formację</w:t>
            </w:r>
            <w:r w:rsidRPr="00137412">
              <w:rPr>
                <w:rFonts w:cstheme="minorHAnsi"/>
                <w:sz w:val="18"/>
                <w:szCs w:val="18"/>
              </w:rPr>
              <w:t>, które również są reglamentowane budżetowo.</w:t>
            </w:r>
          </w:p>
          <w:p w14:paraId="10577125" w14:textId="77777777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059C4E8B" w14:textId="555DD1ED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137412">
              <w:rPr>
                <w:rFonts w:cstheme="minorHAnsi"/>
                <w:sz w:val="18"/>
                <w:szCs w:val="18"/>
              </w:rPr>
              <w:t xml:space="preserve">Odnosząc się do wskazania szczegółowej kalkulacji kosztów, należy wskazać, ze </w:t>
            </w:r>
            <w:r>
              <w:rPr>
                <w:rFonts w:cstheme="minorHAnsi"/>
                <w:sz w:val="18"/>
                <w:szCs w:val="18"/>
              </w:rPr>
              <w:t>resort</w:t>
            </w:r>
            <w:r w:rsidRPr="00137412">
              <w:rPr>
                <w:rFonts w:cstheme="minorHAnsi"/>
                <w:sz w:val="18"/>
                <w:szCs w:val="18"/>
              </w:rPr>
              <w:t xml:space="preserve"> dokonał szacunków z wymaganą i najwyższą szczegółowością zarówno w pkt. 6 OSR (pod tabelą) jak i w załączniku. Z tego względu postulat </w:t>
            </w:r>
            <w:proofErr w:type="spellStart"/>
            <w:r w:rsidRPr="00137412">
              <w:rPr>
                <w:rFonts w:cstheme="minorHAnsi"/>
                <w:sz w:val="18"/>
                <w:szCs w:val="18"/>
              </w:rPr>
              <w:t>MF</w:t>
            </w:r>
            <w:r w:rsidR="00724D7A">
              <w:rPr>
                <w:rFonts w:cstheme="minorHAnsi"/>
                <w:sz w:val="18"/>
                <w:szCs w:val="18"/>
              </w:rPr>
              <w:t>iG</w:t>
            </w:r>
            <w:proofErr w:type="spellEnd"/>
            <w:r w:rsidRPr="00137412">
              <w:rPr>
                <w:rFonts w:cstheme="minorHAnsi"/>
                <w:sz w:val="18"/>
                <w:szCs w:val="18"/>
              </w:rPr>
              <w:t xml:space="preserve"> jest niewykonalny, gdyż został już skonsumowany.</w:t>
            </w:r>
          </w:p>
          <w:p w14:paraId="587DE384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708E218E" w14:textId="0FF8CFBE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 ocenie resortu </w:t>
            </w:r>
            <w:proofErr w:type="spellStart"/>
            <w:r w:rsidR="00724D7A">
              <w:rPr>
                <w:rFonts w:cstheme="minorHAnsi"/>
                <w:sz w:val="18"/>
                <w:szCs w:val="18"/>
              </w:rPr>
              <w:t>SWiA</w:t>
            </w:r>
            <w:proofErr w:type="spellEnd"/>
            <w:r w:rsidR="00724D7A">
              <w:rPr>
                <w:rFonts w:cstheme="minorHAnsi"/>
                <w:sz w:val="18"/>
                <w:szCs w:val="18"/>
              </w:rPr>
              <w:t xml:space="preserve"> trudno jest się zgodzić z ogólnym zarzutem </w:t>
            </w:r>
            <w:proofErr w:type="spellStart"/>
            <w:r w:rsidR="00724D7A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>FiG</w:t>
            </w:r>
            <w:proofErr w:type="spellEnd"/>
            <w:r>
              <w:rPr>
                <w:rFonts w:cstheme="minorHAnsi"/>
                <w:sz w:val="18"/>
                <w:szCs w:val="18"/>
              </w:rPr>
              <w:t>, iż „</w:t>
            </w:r>
            <w:r>
              <w:rPr>
                <w:rFonts w:cstheme="minorHAnsi"/>
                <w:i/>
                <w:sz w:val="18"/>
                <w:szCs w:val="18"/>
                <w:u w:val="single"/>
              </w:rPr>
              <w:t>W </w:t>
            </w:r>
            <w:r w:rsidRPr="00CE7C02">
              <w:rPr>
                <w:rFonts w:cstheme="minorHAnsi"/>
                <w:i/>
                <w:sz w:val="18"/>
                <w:szCs w:val="18"/>
                <w:u w:val="single"/>
              </w:rPr>
              <w:t>projekcie nadal nie zawarto jakichkolwiek precyzyjnych informacji dotyczących skutków finansowych poszczególnych rozwiązań wraz ze wskazaniem konkretnych źródeł ich sfinansowania oraz szczegółową kalkulacją kosztów.</w:t>
            </w:r>
            <w:r>
              <w:rPr>
                <w:rFonts w:cstheme="minorHAnsi"/>
                <w:i/>
                <w:sz w:val="18"/>
                <w:szCs w:val="18"/>
                <w:u w:val="single"/>
              </w:rPr>
              <w:t>.</w:t>
            </w:r>
            <w:r w:rsidRPr="001A485A">
              <w:rPr>
                <w:rFonts w:cstheme="minorHAnsi"/>
                <w:i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>”</w:t>
            </w:r>
          </w:p>
          <w:p w14:paraId="17AA464A" w14:textId="5088A3CB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Załącznik jest uzupełnieniem formularza OSR i należy te dokumenty analizować w całości. Oba dokumenty zawierają szczegółową analizę skutków finansowych w resorcie jak i dodatkowych instytucji w perspektywie 10 lat, w tym zawierają precyzyjne założenia dot. wynagrodzeń i wyliczeń wydatków rzeczowych zgodnie z zasadami racjonalności. Zarówno w </w:t>
            </w:r>
            <w:r w:rsidR="00724D7A">
              <w:rPr>
                <w:rFonts w:cstheme="minorHAnsi"/>
                <w:sz w:val="18"/>
                <w:szCs w:val="18"/>
              </w:rPr>
              <w:t xml:space="preserve">formularzu </w:t>
            </w:r>
            <w:r>
              <w:rPr>
                <w:rFonts w:cstheme="minorHAnsi"/>
                <w:sz w:val="18"/>
                <w:szCs w:val="18"/>
              </w:rPr>
              <w:t xml:space="preserve">OSR jak i w Załączniku dokładnie przedstawiono m.in. założenia, mnożniki, waloryzację i wszystkie składniki wynagrodzeń i potrzeb rzeczowych dla wszystkich podmiotów. Dla pełnej transparentności ujęto również etaty potrzebne w strukturze KGSG, które nie będą finansowane w ramach zwiększenia limitu budżetowego, a ostatecznie zostaną sfinansowane </w:t>
            </w:r>
            <w:r w:rsidRPr="00943A20">
              <w:rPr>
                <w:rFonts w:cstheme="minorHAnsi"/>
                <w:b/>
                <w:sz w:val="18"/>
                <w:szCs w:val="18"/>
                <w:u w:val="single"/>
              </w:rPr>
              <w:t>w całości</w:t>
            </w:r>
            <w:r>
              <w:rPr>
                <w:rFonts w:cstheme="minorHAnsi"/>
                <w:sz w:val="18"/>
                <w:szCs w:val="18"/>
              </w:rPr>
              <w:t xml:space="preserve"> w ramach </w:t>
            </w:r>
            <w:r w:rsidRPr="00137412">
              <w:rPr>
                <w:rFonts w:cstheme="minorHAnsi"/>
                <w:i/>
                <w:sz w:val="18"/>
                <w:szCs w:val="18"/>
              </w:rPr>
              <w:t xml:space="preserve">Programu Modernizacji Policji, Straży Granicznej, </w:t>
            </w:r>
            <w:r>
              <w:rPr>
                <w:rFonts w:cstheme="minorHAnsi"/>
                <w:i/>
                <w:sz w:val="18"/>
                <w:szCs w:val="18"/>
              </w:rPr>
              <w:t>Państwowej Straży Pożarnej i </w:t>
            </w:r>
            <w:r w:rsidRPr="008A35C2">
              <w:rPr>
                <w:rFonts w:cstheme="minorHAnsi"/>
                <w:i/>
                <w:sz w:val="18"/>
                <w:szCs w:val="18"/>
              </w:rPr>
              <w:t>Służby Ochrony Państwa na lata 2026 – 2029</w:t>
            </w:r>
            <w:r>
              <w:rPr>
                <w:rFonts w:cstheme="minorHAnsi"/>
                <w:sz w:val="18"/>
                <w:szCs w:val="18"/>
              </w:rPr>
              <w:t xml:space="preserve">. </w:t>
            </w:r>
            <w:r w:rsidRPr="008A35C2">
              <w:rPr>
                <w:rFonts w:cstheme="minorHAnsi"/>
                <w:sz w:val="18"/>
                <w:szCs w:val="18"/>
              </w:rPr>
              <w:t>Te nowe etaty będą miały pozytywny wpływ na zatrudnienie i gospodarkę z racji utworzenia dodatkowych miejsc pracy. Niezaprzecza</w:t>
            </w:r>
            <w:r>
              <w:rPr>
                <w:rFonts w:cstheme="minorHAnsi"/>
                <w:sz w:val="18"/>
                <w:szCs w:val="18"/>
              </w:rPr>
              <w:t>l</w:t>
            </w:r>
            <w:r w:rsidRPr="008A35C2">
              <w:rPr>
                <w:rFonts w:cstheme="minorHAnsi"/>
                <w:sz w:val="18"/>
                <w:szCs w:val="18"/>
              </w:rPr>
              <w:t>ny i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8A35C2">
              <w:rPr>
                <w:rFonts w:cstheme="minorHAnsi"/>
                <w:sz w:val="18"/>
                <w:szCs w:val="18"/>
              </w:rPr>
              <w:t xml:space="preserve">pozytywny wpływ nowego </w:t>
            </w:r>
            <w:r w:rsidRPr="008A35C2">
              <w:rPr>
                <w:rFonts w:cstheme="minorHAnsi"/>
                <w:sz w:val="18"/>
                <w:szCs w:val="18"/>
              </w:rPr>
              <w:lastRenderedPageBreak/>
              <w:t>zatrudnienia ujęto również w pkt. 7 „</w:t>
            </w:r>
            <w:r w:rsidRPr="008A35C2">
              <w:rPr>
                <w:rFonts w:cstheme="minorHAnsi"/>
                <w:spacing w:val="-2"/>
                <w:sz w:val="18"/>
                <w:szCs w:val="18"/>
              </w:rPr>
              <w:t xml:space="preserve">Wpływ na </w:t>
            </w:r>
            <w:r>
              <w:rPr>
                <w:rFonts w:cstheme="minorHAnsi"/>
                <w:sz w:val="18"/>
                <w:szCs w:val="18"/>
              </w:rPr>
              <w:t>konkurencyjność gospodarki i </w:t>
            </w:r>
            <w:r w:rsidRPr="008A35C2">
              <w:rPr>
                <w:rFonts w:cstheme="minorHAnsi"/>
                <w:sz w:val="18"/>
                <w:szCs w:val="18"/>
              </w:rPr>
              <w:t>przedsiębiorczość, w tym funkcjonowanie przedsiębiorców oraz na rodzinę, obywateli i gospodarstwa domowe”</w:t>
            </w:r>
            <w:r w:rsidR="00724D7A">
              <w:rPr>
                <w:rFonts w:cstheme="minorHAnsi"/>
                <w:sz w:val="18"/>
                <w:szCs w:val="18"/>
              </w:rPr>
              <w:t>.</w:t>
            </w:r>
            <w:r w:rsidRPr="008A35C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A35C2">
              <w:rPr>
                <w:rFonts w:cstheme="minorHAnsi"/>
                <w:sz w:val="18"/>
                <w:szCs w:val="18"/>
              </w:rPr>
              <w:t xml:space="preserve">Biorąc pod uwagę </w:t>
            </w:r>
            <w:r w:rsidR="00724D7A">
              <w:rPr>
                <w:rFonts w:cstheme="minorHAnsi"/>
                <w:sz w:val="18"/>
                <w:szCs w:val="18"/>
              </w:rPr>
              <w:t xml:space="preserve">znaczne </w:t>
            </w:r>
            <w:r w:rsidRPr="008A35C2">
              <w:rPr>
                <w:rFonts w:cstheme="minorHAnsi"/>
                <w:sz w:val="18"/>
                <w:szCs w:val="18"/>
              </w:rPr>
              <w:t>wpływy do budżetu, z faktu przeznaczenia śr</w:t>
            </w:r>
            <w:r>
              <w:rPr>
                <w:rFonts w:cstheme="minorHAnsi"/>
                <w:sz w:val="18"/>
                <w:szCs w:val="18"/>
              </w:rPr>
              <w:t>odków z programu Modernizacji w </w:t>
            </w:r>
            <w:r w:rsidRPr="008A35C2">
              <w:rPr>
                <w:rFonts w:cstheme="minorHAnsi"/>
                <w:sz w:val="18"/>
                <w:szCs w:val="18"/>
              </w:rPr>
              <w:t xml:space="preserve">postaci podatków oraz wydatków konsumpcyjnych - zasadnym wydaję się podkreślenie pozytywnych aspektów z wdrożenia projektu ustawy. </w:t>
            </w:r>
            <w:r>
              <w:rPr>
                <w:rFonts w:cstheme="minorHAnsi"/>
                <w:sz w:val="18"/>
                <w:szCs w:val="18"/>
              </w:rPr>
              <w:t>Co </w:t>
            </w:r>
            <w:r w:rsidRPr="008A35C2">
              <w:rPr>
                <w:rFonts w:cstheme="minorHAnsi"/>
                <w:sz w:val="18"/>
                <w:szCs w:val="18"/>
              </w:rPr>
              <w:t>do kwestii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8A35C2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iż </w:t>
            </w:r>
            <w:r w:rsidRPr="008A35C2">
              <w:rPr>
                <w:rFonts w:cstheme="minorHAnsi"/>
                <w:sz w:val="18"/>
                <w:szCs w:val="18"/>
              </w:rPr>
              <w:t>„</w:t>
            </w:r>
            <w:r w:rsidRPr="008A35C2">
              <w:rPr>
                <w:rFonts w:cstheme="minorHAnsi"/>
                <w:b/>
                <w:bCs/>
                <w:sz w:val="18"/>
                <w:szCs w:val="18"/>
              </w:rPr>
              <w:t>wszystkie skutki finansowe przedmiotowego projektu powinny zostać w całości sfina</w:t>
            </w:r>
            <w:r>
              <w:rPr>
                <w:rFonts w:cstheme="minorHAnsi"/>
                <w:b/>
                <w:bCs/>
                <w:sz w:val="18"/>
                <w:szCs w:val="18"/>
              </w:rPr>
              <w:t>nsowane w </w:t>
            </w:r>
            <w:r w:rsidRPr="008A35C2">
              <w:rPr>
                <w:rFonts w:cstheme="minorHAnsi"/>
                <w:b/>
                <w:bCs/>
                <w:sz w:val="18"/>
                <w:szCs w:val="18"/>
              </w:rPr>
              <w:t>ramach dostępnego limitu wydatków poszczególnych dysponentów</w:t>
            </w:r>
            <w:r w:rsidRPr="008A35C2">
              <w:rPr>
                <w:rFonts w:cstheme="minorHAnsi"/>
                <w:sz w:val="18"/>
                <w:szCs w:val="18"/>
              </w:rPr>
              <w:t xml:space="preserve">, </w:t>
            </w:r>
            <w:r>
              <w:rPr>
                <w:rFonts w:cstheme="minorHAnsi"/>
                <w:b/>
                <w:sz w:val="18"/>
                <w:szCs w:val="18"/>
              </w:rPr>
              <w:t>z </w:t>
            </w:r>
            <w:r w:rsidRPr="008A35C2">
              <w:rPr>
                <w:rFonts w:cstheme="minorHAnsi"/>
                <w:b/>
                <w:sz w:val="18"/>
                <w:szCs w:val="18"/>
              </w:rPr>
              <w:t>uwzględnieniem możliwości wygenerowania oszczędności w budżecie dysponenta poprzez zmniejszenie innych wydatków lub racjonalizację</w:t>
            </w:r>
            <w:r>
              <w:rPr>
                <w:rFonts w:cstheme="minorHAnsi"/>
                <w:sz w:val="18"/>
                <w:szCs w:val="18"/>
              </w:rPr>
              <w:t xml:space="preserve">” należy wskazać, że projektowana regulacja implementuje </w:t>
            </w:r>
            <w:r w:rsidRPr="00C6337C">
              <w:rPr>
                <w:rFonts w:cstheme="minorHAnsi"/>
                <w:b/>
                <w:sz w:val="18"/>
                <w:szCs w:val="18"/>
              </w:rPr>
              <w:t xml:space="preserve">nowe obowiązki </w:t>
            </w:r>
            <w:r>
              <w:rPr>
                <w:rFonts w:cstheme="minorHAnsi"/>
                <w:sz w:val="18"/>
                <w:szCs w:val="18"/>
              </w:rPr>
              <w:t xml:space="preserve">wynikające z prawa UE. Państwo członkowskie nie ma w tym zakresie pełnej swobody co do zakresu regulacji czy też terminu wdrożenia. Wydatki związane z realizacją tych zadań mają charakter obligatoryjny i nie mogą być traktowane jako fakultatywne i swobodnie redukowane w ramach istniejących limitów. Wymóg finansowania nowych zadań wyłącznie w ramach aktualnych limitów prowadziłby </w:t>
            </w:r>
            <w:r w:rsidR="00724D7A">
              <w:rPr>
                <w:rFonts w:cstheme="minorHAnsi"/>
                <w:sz w:val="18"/>
                <w:szCs w:val="18"/>
              </w:rPr>
              <w:br/>
            </w:r>
            <w:r>
              <w:rPr>
                <w:rFonts w:cstheme="minorHAnsi"/>
                <w:sz w:val="18"/>
                <w:szCs w:val="18"/>
              </w:rPr>
              <w:t xml:space="preserve">w praktyce do ograniczenia możliwości prawidłowej implementacji prawa UE, a zaniechanie tych działań może doprowadzić do poważnych naruszeń nadzorczych. Procedura nadmiernego deficytu nie zwalnia Państwa z obowiązku wdrażania prawa unijnego ani realizacji zadań o charakterze ustawowym. Projekt uwzględnia zasadę racjonalności wydatków, a same szacunki są przygotowane w oparciu o realistyczne kryteria i wymagania związane z potrzebami etatowymi. Skutki finansowe należy ocenić w kontekście pozytywnym jak i negatywnym czyli ew. skutków i kosztów zaniechania tych działań. </w:t>
            </w:r>
          </w:p>
          <w:p w14:paraId="7A57488A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4191F9E2" w14:textId="4C7862A9" w:rsidR="006C7940" w:rsidRPr="003265FD" w:rsidRDefault="00077256" w:rsidP="00077256">
            <w:pPr>
              <w:pStyle w:val="NormalnyWeb"/>
              <w:jc w:val="both"/>
              <w:rPr>
                <w:rFonts w:eastAsia="Times New Roman" w:cstheme="minorHAnsi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Jednocześnie MSWiA informuje, że zastosowano się do pozostałych uwag MFIG w zakresie ograniczania kosztów. Dokonano aktualizacji i weryfikacji przedstawionych kalkulacji względem pozostałych podmiotów takich jak P</w:t>
            </w:r>
            <w:r w:rsidR="00724D7A">
              <w:rPr>
                <w:rFonts w:asciiTheme="minorHAnsi" w:hAnsiTheme="minorHAnsi" w:cstheme="minorHAnsi"/>
                <w:sz w:val="18"/>
                <w:szCs w:val="18"/>
              </w:rPr>
              <w:t xml:space="preserve">rezes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="00724D7A">
              <w:rPr>
                <w:rFonts w:asciiTheme="minorHAnsi" w:hAnsiTheme="minorHAnsi" w:cstheme="minorHAnsi"/>
                <w:sz w:val="18"/>
                <w:szCs w:val="18"/>
              </w:rPr>
              <w:t xml:space="preserve">rzędu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724D7A">
              <w:rPr>
                <w:rFonts w:asciiTheme="minorHAnsi" w:hAnsiTheme="minorHAnsi" w:cstheme="minorHAnsi"/>
                <w:sz w:val="18"/>
                <w:szCs w:val="18"/>
              </w:rPr>
              <w:t xml:space="preserve">chrony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724D7A">
              <w:rPr>
                <w:rFonts w:asciiTheme="minorHAnsi" w:hAnsiTheme="minorHAnsi" w:cstheme="minorHAnsi"/>
                <w:sz w:val="18"/>
                <w:szCs w:val="18"/>
              </w:rPr>
              <w:t xml:space="preserve">anych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724D7A">
              <w:rPr>
                <w:rFonts w:asciiTheme="minorHAnsi" w:hAnsiTheme="minorHAnsi" w:cstheme="minorHAnsi"/>
                <w:sz w:val="18"/>
                <w:szCs w:val="18"/>
              </w:rPr>
              <w:t>sobowych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lub wojewodowie.</w:t>
            </w:r>
          </w:p>
        </w:tc>
      </w:tr>
      <w:tr w:rsidR="00077256" w:rsidRPr="003265FD" w14:paraId="21BD7600" w14:textId="77777777" w:rsidTr="00AD0874">
        <w:tc>
          <w:tcPr>
            <w:tcW w:w="421" w:type="dxa"/>
          </w:tcPr>
          <w:p w14:paraId="4DE20346" w14:textId="7F897794" w:rsidR="00077256" w:rsidRPr="003265FD" w:rsidRDefault="00077256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2.</w:t>
            </w:r>
          </w:p>
        </w:tc>
        <w:tc>
          <w:tcPr>
            <w:tcW w:w="1417" w:type="dxa"/>
          </w:tcPr>
          <w:p w14:paraId="72A47802" w14:textId="6EBE4D39" w:rsidR="00077256" w:rsidRDefault="00077256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Minister Finansów i Gospodarki </w:t>
            </w:r>
          </w:p>
        </w:tc>
        <w:tc>
          <w:tcPr>
            <w:tcW w:w="1276" w:type="dxa"/>
          </w:tcPr>
          <w:p w14:paraId="2A9CCDED" w14:textId="5C445788" w:rsidR="00077256" w:rsidRDefault="00077256" w:rsidP="009F18E2">
            <w:pPr>
              <w:spacing w:line="276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Pkt 6 OSR</w:t>
            </w:r>
          </w:p>
        </w:tc>
        <w:tc>
          <w:tcPr>
            <w:tcW w:w="3260" w:type="dxa"/>
          </w:tcPr>
          <w:p w14:paraId="7C64B0B8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Projektodawca zakłada znaczne </w:t>
            </w:r>
            <w:r w:rsidRPr="00B22C04">
              <w:rPr>
                <w:rFonts w:cstheme="minorHAnsi"/>
                <w:b/>
                <w:bCs/>
                <w:sz w:val="18"/>
                <w:szCs w:val="18"/>
              </w:rPr>
              <w:t>zwiększenie zatrudnienia</w:t>
            </w:r>
            <w:r w:rsidRPr="00B22C04">
              <w:rPr>
                <w:rFonts w:cstheme="minorHAnsi"/>
                <w:sz w:val="18"/>
                <w:szCs w:val="18"/>
              </w:rPr>
              <w:t>: w ramach struktur Komendy Głównej SG (31 etatów), wzmocnienia potencjału kadrowego o 2 etaty w Departamencie Teleinformatyki Ministerstwa Spraw Wewnętrznych i Administracji oraz nieokreśloną ilość w zakresie urzędów wojewódzkich.</w:t>
            </w:r>
          </w:p>
          <w:p w14:paraId="3DDC7110" w14:textId="77777777" w:rsidR="00077256" w:rsidRPr="00B22C04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4CEA5425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B22C04">
              <w:rPr>
                <w:rFonts w:cstheme="minorHAnsi"/>
                <w:sz w:val="18"/>
                <w:szCs w:val="18"/>
              </w:rPr>
              <w:t xml:space="preserve">Należy zauważyć, że zgodnie z wytycznymi Koordynatora Oceny Skutków Regulacji planowanie zwiększenia zatrudniania poprzedzone powinno być analizą pracochłonności zadań składających się z czynności i procedur do wykonania. Charakterystyka zadania determinuje kolejne kroki w analizie pracochłonności, którymi mogą być finalne decyzje absorbcji zadań przez daną jednostkę lub o konieczności stworzenia w urzędach nowych etatów do obsługi nowych obciążeń. Obowiązkiem autorów OSR jest </w:t>
            </w:r>
            <w:r w:rsidRPr="00B22C04">
              <w:rPr>
                <w:rFonts w:cstheme="minorHAnsi"/>
                <w:sz w:val="18"/>
                <w:szCs w:val="18"/>
              </w:rPr>
              <w:lastRenderedPageBreak/>
              <w:t>przenalizowanie możliwości realizacji (przynajmniej w części) nowych obowiązków w ramach zagospodarowania istniejących etatów lub przeprowadzenia reorganizacji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B22C04">
              <w:rPr>
                <w:rFonts w:cstheme="minorHAnsi"/>
                <w:sz w:val="18"/>
                <w:szCs w:val="18"/>
              </w:rPr>
              <w:t xml:space="preserve">pracy i zadań w danej jednostce. </w:t>
            </w:r>
            <w:r w:rsidRPr="00B22C04">
              <w:rPr>
                <w:rFonts w:cstheme="minorHAnsi"/>
                <w:sz w:val="18"/>
                <w:szCs w:val="18"/>
                <w:u w:val="single"/>
              </w:rPr>
              <w:t>Wynik analizy powinien zostać przedstawiony w OSR projektu dokumentu rządowego</w:t>
            </w:r>
            <w:r w:rsidRPr="00B22C04">
              <w:rPr>
                <w:rFonts w:cstheme="minorHAnsi"/>
                <w:sz w:val="18"/>
                <w:szCs w:val="18"/>
              </w:rPr>
              <w:t>. Wytyczna ta koresponduje z określonym w § 28 ust. 2 pkt 2a Regulaminu pracy Rady Ministrów obowiązkiem zawarcia w OSR informacji o wynikach analiz możliwości osiągnięcia celów projektu za pomocą innych środków.</w:t>
            </w:r>
          </w:p>
          <w:p w14:paraId="54AAE768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C94D7D6" w14:textId="1D02BDEE" w:rsidR="00077256" w:rsidRPr="00077256" w:rsidRDefault="00077256" w:rsidP="00077256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B22C04">
              <w:rPr>
                <w:rFonts w:cstheme="minorHAnsi"/>
                <w:b/>
                <w:bCs/>
                <w:sz w:val="18"/>
                <w:szCs w:val="18"/>
              </w:rPr>
              <w:t>Zatem szacowanie skutków przedmiotowego projektu powinno zostać poprzedzone szczegółową analizą wszystkich procedowanych zmian i dokonywaną na jej podstawie racjonalizacją potrzeb oraz odpowiednią organizacją, które będą prowadzić do sprawnego kierowania kadrami w ramach posiadanych środków.</w:t>
            </w:r>
          </w:p>
        </w:tc>
        <w:tc>
          <w:tcPr>
            <w:tcW w:w="8741" w:type="dxa"/>
          </w:tcPr>
          <w:p w14:paraId="27B1D92B" w14:textId="6E9D8C3B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 w:rsidRPr="00137412">
              <w:rPr>
                <w:rFonts w:cstheme="minorHAnsi"/>
                <w:sz w:val="18"/>
                <w:szCs w:val="18"/>
              </w:rPr>
              <w:lastRenderedPageBreak/>
              <w:t xml:space="preserve">Wyliczenia w tabeli w pkt 6 OSR nie uwzględniają </w:t>
            </w:r>
            <w:r w:rsidRPr="00C860EA">
              <w:rPr>
                <w:rFonts w:cstheme="minorHAnsi"/>
                <w:b/>
                <w:sz w:val="18"/>
                <w:szCs w:val="18"/>
                <w:u w:val="single"/>
              </w:rPr>
              <w:t>wydatków</w:t>
            </w:r>
            <w:r>
              <w:rPr>
                <w:rFonts w:cstheme="minorHAnsi"/>
                <w:sz w:val="18"/>
                <w:szCs w:val="18"/>
              </w:rPr>
              <w:t xml:space="preserve"> związanych z </w:t>
            </w:r>
            <w:r w:rsidRPr="00137412">
              <w:rPr>
                <w:rFonts w:cstheme="minorHAnsi"/>
                <w:sz w:val="18"/>
                <w:szCs w:val="18"/>
              </w:rPr>
              <w:t>zabezpieczeniem 3</w:t>
            </w:r>
            <w:r>
              <w:rPr>
                <w:rFonts w:cstheme="minorHAnsi"/>
                <w:sz w:val="18"/>
                <w:szCs w:val="18"/>
              </w:rPr>
              <w:t>6 </w:t>
            </w:r>
            <w:r w:rsidRPr="00137412">
              <w:rPr>
                <w:rFonts w:cstheme="minorHAnsi"/>
                <w:sz w:val="18"/>
                <w:szCs w:val="18"/>
              </w:rPr>
              <w:t>etatów na potrzeby formacji. Są one jedynie wzmiankowane poniżej w części opisowej poglądowo. Natomiast analiza w zakresie pracochłonnoś</w:t>
            </w:r>
            <w:r>
              <w:rPr>
                <w:rFonts w:cstheme="minorHAnsi"/>
                <w:sz w:val="18"/>
                <w:szCs w:val="18"/>
              </w:rPr>
              <w:t>ci zadań, procedowanych zmian i </w:t>
            </w:r>
            <w:r w:rsidRPr="00137412">
              <w:rPr>
                <w:rFonts w:cstheme="minorHAnsi"/>
                <w:sz w:val="18"/>
                <w:szCs w:val="18"/>
              </w:rPr>
              <w:t>dokonywana na jej podstawie racjonalizacja potrze</w:t>
            </w:r>
            <w:r>
              <w:rPr>
                <w:rFonts w:cstheme="minorHAnsi"/>
                <w:sz w:val="18"/>
                <w:szCs w:val="18"/>
              </w:rPr>
              <w:t xml:space="preserve">b, została w całości </w:t>
            </w:r>
            <w:r w:rsidRPr="00137412">
              <w:rPr>
                <w:rFonts w:cstheme="minorHAnsi"/>
                <w:sz w:val="18"/>
                <w:szCs w:val="18"/>
              </w:rPr>
              <w:t xml:space="preserve">uwzględniona na etapie tworzenia </w:t>
            </w:r>
            <w:r>
              <w:rPr>
                <w:rFonts w:cstheme="minorHAnsi"/>
                <w:sz w:val="18"/>
                <w:szCs w:val="18"/>
              </w:rPr>
              <w:t>ustawy</w:t>
            </w:r>
            <w:r w:rsidRPr="00137412">
              <w:rPr>
                <w:rFonts w:cstheme="minorHAnsi"/>
                <w:sz w:val="18"/>
                <w:szCs w:val="18"/>
              </w:rPr>
              <w:t xml:space="preserve"> z dnia 21 listopada 2025 r.</w:t>
            </w:r>
            <w:r>
              <w:rPr>
                <w:rFonts w:cstheme="minorHAnsi"/>
                <w:sz w:val="18"/>
                <w:szCs w:val="18"/>
              </w:rPr>
              <w:t xml:space="preserve"> o </w:t>
            </w:r>
            <w:r w:rsidR="00724D7A">
              <w:rPr>
                <w:rFonts w:cstheme="minorHAnsi"/>
                <w:sz w:val="18"/>
                <w:szCs w:val="18"/>
              </w:rPr>
              <w:t>ustanowieniu „</w:t>
            </w:r>
            <w:r w:rsidRPr="00137412">
              <w:rPr>
                <w:rFonts w:cstheme="minorHAnsi"/>
                <w:sz w:val="18"/>
                <w:szCs w:val="18"/>
              </w:rPr>
              <w:t>Programu modernizacji Policji, Straży Graniczne</w:t>
            </w:r>
            <w:r>
              <w:rPr>
                <w:rFonts w:cstheme="minorHAnsi"/>
                <w:sz w:val="18"/>
                <w:szCs w:val="18"/>
              </w:rPr>
              <w:t>j, Państwowej Straży Pożarnej i </w:t>
            </w:r>
            <w:r w:rsidRPr="00137412">
              <w:rPr>
                <w:rFonts w:cstheme="minorHAnsi"/>
                <w:sz w:val="18"/>
                <w:szCs w:val="18"/>
              </w:rPr>
              <w:t>Służby Ochrony P</w:t>
            </w:r>
            <w:r w:rsidR="00724D7A">
              <w:rPr>
                <w:rFonts w:cstheme="minorHAnsi"/>
                <w:sz w:val="18"/>
                <w:szCs w:val="18"/>
              </w:rPr>
              <w:t>aństwa w latach 2026-2029”</w:t>
            </w:r>
            <w:r>
              <w:rPr>
                <w:rFonts w:cstheme="minorHAnsi"/>
                <w:sz w:val="18"/>
                <w:szCs w:val="18"/>
              </w:rPr>
              <w:t xml:space="preserve"> (Dz. </w:t>
            </w:r>
            <w:r w:rsidR="00724D7A">
              <w:rPr>
                <w:rFonts w:cstheme="minorHAnsi"/>
                <w:sz w:val="18"/>
                <w:szCs w:val="18"/>
              </w:rPr>
              <w:t>U. poz. 1810)</w:t>
            </w:r>
            <w:r w:rsidRPr="00137412">
              <w:rPr>
                <w:rFonts w:cstheme="minorHAnsi"/>
                <w:sz w:val="18"/>
                <w:szCs w:val="18"/>
              </w:rPr>
              <w:t xml:space="preserve"> </w:t>
            </w:r>
            <w:r w:rsidR="00724D7A">
              <w:rPr>
                <w:rFonts w:cstheme="minorHAnsi"/>
                <w:sz w:val="18"/>
                <w:szCs w:val="18"/>
              </w:rPr>
              <w:br/>
              <w:t>i f</w:t>
            </w:r>
            <w:r w:rsidRPr="00137412">
              <w:rPr>
                <w:rFonts w:cstheme="minorHAnsi"/>
                <w:sz w:val="18"/>
                <w:szCs w:val="18"/>
              </w:rPr>
              <w:t>ormularza OSR do tej ustawy.</w:t>
            </w:r>
          </w:p>
          <w:p w14:paraId="6CE5033C" w14:textId="77777777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28BA12FA" w14:textId="77777777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0576D62B" w14:textId="54E9C87D" w:rsidR="00077256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Dla pełnej transparentności ujęto etaty potrzebne w strukturze KGSG, które nie będą finansowane w ramach zwiększenia limitu budżetowego, a ostatecznie zostaną sfinansowane </w:t>
            </w:r>
            <w:r w:rsidRPr="00943A20">
              <w:rPr>
                <w:rFonts w:cstheme="minorHAnsi"/>
                <w:b/>
                <w:sz w:val="18"/>
                <w:szCs w:val="18"/>
                <w:u w:val="single"/>
              </w:rPr>
              <w:t>w całości</w:t>
            </w:r>
            <w:r>
              <w:rPr>
                <w:rFonts w:cstheme="minorHAnsi"/>
                <w:sz w:val="18"/>
                <w:szCs w:val="18"/>
              </w:rPr>
              <w:t xml:space="preserve"> w ramach </w:t>
            </w:r>
            <w:r w:rsidRPr="00137412">
              <w:rPr>
                <w:rFonts w:cstheme="minorHAnsi"/>
                <w:i/>
                <w:sz w:val="18"/>
                <w:szCs w:val="18"/>
              </w:rPr>
              <w:t xml:space="preserve">Programu Modernizacji Policji, Straży </w:t>
            </w:r>
            <w:r w:rsidRPr="001A5F0C">
              <w:rPr>
                <w:rFonts w:cstheme="minorHAnsi"/>
                <w:i/>
                <w:sz w:val="18"/>
                <w:szCs w:val="18"/>
              </w:rPr>
              <w:t>Granicznej, Państwowej Straży Pożarnej i Służby Ochrony Państwa na lata 2026 – 2029</w:t>
            </w:r>
            <w:r w:rsidRPr="001A5F0C">
              <w:rPr>
                <w:rFonts w:cstheme="minorHAnsi"/>
                <w:sz w:val="18"/>
                <w:szCs w:val="18"/>
              </w:rPr>
              <w:t>.  Te nowe etaty będą miały pozytywny wpływ na zatrudnienie i gospodarkę z racji utworzenia dodatkowych miejsc pracy. Niezaprzeczany i  pozytywny wpływ nowego zatrudnienia ujęto również w pkt. 7 „</w:t>
            </w:r>
            <w:r w:rsidRPr="00EA4955">
              <w:rPr>
                <w:rFonts w:cstheme="minorHAnsi"/>
                <w:sz w:val="18"/>
                <w:szCs w:val="18"/>
              </w:rPr>
              <w:t>Wpływ na konkurencyjność go</w:t>
            </w:r>
            <w:r>
              <w:rPr>
                <w:rFonts w:cstheme="minorHAnsi"/>
                <w:sz w:val="18"/>
                <w:szCs w:val="18"/>
              </w:rPr>
              <w:t>spodarki i przedsiębiorczość, w </w:t>
            </w:r>
            <w:r w:rsidRPr="00EA4955">
              <w:rPr>
                <w:rFonts w:cstheme="minorHAnsi"/>
                <w:sz w:val="18"/>
                <w:szCs w:val="18"/>
              </w:rPr>
              <w:t xml:space="preserve">tym funkcjonowanie przedsiębiorców oraz na rodzinę, obywateli i gospodarstwa domowe” </w:t>
            </w:r>
            <w:r w:rsidRPr="001A5F0C">
              <w:rPr>
                <w:rFonts w:cstheme="minorHAnsi"/>
                <w:sz w:val="18"/>
                <w:szCs w:val="18"/>
              </w:rPr>
              <w:t xml:space="preserve">Biorąc pod uwagę </w:t>
            </w:r>
            <w:r w:rsidR="00724D7A">
              <w:rPr>
                <w:rFonts w:cstheme="minorHAnsi"/>
                <w:sz w:val="18"/>
                <w:szCs w:val="18"/>
              </w:rPr>
              <w:t>znaczne</w:t>
            </w:r>
            <w:bookmarkStart w:id="0" w:name="_GoBack"/>
            <w:bookmarkEnd w:id="0"/>
            <w:r w:rsidRPr="001A5F0C">
              <w:rPr>
                <w:rFonts w:cstheme="minorHAnsi"/>
                <w:sz w:val="18"/>
                <w:szCs w:val="18"/>
              </w:rPr>
              <w:t xml:space="preserve"> wpływy do budżetu, z faktu przeznaczenia środków z programu Moder</w:t>
            </w:r>
            <w:r>
              <w:rPr>
                <w:rFonts w:cstheme="minorHAnsi"/>
                <w:sz w:val="18"/>
                <w:szCs w:val="18"/>
              </w:rPr>
              <w:t>nizacji w </w:t>
            </w:r>
            <w:r w:rsidRPr="001A5F0C">
              <w:rPr>
                <w:rFonts w:cstheme="minorHAnsi"/>
                <w:sz w:val="18"/>
                <w:szCs w:val="18"/>
              </w:rPr>
              <w:t xml:space="preserve">postaci podatków oraz wydatków konsumpcyjnych - zasadnym wydaję się podkreślenie pozytywnych aspektów </w:t>
            </w:r>
            <w:r w:rsidR="00724D7A">
              <w:rPr>
                <w:rFonts w:cstheme="minorHAnsi"/>
                <w:sz w:val="18"/>
                <w:szCs w:val="18"/>
              </w:rPr>
              <w:br/>
            </w:r>
            <w:r w:rsidRPr="001A5F0C">
              <w:rPr>
                <w:rFonts w:cstheme="minorHAnsi"/>
                <w:sz w:val="18"/>
                <w:szCs w:val="18"/>
              </w:rPr>
              <w:t xml:space="preserve">z wdrożenia projektu ustawy. </w:t>
            </w:r>
          </w:p>
          <w:p w14:paraId="5529054E" w14:textId="77777777" w:rsidR="00077256" w:rsidRPr="00137412" w:rsidRDefault="00077256" w:rsidP="0007725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D4E6A" w:rsidRPr="003265FD" w14:paraId="046DDB48" w14:textId="77777777" w:rsidTr="00CC2220">
        <w:tc>
          <w:tcPr>
            <w:tcW w:w="15115" w:type="dxa"/>
            <w:gridSpan w:val="5"/>
          </w:tcPr>
          <w:p w14:paraId="0F7E8981" w14:textId="4D390C2D" w:rsidR="00FE6BBE" w:rsidRPr="003265FD" w:rsidRDefault="00BD4E6A" w:rsidP="00132D19">
            <w:pPr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3265FD">
              <w:rPr>
                <w:rFonts w:eastAsia="Times New Roman" w:cstheme="minorHAnsi"/>
                <w:b/>
                <w:lang w:eastAsia="pl-PL"/>
              </w:rPr>
              <w:t xml:space="preserve">Projektodawca proponuje, aby rozstrzygnięcie odnośnie do powyższych uwag </w:t>
            </w:r>
            <w:r w:rsidRPr="00993DEE">
              <w:rPr>
                <w:rFonts w:eastAsia="Times New Roman" w:cstheme="minorHAnsi"/>
                <w:b/>
                <w:lang w:eastAsia="pl-PL"/>
              </w:rPr>
              <w:t>zostało pozostawione Stałemu Komitetowi Rady Ministrów.</w:t>
            </w:r>
          </w:p>
        </w:tc>
      </w:tr>
    </w:tbl>
    <w:p w14:paraId="0581FC3A" w14:textId="77777777" w:rsidR="000268B0" w:rsidRPr="003265FD" w:rsidRDefault="000268B0" w:rsidP="00E80AE3">
      <w:pPr>
        <w:rPr>
          <w:rFonts w:cstheme="minorHAnsi"/>
        </w:rPr>
      </w:pPr>
    </w:p>
    <w:sectPr w:rsidR="000268B0" w:rsidRPr="003265FD" w:rsidSect="00C019E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2AF2E" w14:textId="77777777" w:rsidR="00380F8C" w:rsidRDefault="00380F8C" w:rsidP="006979F4">
      <w:pPr>
        <w:spacing w:after="0" w:line="240" w:lineRule="auto"/>
      </w:pPr>
      <w:r>
        <w:separator/>
      </w:r>
    </w:p>
  </w:endnote>
  <w:endnote w:type="continuationSeparator" w:id="0">
    <w:p w14:paraId="66CEB4D8" w14:textId="77777777" w:rsidR="00380F8C" w:rsidRDefault="00380F8C" w:rsidP="0069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3706198"/>
      <w:docPartObj>
        <w:docPartGallery w:val="Page Numbers (Bottom of Page)"/>
        <w:docPartUnique/>
      </w:docPartObj>
    </w:sdtPr>
    <w:sdtEndPr/>
    <w:sdtContent>
      <w:p w14:paraId="0B1F9C78" w14:textId="0C1AAA19" w:rsidR="008D683A" w:rsidRDefault="008D683A">
        <w:pPr>
          <w:pStyle w:val="Stopka"/>
          <w:jc w:val="center"/>
        </w:pPr>
        <w:r w:rsidRPr="006F75EF">
          <w:rPr>
            <w:sz w:val="16"/>
            <w:szCs w:val="16"/>
          </w:rPr>
          <w:fldChar w:fldCharType="begin"/>
        </w:r>
        <w:r w:rsidRPr="006F75EF">
          <w:rPr>
            <w:sz w:val="16"/>
            <w:szCs w:val="16"/>
          </w:rPr>
          <w:instrText>PAGE   \* MERGEFORMAT</w:instrText>
        </w:r>
        <w:r w:rsidRPr="006F75EF">
          <w:rPr>
            <w:sz w:val="16"/>
            <w:szCs w:val="16"/>
          </w:rPr>
          <w:fldChar w:fldCharType="separate"/>
        </w:r>
        <w:r w:rsidR="00724D7A">
          <w:rPr>
            <w:noProof/>
            <w:sz w:val="16"/>
            <w:szCs w:val="16"/>
          </w:rPr>
          <w:t>4</w:t>
        </w:r>
        <w:r w:rsidRPr="006F75EF">
          <w:rPr>
            <w:sz w:val="16"/>
            <w:szCs w:val="16"/>
          </w:rPr>
          <w:fldChar w:fldCharType="end"/>
        </w:r>
      </w:p>
    </w:sdtContent>
  </w:sdt>
  <w:p w14:paraId="56C25539" w14:textId="77777777" w:rsidR="008D683A" w:rsidRDefault="008D68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07B3B" w14:textId="77777777" w:rsidR="00380F8C" w:rsidRDefault="00380F8C" w:rsidP="006979F4">
      <w:pPr>
        <w:spacing w:after="0" w:line="240" w:lineRule="auto"/>
      </w:pPr>
      <w:r>
        <w:separator/>
      </w:r>
    </w:p>
  </w:footnote>
  <w:footnote w:type="continuationSeparator" w:id="0">
    <w:p w14:paraId="3C7140A2" w14:textId="77777777" w:rsidR="00380F8C" w:rsidRDefault="00380F8C" w:rsidP="0069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28C"/>
    <w:multiLevelType w:val="multilevel"/>
    <w:tmpl w:val="95BCE5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7D388A"/>
    <w:multiLevelType w:val="hybridMultilevel"/>
    <w:tmpl w:val="D80830BC"/>
    <w:lvl w:ilvl="0" w:tplc="1C5EBE9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7E03BD8"/>
    <w:multiLevelType w:val="hybridMultilevel"/>
    <w:tmpl w:val="AD6ED5A4"/>
    <w:lvl w:ilvl="0" w:tplc="EAA8D1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25313A"/>
    <w:multiLevelType w:val="hybridMultilevel"/>
    <w:tmpl w:val="46C2D52A"/>
    <w:lvl w:ilvl="0" w:tplc="BE7AD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3154E8"/>
    <w:multiLevelType w:val="hybridMultilevel"/>
    <w:tmpl w:val="30AEF776"/>
    <w:lvl w:ilvl="0" w:tplc="3508E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3A2F"/>
    <w:multiLevelType w:val="hybridMultilevel"/>
    <w:tmpl w:val="19F4F2D8"/>
    <w:lvl w:ilvl="0" w:tplc="3B5EEA0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422E0"/>
    <w:multiLevelType w:val="hybridMultilevel"/>
    <w:tmpl w:val="AD6ED5A4"/>
    <w:lvl w:ilvl="0" w:tplc="EAA8D1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AB33B9"/>
    <w:multiLevelType w:val="hybridMultilevel"/>
    <w:tmpl w:val="CBA04C34"/>
    <w:lvl w:ilvl="0" w:tplc="FCB0B30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2C0AA3"/>
    <w:multiLevelType w:val="multilevel"/>
    <w:tmpl w:val="74E4A8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8B5A25"/>
    <w:multiLevelType w:val="hybridMultilevel"/>
    <w:tmpl w:val="46C2D52A"/>
    <w:lvl w:ilvl="0" w:tplc="BE7AD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A25BBF"/>
    <w:multiLevelType w:val="hybridMultilevel"/>
    <w:tmpl w:val="F0A472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00BFA"/>
    <w:multiLevelType w:val="hybridMultilevel"/>
    <w:tmpl w:val="02A4CEA6"/>
    <w:lvl w:ilvl="0" w:tplc="CF7AFDB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8075438"/>
    <w:multiLevelType w:val="hybridMultilevel"/>
    <w:tmpl w:val="E5F200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41E88"/>
    <w:multiLevelType w:val="hybridMultilevel"/>
    <w:tmpl w:val="1D7EC5A8"/>
    <w:lvl w:ilvl="0" w:tplc="802A52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DD4C63"/>
    <w:multiLevelType w:val="hybridMultilevel"/>
    <w:tmpl w:val="DDA48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C4B4D"/>
    <w:multiLevelType w:val="hybridMultilevel"/>
    <w:tmpl w:val="292A9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F7507"/>
    <w:multiLevelType w:val="hybridMultilevel"/>
    <w:tmpl w:val="C2C47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9469A"/>
    <w:multiLevelType w:val="hybridMultilevel"/>
    <w:tmpl w:val="67EAE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807C9"/>
    <w:multiLevelType w:val="hybridMultilevel"/>
    <w:tmpl w:val="AF7EF71E"/>
    <w:lvl w:ilvl="0" w:tplc="30D6FC7A">
      <w:start w:val="19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739CB"/>
    <w:multiLevelType w:val="hybridMultilevel"/>
    <w:tmpl w:val="A308FA34"/>
    <w:lvl w:ilvl="0" w:tplc="7B7CC8E2">
      <w:start w:val="1"/>
      <w:numFmt w:val="lowerLetter"/>
      <w:lvlText w:val="%1)"/>
      <w:lvlJc w:val="left"/>
      <w:pPr>
        <w:ind w:left="69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20" w15:restartNumberingAfterBreak="0">
    <w:nsid w:val="45627AA0"/>
    <w:multiLevelType w:val="hybridMultilevel"/>
    <w:tmpl w:val="32F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97461"/>
    <w:multiLevelType w:val="hybridMultilevel"/>
    <w:tmpl w:val="F37A1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512F4"/>
    <w:multiLevelType w:val="hybridMultilevel"/>
    <w:tmpl w:val="19F8B9B0"/>
    <w:lvl w:ilvl="0" w:tplc="1C6CCB9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55282E51"/>
    <w:multiLevelType w:val="multilevel"/>
    <w:tmpl w:val="3B78DE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8F585D"/>
    <w:multiLevelType w:val="hybridMultilevel"/>
    <w:tmpl w:val="18782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755E4"/>
    <w:multiLevelType w:val="hybridMultilevel"/>
    <w:tmpl w:val="396A0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600D2"/>
    <w:multiLevelType w:val="hybridMultilevel"/>
    <w:tmpl w:val="05E0BC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C680A"/>
    <w:multiLevelType w:val="hybridMultilevel"/>
    <w:tmpl w:val="1D7EC5A8"/>
    <w:lvl w:ilvl="0" w:tplc="802A52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6771EE"/>
    <w:multiLevelType w:val="multilevel"/>
    <w:tmpl w:val="F7F28F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5C63A7"/>
    <w:multiLevelType w:val="hybridMultilevel"/>
    <w:tmpl w:val="9B9C3772"/>
    <w:lvl w:ilvl="0" w:tplc="3508E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0EE1"/>
    <w:multiLevelType w:val="hybridMultilevel"/>
    <w:tmpl w:val="D180B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C106A"/>
    <w:multiLevelType w:val="hybridMultilevel"/>
    <w:tmpl w:val="2DF6B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C7145"/>
    <w:multiLevelType w:val="hybridMultilevel"/>
    <w:tmpl w:val="B6DE14C6"/>
    <w:lvl w:ilvl="0" w:tplc="667AEB5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B4005"/>
    <w:multiLevelType w:val="hybridMultilevel"/>
    <w:tmpl w:val="BE184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81162"/>
    <w:multiLevelType w:val="hybridMultilevel"/>
    <w:tmpl w:val="31029838"/>
    <w:lvl w:ilvl="0" w:tplc="8ECA60B0">
      <w:start w:val="1"/>
      <w:numFmt w:val="bullet"/>
      <w:lvlText w:val="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8B75351"/>
    <w:multiLevelType w:val="hybridMultilevel"/>
    <w:tmpl w:val="675C9DC0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6" w15:restartNumberingAfterBreak="0">
    <w:nsid w:val="7E526353"/>
    <w:multiLevelType w:val="hybridMultilevel"/>
    <w:tmpl w:val="AD6ED5A4"/>
    <w:lvl w:ilvl="0" w:tplc="EAA8D1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F953D64"/>
    <w:multiLevelType w:val="hybridMultilevel"/>
    <w:tmpl w:val="0A8A9F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9"/>
  </w:num>
  <w:num w:numId="5">
    <w:abstractNumId w:val="7"/>
  </w:num>
  <w:num w:numId="6">
    <w:abstractNumId w:val="22"/>
  </w:num>
  <w:num w:numId="7">
    <w:abstractNumId w:val="9"/>
  </w:num>
  <w:num w:numId="8">
    <w:abstractNumId w:val="3"/>
  </w:num>
  <w:num w:numId="9">
    <w:abstractNumId w:val="19"/>
  </w:num>
  <w:num w:numId="10">
    <w:abstractNumId w:val="32"/>
  </w:num>
  <w:num w:numId="11">
    <w:abstractNumId w:val="36"/>
  </w:num>
  <w:num w:numId="12">
    <w:abstractNumId w:val="2"/>
  </w:num>
  <w:num w:numId="13">
    <w:abstractNumId w:val="27"/>
  </w:num>
  <w:num w:numId="14">
    <w:abstractNumId w:val="13"/>
  </w:num>
  <w:num w:numId="15">
    <w:abstractNumId w:val="8"/>
  </w:num>
  <w:num w:numId="16">
    <w:abstractNumId w:val="23"/>
  </w:num>
  <w:num w:numId="17">
    <w:abstractNumId w:val="0"/>
  </w:num>
  <w:num w:numId="18">
    <w:abstractNumId w:val="28"/>
  </w:num>
  <w:num w:numId="19">
    <w:abstractNumId w:val="18"/>
  </w:num>
  <w:num w:numId="20">
    <w:abstractNumId w:val="10"/>
  </w:num>
  <w:num w:numId="21">
    <w:abstractNumId w:val="37"/>
  </w:num>
  <w:num w:numId="22">
    <w:abstractNumId w:val="26"/>
  </w:num>
  <w:num w:numId="23">
    <w:abstractNumId w:val="24"/>
  </w:num>
  <w:num w:numId="24">
    <w:abstractNumId w:val="30"/>
  </w:num>
  <w:num w:numId="25">
    <w:abstractNumId w:val="31"/>
  </w:num>
  <w:num w:numId="26">
    <w:abstractNumId w:val="17"/>
  </w:num>
  <w:num w:numId="27">
    <w:abstractNumId w:val="12"/>
  </w:num>
  <w:num w:numId="28">
    <w:abstractNumId w:val="25"/>
  </w:num>
  <w:num w:numId="29">
    <w:abstractNumId w:val="14"/>
  </w:num>
  <w:num w:numId="30">
    <w:abstractNumId w:val="35"/>
  </w:num>
  <w:num w:numId="31">
    <w:abstractNumId w:val="21"/>
  </w:num>
  <w:num w:numId="32">
    <w:abstractNumId w:val="34"/>
  </w:num>
  <w:num w:numId="33">
    <w:abstractNumId w:val="5"/>
  </w:num>
  <w:num w:numId="34">
    <w:abstractNumId w:val="20"/>
  </w:num>
  <w:num w:numId="35">
    <w:abstractNumId w:val="33"/>
  </w:num>
  <w:num w:numId="36">
    <w:abstractNumId w:val="16"/>
  </w:num>
  <w:num w:numId="37">
    <w:abstractNumId w:val="15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7F"/>
    <w:rsid w:val="000004D8"/>
    <w:rsid w:val="00001CF8"/>
    <w:rsid w:val="00002EA1"/>
    <w:rsid w:val="00010D35"/>
    <w:rsid w:val="0001428F"/>
    <w:rsid w:val="00014FF1"/>
    <w:rsid w:val="000169C1"/>
    <w:rsid w:val="00021708"/>
    <w:rsid w:val="00023A43"/>
    <w:rsid w:val="00024172"/>
    <w:rsid w:val="000268B0"/>
    <w:rsid w:val="00027335"/>
    <w:rsid w:val="000320F7"/>
    <w:rsid w:val="00036FBB"/>
    <w:rsid w:val="00040E61"/>
    <w:rsid w:val="00044333"/>
    <w:rsid w:val="000454BA"/>
    <w:rsid w:val="00053CB9"/>
    <w:rsid w:val="00055C0E"/>
    <w:rsid w:val="00062BE1"/>
    <w:rsid w:val="000639BB"/>
    <w:rsid w:val="000703CF"/>
    <w:rsid w:val="0007267C"/>
    <w:rsid w:val="00073105"/>
    <w:rsid w:val="00074E13"/>
    <w:rsid w:val="00075258"/>
    <w:rsid w:val="00076873"/>
    <w:rsid w:val="00077256"/>
    <w:rsid w:val="00077272"/>
    <w:rsid w:val="000772C6"/>
    <w:rsid w:val="00080A2E"/>
    <w:rsid w:val="000870AA"/>
    <w:rsid w:val="00087CF1"/>
    <w:rsid w:val="0009131C"/>
    <w:rsid w:val="000939B5"/>
    <w:rsid w:val="00093F46"/>
    <w:rsid w:val="00094B44"/>
    <w:rsid w:val="00097C37"/>
    <w:rsid w:val="000A3B68"/>
    <w:rsid w:val="000B0D8F"/>
    <w:rsid w:val="000B3322"/>
    <w:rsid w:val="000B3EE1"/>
    <w:rsid w:val="000B5CAD"/>
    <w:rsid w:val="000B5E34"/>
    <w:rsid w:val="000B7BE8"/>
    <w:rsid w:val="000C3163"/>
    <w:rsid w:val="000C3948"/>
    <w:rsid w:val="000C4AEF"/>
    <w:rsid w:val="000C5752"/>
    <w:rsid w:val="000D03CF"/>
    <w:rsid w:val="000D06DA"/>
    <w:rsid w:val="000D2100"/>
    <w:rsid w:val="000D4A12"/>
    <w:rsid w:val="000D65AC"/>
    <w:rsid w:val="000D6C0C"/>
    <w:rsid w:val="000D6DAC"/>
    <w:rsid w:val="000D6ECE"/>
    <w:rsid w:val="000E156B"/>
    <w:rsid w:val="000E7F4C"/>
    <w:rsid w:val="000F0203"/>
    <w:rsid w:val="000F0B53"/>
    <w:rsid w:val="000F1613"/>
    <w:rsid w:val="000F1F4E"/>
    <w:rsid w:val="000F3DFD"/>
    <w:rsid w:val="000F570D"/>
    <w:rsid w:val="000F5D7F"/>
    <w:rsid w:val="0010180C"/>
    <w:rsid w:val="00102DCC"/>
    <w:rsid w:val="00103749"/>
    <w:rsid w:val="00111D73"/>
    <w:rsid w:val="00120130"/>
    <w:rsid w:val="00120B24"/>
    <w:rsid w:val="00120E77"/>
    <w:rsid w:val="001253B8"/>
    <w:rsid w:val="00125481"/>
    <w:rsid w:val="00127A48"/>
    <w:rsid w:val="001325F2"/>
    <w:rsid w:val="00132D19"/>
    <w:rsid w:val="00133E0E"/>
    <w:rsid w:val="00135FA5"/>
    <w:rsid w:val="001400FA"/>
    <w:rsid w:val="0014054D"/>
    <w:rsid w:val="00142F5F"/>
    <w:rsid w:val="00145AA6"/>
    <w:rsid w:val="00146020"/>
    <w:rsid w:val="00147B22"/>
    <w:rsid w:val="00154FCD"/>
    <w:rsid w:val="001551E7"/>
    <w:rsid w:val="0015589A"/>
    <w:rsid w:val="00162410"/>
    <w:rsid w:val="001729CE"/>
    <w:rsid w:val="00174DBF"/>
    <w:rsid w:val="00175436"/>
    <w:rsid w:val="00175849"/>
    <w:rsid w:val="001759BD"/>
    <w:rsid w:val="00177E4A"/>
    <w:rsid w:val="00180209"/>
    <w:rsid w:val="00181A96"/>
    <w:rsid w:val="00185327"/>
    <w:rsid w:val="001906E6"/>
    <w:rsid w:val="0019109C"/>
    <w:rsid w:val="0019154A"/>
    <w:rsid w:val="00196157"/>
    <w:rsid w:val="0019785C"/>
    <w:rsid w:val="001A1CF1"/>
    <w:rsid w:val="001A2910"/>
    <w:rsid w:val="001A5D41"/>
    <w:rsid w:val="001B1703"/>
    <w:rsid w:val="001B2246"/>
    <w:rsid w:val="001B2C40"/>
    <w:rsid w:val="001B3A62"/>
    <w:rsid w:val="001B4871"/>
    <w:rsid w:val="001B6584"/>
    <w:rsid w:val="001B758B"/>
    <w:rsid w:val="001B7FAB"/>
    <w:rsid w:val="001C0264"/>
    <w:rsid w:val="001C2715"/>
    <w:rsid w:val="001C768F"/>
    <w:rsid w:val="001D0E14"/>
    <w:rsid w:val="001D38E2"/>
    <w:rsid w:val="001D62A1"/>
    <w:rsid w:val="001D6392"/>
    <w:rsid w:val="001E194F"/>
    <w:rsid w:val="001E46DE"/>
    <w:rsid w:val="001E5169"/>
    <w:rsid w:val="001E6333"/>
    <w:rsid w:val="001F0D81"/>
    <w:rsid w:val="001F30CE"/>
    <w:rsid w:val="001F34AB"/>
    <w:rsid w:val="001F5C26"/>
    <w:rsid w:val="001F7228"/>
    <w:rsid w:val="001F792E"/>
    <w:rsid w:val="0020053B"/>
    <w:rsid w:val="0020600B"/>
    <w:rsid w:val="0021072E"/>
    <w:rsid w:val="002139AF"/>
    <w:rsid w:val="00213BB3"/>
    <w:rsid w:val="00214A6F"/>
    <w:rsid w:val="002158C0"/>
    <w:rsid w:val="00222B33"/>
    <w:rsid w:val="002238D0"/>
    <w:rsid w:val="00224C33"/>
    <w:rsid w:val="002267F4"/>
    <w:rsid w:val="002268A2"/>
    <w:rsid w:val="0023275F"/>
    <w:rsid w:val="002340B6"/>
    <w:rsid w:val="002459AC"/>
    <w:rsid w:val="002466A2"/>
    <w:rsid w:val="00247BD0"/>
    <w:rsid w:val="00251D43"/>
    <w:rsid w:val="00256A6B"/>
    <w:rsid w:val="002609E9"/>
    <w:rsid w:val="00273ED3"/>
    <w:rsid w:val="002770B5"/>
    <w:rsid w:val="00277889"/>
    <w:rsid w:val="00286EB2"/>
    <w:rsid w:val="00287063"/>
    <w:rsid w:val="00291D4C"/>
    <w:rsid w:val="00294A1E"/>
    <w:rsid w:val="00294ED0"/>
    <w:rsid w:val="00295F87"/>
    <w:rsid w:val="002A01A5"/>
    <w:rsid w:val="002A3A99"/>
    <w:rsid w:val="002A512B"/>
    <w:rsid w:val="002A69AF"/>
    <w:rsid w:val="002B1B07"/>
    <w:rsid w:val="002B3289"/>
    <w:rsid w:val="002B4750"/>
    <w:rsid w:val="002B55D8"/>
    <w:rsid w:val="002B69FA"/>
    <w:rsid w:val="002C23C6"/>
    <w:rsid w:val="002C3E13"/>
    <w:rsid w:val="002C4DB9"/>
    <w:rsid w:val="002C5322"/>
    <w:rsid w:val="002D22B7"/>
    <w:rsid w:val="002D596A"/>
    <w:rsid w:val="002D76B1"/>
    <w:rsid w:val="002D7881"/>
    <w:rsid w:val="002D7C24"/>
    <w:rsid w:val="002E702C"/>
    <w:rsid w:val="002F1A80"/>
    <w:rsid w:val="002F2EC4"/>
    <w:rsid w:val="002F5F39"/>
    <w:rsid w:val="002F76E5"/>
    <w:rsid w:val="00300D6D"/>
    <w:rsid w:val="003018C2"/>
    <w:rsid w:val="003029BC"/>
    <w:rsid w:val="00303976"/>
    <w:rsid w:val="00303A6B"/>
    <w:rsid w:val="003046BA"/>
    <w:rsid w:val="00304953"/>
    <w:rsid w:val="00305E2A"/>
    <w:rsid w:val="00314BBF"/>
    <w:rsid w:val="00316A76"/>
    <w:rsid w:val="003205E0"/>
    <w:rsid w:val="003221AB"/>
    <w:rsid w:val="003265FD"/>
    <w:rsid w:val="0032692A"/>
    <w:rsid w:val="00333EAC"/>
    <w:rsid w:val="003370FB"/>
    <w:rsid w:val="00341847"/>
    <w:rsid w:val="00342A1B"/>
    <w:rsid w:val="00344647"/>
    <w:rsid w:val="00344C7D"/>
    <w:rsid w:val="00345F2B"/>
    <w:rsid w:val="003463E1"/>
    <w:rsid w:val="00351B6A"/>
    <w:rsid w:val="0035294C"/>
    <w:rsid w:val="00356EC0"/>
    <w:rsid w:val="00363626"/>
    <w:rsid w:val="00364240"/>
    <w:rsid w:val="0036427F"/>
    <w:rsid w:val="00366A6F"/>
    <w:rsid w:val="00370EA6"/>
    <w:rsid w:val="00373385"/>
    <w:rsid w:val="00376482"/>
    <w:rsid w:val="00380F8C"/>
    <w:rsid w:val="00384C18"/>
    <w:rsid w:val="00386882"/>
    <w:rsid w:val="00387EBD"/>
    <w:rsid w:val="00393524"/>
    <w:rsid w:val="003970F4"/>
    <w:rsid w:val="00397F92"/>
    <w:rsid w:val="003A25FD"/>
    <w:rsid w:val="003A3812"/>
    <w:rsid w:val="003A4B18"/>
    <w:rsid w:val="003A77D3"/>
    <w:rsid w:val="003B0257"/>
    <w:rsid w:val="003B051D"/>
    <w:rsid w:val="003B0F15"/>
    <w:rsid w:val="003B17B9"/>
    <w:rsid w:val="003C58C6"/>
    <w:rsid w:val="003C622A"/>
    <w:rsid w:val="003D1B70"/>
    <w:rsid w:val="003D2B5B"/>
    <w:rsid w:val="003D5C4E"/>
    <w:rsid w:val="003D6755"/>
    <w:rsid w:val="003D6A1A"/>
    <w:rsid w:val="003E0A60"/>
    <w:rsid w:val="003E0FE8"/>
    <w:rsid w:val="003E773F"/>
    <w:rsid w:val="003F20E7"/>
    <w:rsid w:val="003F2B84"/>
    <w:rsid w:val="003F4C6C"/>
    <w:rsid w:val="003F6BBC"/>
    <w:rsid w:val="00403FF3"/>
    <w:rsid w:val="004045CA"/>
    <w:rsid w:val="00406998"/>
    <w:rsid w:val="00406A59"/>
    <w:rsid w:val="004101C0"/>
    <w:rsid w:val="004109FA"/>
    <w:rsid w:val="00411B21"/>
    <w:rsid w:val="00416C34"/>
    <w:rsid w:val="004201B3"/>
    <w:rsid w:val="00421D23"/>
    <w:rsid w:val="00424221"/>
    <w:rsid w:val="00424E30"/>
    <w:rsid w:val="00424EB1"/>
    <w:rsid w:val="00425580"/>
    <w:rsid w:val="004312A7"/>
    <w:rsid w:val="004317CF"/>
    <w:rsid w:val="00431F27"/>
    <w:rsid w:val="00434978"/>
    <w:rsid w:val="004356D4"/>
    <w:rsid w:val="00435911"/>
    <w:rsid w:val="004375EC"/>
    <w:rsid w:val="00437949"/>
    <w:rsid w:val="00440611"/>
    <w:rsid w:val="00443AB5"/>
    <w:rsid w:val="00453C38"/>
    <w:rsid w:val="00453F62"/>
    <w:rsid w:val="004551A6"/>
    <w:rsid w:val="00457A01"/>
    <w:rsid w:val="00461104"/>
    <w:rsid w:val="00461670"/>
    <w:rsid w:val="00462773"/>
    <w:rsid w:val="00463D3B"/>
    <w:rsid w:val="00467BE0"/>
    <w:rsid w:val="00470476"/>
    <w:rsid w:val="0047251F"/>
    <w:rsid w:val="00472FE7"/>
    <w:rsid w:val="00473EB3"/>
    <w:rsid w:val="004763A2"/>
    <w:rsid w:val="00477088"/>
    <w:rsid w:val="00482220"/>
    <w:rsid w:val="00482F24"/>
    <w:rsid w:val="0048339F"/>
    <w:rsid w:val="0048385F"/>
    <w:rsid w:val="00483CE4"/>
    <w:rsid w:val="00490176"/>
    <w:rsid w:val="004929DA"/>
    <w:rsid w:val="00497CBB"/>
    <w:rsid w:val="00497F47"/>
    <w:rsid w:val="004A3233"/>
    <w:rsid w:val="004A36AD"/>
    <w:rsid w:val="004B0DFB"/>
    <w:rsid w:val="004B1F84"/>
    <w:rsid w:val="004B345B"/>
    <w:rsid w:val="004B36A2"/>
    <w:rsid w:val="004B48E8"/>
    <w:rsid w:val="004B767F"/>
    <w:rsid w:val="004C22D0"/>
    <w:rsid w:val="004C5556"/>
    <w:rsid w:val="004C706C"/>
    <w:rsid w:val="004D012F"/>
    <w:rsid w:val="004D1B25"/>
    <w:rsid w:val="004D49D3"/>
    <w:rsid w:val="004D57AC"/>
    <w:rsid w:val="004E11B7"/>
    <w:rsid w:val="004E3902"/>
    <w:rsid w:val="004E3D12"/>
    <w:rsid w:val="004E495B"/>
    <w:rsid w:val="004F296D"/>
    <w:rsid w:val="004F2F87"/>
    <w:rsid w:val="00512296"/>
    <w:rsid w:val="005139D4"/>
    <w:rsid w:val="0051409F"/>
    <w:rsid w:val="00515BAF"/>
    <w:rsid w:val="005161C8"/>
    <w:rsid w:val="00516DED"/>
    <w:rsid w:val="005214A4"/>
    <w:rsid w:val="00522703"/>
    <w:rsid w:val="005247C0"/>
    <w:rsid w:val="005279F9"/>
    <w:rsid w:val="0053005B"/>
    <w:rsid w:val="005317E7"/>
    <w:rsid w:val="005333B8"/>
    <w:rsid w:val="00533498"/>
    <w:rsid w:val="00534612"/>
    <w:rsid w:val="00534B32"/>
    <w:rsid w:val="005359EE"/>
    <w:rsid w:val="0054174C"/>
    <w:rsid w:val="00543DCF"/>
    <w:rsid w:val="0054431D"/>
    <w:rsid w:val="00544A5D"/>
    <w:rsid w:val="00545B23"/>
    <w:rsid w:val="00546A06"/>
    <w:rsid w:val="00547BDE"/>
    <w:rsid w:val="00547F29"/>
    <w:rsid w:val="00552AFF"/>
    <w:rsid w:val="0055311F"/>
    <w:rsid w:val="005536D6"/>
    <w:rsid w:val="0055463F"/>
    <w:rsid w:val="00554A50"/>
    <w:rsid w:val="005553DC"/>
    <w:rsid w:val="00556BDB"/>
    <w:rsid w:val="00557884"/>
    <w:rsid w:val="00561033"/>
    <w:rsid w:val="00562FE5"/>
    <w:rsid w:val="005630C8"/>
    <w:rsid w:val="00563B83"/>
    <w:rsid w:val="00565BF7"/>
    <w:rsid w:val="00566491"/>
    <w:rsid w:val="00572BBE"/>
    <w:rsid w:val="005805B4"/>
    <w:rsid w:val="00580B6E"/>
    <w:rsid w:val="00580F49"/>
    <w:rsid w:val="00585F3E"/>
    <w:rsid w:val="00586889"/>
    <w:rsid w:val="005937E0"/>
    <w:rsid w:val="005A42CB"/>
    <w:rsid w:val="005A6794"/>
    <w:rsid w:val="005A6820"/>
    <w:rsid w:val="005A7A57"/>
    <w:rsid w:val="005A7CE4"/>
    <w:rsid w:val="005B1792"/>
    <w:rsid w:val="005B2AB7"/>
    <w:rsid w:val="005B5ABE"/>
    <w:rsid w:val="005B79B3"/>
    <w:rsid w:val="005C2AB6"/>
    <w:rsid w:val="005C31F4"/>
    <w:rsid w:val="005C71A6"/>
    <w:rsid w:val="005D14EC"/>
    <w:rsid w:val="005D55E2"/>
    <w:rsid w:val="005D73D7"/>
    <w:rsid w:val="005E2652"/>
    <w:rsid w:val="005E5692"/>
    <w:rsid w:val="005E5C4F"/>
    <w:rsid w:val="005E6880"/>
    <w:rsid w:val="005F013F"/>
    <w:rsid w:val="005F1399"/>
    <w:rsid w:val="005F2CC4"/>
    <w:rsid w:val="00600EEC"/>
    <w:rsid w:val="00603F44"/>
    <w:rsid w:val="00605B87"/>
    <w:rsid w:val="00610B9A"/>
    <w:rsid w:val="00612628"/>
    <w:rsid w:val="00617602"/>
    <w:rsid w:val="006200E3"/>
    <w:rsid w:val="00622289"/>
    <w:rsid w:val="006222AD"/>
    <w:rsid w:val="00623A97"/>
    <w:rsid w:val="00625B00"/>
    <w:rsid w:val="0062637C"/>
    <w:rsid w:val="006264CC"/>
    <w:rsid w:val="00627438"/>
    <w:rsid w:val="00636F43"/>
    <w:rsid w:val="00636FD5"/>
    <w:rsid w:val="006376D8"/>
    <w:rsid w:val="00640972"/>
    <w:rsid w:val="00641AB8"/>
    <w:rsid w:val="00642385"/>
    <w:rsid w:val="00642E70"/>
    <w:rsid w:val="00645097"/>
    <w:rsid w:val="00645164"/>
    <w:rsid w:val="00645ABF"/>
    <w:rsid w:val="00650F98"/>
    <w:rsid w:val="00655A76"/>
    <w:rsid w:val="00662917"/>
    <w:rsid w:val="006665F7"/>
    <w:rsid w:val="00670BA4"/>
    <w:rsid w:val="0067319B"/>
    <w:rsid w:val="006733FD"/>
    <w:rsid w:val="0067508F"/>
    <w:rsid w:val="0067725F"/>
    <w:rsid w:val="006858F0"/>
    <w:rsid w:val="006866E9"/>
    <w:rsid w:val="00691708"/>
    <w:rsid w:val="00694397"/>
    <w:rsid w:val="00696B8A"/>
    <w:rsid w:val="006979F4"/>
    <w:rsid w:val="006A208D"/>
    <w:rsid w:val="006A5597"/>
    <w:rsid w:val="006A7DA0"/>
    <w:rsid w:val="006B068C"/>
    <w:rsid w:val="006B2CF5"/>
    <w:rsid w:val="006B3523"/>
    <w:rsid w:val="006B368C"/>
    <w:rsid w:val="006B36D4"/>
    <w:rsid w:val="006B6C9F"/>
    <w:rsid w:val="006C09B7"/>
    <w:rsid w:val="006C1191"/>
    <w:rsid w:val="006C3844"/>
    <w:rsid w:val="006C463B"/>
    <w:rsid w:val="006C5296"/>
    <w:rsid w:val="006C7205"/>
    <w:rsid w:val="006C7940"/>
    <w:rsid w:val="006C7DC9"/>
    <w:rsid w:val="006D54B1"/>
    <w:rsid w:val="006D5DE4"/>
    <w:rsid w:val="006D5F53"/>
    <w:rsid w:val="006D70D9"/>
    <w:rsid w:val="006E2C2F"/>
    <w:rsid w:val="006E3DC1"/>
    <w:rsid w:val="006F011E"/>
    <w:rsid w:val="006F1EB5"/>
    <w:rsid w:val="006F3C1B"/>
    <w:rsid w:val="006F40CF"/>
    <w:rsid w:val="006F5389"/>
    <w:rsid w:val="006F6E60"/>
    <w:rsid w:val="006F75EF"/>
    <w:rsid w:val="00701D22"/>
    <w:rsid w:val="00703E4A"/>
    <w:rsid w:val="007045C3"/>
    <w:rsid w:val="00704FEF"/>
    <w:rsid w:val="00705441"/>
    <w:rsid w:val="00706479"/>
    <w:rsid w:val="007127FC"/>
    <w:rsid w:val="00712CCB"/>
    <w:rsid w:val="00713F64"/>
    <w:rsid w:val="00715F2A"/>
    <w:rsid w:val="00716298"/>
    <w:rsid w:val="00724D7A"/>
    <w:rsid w:val="00733728"/>
    <w:rsid w:val="007355BC"/>
    <w:rsid w:val="0073597D"/>
    <w:rsid w:val="00735B60"/>
    <w:rsid w:val="00737C88"/>
    <w:rsid w:val="00742556"/>
    <w:rsid w:val="0074349E"/>
    <w:rsid w:val="00745BD0"/>
    <w:rsid w:val="00751904"/>
    <w:rsid w:val="007523A5"/>
    <w:rsid w:val="00752FE5"/>
    <w:rsid w:val="007577D2"/>
    <w:rsid w:val="007619B8"/>
    <w:rsid w:val="007703EB"/>
    <w:rsid w:val="00773AED"/>
    <w:rsid w:val="00773BCC"/>
    <w:rsid w:val="00773CC3"/>
    <w:rsid w:val="00774E88"/>
    <w:rsid w:val="00776789"/>
    <w:rsid w:val="007812D5"/>
    <w:rsid w:val="007814FB"/>
    <w:rsid w:val="007825A1"/>
    <w:rsid w:val="00786292"/>
    <w:rsid w:val="00790064"/>
    <w:rsid w:val="00791162"/>
    <w:rsid w:val="00791E88"/>
    <w:rsid w:val="00793240"/>
    <w:rsid w:val="00797E80"/>
    <w:rsid w:val="007A1A4A"/>
    <w:rsid w:val="007A240F"/>
    <w:rsid w:val="007A386B"/>
    <w:rsid w:val="007A6358"/>
    <w:rsid w:val="007A68BE"/>
    <w:rsid w:val="007B4BE9"/>
    <w:rsid w:val="007B4DA8"/>
    <w:rsid w:val="007C1AF1"/>
    <w:rsid w:val="007C22FF"/>
    <w:rsid w:val="007C6876"/>
    <w:rsid w:val="007C74CF"/>
    <w:rsid w:val="007D43DF"/>
    <w:rsid w:val="007D70BC"/>
    <w:rsid w:val="007D78F0"/>
    <w:rsid w:val="007E43F1"/>
    <w:rsid w:val="007E4776"/>
    <w:rsid w:val="007E51E9"/>
    <w:rsid w:val="007E7F9B"/>
    <w:rsid w:val="007F1C6C"/>
    <w:rsid w:val="007F54D9"/>
    <w:rsid w:val="007F74D4"/>
    <w:rsid w:val="00800A06"/>
    <w:rsid w:val="00800B61"/>
    <w:rsid w:val="00801A21"/>
    <w:rsid w:val="00802A57"/>
    <w:rsid w:val="0080470D"/>
    <w:rsid w:val="00804F4D"/>
    <w:rsid w:val="00805D22"/>
    <w:rsid w:val="008060CB"/>
    <w:rsid w:val="00810811"/>
    <w:rsid w:val="00815856"/>
    <w:rsid w:val="00815BEF"/>
    <w:rsid w:val="0081617D"/>
    <w:rsid w:val="008175E3"/>
    <w:rsid w:val="00821DED"/>
    <w:rsid w:val="00830068"/>
    <w:rsid w:val="00833E81"/>
    <w:rsid w:val="008355A8"/>
    <w:rsid w:val="008402F0"/>
    <w:rsid w:val="0084300B"/>
    <w:rsid w:val="008431BD"/>
    <w:rsid w:val="00847827"/>
    <w:rsid w:val="00851B93"/>
    <w:rsid w:val="00851C70"/>
    <w:rsid w:val="00855771"/>
    <w:rsid w:val="00856523"/>
    <w:rsid w:val="00860534"/>
    <w:rsid w:val="00862FDA"/>
    <w:rsid w:val="00863C49"/>
    <w:rsid w:val="00864060"/>
    <w:rsid w:val="00865925"/>
    <w:rsid w:val="00867D1C"/>
    <w:rsid w:val="00871878"/>
    <w:rsid w:val="008729C9"/>
    <w:rsid w:val="008755AB"/>
    <w:rsid w:val="00876EA9"/>
    <w:rsid w:val="00876F46"/>
    <w:rsid w:val="0088043A"/>
    <w:rsid w:val="008824DA"/>
    <w:rsid w:val="00884F3F"/>
    <w:rsid w:val="008902E3"/>
    <w:rsid w:val="00894D51"/>
    <w:rsid w:val="00895AFC"/>
    <w:rsid w:val="0089723B"/>
    <w:rsid w:val="008A0BFB"/>
    <w:rsid w:val="008A2E18"/>
    <w:rsid w:val="008A66B4"/>
    <w:rsid w:val="008A6DF8"/>
    <w:rsid w:val="008A75C6"/>
    <w:rsid w:val="008B02CF"/>
    <w:rsid w:val="008B07E5"/>
    <w:rsid w:val="008B1F40"/>
    <w:rsid w:val="008B2F15"/>
    <w:rsid w:val="008B49E2"/>
    <w:rsid w:val="008B52A9"/>
    <w:rsid w:val="008B5BED"/>
    <w:rsid w:val="008C1CBB"/>
    <w:rsid w:val="008C6930"/>
    <w:rsid w:val="008C766B"/>
    <w:rsid w:val="008D098B"/>
    <w:rsid w:val="008D2063"/>
    <w:rsid w:val="008D3732"/>
    <w:rsid w:val="008D48C8"/>
    <w:rsid w:val="008D58A6"/>
    <w:rsid w:val="008D66F5"/>
    <w:rsid w:val="008D683A"/>
    <w:rsid w:val="008E22CA"/>
    <w:rsid w:val="008E6060"/>
    <w:rsid w:val="00900BB1"/>
    <w:rsid w:val="00901332"/>
    <w:rsid w:val="00902604"/>
    <w:rsid w:val="0090296A"/>
    <w:rsid w:val="00903AA3"/>
    <w:rsid w:val="00904B99"/>
    <w:rsid w:val="00904D13"/>
    <w:rsid w:val="009122E7"/>
    <w:rsid w:val="00912DD4"/>
    <w:rsid w:val="009131C0"/>
    <w:rsid w:val="00920923"/>
    <w:rsid w:val="00921A95"/>
    <w:rsid w:val="00923BFE"/>
    <w:rsid w:val="00924916"/>
    <w:rsid w:val="0092581B"/>
    <w:rsid w:val="00925EAA"/>
    <w:rsid w:val="0092740D"/>
    <w:rsid w:val="009274FB"/>
    <w:rsid w:val="009314FC"/>
    <w:rsid w:val="00931B2C"/>
    <w:rsid w:val="00932C5D"/>
    <w:rsid w:val="00934465"/>
    <w:rsid w:val="00935435"/>
    <w:rsid w:val="009377CE"/>
    <w:rsid w:val="00943C92"/>
    <w:rsid w:val="00945404"/>
    <w:rsid w:val="00950341"/>
    <w:rsid w:val="00951FB6"/>
    <w:rsid w:val="009562E8"/>
    <w:rsid w:val="00962DA0"/>
    <w:rsid w:val="00963E30"/>
    <w:rsid w:val="00964CA4"/>
    <w:rsid w:val="009672C0"/>
    <w:rsid w:val="00971904"/>
    <w:rsid w:val="00971D75"/>
    <w:rsid w:val="0097339B"/>
    <w:rsid w:val="0097351C"/>
    <w:rsid w:val="00973799"/>
    <w:rsid w:val="00973BBA"/>
    <w:rsid w:val="00981377"/>
    <w:rsid w:val="00984238"/>
    <w:rsid w:val="00984D81"/>
    <w:rsid w:val="00986D46"/>
    <w:rsid w:val="00990681"/>
    <w:rsid w:val="00993DEE"/>
    <w:rsid w:val="00996B87"/>
    <w:rsid w:val="0099769E"/>
    <w:rsid w:val="009A0CFF"/>
    <w:rsid w:val="009A0E2C"/>
    <w:rsid w:val="009A1B47"/>
    <w:rsid w:val="009A4DC2"/>
    <w:rsid w:val="009A7D67"/>
    <w:rsid w:val="009A7D95"/>
    <w:rsid w:val="009C331C"/>
    <w:rsid w:val="009C37E3"/>
    <w:rsid w:val="009C4D3C"/>
    <w:rsid w:val="009C5502"/>
    <w:rsid w:val="009C5948"/>
    <w:rsid w:val="009C7E52"/>
    <w:rsid w:val="009D207E"/>
    <w:rsid w:val="009D419D"/>
    <w:rsid w:val="009D5FC4"/>
    <w:rsid w:val="009D6530"/>
    <w:rsid w:val="009E33E3"/>
    <w:rsid w:val="009E5262"/>
    <w:rsid w:val="009F02FB"/>
    <w:rsid w:val="009F18E2"/>
    <w:rsid w:val="009F3027"/>
    <w:rsid w:val="009F4531"/>
    <w:rsid w:val="009F62B3"/>
    <w:rsid w:val="00A04D8A"/>
    <w:rsid w:val="00A0546E"/>
    <w:rsid w:val="00A1709C"/>
    <w:rsid w:val="00A217BD"/>
    <w:rsid w:val="00A22D7B"/>
    <w:rsid w:val="00A24B97"/>
    <w:rsid w:val="00A25125"/>
    <w:rsid w:val="00A25F89"/>
    <w:rsid w:val="00A2763D"/>
    <w:rsid w:val="00A27CD5"/>
    <w:rsid w:val="00A361EA"/>
    <w:rsid w:val="00A37123"/>
    <w:rsid w:val="00A37ED4"/>
    <w:rsid w:val="00A43333"/>
    <w:rsid w:val="00A44321"/>
    <w:rsid w:val="00A44971"/>
    <w:rsid w:val="00A46BFF"/>
    <w:rsid w:val="00A47DD6"/>
    <w:rsid w:val="00A51287"/>
    <w:rsid w:val="00A51536"/>
    <w:rsid w:val="00A555F9"/>
    <w:rsid w:val="00A568A6"/>
    <w:rsid w:val="00A62E70"/>
    <w:rsid w:val="00A63A3D"/>
    <w:rsid w:val="00A72D23"/>
    <w:rsid w:val="00A743B2"/>
    <w:rsid w:val="00A8212D"/>
    <w:rsid w:val="00A82743"/>
    <w:rsid w:val="00A87B62"/>
    <w:rsid w:val="00A92322"/>
    <w:rsid w:val="00A924A6"/>
    <w:rsid w:val="00A92F56"/>
    <w:rsid w:val="00A9429D"/>
    <w:rsid w:val="00A942FC"/>
    <w:rsid w:val="00A96533"/>
    <w:rsid w:val="00A977B1"/>
    <w:rsid w:val="00A97C3F"/>
    <w:rsid w:val="00A97E46"/>
    <w:rsid w:val="00AA0C70"/>
    <w:rsid w:val="00AA38CD"/>
    <w:rsid w:val="00AB0561"/>
    <w:rsid w:val="00AB3CA4"/>
    <w:rsid w:val="00AB3D47"/>
    <w:rsid w:val="00AB4947"/>
    <w:rsid w:val="00AB57CF"/>
    <w:rsid w:val="00AB79C1"/>
    <w:rsid w:val="00AC0A49"/>
    <w:rsid w:val="00AC1A26"/>
    <w:rsid w:val="00AC32D1"/>
    <w:rsid w:val="00AC44EC"/>
    <w:rsid w:val="00AD0874"/>
    <w:rsid w:val="00AD2097"/>
    <w:rsid w:val="00AD2AB8"/>
    <w:rsid w:val="00AD48F9"/>
    <w:rsid w:val="00AD4F1C"/>
    <w:rsid w:val="00AD6149"/>
    <w:rsid w:val="00AD6569"/>
    <w:rsid w:val="00AE0C85"/>
    <w:rsid w:val="00AE0D47"/>
    <w:rsid w:val="00AE1BDC"/>
    <w:rsid w:val="00AF29D9"/>
    <w:rsid w:val="00AF39AF"/>
    <w:rsid w:val="00AF5867"/>
    <w:rsid w:val="00AF7C3A"/>
    <w:rsid w:val="00B02539"/>
    <w:rsid w:val="00B05F1A"/>
    <w:rsid w:val="00B07EAA"/>
    <w:rsid w:val="00B10671"/>
    <w:rsid w:val="00B13CD2"/>
    <w:rsid w:val="00B22C9A"/>
    <w:rsid w:val="00B24081"/>
    <w:rsid w:val="00B26E9A"/>
    <w:rsid w:val="00B27D0B"/>
    <w:rsid w:val="00B32679"/>
    <w:rsid w:val="00B33CCD"/>
    <w:rsid w:val="00B34C0C"/>
    <w:rsid w:val="00B362DB"/>
    <w:rsid w:val="00B406B0"/>
    <w:rsid w:val="00B431E9"/>
    <w:rsid w:val="00B449F4"/>
    <w:rsid w:val="00B4537E"/>
    <w:rsid w:val="00B4546A"/>
    <w:rsid w:val="00B45BDA"/>
    <w:rsid w:val="00B46E8D"/>
    <w:rsid w:val="00B47D93"/>
    <w:rsid w:val="00B519E9"/>
    <w:rsid w:val="00B546F6"/>
    <w:rsid w:val="00B54C35"/>
    <w:rsid w:val="00B57393"/>
    <w:rsid w:val="00B627B9"/>
    <w:rsid w:val="00B638B5"/>
    <w:rsid w:val="00B717C3"/>
    <w:rsid w:val="00B7445F"/>
    <w:rsid w:val="00B75DCA"/>
    <w:rsid w:val="00B80017"/>
    <w:rsid w:val="00B81F51"/>
    <w:rsid w:val="00B91829"/>
    <w:rsid w:val="00B92DF5"/>
    <w:rsid w:val="00B95004"/>
    <w:rsid w:val="00B96007"/>
    <w:rsid w:val="00B9691D"/>
    <w:rsid w:val="00B977DC"/>
    <w:rsid w:val="00BA1440"/>
    <w:rsid w:val="00BA3B32"/>
    <w:rsid w:val="00BA3F2C"/>
    <w:rsid w:val="00BB39AF"/>
    <w:rsid w:val="00BB3C6F"/>
    <w:rsid w:val="00BB41F7"/>
    <w:rsid w:val="00BB4B46"/>
    <w:rsid w:val="00BB4CF7"/>
    <w:rsid w:val="00BB5052"/>
    <w:rsid w:val="00BC021C"/>
    <w:rsid w:val="00BC4D1A"/>
    <w:rsid w:val="00BC66DD"/>
    <w:rsid w:val="00BC70DE"/>
    <w:rsid w:val="00BC7940"/>
    <w:rsid w:val="00BD02FC"/>
    <w:rsid w:val="00BD215D"/>
    <w:rsid w:val="00BD3FEC"/>
    <w:rsid w:val="00BD4855"/>
    <w:rsid w:val="00BD4E6A"/>
    <w:rsid w:val="00BD656D"/>
    <w:rsid w:val="00BD67F3"/>
    <w:rsid w:val="00BD7AD6"/>
    <w:rsid w:val="00BE52B9"/>
    <w:rsid w:val="00BE5BC1"/>
    <w:rsid w:val="00BE6D25"/>
    <w:rsid w:val="00BF3090"/>
    <w:rsid w:val="00BF429A"/>
    <w:rsid w:val="00BF7D51"/>
    <w:rsid w:val="00BF7F67"/>
    <w:rsid w:val="00C019E3"/>
    <w:rsid w:val="00C0444B"/>
    <w:rsid w:val="00C05D13"/>
    <w:rsid w:val="00C1212F"/>
    <w:rsid w:val="00C1320D"/>
    <w:rsid w:val="00C139B7"/>
    <w:rsid w:val="00C13BA5"/>
    <w:rsid w:val="00C208B7"/>
    <w:rsid w:val="00C2454A"/>
    <w:rsid w:val="00C251B9"/>
    <w:rsid w:val="00C25754"/>
    <w:rsid w:val="00C27C34"/>
    <w:rsid w:val="00C30D65"/>
    <w:rsid w:val="00C3205C"/>
    <w:rsid w:val="00C328A8"/>
    <w:rsid w:val="00C360E7"/>
    <w:rsid w:val="00C365A8"/>
    <w:rsid w:val="00C3719B"/>
    <w:rsid w:val="00C40E7A"/>
    <w:rsid w:val="00C42BE4"/>
    <w:rsid w:val="00C44EF8"/>
    <w:rsid w:val="00C45CDD"/>
    <w:rsid w:val="00C4771D"/>
    <w:rsid w:val="00C52FD3"/>
    <w:rsid w:val="00C531FF"/>
    <w:rsid w:val="00C551D9"/>
    <w:rsid w:val="00C6175F"/>
    <w:rsid w:val="00C632EB"/>
    <w:rsid w:val="00C67CDA"/>
    <w:rsid w:val="00C70398"/>
    <w:rsid w:val="00C707FD"/>
    <w:rsid w:val="00C73797"/>
    <w:rsid w:val="00C7389C"/>
    <w:rsid w:val="00C7438D"/>
    <w:rsid w:val="00C80FD7"/>
    <w:rsid w:val="00C82659"/>
    <w:rsid w:val="00C91387"/>
    <w:rsid w:val="00C9186C"/>
    <w:rsid w:val="00C96151"/>
    <w:rsid w:val="00CA1DAA"/>
    <w:rsid w:val="00CA28C2"/>
    <w:rsid w:val="00CA5F2B"/>
    <w:rsid w:val="00CA61F3"/>
    <w:rsid w:val="00CB05D3"/>
    <w:rsid w:val="00CB118A"/>
    <w:rsid w:val="00CB1FEF"/>
    <w:rsid w:val="00CB2F52"/>
    <w:rsid w:val="00CB4605"/>
    <w:rsid w:val="00CB7C98"/>
    <w:rsid w:val="00CC369E"/>
    <w:rsid w:val="00CC6BC0"/>
    <w:rsid w:val="00CC7158"/>
    <w:rsid w:val="00CD45E2"/>
    <w:rsid w:val="00CD6C16"/>
    <w:rsid w:val="00CD74B1"/>
    <w:rsid w:val="00CE0E0F"/>
    <w:rsid w:val="00CE7254"/>
    <w:rsid w:val="00CE7E0E"/>
    <w:rsid w:val="00D00608"/>
    <w:rsid w:val="00D008ED"/>
    <w:rsid w:val="00D04E32"/>
    <w:rsid w:val="00D056F2"/>
    <w:rsid w:val="00D077EE"/>
    <w:rsid w:val="00D11233"/>
    <w:rsid w:val="00D11B80"/>
    <w:rsid w:val="00D12104"/>
    <w:rsid w:val="00D13AFA"/>
    <w:rsid w:val="00D1498F"/>
    <w:rsid w:val="00D211C7"/>
    <w:rsid w:val="00D213B3"/>
    <w:rsid w:val="00D214CC"/>
    <w:rsid w:val="00D23EE4"/>
    <w:rsid w:val="00D275BD"/>
    <w:rsid w:val="00D312A3"/>
    <w:rsid w:val="00D31B45"/>
    <w:rsid w:val="00D31CFA"/>
    <w:rsid w:val="00D31F59"/>
    <w:rsid w:val="00D322BB"/>
    <w:rsid w:val="00D33FEA"/>
    <w:rsid w:val="00D36681"/>
    <w:rsid w:val="00D4038B"/>
    <w:rsid w:val="00D4062B"/>
    <w:rsid w:val="00D43C5A"/>
    <w:rsid w:val="00D47FA5"/>
    <w:rsid w:val="00D5018C"/>
    <w:rsid w:val="00D514B2"/>
    <w:rsid w:val="00D514D8"/>
    <w:rsid w:val="00D51BDB"/>
    <w:rsid w:val="00D52C55"/>
    <w:rsid w:val="00D54531"/>
    <w:rsid w:val="00D60BDA"/>
    <w:rsid w:val="00D7015C"/>
    <w:rsid w:val="00D758A4"/>
    <w:rsid w:val="00D77092"/>
    <w:rsid w:val="00D773E6"/>
    <w:rsid w:val="00D778F8"/>
    <w:rsid w:val="00D8469F"/>
    <w:rsid w:val="00D85BA8"/>
    <w:rsid w:val="00D8711C"/>
    <w:rsid w:val="00D877A8"/>
    <w:rsid w:val="00D87939"/>
    <w:rsid w:val="00D91105"/>
    <w:rsid w:val="00D91AC8"/>
    <w:rsid w:val="00D9220A"/>
    <w:rsid w:val="00D9718E"/>
    <w:rsid w:val="00DA497D"/>
    <w:rsid w:val="00DA7829"/>
    <w:rsid w:val="00DB0998"/>
    <w:rsid w:val="00DB0EBD"/>
    <w:rsid w:val="00DB3B76"/>
    <w:rsid w:val="00DB3C0A"/>
    <w:rsid w:val="00DB5365"/>
    <w:rsid w:val="00DC7D9E"/>
    <w:rsid w:val="00DD1C6E"/>
    <w:rsid w:val="00DD494B"/>
    <w:rsid w:val="00DD613A"/>
    <w:rsid w:val="00DD67FC"/>
    <w:rsid w:val="00DD7C3E"/>
    <w:rsid w:val="00DE05FA"/>
    <w:rsid w:val="00DE2028"/>
    <w:rsid w:val="00DE4C2A"/>
    <w:rsid w:val="00DE54D9"/>
    <w:rsid w:val="00DF1CA5"/>
    <w:rsid w:val="00DF2149"/>
    <w:rsid w:val="00DF34B5"/>
    <w:rsid w:val="00DF3688"/>
    <w:rsid w:val="00DF77C8"/>
    <w:rsid w:val="00E024AA"/>
    <w:rsid w:val="00E03E77"/>
    <w:rsid w:val="00E06118"/>
    <w:rsid w:val="00E12031"/>
    <w:rsid w:val="00E15830"/>
    <w:rsid w:val="00E15DF5"/>
    <w:rsid w:val="00E176EF"/>
    <w:rsid w:val="00E17DE7"/>
    <w:rsid w:val="00E249CE"/>
    <w:rsid w:val="00E24B29"/>
    <w:rsid w:val="00E24BB9"/>
    <w:rsid w:val="00E31D54"/>
    <w:rsid w:val="00E3467E"/>
    <w:rsid w:val="00E353D6"/>
    <w:rsid w:val="00E365F7"/>
    <w:rsid w:val="00E41C09"/>
    <w:rsid w:val="00E43CE1"/>
    <w:rsid w:val="00E4556F"/>
    <w:rsid w:val="00E51F12"/>
    <w:rsid w:val="00E52987"/>
    <w:rsid w:val="00E52FAB"/>
    <w:rsid w:val="00E5354D"/>
    <w:rsid w:val="00E55777"/>
    <w:rsid w:val="00E60952"/>
    <w:rsid w:val="00E635C2"/>
    <w:rsid w:val="00E63623"/>
    <w:rsid w:val="00E643D5"/>
    <w:rsid w:val="00E64D2F"/>
    <w:rsid w:val="00E6784F"/>
    <w:rsid w:val="00E71FCB"/>
    <w:rsid w:val="00E75926"/>
    <w:rsid w:val="00E77131"/>
    <w:rsid w:val="00E80AE3"/>
    <w:rsid w:val="00E815B6"/>
    <w:rsid w:val="00E841AC"/>
    <w:rsid w:val="00E86B50"/>
    <w:rsid w:val="00E8710C"/>
    <w:rsid w:val="00E87613"/>
    <w:rsid w:val="00E927EF"/>
    <w:rsid w:val="00E97A78"/>
    <w:rsid w:val="00EA0238"/>
    <w:rsid w:val="00EA23FB"/>
    <w:rsid w:val="00EA2EED"/>
    <w:rsid w:val="00EA4ADC"/>
    <w:rsid w:val="00EA5167"/>
    <w:rsid w:val="00EB1B03"/>
    <w:rsid w:val="00EB27CC"/>
    <w:rsid w:val="00EB2FF9"/>
    <w:rsid w:val="00EB4AFE"/>
    <w:rsid w:val="00EB6CBC"/>
    <w:rsid w:val="00EB704C"/>
    <w:rsid w:val="00EC4678"/>
    <w:rsid w:val="00ED55F1"/>
    <w:rsid w:val="00ED6450"/>
    <w:rsid w:val="00ED7DE3"/>
    <w:rsid w:val="00EE236F"/>
    <w:rsid w:val="00EE26EE"/>
    <w:rsid w:val="00EE3224"/>
    <w:rsid w:val="00EE5221"/>
    <w:rsid w:val="00EE6545"/>
    <w:rsid w:val="00EF11BF"/>
    <w:rsid w:val="00F00FE9"/>
    <w:rsid w:val="00F03A45"/>
    <w:rsid w:val="00F05109"/>
    <w:rsid w:val="00F0643E"/>
    <w:rsid w:val="00F070F7"/>
    <w:rsid w:val="00F0727C"/>
    <w:rsid w:val="00F11C7B"/>
    <w:rsid w:val="00F13DB9"/>
    <w:rsid w:val="00F14202"/>
    <w:rsid w:val="00F15F57"/>
    <w:rsid w:val="00F20ECF"/>
    <w:rsid w:val="00F22398"/>
    <w:rsid w:val="00F23508"/>
    <w:rsid w:val="00F23D2E"/>
    <w:rsid w:val="00F24AAA"/>
    <w:rsid w:val="00F24C97"/>
    <w:rsid w:val="00F24FE8"/>
    <w:rsid w:val="00F25F4A"/>
    <w:rsid w:val="00F264B1"/>
    <w:rsid w:val="00F27A05"/>
    <w:rsid w:val="00F30246"/>
    <w:rsid w:val="00F303D4"/>
    <w:rsid w:val="00F30ECC"/>
    <w:rsid w:val="00F3292B"/>
    <w:rsid w:val="00F35329"/>
    <w:rsid w:val="00F36F33"/>
    <w:rsid w:val="00F41BD4"/>
    <w:rsid w:val="00F45CD7"/>
    <w:rsid w:val="00F46A30"/>
    <w:rsid w:val="00F505E9"/>
    <w:rsid w:val="00F535F6"/>
    <w:rsid w:val="00F53DA1"/>
    <w:rsid w:val="00F54148"/>
    <w:rsid w:val="00F56BEA"/>
    <w:rsid w:val="00F6432A"/>
    <w:rsid w:val="00F64364"/>
    <w:rsid w:val="00F649D5"/>
    <w:rsid w:val="00F6734A"/>
    <w:rsid w:val="00F67E6F"/>
    <w:rsid w:val="00F708E4"/>
    <w:rsid w:val="00F7579D"/>
    <w:rsid w:val="00F75ABC"/>
    <w:rsid w:val="00F77CEB"/>
    <w:rsid w:val="00F77DA4"/>
    <w:rsid w:val="00F80BA7"/>
    <w:rsid w:val="00F82A5A"/>
    <w:rsid w:val="00F82A5F"/>
    <w:rsid w:val="00F830DE"/>
    <w:rsid w:val="00F868F4"/>
    <w:rsid w:val="00F91B36"/>
    <w:rsid w:val="00F95364"/>
    <w:rsid w:val="00FA0109"/>
    <w:rsid w:val="00FA1416"/>
    <w:rsid w:val="00FA26AA"/>
    <w:rsid w:val="00FA36FE"/>
    <w:rsid w:val="00FA417A"/>
    <w:rsid w:val="00FB1845"/>
    <w:rsid w:val="00FB1B72"/>
    <w:rsid w:val="00FB2574"/>
    <w:rsid w:val="00FB35C4"/>
    <w:rsid w:val="00FB3A67"/>
    <w:rsid w:val="00FB5B5C"/>
    <w:rsid w:val="00FB6634"/>
    <w:rsid w:val="00FB7994"/>
    <w:rsid w:val="00FC1A13"/>
    <w:rsid w:val="00FC2A96"/>
    <w:rsid w:val="00FC332B"/>
    <w:rsid w:val="00FC3B39"/>
    <w:rsid w:val="00FC5158"/>
    <w:rsid w:val="00FC6342"/>
    <w:rsid w:val="00FD0CFF"/>
    <w:rsid w:val="00FD1318"/>
    <w:rsid w:val="00FD4929"/>
    <w:rsid w:val="00FD5449"/>
    <w:rsid w:val="00FD6BD4"/>
    <w:rsid w:val="00FE10FA"/>
    <w:rsid w:val="00FE3903"/>
    <w:rsid w:val="00FE6BBE"/>
    <w:rsid w:val="00FF136F"/>
    <w:rsid w:val="00FF18C7"/>
    <w:rsid w:val="00FF1B54"/>
    <w:rsid w:val="00FF3E9D"/>
    <w:rsid w:val="00F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FC40D"/>
  <w15:chartTrackingRefBased/>
  <w15:docId w15:val="{E80D52DA-CA79-49CF-8C7A-1AECDE2F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41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019E3"/>
  </w:style>
  <w:style w:type="paragraph" w:customStyle="1" w:styleId="Default">
    <w:name w:val="Default"/>
    <w:rsid w:val="00C019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styleId="Odwoaniedokomentarza">
    <w:name w:val="annotation reference"/>
    <w:uiPriority w:val="99"/>
    <w:unhideWhenUsed/>
    <w:qFormat/>
    <w:rsid w:val="00C019E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019E3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="Times New Roman" w:hAnsi="Helvetica" w:cs="Helvetica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019E3"/>
    <w:rPr>
      <w:rFonts w:ascii="Helvetica" w:eastAsia="Times New Roman" w:hAnsi="Helvetica" w:cs="Helvetica"/>
      <w:color w:val="000000"/>
      <w:sz w:val="20"/>
      <w:szCs w:val="20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99"/>
    <w:rsid w:val="00C019E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1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9E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9E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C019E3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customStyle="1" w:styleId="Bodytext2Bold">
    <w:name w:val="Body text (2) + Bold"/>
    <w:basedOn w:val="Domylnaczcionkaakapitu"/>
    <w:rsid w:val="00C019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Italic">
    <w:name w:val="Body text (2) + Italic"/>
    <w:basedOn w:val="Domylnaczcionkaakapitu"/>
    <w:rsid w:val="00C019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C019E3"/>
    <w:rPr>
      <w:shd w:val="clear" w:color="auto" w:fill="FFFFFF"/>
    </w:rPr>
  </w:style>
  <w:style w:type="character" w:customStyle="1" w:styleId="Bodytext2BoldSpacing2pt">
    <w:name w:val="Body text (2) + Bold;Spacing 2 pt"/>
    <w:basedOn w:val="Bodytext2"/>
    <w:rsid w:val="00C019E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C019E3"/>
    <w:pPr>
      <w:widowControl w:val="0"/>
      <w:shd w:val="clear" w:color="auto" w:fill="FFFFFF"/>
      <w:spacing w:before="420" w:after="280" w:line="244" w:lineRule="exact"/>
      <w:ind w:hanging="340"/>
      <w:jc w:val="right"/>
    </w:pPr>
  </w:style>
  <w:style w:type="character" w:customStyle="1" w:styleId="Bodytext2Arial95ptBold">
    <w:name w:val="Body text (2) + Arial;9.5 pt;Bold"/>
    <w:basedOn w:val="Bodytext2"/>
    <w:rsid w:val="00C019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Heading2">
    <w:name w:val="Heading #2_"/>
    <w:basedOn w:val="Domylnaczcionkaakapitu"/>
    <w:link w:val="Heading20"/>
    <w:rsid w:val="00C019E3"/>
    <w:rPr>
      <w:b/>
      <w:bCs/>
      <w:shd w:val="clear" w:color="auto" w:fill="FFFFFF"/>
    </w:rPr>
  </w:style>
  <w:style w:type="paragraph" w:customStyle="1" w:styleId="Heading20">
    <w:name w:val="Heading #2"/>
    <w:basedOn w:val="Normalny"/>
    <w:link w:val="Heading2"/>
    <w:rsid w:val="00C019E3"/>
    <w:pPr>
      <w:widowControl w:val="0"/>
      <w:shd w:val="clear" w:color="auto" w:fill="FFFFFF"/>
      <w:spacing w:after="0" w:line="298" w:lineRule="exact"/>
      <w:ind w:hanging="340"/>
      <w:outlineLvl w:val="1"/>
    </w:pPr>
    <w:rPr>
      <w:b/>
      <w:bCs/>
    </w:rPr>
  </w:style>
  <w:style w:type="character" w:styleId="Pogrubienie">
    <w:name w:val="Strong"/>
    <w:uiPriority w:val="22"/>
    <w:qFormat/>
    <w:rsid w:val="00C019E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9E3"/>
    <w:pPr>
      <w:widowControl/>
      <w:autoSpaceDE/>
      <w:autoSpaceDN/>
      <w:adjustRightInd/>
      <w:spacing w:line="240" w:lineRule="auto"/>
      <w:jc w:val="left"/>
    </w:pPr>
    <w:rPr>
      <w:rFonts w:ascii="Times New Roman" w:hAnsi="Times New Roman" w:cs="Times New Roman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9E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01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19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019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19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019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5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5502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D31CF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D31CFA"/>
    <w:pPr>
      <w:widowControl w:val="0"/>
      <w:shd w:val="clear" w:color="auto" w:fill="FFFFFF"/>
      <w:spacing w:after="240" w:line="240" w:lineRule="auto"/>
      <w:ind w:right="1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300D6D"/>
    <w:pPr>
      <w:spacing w:after="0" w:line="360" w:lineRule="auto"/>
      <w:ind w:left="102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F1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E80AE3"/>
    <w:pPr>
      <w:spacing w:after="0" w:line="244" w:lineRule="auto"/>
      <w:ind w:left="142"/>
    </w:pPr>
    <w:rPr>
      <w:rFonts w:ascii="Calibri" w:eastAsia="Calibri" w:hAnsi="Calibri" w:cs="Calibri"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80AE3"/>
    <w:rPr>
      <w:rFonts w:ascii="Calibri" w:eastAsia="Calibri" w:hAnsi="Calibri" w:cs="Calibri"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80AE3"/>
    <w:rPr>
      <w:rFonts w:ascii="Calibri" w:eastAsia="Calibri" w:hAnsi="Calibri" w:cs="Calibri"/>
      <w:color w:val="000000"/>
      <w:sz w:val="20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6C7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xteksttreci4">
    <w:name w:val="x_teksttreci4"/>
    <w:basedOn w:val="Domylnaczcionkaakapitu"/>
    <w:rsid w:val="00077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897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5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1714</Words>
  <Characters>10288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Arciszewska Katarzyna</dc:creator>
  <cp:keywords/>
  <dc:description/>
  <cp:lastModifiedBy>DP</cp:lastModifiedBy>
  <cp:revision>5</cp:revision>
  <cp:lastPrinted>2024-07-31T11:56:00Z</cp:lastPrinted>
  <dcterms:created xsi:type="dcterms:W3CDTF">2026-04-09T11:34:00Z</dcterms:created>
  <dcterms:modified xsi:type="dcterms:W3CDTF">2026-04-10T13:26:00Z</dcterms:modified>
</cp:coreProperties>
</file>