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listy4akcent4"/>
        <w:tblW w:w="15854" w:type="dxa"/>
        <w:tblLayout w:type="fixed"/>
        <w:tblLook w:val="04A0" w:firstRow="1" w:lastRow="0" w:firstColumn="1" w:lastColumn="0" w:noHBand="0" w:noVBand="1"/>
      </w:tblPr>
      <w:tblGrid>
        <w:gridCol w:w="351"/>
        <w:gridCol w:w="774"/>
        <w:gridCol w:w="2128"/>
        <w:gridCol w:w="1136"/>
        <w:gridCol w:w="4535"/>
        <w:gridCol w:w="39"/>
        <w:gridCol w:w="3364"/>
        <w:gridCol w:w="38"/>
        <w:gridCol w:w="3444"/>
        <w:gridCol w:w="45"/>
      </w:tblGrid>
      <w:tr w:rsidR="000E65E9" w:rsidRPr="009B2533" w14:paraId="4AF21340" w14:textId="0EDE13D2" w:rsidTr="00BD256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854" w:type="dxa"/>
            <w:gridSpan w:val="10"/>
          </w:tcPr>
          <w:p w14:paraId="78AB1502" w14:textId="13457155" w:rsidR="000E65E9" w:rsidRPr="009B2533" w:rsidRDefault="0083764A" w:rsidP="0083764A">
            <w:pPr>
              <w:jc w:val="center"/>
              <w:rPr>
                <w:rFonts w:asciiTheme="minorHAnsi" w:hAnsiTheme="minorHAnsi" w:cstheme="minorHAnsi"/>
                <w:sz w:val="18"/>
                <w:szCs w:val="18"/>
              </w:rPr>
            </w:pPr>
            <w:r>
              <w:rPr>
                <w:rFonts w:asciiTheme="minorHAnsi" w:hAnsiTheme="minorHAnsi" w:cstheme="minorHAnsi"/>
                <w:color w:val="auto"/>
                <w:sz w:val="18"/>
                <w:szCs w:val="18"/>
              </w:rPr>
              <w:t xml:space="preserve">Zestawienie uwag do </w:t>
            </w:r>
            <w:r w:rsidR="000E65E9" w:rsidRPr="009B2533">
              <w:rPr>
                <w:rFonts w:asciiTheme="minorHAnsi" w:hAnsiTheme="minorHAnsi" w:cstheme="minorHAnsi"/>
                <w:color w:val="auto"/>
                <w:sz w:val="18"/>
                <w:szCs w:val="18"/>
              </w:rPr>
              <w:t>projekt</w:t>
            </w:r>
            <w:r>
              <w:rPr>
                <w:rFonts w:asciiTheme="minorHAnsi" w:hAnsiTheme="minorHAnsi" w:cstheme="minorHAnsi"/>
                <w:color w:val="auto"/>
                <w:sz w:val="18"/>
                <w:szCs w:val="18"/>
              </w:rPr>
              <w:t>u</w:t>
            </w:r>
            <w:r w:rsidR="000E65E9" w:rsidRPr="009B2533">
              <w:rPr>
                <w:rFonts w:asciiTheme="minorHAnsi" w:hAnsiTheme="minorHAnsi" w:cstheme="minorHAnsi"/>
                <w:color w:val="auto"/>
                <w:sz w:val="18"/>
                <w:szCs w:val="18"/>
              </w:rPr>
              <w:t xml:space="preserve"> ustawy </w:t>
            </w:r>
            <w:r w:rsidR="000E65E9" w:rsidRPr="009B2533">
              <w:rPr>
                <w:rStyle w:val="Teksttreci"/>
                <w:rFonts w:asciiTheme="minorHAnsi" w:hAnsiTheme="minorHAnsi" w:cstheme="minorHAnsi"/>
                <w:color w:val="auto"/>
                <w:sz w:val="18"/>
                <w:szCs w:val="18"/>
              </w:rPr>
              <w:t xml:space="preserve">o udziale Rzeczypospolitej Polskiej w </w:t>
            </w:r>
            <w:bookmarkStart w:id="0" w:name="_Hlk153205259"/>
            <w:bookmarkStart w:id="1" w:name="_Hlk138149719"/>
            <w:r w:rsidR="000E65E9" w:rsidRPr="009B2533">
              <w:rPr>
                <w:rStyle w:val="Teksttreci"/>
                <w:rFonts w:asciiTheme="minorHAnsi" w:hAnsiTheme="minorHAnsi" w:cstheme="minorHAnsi"/>
                <w:color w:val="auto"/>
                <w:sz w:val="18"/>
                <w:szCs w:val="18"/>
              </w:rPr>
              <w:t xml:space="preserve">europejskim systemie informacji o podróży oraz zezwoleń na podróż </w:t>
            </w:r>
            <w:bookmarkEnd w:id="0"/>
            <w:r w:rsidR="000E65E9" w:rsidRPr="009B2533">
              <w:rPr>
                <w:rStyle w:val="Teksttreci"/>
                <w:rFonts w:asciiTheme="minorHAnsi" w:hAnsiTheme="minorHAnsi" w:cstheme="minorHAnsi"/>
                <w:color w:val="auto"/>
                <w:sz w:val="18"/>
                <w:szCs w:val="18"/>
              </w:rPr>
              <w:t>(ETIAS)</w:t>
            </w:r>
            <w:bookmarkEnd w:id="1"/>
            <w:r w:rsidR="000E65E9" w:rsidRPr="009B2533">
              <w:rPr>
                <w:rFonts w:asciiTheme="minorHAnsi" w:hAnsiTheme="minorHAnsi" w:cstheme="minorHAnsi"/>
                <w:b w:val="0"/>
                <w:sz w:val="18"/>
                <w:szCs w:val="18"/>
              </w:rPr>
              <w:tab/>
            </w:r>
          </w:p>
        </w:tc>
      </w:tr>
      <w:tr w:rsidR="000E65E9" w:rsidRPr="009B2533" w14:paraId="519C5A23" w14:textId="5651F6FF" w:rsidTr="008C4785">
        <w:trPr>
          <w:cnfStyle w:val="000000100000" w:firstRow="0" w:lastRow="0" w:firstColumn="0" w:lastColumn="0" w:oddVBand="0" w:evenVBand="0" w:oddHBand="1"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8963" w:type="dxa"/>
            <w:gridSpan w:val="6"/>
          </w:tcPr>
          <w:p w14:paraId="6693DD44" w14:textId="5F3BF56E" w:rsidR="000E65E9" w:rsidRPr="009B2533" w:rsidRDefault="0083764A" w:rsidP="0078530C">
            <w:pPr>
              <w:rPr>
                <w:rFonts w:asciiTheme="minorHAnsi" w:hAnsiTheme="minorHAnsi" w:cstheme="minorHAnsi"/>
                <w:sz w:val="18"/>
                <w:szCs w:val="18"/>
              </w:rPr>
            </w:pPr>
            <w:r>
              <w:rPr>
                <w:rFonts w:asciiTheme="minorHAnsi" w:hAnsiTheme="minorHAnsi" w:cstheme="minorHAnsi"/>
                <w:sz w:val="18"/>
                <w:szCs w:val="18"/>
              </w:rPr>
              <w:t>Opiniowanie</w:t>
            </w:r>
            <w:r w:rsidR="007C1686">
              <w:rPr>
                <w:rFonts w:asciiTheme="minorHAnsi" w:hAnsiTheme="minorHAnsi" w:cstheme="minorHAnsi"/>
                <w:sz w:val="18"/>
                <w:szCs w:val="18"/>
              </w:rPr>
              <w:t xml:space="preserve"> </w:t>
            </w:r>
            <w:r w:rsidR="00960201">
              <w:rPr>
                <w:rFonts w:asciiTheme="minorHAnsi" w:hAnsiTheme="minorHAnsi" w:cstheme="minorHAnsi"/>
                <w:sz w:val="18"/>
                <w:szCs w:val="18"/>
              </w:rPr>
              <w:t>(I</w:t>
            </w:r>
            <w:r w:rsidR="00974993">
              <w:rPr>
                <w:rFonts w:asciiTheme="minorHAnsi" w:hAnsiTheme="minorHAnsi" w:cstheme="minorHAnsi"/>
                <w:sz w:val="18"/>
                <w:szCs w:val="18"/>
              </w:rPr>
              <w:t>I</w:t>
            </w:r>
            <w:r w:rsidR="0036188B">
              <w:rPr>
                <w:rFonts w:asciiTheme="minorHAnsi" w:hAnsiTheme="minorHAnsi" w:cstheme="minorHAnsi"/>
                <w:sz w:val="18"/>
                <w:szCs w:val="18"/>
              </w:rPr>
              <w:t>-tura</w:t>
            </w:r>
            <w:r w:rsidR="00960201">
              <w:rPr>
                <w:rFonts w:asciiTheme="minorHAnsi" w:hAnsiTheme="minorHAnsi" w:cstheme="minorHAnsi"/>
                <w:sz w:val="18"/>
                <w:szCs w:val="18"/>
              </w:rPr>
              <w:t>)</w:t>
            </w:r>
          </w:p>
        </w:tc>
        <w:tc>
          <w:tcPr>
            <w:tcW w:w="3402" w:type="dxa"/>
            <w:gridSpan w:val="2"/>
          </w:tcPr>
          <w:p w14:paraId="143D4F8B" w14:textId="77777777" w:rsidR="000E65E9" w:rsidRPr="009B2533" w:rsidRDefault="000E65E9" w:rsidP="0078530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89" w:type="dxa"/>
            <w:gridSpan w:val="2"/>
          </w:tcPr>
          <w:p w14:paraId="217D657D" w14:textId="77777777" w:rsidR="000E65E9" w:rsidRPr="009B2533" w:rsidRDefault="000E65E9" w:rsidP="0078530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0E65E9" w:rsidRPr="009B2533" w14:paraId="2F73E54C" w14:textId="62AB1F82" w:rsidTr="008C4785">
        <w:trPr>
          <w:gridAfter w:val="1"/>
          <w:wAfter w:w="45" w:type="dxa"/>
          <w:trHeight w:val="385"/>
        </w:trPr>
        <w:tc>
          <w:tcPr>
            <w:cnfStyle w:val="001000000000" w:firstRow="0" w:lastRow="0" w:firstColumn="1" w:lastColumn="0" w:oddVBand="0" w:evenVBand="0" w:oddHBand="0" w:evenHBand="0" w:firstRowFirstColumn="0" w:firstRowLastColumn="0" w:lastRowFirstColumn="0" w:lastRowLastColumn="0"/>
            <w:tcW w:w="351" w:type="dxa"/>
          </w:tcPr>
          <w:p w14:paraId="43D966C6" w14:textId="77777777" w:rsidR="000E65E9" w:rsidRPr="009B2533" w:rsidRDefault="000E65E9" w:rsidP="002538AB">
            <w:pPr>
              <w:jc w:val="both"/>
              <w:rPr>
                <w:rFonts w:asciiTheme="minorHAnsi" w:hAnsiTheme="minorHAnsi" w:cstheme="minorHAnsi"/>
                <w:b w:val="0"/>
                <w:sz w:val="18"/>
                <w:szCs w:val="18"/>
              </w:rPr>
            </w:pPr>
            <w:r w:rsidRPr="009B2533">
              <w:rPr>
                <w:rFonts w:asciiTheme="minorHAnsi" w:hAnsiTheme="minorHAnsi" w:cstheme="minorHAnsi"/>
                <w:b w:val="0"/>
                <w:color w:val="000000" w:themeColor="text1"/>
                <w:sz w:val="18"/>
                <w:szCs w:val="18"/>
              </w:rPr>
              <w:t>L.p.</w:t>
            </w:r>
          </w:p>
        </w:tc>
        <w:tc>
          <w:tcPr>
            <w:tcW w:w="774" w:type="dxa"/>
          </w:tcPr>
          <w:p w14:paraId="0648A2AF"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Jednostka redakcyjna, do której wnoszone są uwagi</w:t>
            </w:r>
          </w:p>
        </w:tc>
        <w:tc>
          <w:tcPr>
            <w:tcW w:w="2128" w:type="dxa"/>
          </w:tcPr>
          <w:p w14:paraId="2B95C481"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Aktualna treść</w:t>
            </w:r>
          </w:p>
        </w:tc>
        <w:tc>
          <w:tcPr>
            <w:tcW w:w="1136" w:type="dxa"/>
          </w:tcPr>
          <w:p w14:paraId="2BA053CB" w14:textId="7777777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9B2533">
              <w:rPr>
                <w:rFonts w:asciiTheme="minorHAnsi" w:hAnsiTheme="minorHAnsi" w:cstheme="minorHAnsi"/>
                <w:color w:val="000000" w:themeColor="text1"/>
                <w:sz w:val="18"/>
                <w:szCs w:val="18"/>
              </w:rPr>
              <w:t>Podmiot wnoszący uwagi</w:t>
            </w:r>
          </w:p>
        </w:tc>
        <w:tc>
          <w:tcPr>
            <w:tcW w:w="4535" w:type="dxa"/>
          </w:tcPr>
          <w:p w14:paraId="377570C4" w14:textId="1FDEFD28"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Treść uwagi</w:t>
            </w:r>
          </w:p>
        </w:tc>
        <w:tc>
          <w:tcPr>
            <w:tcW w:w="3403" w:type="dxa"/>
            <w:gridSpan w:val="2"/>
          </w:tcPr>
          <w:p w14:paraId="0C780AC0" w14:textId="56E4ACC7"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Odniesienie do uwagi (uwzględniona/nieuwzględniona/komentarz)</w:t>
            </w:r>
          </w:p>
        </w:tc>
        <w:tc>
          <w:tcPr>
            <w:tcW w:w="3482" w:type="dxa"/>
            <w:gridSpan w:val="2"/>
          </w:tcPr>
          <w:p w14:paraId="59E4B9C8" w14:textId="354074F8" w:rsidR="000E65E9" w:rsidRPr="009B2533" w:rsidRDefault="000E65E9" w:rsidP="002538A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9B2533">
              <w:rPr>
                <w:rFonts w:asciiTheme="minorHAnsi" w:hAnsiTheme="minorHAnsi" w:cstheme="minorHAnsi"/>
                <w:color w:val="000000" w:themeColor="text1"/>
                <w:sz w:val="18"/>
                <w:szCs w:val="18"/>
              </w:rPr>
              <w:t>Propozycja wyjściowa zmiany zapisu/pozostawienie aktualnej treści</w:t>
            </w:r>
          </w:p>
        </w:tc>
      </w:tr>
      <w:tr w:rsidR="0083764A" w:rsidRPr="009B2533" w14:paraId="6545E1FE"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7137121A" w14:textId="77777777" w:rsidR="009F5E53" w:rsidRPr="009B2533" w:rsidRDefault="009F5E53" w:rsidP="00304CBE">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68BE62E8" w14:textId="68E599E0" w:rsidR="009F5E53" w:rsidRDefault="00453B0D" w:rsidP="00304CB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4 ust.1 </w:t>
            </w:r>
          </w:p>
        </w:tc>
        <w:tc>
          <w:tcPr>
            <w:tcW w:w="2128" w:type="dxa"/>
          </w:tcPr>
          <w:p w14:paraId="6AE55B09" w14:textId="4E2A371E" w:rsidR="001F3067" w:rsidRPr="00CE0352" w:rsidRDefault="00453B0D" w:rsidP="00D30FFC">
            <w:pPr>
              <w:tabs>
                <w:tab w:val="left" w:pos="898"/>
              </w:tabs>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Art.</w:t>
            </w:r>
            <w:r w:rsidR="001F3067">
              <w:rPr>
                <w:rFonts w:asciiTheme="minorHAnsi" w:hAnsiTheme="minorHAnsi" w:cstheme="minorHAnsi"/>
                <w:bCs/>
                <w:sz w:val="18"/>
                <w:szCs w:val="18"/>
              </w:rPr>
              <w:t xml:space="preserve"> </w:t>
            </w:r>
            <w:r w:rsidR="001F3067" w:rsidRPr="001F3067">
              <w:rPr>
                <w:rFonts w:asciiTheme="minorHAnsi" w:hAnsiTheme="minorHAnsi" w:cstheme="minorHAnsi"/>
                <w:bCs/>
                <w:sz w:val="18"/>
                <w:szCs w:val="18"/>
              </w:rPr>
              <w:t>4. 1. Uprawnienie do pośredniego dostępu do KSI ETIAS, zgodnie z art. 50 ust. 1 rozporządzenia 2018/1240, przysługuje prokuratorom, sądom, Policji, Straży Granicznej, Krajowej Administracji Skarbowej, Agencji Bezpieczeństwa Wewnętrznego, Agencji Wywiadu, Centralnemu Biuru Antykorupcyjnemu, Służbie Ochrony Państwa, Służbie Kontrwywiadu Wojskowego, Służbie Wywiadu Wojskowego i Żandarmerii Wojskowej.</w:t>
            </w:r>
          </w:p>
        </w:tc>
        <w:tc>
          <w:tcPr>
            <w:tcW w:w="1136" w:type="dxa"/>
          </w:tcPr>
          <w:p w14:paraId="7BE252AA" w14:textId="277F6AFD" w:rsidR="009F5E53" w:rsidRPr="00CC73BF" w:rsidRDefault="00453B0D" w:rsidP="00304CB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Prokurator Krajowy</w:t>
            </w:r>
          </w:p>
        </w:tc>
        <w:tc>
          <w:tcPr>
            <w:tcW w:w="4535" w:type="dxa"/>
          </w:tcPr>
          <w:p w14:paraId="73D35567" w14:textId="70C530F8" w:rsidR="009F5E53" w:rsidRDefault="00CA1E9D" w:rsidP="004610F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U</w:t>
            </w:r>
            <w:r w:rsidR="00453B0D" w:rsidRPr="00453B0D">
              <w:rPr>
                <w:rFonts w:asciiTheme="minorHAnsi" w:hAnsiTheme="minorHAnsi" w:cstheme="minorHAnsi"/>
                <w:sz w:val="18"/>
                <w:szCs w:val="18"/>
              </w:rPr>
              <w:t xml:space="preserve">przejmie ponawiam wniosek o użycie w art. 4 ust. </w:t>
            </w:r>
            <w:r w:rsidR="004D77A3">
              <w:rPr>
                <w:rFonts w:asciiTheme="minorHAnsi" w:hAnsiTheme="minorHAnsi" w:cstheme="minorHAnsi"/>
                <w:sz w:val="18"/>
                <w:szCs w:val="18"/>
              </w:rPr>
              <w:t>1</w:t>
            </w:r>
            <w:r w:rsidR="00453B0D" w:rsidRPr="00453B0D">
              <w:rPr>
                <w:rFonts w:asciiTheme="minorHAnsi" w:hAnsiTheme="minorHAnsi" w:cstheme="minorHAnsi"/>
                <w:sz w:val="18"/>
                <w:szCs w:val="18"/>
              </w:rPr>
              <w:t xml:space="preserve"> projektu określenia „prokuratorowi</w:t>
            </w:r>
            <w:r w:rsidR="00453B0D">
              <w:rPr>
                <w:rFonts w:asciiTheme="minorHAnsi" w:hAnsiTheme="minorHAnsi" w:cstheme="minorHAnsi"/>
                <w:sz w:val="18"/>
                <w:szCs w:val="18"/>
              </w:rPr>
              <w:t>”.</w:t>
            </w:r>
          </w:p>
          <w:p w14:paraId="17C5E625" w14:textId="07468223" w:rsidR="00453B0D" w:rsidRDefault="00453B0D" w:rsidP="00453B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453B0D">
              <w:rPr>
                <w:rFonts w:asciiTheme="minorHAnsi" w:hAnsiTheme="minorHAnsi" w:cstheme="minorHAnsi"/>
                <w:sz w:val="18"/>
                <w:szCs w:val="18"/>
              </w:rPr>
              <w:t>W nadesłanej tabeli uwag z opiniowania projektu wskazano, że uwzględniono stanowisko Prokuratora Krajowego w odniesieniu do treści art. 4 ust.</w:t>
            </w:r>
            <w:r>
              <w:rPr>
                <w:rFonts w:asciiTheme="minorHAnsi" w:hAnsiTheme="minorHAnsi" w:cstheme="minorHAnsi"/>
                <w:sz w:val="18"/>
                <w:szCs w:val="18"/>
              </w:rPr>
              <w:t xml:space="preserve"> 1</w:t>
            </w:r>
            <w:r w:rsidRPr="00453B0D">
              <w:rPr>
                <w:rFonts w:asciiTheme="minorHAnsi" w:hAnsiTheme="minorHAnsi" w:cstheme="minorHAnsi"/>
                <w:sz w:val="18"/>
                <w:szCs w:val="18"/>
              </w:rPr>
              <w:t xml:space="preserve">, art. 10 ust. </w:t>
            </w:r>
            <w:r>
              <w:rPr>
                <w:rFonts w:asciiTheme="minorHAnsi" w:hAnsiTheme="minorHAnsi" w:cstheme="minorHAnsi"/>
                <w:sz w:val="18"/>
                <w:szCs w:val="18"/>
              </w:rPr>
              <w:t xml:space="preserve">1 </w:t>
            </w:r>
            <w:r w:rsidRPr="00453B0D">
              <w:rPr>
                <w:rFonts w:asciiTheme="minorHAnsi" w:hAnsiTheme="minorHAnsi" w:cstheme="minorHAnsi"/>
                <w:sz w:val="18"/>
                <w:szCs w:val="18"/>
              </w:rPr>
              <w:t xml:space="preserve">pkt 2 i art. 26 projektu. Prokurator Krajowy postulował zastąpienie w tych przepisach słowa „prokuratura” określeniem „prokurator”. W rzeczywistości stanowisko Prokuratora Krajowego uwzględniono jedynie w treści art. 10 ust. 1 pkt 2 i art. 26 projektu, natomiast w art. 4 ust. </w:t>
            </w:r>
            <w:r w:rsidR="004D77A3">
              <w:rPr>
                <w:rFonts w:asciiTheme="minorHAnsi" w:hAnsiTheme="minorHAnsi" w:cstheme="minorHAnsi"/>
                <w:sz w:val="18"/>
                <w:szCs w:val="18"/>
              </w:rPr>
              <w:t>1</w:t>
            </w:r>
            <w:r w:rsidRPr="00453B0D">
              <w:rPr>
                <w:rFonts w:asciiTheme="minorHAnsi" w:hAnsiTheme="minorHAnsi" w:cstheme="minorHAnsi"/>
                <w:sz w:val="18"/>
                <w:szCs w:val="18"/>
              </w:rPr>
              <w:t xml:space="preserve"> w wersji obecnej znajduje się zapis, że uprawnienie do pośredniego dostępu do KSI ETIAS przysługuje w szczególności „prokuratorom”. Użyto więc liczby mnogiej, podczas gdy organem postępowania jest „prokurator” w liczbie pojedynczej. Takim określeniem w odniesieniu do uprawnień procesowych posługuje się nie tylko ustawa z dnia 28 stycznia 2016 r. Prawo o prokuraturze</w:t>
            </w:r>
          </w:p>
          <w:p w14:paraId="3F5CF4DD" w14:textId="77777777" w:rsidR="00453B0D" w:rsidRDefault="00453B0D" w:rsidP="004610F0">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453B0D">
              <w:rPr>
                <w:rFonts w:asciiTheme="minorHAnsi" w:hAnsiTheme="minorHAnsi" w:cstheme="minorHAnsi"/>
                <w:sz w:val="18"/>
                <w:szCs w:val="18"/>
              </w:rPr>
              <w:t>(</w:t>
            </w:r>
            <w:proofErr w:type="spellStart"/>
            <w:r w:rsidRPr="00453B0D">
              <w:rPr>
                <w:rFonts w:asciiTheme="minorHAnsi" w:hAnsiTheme="minorHAnsi" w:cstheme="minorHAnsi"/>
                <w:sz w:val="18"/>
                <w:szCs w:val="18"/>
              </w:rPr>
              <w:t>t.j</w:t>
            </w:r>
            <w:proofErr w:type="spellEnd"/>
            <w:r w:rsidRPr="00453B0D">
              <w:rPr>
                <w:rFonts w:asciiTheme="minorHAnsi" w:hAnsiTheme="minorHAnsi" w:cstheme="minorHAnsi"/>
                <w:sz w:val="18"/>
                <w:szCs w:val="18"/>
              </w:rPr>
              <w:t xml:space="preserve">. Dz. U. z 2024 r. poz. 390 z </w:t>
            </w:r>
            <w:proofErr w:type="spellStart"/>
            <w:r w:rsidRPr="00453B0D">
              <w:rPr>
                <w:rFonts w:asciiTheme="minorHAnsi" w:hAnsiTheme="minorHAnsi" w:cstheme="minorHAnsi"/>
                <w:sz w:val="18"/>
                <w:szCs w:val="18"/>
              </w:rPr>
              <w:t>późn</w:t>
            </w:r>
            <w:proofErr w:type="spellEnd"/>
            <w:r w:rsidRPr="00453B0D">
              <w:rPr>
                <w:rFonts w:asciiTheme="minorHAnsi" w:hAnsiTheme="minorHAnsi" w:cstheme="minorHAnsi"/>
                <w:sz w:val="18"/>
                <w:szCs w:val="18"/>
              </w:rPr>
              <w:t>. zm.), lecz również ustawy regulujące poszczególne procedury prawne, w tym w szczególności Kodeks postępowania karnego. Brak jest więc podstaw do użycia w odniesieniu do prokuratora liczby mnogiej, zwłaszcza że może to spowodować potencjalne problemy interpretacyjne.</w:t>
            </w:r>
          </w:p>
          <w:p w14:paraId="33C1BA96" w14:textId="7F2F6246" w:rsidR="00453B0D" w:rsidRPr="00453B0D" w:rsidRDefault="00453B0D" w:rsidP="00453B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453B0D">
              <w:rPr>
                <w:rFonts w:asciiTheme="minorHAnsi" w:hAnsiTheme="minorHAnsi" w:cstheme="minorHAnsi"/>
                <w:sz w:val="18"/>
                <w:szCs w:val="18"/>
              </w:rPr>
              <w:t xml:space="preserve">Dodać należy, że we wspomnianym art. 4 ust. </w:t>
            </w:r>
            <w:r w:rsidR="004D77A3">
              <w:rPr>
                <w:rFonts w:asciiTheme="minorHAnsi" w:hAnsiTheme="minorHAnsi" w:cstheme="minorHAnsi"/>
                <w:sz w:val="18"/>
                <w:szCs w:val="18"/>
              </w:rPr>
              <w:t xml:space="preserve">1 </w:t>
            </w:r>
            <w:r w:rsidRPr="00453B0D">
              <w:rPr>
                <w:rFonts w:asciiTheme="minorHAnsi" w:hAnsiTheme="minorHAnsi" w:cstheme="minorHAnsi"/>
                <w:sz w:val="18"/>
                <w:szCs w:val="18"/>
              </w:rPr>
              <w:t>projektu należałoby również zastosować analogicznie określenie „sądowi” w liczbie pojedynczej, zamiast „sądom”</w:t>
            </w:r>
          </w:p>
          <w:p w14:paraId="348A4144" w14:textId="22DFF30E" w:rsidR="00453B0D" w:rsidRPr="009F5E53" w:rsidRDefault="00453B0D" w:rsidP="00453B0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453B0D">
              <w:rPr>
                <w:rFonts w:asciiTheme="minorHAnsi" w:hAnsiTheme="minorHAnsi" w:cstheme="minorHAnsi"/>
                <w:sz w:val="18"/>
                <w:szCs w:val="18"/>
              </w:rPr>
              <w:t>Tak sformułowany zapis da bowiem uprawnienie każdemu sądowi prowadzącemu stosowne postępowanie, zgodnie z utrwaloną konwencją określania uprawnień sądu bez konieczności posłużenia się liczbą mnogą.</w:t>
            </w:r>
          </w:p>
        </w:tc>
        <w:tc>
          <w:tcPr>
            <w:tcW w:w="3403" w:type="dxa"/>
            <w:gridSpan w:val="2"/>
          </w:tcPr>
          <w:p w14:paraId="00DB0777" w14:textId="77777777" w:rsidR="009F5E53" w:rsidRPr="00BF08A9" w:rsidRDefault="00BF08A9" w:rsidP="008E71B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b/>
                <w:bCs/>
                <w:color w:val="000000"/>
                <w:sz w:val="18"/>
                <w:szCs w:val="18"/>
                <w:lang w:eastAsia="pl-PL"/>
              </w:rPr>
            </w:pPr>
            <w:r w:rsidRPr="00BF08A9">
              <w:rPr>
                <w:rFonts w:asciiTheme="minorHAnsi" w:eastAsia="Times New Roman" w:hAnsiTheme="minorHAnsi" w:cs="Times New Roman"/>
                <w:b/>
                <w:bCs/>
                <w:color w:val="000000"/>
                <w:sz w:val="18"/>
                <w:szCs w:val="18"/>
                <w:lang w:eastAsia="pl-PL"/>
              </w:rPr>
              <w:t xml:space="preserve">Uwzględniono </w:t>
            </w:r>
          </w:p>
          <w:p w14:paraId="17678EDC" w14:textId="77777777" w:rsidR="00BF08A9" w:rsidRDefault="00BF08A9" w:rsidP="008E71B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color w:val="000000"/>
                <w:sz w:val="18"/>
                <w:szCs w:val="18"/>
                <w:lang w:eastAsia="pl-PL"/>
              </w:rPr>
            </w:pPr>
          </w:p>
          <w:p w14:paraId="0A2DE13A" w14:textId="77777777" w:rsidR="00BF08A9" w:rsidRDefault="00BF08A9" w:rsidP="008E71B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color w:val="000000"/>
                <w:sz w:val="18"/>
                <w:szCs w:val="18"/>
                <w:lang w:eastAsia="pl-PL"/>
              </w:rPr>
            </w:pPr>
          </w:p>
          <w:p w14:paraId="36F68AC5" w14:textId="5CA3A8BA" w:rsidR="00BF08A9" w:rsidRPr="0093530C" w:rsidRDefault="00BF08A9" w:rsidP="008E71B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imes New Roman"/>
                <w:b/>
                <w:bCs/>
                <w:color w:val="000000"/>
                <w:sz w:val="18"/>
                <w:szCs w:val="18"/>
                <w:lang w:eastAsia="pl-PL"/>
              </w:rPr>
            </w:pPr>
          </w:p>
        </w:tc>
        <w:tc>
          <w:tcPr>
            <w:tcW w:w="3482" w:type="dxa"/>
            <w:gridSpan w:val="2"/>
          </w:tcPr>
          <w:p w14:paraId="2B3682D5" w14:textId="032A60E4" w:rsidR="009F5E53" w:rsidRPr="009B2533" w:rsidRDefault="004D77A3" w:rsidP="00B84F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4D77A3">
              <w:rPr>
                <w:rFonts w:asciiTheme="minorHAnsi" w:hAnsiTheme="minorHAnsi" w:cstheme="minorHAnsi"/>
                <w:sz w:val="18"/>
                <w:szCs w:val="18"/>
              </w:rPr>
              <w:t>Art. 4. 1. Uprawnienie do pośredniego dostępu do KSI ETIAS, zgodnie z art. 50 ust. 1 rozporządzenia 2018/1240, przysługuje prokurator</w:t>
            </w:r>
            <w:r>
              <w:rPr>
                <w:rFonts w:asciiTheme="minorHAnsi" w:hAnsiTheme="minorHAnsi" w:cstheme="minorHAnsi"/>
                <w:sz w:val="18"/>
                <w:szCs w:val="18"/>
              </w:rPr>
              <w:t>owi</w:t>
            </w:r>
            <w:r w:rsidRPr="004D77A3">
              <w:rPr>
                <w:rFonts w:asciiTheme="minorHAnsi" w:hAnsiTheme="minorHAnsi" w:cstheme="minorHAnsi"/>
                <w:sz w:val="18"/>
                <w:szCs w:val="18"/>
              </w:rPr>
              <w:t>, sądo</w:t>
            </w:r>
            <w:r>
              <w:rPr>
                <w:rFonts w:asciiTheme="minorHAnsi" w:hAnsiTheme="minorHAnsi" w:cstheme="minorHAnsi"/>
                <w:sz w:val="18"/>
                <w:szCs w:val="18"/>
              </w:rPr>
              <w:t>wi</w:t>
            </w:r>
            <w:r w:rsidRPr="004D77A3">
              <w:rPr>
                <w:rFonts w:asciiTheme="minorHAnsi" w:hAnsiTheme="minorHAnsi" w:cstheme="minorHAnsi"/>
                <w:sz w:val="18"/>
                <w:szCs w:val="18"/>
              </w:rPr>
              <w:t>, Policji, Straży Granicznej, Krajowej Administracji Skarbowej, Agencji Bezpieczeństwa Wewnętrznego, Agencji Wywiadu, Centralnemu Biuru Antykorupcyjnemu, Służbie Ochrony Państwa, Służbie Kontrwywiadu Wojskowego, Służbie Wywiadu Wojskowego i Żandarmerii Wojskowej.</w:t>
            </w:r>
          </w:p>
        </w:tc>
      </w:tr>
      <w:tr w:rsidR="0083764A" w:rsidRPr="009B2533" w14:paraId="3740CD9E"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4CFCA6A6" w14:textId="77777777" w:rsidR="00786F75" w:rsidRPr="009B2533" w:rsidRDefault="00786F75"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1391FD5B" w14:textId="10DA65DC" w:rsidR="00786F75" w:rsidRPr="00BF508D" w:rsidRDefault="00574080"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36 ust. 19</w:t>
            </w:r>
          </w:p>
        </w:tc>
        <w:tc>
          <w:tcPr>
            <w:tcW w:w="2128" w:type="dxa"/>
          </w:tcPr>
          <w:p w14:paraId="7C661D79" w14:textId="46BA5F45" w:rsidR="00786F75" w:rsidRDefault="00814232" w:rsidP="008547D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sz w:val="18"/>
                <w:szCs w:val="18"/>
                <w:lang w:eastAsia="pl-PL"/>
              </w:rPr>
            </w:pPr>
            <w:r>
              <w:rPr>
                <w:rFonts w:asciiTheme="minorHAnsi" w:eastAsia="Times New Roman" w:hAnsiTheme="minorHAnsi" w:cs="Times New Roman"/>
                <w:color w:val="000000"/>
                <w:sz w:val="18"/>
                <w:szCs w:val="18"/>
                <w:lang w:eastAsia="pl-PL"/>
              </w:rPr>
              <w:t>Art. 36 ust. 19</w:t>
            </w:r>
          </w:p>
          <w:p w14:paraId="4854666F" w14:textId="77777777" w:rsidR="00814232" w:rsidRDefault="00814232" w:rsidP="008547D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sz w:val="18"/>
                <w:szCs w:val="18"/>
                <w:lang w:eastAsia="pl-PL"/>
              </w:rPr>
            </w:pPr>
          </w:p>
          <w:p w14:paraId="62B157BC" w14:textId="7A0A603D" w:rsidR="00814232" w:rsidRPr="008547DA" w:rsidRDefault="00814232" w:rsidP="008547D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imes New Roman"/>
                <w:color w:val="000000"/>
                <w:sz w:val="18"/>
                <w:szCs w:val="18"/>
                <w:lang w:eastAsia="pl-PL"/>
              </w:rPr>
            </w:pPr>
            <w:r w:rsidRPr="00814232">
              <w:rPr>
                <w:rFonts w:asciiTheme="minorHAnsi" w:eastAsia="Times New Roman" w:hAnsiTheme="minorHAnsi" w:cs="Times New Roman"/>
                <w:color w:val="000000"/>
                <w:sz w:val="18"/>
                <w:szCs w:val="18"/>
                <w:lang w:eastAsia="pl-PL"/>
              </w:rPr>
              <w:t xml:space="preserve">Administratorem danych przetwarzanych w KSI </w:t>
            </w:r>
            <w:r w:rsidRPr="00814232">
              <w:rPr>
                <w:rFonts w:asciiTheme="minorHAnsi" w:eastAsia="Times New Roman" w:hAnsiTheme="minorHAnsi" w:cs="Times New Roman"/>
                <w:color w:val="000000"/>
                <w:sz w:val="18"/>
                <w:szCs w:val="18"/>
                <w:lang w:eastAsia="pl-PL"/>
              </w:rPr>
              <w:lastRenderedPageBreak/>
              <w:t>ETIAS jest Komendant Główny Straży Granicznej</w:t>
            </w:r>
          </w:p>
        </w:tc>
        <w:tc>
          <w:tcPr>
            <w:tcW w:w="1136" w:type="dxa"/>
          </w:tcPr>
          <w:p w14:paraId="487FB2AB" w14:textId="4F6BC73E" w:rsidR="00786F75" w:rsidRPr="00CC73BF" w:rsidRDefault="00E11FA8"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 xml:space="preserve">PUODO </w:t>
            </w:r>
          </w:p>
        </w:tc>
        <w:tc>
          <w:tcPr>
            <w:tcW w:w="4535" w:type="dxa"/>
          </w:tcPr>
          <w:p w14:paraId="319DE817" w14:textId="77777777" w:rsidR="00574080" w:rsidRP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Artykuł 36 ust. 19 projektowanej ustawy stanowi, że „Administratorem danych przetwarzanych w KSI ETIAS jest Komendant Główny Straży Granicznej”.</w:t>
            </w:r>
          </w:p>
          <w:p w14:paraId="11DD7C72" w14:textId="77777777" w:rsidR="00574080" w:rsidRP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2FEE04D" w14:textId="04BCF24B" w:rsidR="00786F75"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lastRenderedPageBreak/>
              <w:t>Nadal nie są jasno określone role organów uprawnionych do przetwarzania danych ETIAS, o których mowa w art. 2 pkt 18 projektowanej ustawy, w świetle przepisów o ochronie danych osobowych, wskazanych w art. 24 i art. 26 rozporządzenia 2016/679 oraz art. 19 i art. 21 dyrektywy 2016/680.</w:t>
            </w:r>
          </w:p>
          <w:p w14:paraId="7FB36E36"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FC0E89C" w14:textId="5F9FEE7E"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Projektodawca uznaje, że administratorem przetwarzanych w Krajowym Systemie</w:t>
            </w:r>
            <w:r>
              <w:rPr>
                <w:rFonts w:asciiTheme="minorHAnsi" w:hAnsiTheme="minorHAnsi" w:cstheme="minorHAnsi"/>
                <w:sz w:val="18"/>
                <w:szCs w:val="18"/>
              </w:rPr>
              <w:t xml:space="preserve"> </w:t>
            </w:r>
            <w:r w:rsidRPr="00574080">
              <w:rPr>
                <w:rFonts w:asciiTheme="minorHAnsi" w:hAnsiTheme="minorHAnsi" w:cstheme="minorHAnsi"/>
                <w:sz w:val="18"/>
                <w:szCs w:val="18"/>
              </w:rPr>
              <w:t>Informatycznym do Spraw Systemu ETIAS danych osobowych jest Komendant Główny</w:t>
            </w:r>
            <w:r>
              <w:rPr>
                <w:rFonts w:asciiTheme="minorHAnsi" w:hAnsiTheme="minorHAnsi" w:cstheme="minorHAnsi"/>
                <w:sz w:val="18"/>
                <w:szCs w:val="18"/>
              </w:rPr>
              <w:t xml:space="preserve"> </w:t>
            </w:r>
            <w:r w:rsidRPr="00574080">
              <w:rPr>
                <w:rFonts w:asciiTheme="minorHAnsi" w:hAnsiTheme="minorHAnsi" w:cstheme="minorHAnsi"/>
                <w:sz w:val="18"/>
                <w:szCs w:val="18"/>
              </w:rPr>
              <w:t xml:space="preserve">Straży Granicznej (art. 36 ust. 19 projektu ustawy). Jednocześnie projektowane przepisy art. 3 i 4 przewidują, że wskazane organy przetwarzają dane osobowe w ramach KSI ETIAS, korzystając z </w:t>
            </w:r>
            <w:r w:rsidRPr="00574080">
              <w:rPr>
                <w:rFonts w:asciiTheme="minorHAnsi" w:hAnsiTheme="minorHAnsi" w:cstheme="minorHAnsi"/>
                <w:b/>
                <w:bCs/>
                <w:sz w:val="18"/>
                <w:szCs w:val="18"/>
              </w:rPr>
              <w:t>bezpośredniego</w:t>
            </w:r>
            <w:r w:rsidRPr="00574080">
              <w:rPr>
                <w:rFonts w:asciiTheme="minorHAnsi" w:hAnsiTheme="minorHAnsi" w:cstheme="minorHAnsi"/>
                <w:sz w:val="18"/>
                <w:szCs w:val="18"/>
              </w:rPr>
              <w:t xml:space="preserve"> albo </w:t>
            </w:r>
            <w:r w:rsidRPr="00574080">
              <w:rPr>
                <w:rFonts w:asciiTheme="minorHAnsi" w:hAnsiTheme="minorHAnsi" w:cstheme="minorHAnsi"/>
                <w:b/>
                <w:bCs/>
                <w:sz w:val="18"/>
                <w:szCs w:val="18"/>
              </w:rPr>
              <w:t>pośredniego</w:t>
            </w:r>
            <w:r w:rsidRPr="00574080">
              <w:rPr>
                <w:rFonts w:asciiTheme="minorHAnsi" w:hAnsiTheme="minorHAnsi" w:cstheme="minorHAnsi"/>
                <w:sz w:val="18"/>
                <w:szCs w:val="18"/>
              </w:rPr>
              <w:t xml:space="preserve"> dostępu do tego systemu w</w:t>
            </w:r>
            <w:r>
              <w:rPr>
                <w:rFonts w:asciiTheme="minorHAnsi" w:hAnsiTheme="minorHAnsi" w:cstheme="minorHAnsi"/>
                <w:sz w:val="18"/>
                <w:szCs w:val="18"/>
              </w:rPr>
              <w:t xml:space="preserve"> </w:t>
            </w:r>
            <w:r w:rsidRPr="00574080">
              <w:rPr>
                <w:rFonts w:asciiTheme="minorHAnsi" w:hAnsiTheme="minorHAnsi" w:cstheme="minorHAnsi"/>
                <w:sz w:val="18"/>
                <w:szCs w:val="18"/>
              </w:rPr>
              <w:t xml:space="preserve">celu realizacji określonych zadań. Co ważne zakres uprawnień przyznanych organom wymienionym w art. 3 i 4 projektu ustawy nie ogranicza się wyłącznie do biernego dostępu do danych, lecz obejmuje </w:t>
            </w:r>
            <w:r w:rsidR="00CA1E9D">
              <w:rPr>
                <w:rFonts w:asciiTheme="minorHAnsi" w:hAnsiTheme="minorHAnsi" w:cstheme="minorHAnsi"/>
                <w:sz w:val="18"/>
                <w:szCs w:val="18"/>
              </w:rPr>
              <w:t>art</w:t>
            </w:r>
            <w:r w:rsidRPr="00574080">
              <w:rPr>
                <w:rFonts w:asciiTheme="minorHAnsi" w:hAnsiTheme="minorHAnsi" w:cstheme="minorHAnsi"/>
                <w:sz w:val="18"/>
                <w:szCs w:val="18"/>
              </w:rPr>
              <w:t>. ich wykorzystywanie w toku postępowań administracyjnych i podejmowanie decyzji w indywidualnych sprawach.</w:t>
            </w:r>
          </w:p>
          <w:p w14:paraId="17CD4662"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7564CAD"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 xml:space="preserve">Projektodawca przyjmuje pojęcia: „Organy uprawnione do przetwarzania danych ETIAS” oraz „użytkownicy”, nie rozstrzyga jednak w jakim charakterze </w:t>
            </w:r>
            <w:r w:rsidRPr="005B48D4">
              <w:rPr>
                <w:rFonts w:asciiTheme="minorHAnsi" w:hAnsiTheme="minorHAnsi" w:cstheme="minorHAnsi"/>
                <w:b/>
                <w:bCs/>
                <w:sz w:val="18"/>
                <w:szCs w:val="18"/>
              </w:rPr>
              <w:t>w rozumieniu przepisów o ochronie danych osobowych podmioty te uczestniczą w przetwarzaniu danych osobowych</w:t>
            </w:r>
            <w:r w:rsidRPr="00574080">
              <w:rPr>
                <w:rFonts w:asciiTheme="minorHAnsi" w:hAnsiTheme="minorHAnsi" w:cstheme="minorHAnsi"/>
                <w:sz w:val="18"/>
                <w:szCs w:val="18"/>
              </w:rPr>
              <w:t xml:space="preserve">, tj. czy działają jako administratorzy, </w:t>
            </w:r>
            <w:proofErr w:type="spellStart"/>
            <w:r w:rsidRPr="00574080">
              <w:rPr>
                <w:rFonts w:asciiTheme="minorHAnsi" w:hAnsiTheme="minorHAnsi" w:cstheme="minorHAnsi"/>
                <w:sz w:val="18"/>
                <w:szCs w:val="18"/>
              </w:rPr>
              <w:t>współadministratorzy</w:t>
            </w:r>
            <w:proofErr w:type="spellEnd"/>
            <w:r w:rsidRPr="00574080">
              <w:rPr>
                <w:rFonts w:asciiTheme="minorHAnsi" w:hAnsiTheme="minorHAnsi" w:cstheme="minorHAnsi"/>
                <w:sz w:val="18"/>
                <w:szCs w:val="18"/>
              </w:rPr>
              <w:t xml:space="preserve"> czy podmioty przetwarzające w rozumieniu rozporządzenia (UE) 2016/679 oraz dyrektywy (UE) 2016/680.</w:t>
            </w:r>
          </w:p>
          <w:p w14:paraId="13964D1C"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4D5BBA6"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Brak takiej kwalifikacji ma charakter systemowy i nie może zostać pominięty przez projektodawcę, skoro przetwarzanie danych następuje w jednym krajowym systemie informatycznym, którego administratorem – zgodnie z projektem – jest Komendant Główny Straży Granicznej.</w:t>
            </w:r>
          </w:p>
          <w:p w14:paraId="22F6007E"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D6D7026" w14:textId="7C8DF37F"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 xml:space="preserve">Brak jednoznacznego określenia ról tych podmiotów powoduje istotne wątpliwości co do stosowania przez nie przepisów rozdziału IV rozporządzenia (UE) 2016/679 oraz dyrektywy (UE) 2016/680, w tym w przedmiocie zgłaszania naruszeń ochrony danych osobowych. Zgodnie z art. 33 rozporządzenia (UE) 2016/679 oraz art. 30 dyrektywy (UE) 2016/680 obowiązek zgłoszenia naruszenia spoczywa na administratorze. W świetle projektu ustawy obowiązek ten obciążałby wyłącznie Komendanta Głównego Straży Granicznej, nawet w sytuacji, gdy naruszenie ochrony </w:t>
            </w:r>
            <w:r w:rsidRPr="00574080">
              <w:rPr>
                <w:rFonts w:asciiTheme="minorHAnsi" w:hAnsiTheme="minorHAnsi" w:cstheme="minorHAnsi"/>
                <w:sz w:val="18"/>
                <w:szCs w:val="18"/>
              </w:rPr>
              <w:lastRenderedPageBreak/>
              <w:t>danych osobowych nastąpiłoby po stronie innych organów przetwarzających dane w ramach KSI ETIAS, takich jak Policja, która – zgodnie z art. 3 i 4 projektu ustawy – korzysta z bezpośredniego albo pośredniego dostępu do systemu w celu realizacji własnych ustawowych zadań.</w:t>
            </w:r>
          </w:p>
          <w:p w14:paraId="4C65793A" w14:textId="3A783956"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W konsekwencji projekt w obecnym brzmieniu przypisuje Komendantowi Głównemu</w:t>
            </w:r>
            <w:r>
              <w:rPr>
                <w:rFonts w:asciiTheme="minorHAnsi" w:hAnsiTheme="minorHAnsi" w:cstheme="minorHAnsi"/>
                <w:sz w:val="18"/>
                <w:szCs w:val="18"/>
              </w:rPr>
              <w:t xml:space="preserve"> </w:t>
            </w:r>
            <w:r w:rsidRPr="00574080">
              <w:rPr>
                <w:rFonts w:asciiTheme="minorHAnsi" w:hAnsiTheme="minorHAnsi" w:cstheme="minorHAnsi"/>
                <w:sz w:val="18"/>
                <w:szCs w:val="18"/>
              </w:rPr>
              <w:t xml:space="preserve">Straży Granicznej pełną odpowiedzialność za przetwarzanie danych osobowych w KSI ETIAS niezależnie od faktycznego udziału innych podmiotów w operacjach przetwarzania oraz od potencjalnych naruszeń powstałych po ich stronie. Taki model nie może zostać zaakceptowany, gdyż nie zapewnia przejrzystego podziału odpowiedzialności i utrudnia prawidłowe stosowanie przepisów o ochronie danych osobowych, w tym prowadzenie postępowań przez Prezesa UODO, a także przez wykonawców norm, jak również stwarza ryzyko „rozmycia” odpowiedzialności po stronie organów </w:t>
            </w:r>
            <w:r w:rsidR="00CA1E9D">
              <w:rPr>
                <w:rFonts w:asciiTheme="minorHAnsi" w:hAnsiTheme="minorHAnsi" w:cstheme="minorHAnsi"/>
                <w:sz w:val="18"/>
                <w:szCs w:val="18"/>
              </w:rPr>
              <w:t>–</w:t>
            </w:r>
            <w:r w:rsidRPr="00574080">
              <w:rPr>
                <w:rFonts w:asciiTheme="minorHAnsi" w:hAnsiTheme="minorHAnsi" w:cstheme="minorHAnsi"/>
                <w:sz w:val="18"/>
                <w:szCs w:val="18"/>
              </w:rPr>
              <w:t xml:space="preserve"> użytkowników systemu, przyjmowania braku konieczności samodzielnej realizacji obowiązków wynikających z przepisów o ochronie danych osobowych. Stan ten pozostaje w sprzeczności zasadami dotyczącymi przetwarzania danych osobowych, w szczególności zasadą rozliczalności (art. 5 ust. 2 rozporządzenia (UE) 2016/679).</w:t>
            </w:r>
          </w:p>
          <w:p w14:paraId="5431C047" w14:textId="77777777"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0309300" w14:textId="0B93CB64" w:rsidR="00574080" w:rsidRDefault="00574080"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74080">
              <w:rPr>
                <w:rFonts w:asciiTheme="minorHAnsi" w:hAnsiTheme="minorHAnsi" w:cstheme="minorHAnsi"/>
                <w:sz w:val="18"/>
                <w:szCs w:val="18"/>
              </w:rPr>
              <w:t>Nie może zyskać aprobaty wyjaśnienie proponowane w „Tabeli do opiniowania” co do tego, że „w pozostałym zakresie jednostka krajowa ETIAS oraz określone w projekcie ustawy służby graniczne i organy migracyjne (por. art. 56 ust. 2 rozporządzenia (UE) 2018/1240) oraz organy wyznaczone do celów art. 1 ust. 2 (por. art. 56 ust. 3 rozporządzenia (UE) 2018/1240) ponoszą odpowiedzialność, a tym samym realizują zadania w zakresie bezpieczeństwa przetwarzanych danych na zasadach ogólnych”. Takie wyjaśnienie dotyczące odpowiedzialności w procesie przetwarzania danych ma charakter wyłącznie blankietowy.</w:t>
            </w:r>
          </w:p>
          <w:p w14:paraId="682B1918"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C762047"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B48D4">
              <w:rPr>
                <w:rFonts w:asciiTheme="minorHAnsi" w:hAnsiTheme="minorHAnsi" w:cstheme="minorHAnsi"/>
                <w:sz w:val="18"/>
                <w:szCs w:val="18"/>
              </w:rPr>
              <w:t xml:space="preserve">Niezbędne jest jasne, przejrzyste i wyczerpujące określenie procesów przetwarzania w zgodzie z podstawami prawnymi i celami przetwarzania przez poszczególne organy (użytkowników), jak też rolami poszczególnych organów (użytkowników) w procesach przetwarzania (kto jest administratorem / </w:t>
            </w:r>
            <w:proofErr w:type="spellStart"/>
            <w:r w:rsidRPr="005B48D4">
              <w:rPr>
                <w:rFonts w:asciiTheme="minorHAnsi" w:hAnsiTheme="minorHAnsi" w:cstheme="minorHAnsi"/>
                <w:sz w:val="18"/>
                <w:szCs w:val="18"/>
              </w:rPr>
              <w:t>współadministratorem</w:t>
            </w:r>
            <w:proofErr w:type="spellEnd"/>
            <w:r w:rsidRPr="005B48D4">
              <w:rPr>
                <w:rFonts w:asciiTheme="minorHAnsi" w:hAnsiTheme="minorHAnsi" w:cstheme="minorHAnsi"/>
                <w:sz w:val="18"/>
                <w:szCs w:val="18"/>
              </w:rPr>
              <w:t xml:space="preserve"> / podmiotem przetwarzającym dane w poszczególnych scenariuszach). Doprecyzować należy model rozliczalności przyjmując wyraźne, ale i zgodne ze stanem rzeczywistym przypisanie ról związanych z administrowaniem danymi, ich </w:t>
            </w:r>
            <w:r w:rsidRPr="005B48D4">
              <w:rPr>
                <w:rFonts w:asciiTheme="minorHAnsi" w:hAnsiTheme="minorHAnsi" w:cstheme="minorHAnsi"/>
                <w:sz w:val="18"/>
                <w:szCs w:val="18"/>
              </w:rPr>
              <w:lastRenderedPageBreak/>
              <w:t>przetwarzaniem, zasadami współadministrowania, zapobieganie i reagowanie na incydenty związane z bezpieczeństwem procesów przetwarzania danych.</w:t>
            </w:r>
          </w:p>
          <w:p w14:paraId="5B13DE9F"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320ED3A"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B48D4">
              <w:rPr>
                <w:rFonts w:asciiTheme="minorHAnsi" w:hAnsiTheme="minorHAnsi" w:cstheme="minorHAnsi"/>
                <w:sz w:val="18"/>
                <w:szCs w:val="18"/>
              </w:rPr>
              <w:t>Odwołanie się do bliżej nieokreślonych „zasad ogólnych” nie pozwala wykonawcy normy, jak i organowi nadzorczemu na jednoznaczne ustalenie charakteru odpowiedzialności tych podmiotów za bezpieczeństwo przetwarzania danych osobowych w ramach KSI ETIAS.</w:t>
            </w:r>
          </w:p>
          <w:p w14:paraId="673302C7"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6AAAC0E" w14:textId="471F31B3"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B48D4">
              <w:rPr>
                <w:rFonts w:asciiTheme="minorHAnsi" w:hAnsiTheme="minorHAnsi" w:cstheme="minorHAnsi"/>
                <w:sz w:val="18"/>
                <w:szCs w:val="18"/>
              </w:rPr>
              <w:t xml:space="preserve">Pojęcie „zasad ogólnych” nie stanowi samodzielnej kategorii normatywnej w przepisach o ochronie danych osobowych. </w:t>
            </w:r>
            <w:r w:rsidRPr="005B48D4">
              <w:rPr>
                <w:rFonts w:asciiTheme="minorHAnsi" w:hAnsiTheme="minorHAnsi" w:cstheme="minorHAnsi"/>
                <w:b/>
                <w:bCs/>
                <w:sz w:val="18"/>
                <w:szCs w:val="18"/>
              </w:rPr>
              <w:t>Zarówno w rozporządzeniu (UE) 2016/679, jak i w dyrektywie (UE) 2016/680 wskazane są obowiązki w zakresie bezpieczeństwa przetwarzania, odpowiedzialności oraz rozliczalności przypisane bezpośrednio podmiotom biorącym udział w procesach przetwarzania danych osobowych.</w:t>
            </w:r>
            <w:r w:rsidRPr="005B48D4">
              <w:rPr>
                <w:rFonts w:asciiTheme="minorHAnsi" w:hAnsiTheme="minorHAnsi" w:cstheme="minorHAnsi"/>
                <w:sz w:val="18"/>
                <w:szCs w:val="18"/>
              </w:rPr>
              <w:t xml:space="preserve"> Zaznaczyć należy, że organy uprawnione do przetwarzania danych ETIAS (należy je enumeratywnie wskazać w ustawie) stają się administratorami w zakresie danych, które pozyskują i przetwarzają w celu realizacji swoich ustawowych zadań (należy określić zakres danych). Koniecznym jest zatem jednoznaczne uregulowanie przez projektodawcę sposobów i zakresu przetwarzania danych przez poszczególne organy biorące udział w procesie przetwarzania danych w KSI ETIAS, o których mowa w art. 2 pkt 18 projektu ustawy.</w:t>
            </w:r>
          </w:p>
          <w:p w14:paraId="33F28089" w14:textId="77777777" w:rsidR="005B48D4" w:rsidRDefault="005B48D4" w:rsidP="0057408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5F62F1F" w14:textId="15D50718" w:rsidR="005B48D4" w:rsidRPr="00BF508D" w:rsidRDefault="005B48D4" w:rsidP="005B48D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5B48D4">
              <w:rPr>
                <w:rFonts w:asciiTheme="minorHAnsi" w:hAnsiTheme="minorHAnsi" w:cstheme="minorHAnsi"/>
                <w:sz w:val="18"/>
                <w:szCs w:val="18"/>
              </w:rPr>
              <w:t xml:space="preserve">Materia ta będzie przedmiotem oceny w ramach mechanizmu ewaluacji i monitorowania stosowania dorobku </w:t>
            </w:r>
            <w:proofErr w:type="spellStart"/>
            <w:r w:rsidRPr="005B48D4">
              <w:rPr>
                <w:rFonts w:asciiTheme="minorHAnsi" w:hAnsiTheme="minorHAnsi" w:cstheme="minorHAnsi"/>
                <w:sz w:val="18"/>
                <w:szCs w:val="18"/>
              </w:rPr>
              <w:t>Schengen</w:t>
            </w:r>
            <w:proofErr w:type="spellEnd"/>
            <w:r w:rsidRPr="005B48D4">
              <w:rPr>
                <w:rFonts w:asciiTheme="minorHAnsi" w:hAnsiTheme="minorHAnsi" w:cstheme="minorHAnsi"/>
                <w:sz w:val="18"/>
                <w:szCs w:val="18"/>
              </w:rPr>
              <w:t>, o którym mowa w rozporządzeniu (UE) 2022/922</w:t>
            </w:r>
            <w:r>
              <w:rPr>
                <w:rFonts w:asciiTheme="minorHAnsi" w:hAnsiTheme="minorHAnsi" w:cstheme="minorHAnsi"/>
                <w:sz w:val="18"/>
                <w:szCs w:val="18"/>
              </w:rPr>
              <w:t xml:space="preserve"> </w:t>
            </w:r>
            <w:r>
              <w:rPr>
                <w:rStyle w:val="Odwoanieprzypisudolnego"/>
                <w:rFonts w:asciiTheme="minorHAnsi" w:hAnsiTheme="minorHAnsi"/>
                <w:sz w:val="18"/>
                <w:szCs w:val="18"/>
              </w:rPr>
              <w:footnoteReference w:id="2"/>
            </w:r>
            <w:r w:rsidRPr="005B48D4">
              <w:rPr>
                <w:rFonts w:asciiTheme="minorHAnsi" w:hAnsiTheme="minorHAnsi" w:cstheme="minorHAnsi"/>
                <w:sz w:val="18"/>
                <w:szCs w:val="18"/>
              </w:rPr>
              <w:t xml:space="preserve"> dlatego też brak jednoznacznego określenia ról i odpowiedzialności podmiotów przetwarzających dane osobowe w ramach KSI ETIAS może zostać uznany za niezgodny z wymogami prawa Unii Europejskiej. Przypomnieć należy, iż ustawodawca polski w ustawie o udziale Rzeczypospolitej Polskiej w Systemie Informacyjnym </w:t>
            </w:r>
            <w:proofErr w:type="spellStart"/>
            <w:r w:rsidRPr="005B48D4">
              <w:rPr>
                <w:rFonts w:asciiTheme="minorHAnsi" w:hAnsiTheme="minorHAnsi" w:cstheme="minorHAnsi"/>
                <w:sz w:val="18"/>
                <w:szCs w:val="18"/>
              </w:rPr>
              <w:t>Schengen</w:t>
            </w:r>
            <w:proofErr w:type="spellEnd"/>
            <w:r w:rsidRPr="005B48D4">
              <w:rPr>
                <w:rFonts w:asciiTheme="minorHAnsi" w:hAnsiTheme="minorHAnsi" w:cstheme="minorHAnsi"/>
                <w:sz w:val="18"/>
                <w:szCs w:val="18"/>
              </w:rPr>
              <w:t xml:space="preserve"> oraz Wizowym Systemie Informacyjnym</w:t>
            </w:r>
            <w:r>
              <w:rPr>
                <w:rFonts w:asciiTheme="minorHAnsi" w:hAnsiTheme="minorHAnsi" w:cstheme="minorHAnsi"/>
                <w:sz w:val="18"/>
                <w:szCs w:val="18"/>
              </w:rPr>
              <w:t xml:space="preserve"> </w:t>
            </w:r>
            <w:r>
              <w:rPr>
                <w:rStyle w:val="Odwoanieprzypisudolnego"/>
                <w:rFonts w:asciiTheme="minorHAnsi" w:hAnsiTheme="minorHAnsi"/>
                <w:sz w:val="18"/>
                <w:szCs w:val="18"/>
              </w:rPr>
              <w:footnoteReference w:id="3"/>
            </w:r>
            <w:r w:rsidRPr="005B48D4">
              <w:rPr>
                <w:rFonts w:asciiTheme="minorHAnsi" w:hAnsiTheme="minorHAnsi" w:cstheme="minorHAnsi"/>
                <w:sz w:val="18"/>
                <w:szCs w:val="18"/>
              </w:rPr>
              <w:t xml:space="preserve">, podobnie jak w przypadku omawianego projektu, nie określił roli i obowiązków podmiotów </w:t>
            </w:r>
            <w:r w:rsidRPr="005B48D4">
              <w:rPr>
                <w:rFonts w:asciiTheme="minorHAnsi" w:hAnsiTheme="minorHAnsi" w:cstheme="minorHAnsi"/>
                <w:sz w:val="18"/>
                <w:szCs w:val="18"/>
              </w:rPr>
              <w:lastRenderedPageBreak/>
              <w:t>wskazanych do przetwarzania danych. Zostało to zakwestionowane w drodze decyzji wykonawczej Komisji Europejskiej z 2024 r. (C(2024)</w:t>
            </w:r>
            <w:r>
              <w:rPr>
                <w:rFonts w:asciiTheme="minorHAnsi" w:hAnsiTheme="minorHAnsi" w:cstheme="minorHAnsi"/>
                <w:sz w:val="18"/>
                <w:szCs w:val="18"/>
              </w:rPr>
              <w:t xml:space="preserve"> </w:t>
            </w:r>
            <w:r w:rsidRPr="005B48D4">
              <w:rPr>
                <w:rFonts w:asciiTheme="minorHAnsi" w:hAnsiTheme="minorHAnsi" w:cstheme="minorHAnsi"/>
                <w:sz w:val="18"/>
                <w:szCs w:val="18"/>
              </w:rPr>
              <w:t xml:space="preserve">8110 </w:t>
            </w:r>
            <w:proofErr w:type="spellStart"/>
            <w:r w:rsidRPr="005B48D4">
              <w:rPr>
                <w:rFonts w:asciiTheme="minorHAnsi" w:hAnsiTheme="minorHAnsi" w:cstheme="minorHAnsi"/>
                <w:sz w:val="18"/>
                <w:szCs w:val="18"/>
              </w:rPr>
              <w:t>final</w:t>
            </w:r>
            <w:proofErr w:type="spellEnd"/>
            <w:r w:rsidRPr="005B48D4">
              <w:rPr>
                <w:rFonts w:asciiTheme="minorHAnsi" w:hAnsiTheme="minorHAnsi" w:cstheme="minorHAnsi"/>
                <w:sz w:val="18"/>
                <w:szCs w:val="18"/>
              </w:rPr>
              <w:t xml:space="preserve">). W zaleceniu nr 38 w załączniku do decyzji wykonawczej Komisji ustanawiającej sprawozdanie z oceny stosowania dorobku </w:t>
            </w:r>
            <w:proofErr w:type="spellStart"/>
            <w:r w:rsidRPr="005B48D4">
              <w:rPr>
                <w:rFonts w:asciiTheme="minorHAnsi" w:hAnsiTheme="minorHAnsi" w:cstheme="minorHAnsi"/>
                <w:sz w:val="18"/>
                <w:szCs w:val="18"/>
              </w:rPr>
              <w:t>Schengen</w:t>
            </w:r>
            <w:proofErr w:type="spellEnd"/>
            <w:r w:rsidRPr="005B48D4">
              <w:rPr>
                <w:rFonts w:asciiTheme="minorHAnsi" w:hAnsiTheme="minorHAnsi" w:cstheme="minorHAnsi"/>
                <w:sz w:val="18"/>
                <w:szCs w:val="18"/>
              </w:rPr>
              <w:t xml:space="preserve"> przez Polskę w 2024 r. nałożono na Polskę, jako zalecenie priorytetowe cyt.: „obowiązek zapewnienia, aby role i obowiązki Centralnego Organu Technicznego KSI i właściwych organów w</w:t>
            </w:r>
            <w:r w:rsidR="00F61F47">
              <w:rPr>
                <w:rFonts w:asciiTheme="minorHAnsi" w:hAnsiTheme="minorHAnsi" w:cstheme="minorHAnsi"/>
                <w:sz w:val="18"/>
                <w:szCs w:val="18"/>
              </w:rPr>
              <w:t xml:space="preserve"> </w:t>
            </w:r>
            <w:r w:rsidR="00F61F47" w:rsidRPr="00F61F47">
              <w:rPr>
                <w:rFonts w:asciiTheme="minorHAnsi" w:hAnsiTheme="minorHAnsi" w:cstheme="minorHAnsi"/>
                <w:sz w:val="18"/>
                <w:szCs w:val="18"/>
              </w:rPr>
              <w:t>zakresie przetwarzania danych w SIS zostały jasno określone w przepisach prawa i w praktyce”, zgodnie z wymogami rozporządzenia 2016/679 i dyrektywy 2016/680.</w:t>
            </w:r>
          </w:p>
        </w:tc>
        <w:tc>
          <w:tcPr>
            <w:tcW w:w="3403" w:type="dxa"/>
            <w:gridSpan w:val="2"/>
          </w:tcPr>
          <w:p w14:paraId="3488E405" w14:textId="2D5DE57D" w:rsidR="00CB166D" w:rsidRPr="009C3DF7" w:rsidRDefault="00CB166D" w:rsidP="00E4525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FF0000"/>
                <w:sz w:val="18"/>
                <w:szCs w:val="18"/>
              </w:rPr>
            </w:pPr>
            <w:r w:rsidRPr="00CB166D">
              <w:rPr>
                <w:rFonts w:asciiTheme="minorHAnsi" w:hAnsiTheme="minorHAnsi" w:cstheme="minorHAnsi"/>
                <w:b/>
                <w:bCs/>
                <w:sz w:val="18"/>
                <w:szCs w:val="18"/>
              </w:rPr>
              <w:lastRenderedPageBreak/>
              <w:t>Uwzględniono</w:t>
            </w:r>
            <w:r w:rsidR="00EB31EE">
              <w:rPr>
                <w:rFonts w:asciiTheme="minorHAnsi" w:hAnsiTheme="minorHAnsi" w:cstheme="minorHAnsi"/>
                <w:b/>
                <w:bCs/>
                <w:sz w:val="18"/>
                <w:szCs w:val="18"/>
              </w:rPr>
              <w:t xml:space="preserve"> </w:t>
            </w:r>
          </w:p>
          <w:p w14:paraId="018D775D" w14:textId="3E6BA7F1" w:rsidR="009C117D" w:rsidRDefault="009C3DF7" w:rsidP="00E4525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Po uzgodnieniu z przedstawicielami UODO, kwestia ta zosta</w:t>
            </w:r>
            <w:r w:rsidR="00EB31EE">
              <w:rPr>
                <w:rFonts w:asciiTheme="minorHAnsi" w:hAnsiTheme="minorHAnsi" w:cstheme="minorHAnsi"/>
                <w:sz w:val="18"/>
                <w:szCs w:val="18"/>
              </w:rPr>
              <w:t>ła</w:t>
            </w:r>
            <w:r w:rsidR="00EB7BED">
              <w:rPr>
                <w:rFonts w:asciiTheme="minorHAnsi" w:hAnsiTheme="minorHAnsi" w:cstheme="minorHAnsi"/>
                <w:sz w:val="18"/>
                <w:szCs w:val="18"/>
              </w:rPr>
              <w:t xml:space="preserve"> szerzej opisana w </w:t>
            </w:r>
            <w:r>
              <w:rPr>
                <w:rFonts w:asciiTheme="minorHAnsi" w:hAnsiTheme="minorHAnsi" w:cstheme="minorHAnsi"/>
                <w:sz w:val="18"/>
                <w:szCs w:val="18"/>
              </w:rPr>
              <w:t>uzasadnieniu</w:t>
            </w:r>
            <w:r w:rsidR="00A33AF6">
              <w:rPr>
                <w:rFonts w:asciiTheme="minorHAnsi" w:hAnsiTheme="minorHAnsi" w:cstheme="minorHAnsi"/>
                <w:sz w:val="18"/>
                <w:szCs w:val="18"/>
              </w:rPr>
              <w:t>:</w:t>
            </w:r>
          </w:p>
          <w:p w14:paraId="05F0731E" w14:textId="16EF775F" w:rsidR="00EB31EE" w:rsidRPr="00A95311" w:rsidRDefault="00EB31EE" w:rsidP="00EB31EE">
            <w:pPr>
              <w:pStyle w:val="Akapitzlist"/>
              <w:numPr>
                <w:ilvl w:val="0"/>
                <w:numId w:val="18"/>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lastRenderedPageBreak/>
              <w:t>Wskazanie na Komendanta Głównego Straży Granicznej jako administratora danych ma na celu wskazanie zarządzającego systemem</w:t>
            </w:r>
            <w:r w:rsidR="00D6602D">
              <w:rPr>
                <w:rFonts w:asciiTheme="minorHAnsi" w:hAnsiTheme="minorHAnsi" w:cstheme="minorHAnsi"/>
                <w:sz w:val="18"/>
                <w:szCs w:val="18"/>
              </w:rPr>
              <w:t xml:space="preserve"> KSI ETIAS</w:t>
            </w:r>
            <w:r w:rsidRPr="00A95311">
              <w:rPr>
                <w:rFonts w:asciiTheme="minorHAnsi" w:hAnsiTheme="minorHAnsi" w:cstheme="minorHAnsi"/>
                <w:sz w:val="18"/>
                <w:szCs w:val="18"/>
              </w:rPr>
              <w:t xml:space="preserve"> i administratora danych w tym systemie przetwarzanych. </w:t>
            </w:r>
          </w:p>
          <w:p w14:paraId="747D050F" w14:textId="77777777" w:rsidR="00EB31EE" w:rsidRPr="00A95311" w:rsidRDefault="00EB31EE" w:rsidP="00EB31EE">
            <w:pPr>
              <w:pStyle w:val="Akapitzlist"/>
              <w:numPr>
                <w:ilvl w:val="0"/>
                <w:numId w:val="18"/>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t>Rola KGSG ogranicza się jedynie do systemu i danych w nim przetwarzanych.</w:t>
            </w:r>
          </w:p>
          <w:p w14:paraId="7B38155E" w14:textId="77777777" w:rsidR="00EB31EE" w:rsidRPr="00A95311" w:rsidRDefault="00EB31EE" w:rsidP="00EB31EE">
            <w:pPr>
              <w:pStyle w:val="Akapitzlist"/>
              <w:numPr>
                <w:ilvl w:val="0"/>
                <w:numId w:val="18"/>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t xml:space="preserve">Organy uprawnione uzyskują dostęp do systemu i w momencie pobrania danych stają się niezależnymi administratorami uzyskanych danych – wynika to z ogólnych przepisów o ochronie danych osobowych. </w:t>
            </w:r>
          </w:p>
          <w:p w14:paraId="79EC6C99" w14:textId="77777777" w:rsidR="00B72CCE" w:rsidRDefault="00EB31EE" w:rsidP="007757FA">
            <w:pPr>
              <w:pStyle w:val="Akapitzlist"/>
              <w:numPr>
                <w:ilvl w:val="0"/>
                <w:numId w:val="18"/>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72CCE">
              <w:rPr>
                <w:rFonts w:asciiTheme="minorHAnsi" w:hAnsiTheme="minorHAnsi" w:cstheme="minorHAnsi"/>
                <w:sz w:val="18"/>
                <w:szCs w:val="18"/>
              </w:rPr>
              <w:t xml:space="preserve">Każdy z organów uprawnionych może pozyskać dane </w:t>
            </w:r>
            <w:r w:rsidR="00B72CCE" w:rsidRPr="00B72CCE">
              <w:rPr>
                <w:rFonts w:asciiTheme="minorHAnsi" w:hAnsiTheme="minorHAnsi" w:cstheme="minorHAnsi"/>
                <w:sz w:val="18"/>
                <w:szCs w:val="18"/>
              </w:rPr>
              <w:t xml:space="preserve">ETIAS </w:t>
            </w:r>
            <w:r w:rsidRPr="00B72CCE">
              <w:rPr>
                <w:rFonts w:asciiTheme="minorHAnsi" w:hAnsiTheme="minorHAnsi" w:cstheme="minorHAnsi"/>
                <w:sz w:val="18"/>
                <w:szCs w:val="18"/>
              </w:rPr>
              <w:t xml:space="preserve">w celu realizacji swoich ustawowych zadań </w:t>
            </w:r>
          </w:p>
          <w:p w14:paraId="4C17B9EC" w14:textId="6AEBFA40" w:rsidR="00EB31EE" w:rsidRPr="00B72CCE" w:rsidRDefault="00EB31EE" w:rsidP="00B72CCE">
            <w:pPr>
              <w:pStyle w:val="Akapitzlist"/>
              <w:tabs>
                <w:tab w:val="left" w:pos="1331"/>
              </w:tabs>
              <w:ind w:left="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72CCE">
              <w:rPr>
                <w:rFonts w:asciiTheme="minorHAnsi" w:hAnsiTheme="minorHAnsi" w:cstheme="minorHAnsi"/>
                <w:sz w:val="18"/>
                <w:szCs w:val="18"/>
              </w:rPr>
              <w:t xml:space="preserve">Zatem </w:t>
            </w:r>
          </w:p>
          <w:p w14:paraId="4544774A" w14:textId="642EA1AB" w:rsidR="00EB31EE" w:rsidRPr="00A95311" w:rsidRDefault="00EB31EE" w:rsidP="00EB31EE">
            <w:pPr>
              <w:pStyle w:val="Akapitzlist"/>
              <w:numPr>
                <w:ilvl w:val="0"/>
                <w:numId w:val="19"/>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t xml:space="preserve">Za dane osobowe w KSI ETIAS odpowiada Komendant Główny SG, odpowiada on również za stworzenie właściwych warunków do </w:t>
            </w:r>
            <w:r w:rsidR="00B72CCE">
              <w:rPr>
                <w:rFonts w:asciiTheme="minorHAnsi" w:hAnsiTheme="minorHAnsi" w:cstheme="minorHAnsi"/>
                <w:sz w:val="18"/>
                <w:szCs w:val="18"/>
              </w:rPr>
              <w:t>dostępu do</w:t>
            </w:r>
            <w:r w:rsidRPr="00A95311">
              <w:rPr>
                <w:rFonts w:asciiTheme="minorHAnsi" w:hAnsiTheme="minorHAnsi" w:cstheme="minorHAnsi"/>
                <w:sz w:val="18"/>
                <w:szCs w:val="18"/>
              </w:rPr>
              <w:t xml:space="preserve"> danych</w:t>
            </w:r>
            <w:r w:rsidR="00B72CCE">
              <w:rPr>
                <w:rFonts w:asciiTheme="minorHAnsi" w:hAnsiTheme="minorHAnsi" w:cstheme="minorHAnsi"/>
                <w:sz w:val="18"/>
                <w:szCs w:val="18"/>
              </w:rPr>
              <w:t xml:space="preserve"> ETIAS </w:t>
            </w:r>
            <w:r w:rsidRPr="00A95311">
              <w:rPr>
                <w:rFonts w:asciiTheme="minorHAnsi" w:hAnsiTheme="minorHAnsi" w:cstheme="minorHAnsi"/>
                <w:sz w:val="18"/>
                <w:szCs w:val="18"/>
              </w:rPr>
              <w:t xml:space="preserve">organom </w:t>
            </w:r>
            <w:r w:rsidR="00B72CCE">
              <w:rPr>
                <w:rFonts w:asciiTheme="minorHAnsi" w:hAnsiTheme="minorHAnsi" w:cstheme="minorHAnsi"/>
                <w:sz w:val="18"/>
                <w:szCs w:val="18"/>
              </w:rPr>
              <w:t>uprawnionym</w:t>
            </w:r>
            <w:r w:rsidRPr="00A95311">
              <w:rPr>
                <w:rFonts w:asciiTheme="minorHAnsi" w:hAnsiTheme="minorHAnsi" w:cstheme="minorHAnsi"/>
                <w:sz w:val="18"/>
                <w:szCs w:val="18"/>
              </w:rPr>
              <w:t>, jednak nie odpowiada za przetwarzanie danych</w:t>
            </w:r>
            <w:r w:rsidR="00B72CCE">
              <w:rPr>
                <w:rFonts w:asciiTheme="minorHAnsi" w:hAnsiTheme="minorHAnsi" w:cstheme="minorHAnsi"/>
                <w:sz w:val="18"/>
                <w:szCs w:val="18"/>
              </w:rPr>
              <w:t xml:space="preserve"> ETIAS przez te organy</w:t>
            </w:r>
            <w:r w:rsidRPr="00A95311">
              <w:rPr>
                <w:rFonts w:asciiTheme="minorHAnsi" w:hAnsiTheme="minorHAnsi" w:cstheme="minorHAnsi"/>
                <w:sz w:val="18"/>
                <w:szCs w:val="18"/>
              </w:rPr>
              <w:t xml:space="preserve">. </w:t>
            </w:r>
          </w:p>
          <w:p w14:paraId="6EA12294" w14:textId="77777777" w:rsidR="00EB31EE" w:rsidRPr="00A95311" w:rsidRDefault="00EB31EE" w:rsidP="00EB31EE">
            <w:pPr>
              <w:pStyle w:val="Akapitzlist"/>
              <w:numPr>
                <w:ilvl w:val="0"/>
                <w:numId w:val="19"/>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t>Za właściwe postępowanie w przypadku wystąpienia naruszenia przepisów o ochronie danych osobowych odpowiada administrator, u którego naruszenie nastąpiło</w:t>
            </w:r>
          </w:p>
          <w:p w14:paraId="36B879A8" w14:textId="77777777" w:rsidR="00EB31EE" w:rsidRPr="00A95311" w:rsidRDefault="00EB31EE" w:rsidP="00EB31EE">
            <w:pPr>
              <w:pStyle w:val="Akapitzlist"/>
              <w:numPr>
                <w:ilvl w:val="0"/>
                <w:numId w:val="19"/>
              </w:numPr>
              <w:tabs>
                <w:tab w:val="left" w:pos="1331"/>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95311">
              <w:rPr>
                <w:rFonts w:asciiTheme="minorHAnsi" w:hAnsiTheme="minorHAnsi" w:cstheme="minorHAnsi"/>
                <w:sz w:val="18"/>
                <w:szCs w:val="18"/>
              </w:rPr>
              <w:t xml:space="preserve">W przypadku incydentów bezpieczeństwa (które nie muszą być naruszeniami przepisów prawa a mogą prowadzić do zakłóceń pracy systemu centralnego lub w inny sposób wpływać na KSI ETIAS), konieczne jest informowanie o takich zdarzeniach i zagrożeniach oraz wymagana jest współpraca administratora danych o którym mowa w pkt. 2 z KGSG.      </w:t>
            </w:r>
          </w:p>
          <w:p w14:paraId="307AB2C5" w14:textId="0619CF26" w:rsidR="009C117D" w:rsidRPr="00CB166D" w:rsidRDefault="009C117D" w:rsidP="00E4525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3482" w:type="dxa"/>
            <w:gridSpan w:val="2"/>
          </w:tcPr>
          <w:p w14:paraId="6E2908BB" w14:textId="3B9EC403" w:rsidR="00786F75" w:rsidRPr="00CA1E9D" w:rsidRDefault="00D6602D"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FF0000"/>
                <w:sz w:val="18"/>
                <w:szCs w:val="18"/>
              </w:rPr>
            </w:pPr>
            <w:r>
              <w:rPr>
                <w:rFonts w:asciiTheme="minorHAnsi" w:hAnsiTheme="minorHAnsi" w:cstheme="minorHAnsi"/>
                <w:b/>
                <w:sz w:val="18"/>
                <w:szCs w:val="18"/>
              </w:rPr>
              <w:lastRenderedPageBreak/>
              <w:t>U</w:t>
            </w:r>
            <w:r w:rsidRPr="00A33AF6">
              <w:rPr>
                <w:rFonts w:asciiTheme="minorHAnsi" w:hAnsiTheme="minorHAnsi" w:cstheme="minorHAnsi"/>
                <w:b/>
                <w:sz w:val="18"/>
                <w:szCs w:val="18"/>
              </w:rPr>
              <w:t xml:space="preserve">zasadnienie </w:t>
            </w:r>
            <w:r>
              <w:rPr>
                <w:rFonts w:asciiTheme="minorHAnsi" w:hAnsiTheme="minorHAnsi" w:cstheme="minorHAnsi"/>
                <w:b/>
                <w:sz w:val="18"/>
                <w:szCs w:val="18"/>
              </w:rPr>
              <w:t>u</w:t>
            </w:r>
            <w:r w:rsidR="00A33AF6" w:rsidRPr="00A33AF6">
              <w:rPr>
                <w:rFonts w:asciiTheme="minorHAnsi" w:hAnsiTheme="minorHAnsi" w:cstheme="minorHAnsi"/>
                <w:b/>
                <w:sz w:val="18"/>
                <w:szCs w:val="18"/>
              </w:rPr>
              <w:t xml:space="preserve">zupełniono </w:t>
            </w:r>
          </w:p>
        </w:tc>
      </w:tr>
      <w:tr w:rsidR="0083764A" w:rsidRPr="009B2533" w14:paraId="119AB824"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75519860" w14:textId="77777777" w:rsidR="00CE0352" w:rsidRPr="009B2533" w:rsidRDefault="00CE0352"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564F9EF9" w14:textId="37B15D71" w:rsidR="00CE0352" w:rsidRPr="00BF508D" w:rsidRDefault="00DF13A6"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37 ust. 1</w:t>
            </w:r>
          </w:p>
        </w:tc>
        <w:tc>
          <w:tcPr>
            <w:tcW w:w="2128" w:type="dxa"/>
          </w:tcPr>
          <w:p w14:paraId="43630761" w14:textId="598B4CD5" w:rsidR="00CE0352" w:rsidRDefault="00DF13A6" w:rsidP="00786F75">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37 ust. 1 </w:t>
            </w:r>
          </w:p>
          <w:p w14:paraId="500F6BB5" w14:textId="77777777" w:rsidR="00DF13A6" w:rsidRDefault="00DF13A6" w:rsidP="00786F75">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4792994A" w14:textId="1752AB88" w:rsidR="00DF13A6" w:rsidRPr="00BF508D" w:rsidRDefault="00DF13A6" w:rsidP="00786F75">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DF13A6">
              <w:rPr>
                <w:rFonts w:asciiTheme="minorHAnsi" w:hAnsiTheme="minorHAnsi" w:cstheme="minorHAnsi"/>
                <w:bCs/>
                <w:sz w:val="18"/>
                <w:szCs w:val="18"/>
              </w:rPr>
              <w:t>Prezes Urzędu Ochrony Danych Osobowych jest organem nadzorczym w rozumieniu art. 66 rozporządzenia 2018/1240.</w:t>
            </w:r>
          </w:p>
        </w:tc>
        <w:tc>
          <w:tcPr>
            <w:tcW w:w="1136" w:type="dxa"/>
          </w:tcPr>
          <w:p w14:paraId="5E0F75C3" w14:textId="2CF784F5" w:rsidR="00CE0352" w:rsidRPr="00CC73BF" w:rsidRDefault="00AD219C"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PUODO</w:t>
            </w:r>
          </w:p>
        </w:tc>
        <w:tc>
          <w:tcPr>
            <w:tcW w:w="4535" w:type="dxa"/>
          </w:tcPr>
          <w:p w14:paraId="7B20C927" w14:textId="77777777" w:rsidR="00AD219C" w:rsidRPr="00AD219C" w:rsidRDefault="00AD219C" w:rsidP="00AD21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b/>
                <w:bCs/>
                <w:sz w:val="18"/>
                <w:szCs w:val="18"/>
              </w:rPr>
              <w:t>Artykuł 37 ust. 1.</w:t>
            </w:r>
            <w:r w:rsidRPr="00AD219C">
              <w:rPr>
                <w:rFonts w:asciiTheme="minorHAnsi" w:hAnsiTheme="minorHAnsi" w:cstheme="minorHAnsi"/>
                <w:sz w:val="18"/>
                <w:szCs w:val="18"/>
              </w:rPr>
              <w:t xml:space="preserve"> statuuje Prezesa Urzędu Ochrony Danych Osobowych jako organ nadzorczy w rozumieniu art. 66 rozporządzenia 2018/1240. Zgodnie z art. 66 ust. 2 wspominanego rozporządzenia: „Każde państwo członkowskie zapewnia stosowanie krajowych przepisów ustawowych, wykonawczych i administracyjnych przyjętych na mocy dyrektywy (UE) 2016/680 również w kwestiach związanych z dostępem do ETIAS przez organy krajowe tego państwa zgodnie z rozdziałem X niniejszego rozporządzenia, w tym w odniesieniu do praw osób, których danych dostęp ten dotyczy”.</w:t>
            </w:r>
          </w:p>
          <w:p w14:paraId="33D1CD7D" w14:textId="77777777" w:rsidR="00AD219C" w:rsidRPr="00AD219C" w:rsidRDefault="00AD219C" w:rsidP="00AD21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2C4F2AE" w14:textId="77777777" w:rsidR="00AD219C" w:rsidRPr="00AD219C" w:rsidRDefault="00AD219C" w:rsidP="00AD21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sz w:val="18"/>
                <w:szCs w:val="18"/>
              </w:rPr>
              <w:t xml:space="preserve">Uwaga Prezesa UODO zgłoszona do projektu ustawy z 28 lipca 2025 r. wskazuje na konsekwencje obecnego stanu prawnego wynikającego z wyłączenia stosowania ustawy o ochronie danych osobowych przetwarzanych w związku z zapobieganiem i zwalczaniem przestępczości w stosunku do danych wskazanych w jej art. 3 pkt 1 oraz art. 1 pkt 3 tejże ustawy kształtującym jej zakres przedmiotowy. Prezes UODO </w:t>
            </w:r>
            <w:r w:rsidRPr="00AD219C">
              <w:rPr>
                <w:rFonts w:asciiTheme="minorHAnsi" w:hAnsiTheme="minorHAnsi" w:cstheme="minorHAnsi"/>
                <w:b/>
                <w:bCs/>
                <w:sz w:val="18"/>
                <w:szCs w:val="18"/>
              </w:rPr>
              <w:t>nie jest bowiem organem właściwym w zakresie ochrony danych osobowych znajdujących się w aktach spraw lub czynności, czy też urządzeniach ewidencyjnych, jeżeli są one przetwarzane w celach, o których mowa w art. 1 pkt 1 tejże ustawy.</w:t>
            </w:r>
          </w:p>
          <w:p w14:paraId="289EAE84" w14:textId="77777777" w:rsidR="00AD219C" w:rsidRPr="00AD219C" w:rsidRDefault="00AD219C" w:rsidP="00AD21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225976E" w14:textId="6A99C55C" w:rsidR="00CE0352" w:rsidRPr="00BF508D" w:rsidRDefault="00AD219C" w:rsidP="00AD21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sz w:val="18"/>
                <w:szCs w:val="18"/>
              </w:rPr>
              <w:t xml:space="preserve">Projektodawca w komentarzu do „Tabeli do opiniowania” wskazuje, że projektowany art. 37 ust. 1 stanowi cyt.: „lex </w:t>
            </w:r>
            <w:proofErr w:type="spellStart"/>
            <w:r w:rsidRPr="00AD219C">
              <w:rPr>
                <w:rFonts w:asciiTheme="minorHAnsi" w:hAnsiTheme="minorHAnsi" w:cstheme="minorHAnsi"/>
                <w:sz w:val="18"/>
                <w:szCs w:val="18"/>
              </w:rPr>
              <w:t>specialis</w:t>
            </w:r>
            <w:proofErr w:type="spellEnd"/>
            <w:r w:rsidRPr="00AD219C">
              <w:rPr>
                <w:rFonts w:asciiTheme="minorHAnsi" w:hAnsiTheme="minorHAnsi" w:cstheme="minorHAnsi"/>
                <w:sz w:val="18"/>
                <w:szCs w:val="18"/>
              </w:rPr>
              <w:t xml:space="preserve"> w zakresie czynności prowadzonych przez krajowy organ nadzorczy tj. PUODO”. W ocenie Prezesa UODO art. 37 ust 1 stanowi zatem lex </w:t>
            </w:r>
            <w:proofErr w:type="spellStart"/>
            <w:r w:rsidRPr="00AD219C">
              <w:rPr>
                <w:rFonts w:asciiTheme="minorHAnsi" w:hAnsiTheme="minorHAnsi" w:cstheme="minorHAnsi"/>
                <w:sz w:val="18"/>
                <w:szCs w:val="18"/>
              </w:rPr>
              <w:t>specialis</w:t>
            </w:r>
            <w:proofErr w:type="spellEnd"/>
            <w:r w:rsidRPr="00AD219C">
              <w:rPr>
                <w:rFonts w:asciiTheme="minorHAnsi" w:hAnsiTheme="minorHAnsi" w:cstheme="minorHAnsi"/>
                <w:sz w:val="18"/>
                <w:szCs w:val="18"/>
              </w:rPr>
              <w:t xml:space="preserve"> wobec kompetencji w znaczeniu podmiotowym w stosunku do pozostałych organów nadzorczych z art. 191a § 1 ustawy – Prawo o prokuraturze i art. 175dd § 1 ustawy – Prawo o ustroju sądów powszechnych. W znaczeniu przedmiotowym, powoduje natomiast konflikt z przepisami prawa </w:t>
            </w:r>
            <w:r w:rsidRPr="00AD219C">
              <w:rPr>
                <w:rFonts w:asciiTheme="minorHAnsi" w:hAnsiTheme="minorHAnsi" w:cstheme="minorHAnsi"/>
                <w:sz w:val="18"/>
                <w:szCs w:val="18"/>
              </w:rPr>
              <w:lastRenderedPageBreak/>
              <w:t>materialnego wobec wyłączenia ochrony danych osobowych wskazanego w art. 3 pkt 1 oraz art. 1 pkt 3 ustawy o ochronie danych osobowych przetwarzanych w związku z zapobieganiem i zwalczaniem przestępczości.</w:t>
            </w:r>
          </w:p>
        </w:tc>
        <w:tc>
          <w:tcPr>
            <w:tcW w:w="3403" w:type="dxa"/>
            <w:gridSpan w:val="2"/>
          </w:tcPr>
          <w:p w14:paraId="738A6AB0" w14:textId="7A37AC27" w:rsidR="00266D14" w:rsidRDefault="00266D14" w:rsidP="00150D03">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18"/>
                <w:szCs w:val="18"/>
                <w:lang w:eastAsia="pl-PL"/>
              </w:rPr>
            </w:pPr>
            <w:r>
              <w:rPr>
                <w:rFonts w:asciiTheme="minorHAnsi" w:eastAsia="Times New Roman" w:hAnsiTheme="minorHAnsi" w:cstheme="minorHAnsi"/>
                <w:b/>
                <w:bCs/>
                <w:sz w:val="18"/>
                <w:szCs w:val="18"/>
                <w:lang w:eastAsia="pl-PL"/>
              </w:rPr>
              <w:lastRenderedPageBreak/>
              <w:t>Wyjaśniono</w:t>
            </w:r>
          </w:p>
          <w:p w14:paraId="0AEA60F2" w14:textId="0CA9FC36" w:rsidR="00CE0352" w:rsidRDefault="00266D14" w:rsidP="00266D14">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8"/>
                <w:szCs w:val="18"/>
                <w:lang w:eastAsia="pl-PL"/>
              </w:rPr>
            </w:pPr>
            <w:r>
              <w:rPr>
                <w:rFonts w:asciiTheme="minorHAnsi" w:eastAsia="Times New Roman" w:hAnsiTheme="minorHAnsi" w:cstheme="minorHAnsi"/>
                <w:sz w:val="18"/>
                <w:szCs w:val="18"/>
                <w:lang w:eastAsia="pl-PL"/>
              </w:rPr>
              <w:t>U</w:t>
            </w:r>
            <w:r w:rsidR="003144B0" w:rsidRPr="003144B0">
              <w:rPr>
                <w:rFonts w:asciiTheme="minorHAnsi" w:eastAsia="Times New Roman" w:hAnsiTheme="minorHAnsi" w:cstheme="minorHAnsi"/>
                <w:sz w:val="18"/>
                <w:szCs w:val="18"/>
                <w:lang w:eastAsia="pl-PL"/>
              </w:rPr>
              <w:t>waga została omów</w:t>
            </w:r>
            <w:r w:rsidR="00EB7BED">
              <w:rPr>
                <w:rFonts w:asciiTheme="minorHAnsi" w:eastAsia="Times New Roman" w:hAnsiTheme="minorHAnsi" w:cstheme="minorHAnsi"/>
                <w:sz w:val="18"/>
                <w:szCs w:val="18"/>
                <w:lang w:eastAsia="pl-PL"/>
              </w:rPr>
              <w:t>iona z </w:t>
            </w:r>
            <w:r w:rsidR="003144B0" w:rsidRPr="003144B0">
              <w:rPr>
                <w:rFonts w:asciiTheme="minorHAnsi" w:eastAsia="Times New Roman" w:hAnsiTheme="minorHAnsi" w:cstheme="minorHAnsi"/>
                <w:sz w:val="18"/>
                <w:szCs w:val="18"/>
                <w:lang w:eastAsia="pl-PL"/>
              </w:rPr>
              <w:t>przedstawicielami UODO i uznano, że ma charakter systemowy.</w:t>
            </w:r>
            <w:r w:rsidR="00384512">
              <w:rPr>
                <w:rFonts w:asciiTheme="minorHAnsi" w:eastAsia="Times New Roman" w:hAnsiTheme="minorHAnsi" w:cstheme="minorHAnsi"/>
                <w:sz w:val="18"/>
                <w:szCs w:val="18"/>
                <w:lang w:eastAsia="pl-PL"/>
              </w:rPr>
              <w:t xml:space="preserve"> </w:t>
            </w:r>
            <w:r w:rsidR="00384512" w:rsidRPr="00384512">
              <w:rPr>
                <w:rFonts w:asciiTheme="minorHAnsi" w:eastAsia="Times New Roman" w:hAnsiTheme="minorHAnsi" w:cstheme="minorHAnsi"/>
                <w:sz w:val="18"/>
                <w:szCs w:val="18"/>
                <w:lang w:eastAsia="pl-PL"/>
              </w:rPr>
              <w:t>Projektodawca wyjaśnił zapis i celowość przepisu. Ponownie potwierdził, że przepis miał w zamiarze nadać takie uprawnienia PUODO. Wszystkie strony uznały wyjaśnienie i potwierdzenie za wystarczające.</w:t>
            </w:r>
          </w:p>
          <w:p w14:paraId="472F056B" w14:textId="2F4526B3" w:rsidR="00384512" w:rsidRPr="00E14889" w:rsidRDefault="00384512" w:rsidP="00266D14">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18"/>
                <w:szCs w:val="18"/>
                <w:lang w:eastAsia="pl-PL"/>
              </w:rPr>
            </w:pPr>
          </w:p>
        </w:tc>
        <w:tc>
          <w:tcPr>
            <w:tcW w:w="3482" w:type="dxa"/>
            <w:gridSpan w:val="2"/>
          </w:tcPr>
          <w:p w14:paraId="71EFA505" w14:textId="77777777" w:rsidR="00CE0352" w:rsidRPr="009B2533" w:rsidRDefault="00CE0352"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83764A" w:rsidRPr="009B2533" w14:paraId="3A5D4808"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63734E64" w14:textId="77777777" w:rsidR="00CE0352" w:rsidRPr="009B2533" w:rsidRDefault="00CE0352"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59932C17" w14:textId="11810587" w:rsidR="00CE0352" w:rsidRPr="002058EC" w:rsidRDefault="00565D10"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38 ust. 8</w:t>
            </w:r>
          </w:p>
        </w:tc>
        <w:tc>
          <w:tcPr>
            <w:tcW w:w="2128" w:type="dxa"/>
          </w:tcPr>
          <w:p w14:paraId="69F11C7D" w14:textId="77777777" w:rsidR="00CE0352" w:rsidRDefault="00565D10"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38 ust. 8 </w:t>
            </w:r>
          </w:p>
          <w:p w14:paraId="3C350891" w14:textId="77777777" w:rsidR="00565D10" w:rsidRDefault="00565D10"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7E0F5F6B" w14:textId="6E14BCCC" w:rsidR="00565D10" w:rsidRPr="002058EC" w:rsidRDefault="00565D10" w:rsidP="00565D10">
            <w:pPr>
              <w:tabs>
                <w:tab w:val="left" w:pos="898"/>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565D10">
              <w:rPr>
                <w:rFonts w:asciiTheme="minorHAnsi" w:hAnsiTheme="minorHAnsi" w:cstheme="minorHAnsi"/>
                <w:bCs/>
                <w:sz w:val="18"/>
                <w:szCs w:val="18"/>
              </w:rPr>
              <w:t>Od decyzji administracyjnej, o której mowa w art. 64 ust. 3 rozporządzenia 2018/1240, cudzoziemcowi przysługuje prawo wniesienia skargi do Prezesa Urzędu Ochrony Danych Osobowych. Do wnoszenia i rozpatrywania skarg stosuje się art. 77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albo art. 50 i art. 51 ustawy z dnia 14 grudnia 2018 r. o ochronie danych osobowych przetwarzanych w związku z zapobieganiem i zwalczaniem przestępczości.</w:t>
            </w:r>
          </w:p>
        </w:tc>
        <w:tc>
          <w:tcPr>
            <w:tcW w:w="1136" w:type="dxa"/>
          </w:tcPr>
          <w:p w14:paraId="2ECC8FBF" w14:textId="2FC2F697" w:rsidR="00CE0352" w:rsidRPr="002058EC" w:rsidRDefault="00AD219C" w:rsidP="002058E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PUODO</w:t>
            </w:r>
          </w:p>
        </w:tc>
        <w:tc>
          <w:tcPr>
            <w:tcW w:w="4535" w:type="dxa"/>
          </w:tcPr>
          <w:p w14:paraId="43E543EC" w14:textId="1511B20B" w:rsidR="00CE0352" w:rsidRDefault="00AD219C" w:rsidP="00AD21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sz w:val="18"/>
                <w:szCs w:val="18"/>
              </w:rPr>
              <w:t xml:space="preserve">W związku ze zgłoszoną uwagą do </w:t>
            </w:r>
            <w:r w:rsidRPr="00AD219C">
              <w:rPr>
                <w:rFonts w:asciiTheme="minorHAnsi" w:hAnsiTheme="minorHAnsi" w:cstheme="minorHAnsi"/>
                <w:b/>
                <w:bCs/>
                <w:sz w:val="18"/>
                <w:szCs w:val="18"/>
              </w:rPr>
              <w:t>art. 38 ust 8</w:t>
            </w:r>
            <w:r w:rsidRPr="00AD219C">
              <w:rPr>
                <w:rFonts w:asciiTheme="minorHAnsi" w:hAnsiTheme="minorHAnsi" w:cstheme="minorHAnsi"/>
                <w:sz w:val="18"/>
                <w:szCs w:val="18"/>
              </w:rPr>
              <w:t>, projektodawca dokonał zmiany brzmienia ust. 8 w art. 38 projektu ustawy, zgodnie z którym od decyzji administracyjnej, o której mowa w art. 64 ust. 3 rozporządzenia 2018/1240,</w:t>
            </w:r>
            <w:r w:rsidR="00A15836">
              <w:rPr>
                <w:rFonts w:asciiTheme="minorHAnsi" w:hAnsiTheme="minorHAnsi" w:cstheme="minorHAnsi"/>
                <w:sz w:val="18"/>
                <w:szCs w:val="18"/>
              </w:rPr>
              <w:t xml:space="preserve"> </w:t>
            </w:r>
            <w:r w:rsidRPr="00AD219C">
              <w:rPr>
                <w:rFonts w:asciiTheme="minorHAnsi" w:hAnsiTheme="minorHAnsi" w:cstheme="minorHAnsi"/>
                <w:sz w:val="18"/>
                <w:szCs w:val="18"/>
              </w:rPr>
              <w:t>cudzoziemcowi przysługuje prawo wniesienia skargi do Prezesa Urzędu Ochrony Danych</w:t>
            </w:r>
            <w:r>
              <w:rPr>
                <w:rFonts w:asciiTheme="minorHAnsi" w:hAnsiTheme="minorHAnsi" w:cstheme="minorHAnsi"/>
                <w:sz w:val="18"/>
                <w:szCs w:val="18"/>
              </w:rPr>
              <w:t xml:space="preserve"> </w:t>
            </w:r>
            <w:r w:rsidRPr="00AD219C">
              <w:rPr>
                <w:rFonts w:asciiTheme="minorHAnsi" w:hAnsiTheme="minorHAnsi" w:cstheme="minorHAnsi"/>
                <w:sz w:val="18"/>
                <w:szCs w:val="18"/>
              </w:rPr>
              <w:t xml:space="preserve">Osobowych. Do wnoszenia i rozpatrywania skarg stosuje się art. 77 rozporządzenia 2016/679 lub art. 50 i art. 51 ustawy z dnia 14 grudnia 2018 r. o ochronie danych osobowych przetwarzanych w związku z zapobieganiem i zwalczaniem przestępczości. Projekt ustawy nadal nie zawiera informacji o możliwości odwołania się do sądu od decyzji administratora, co stoi w sprzeczności art. 64 ust. 4 rozporządzenia 2018/1240, zgodnie z którym: „Decyzja […] zawiera też informacje dla osoby zainteresowanej, wyjaśniające możliwość odwołania się od decyzji podjętej w odniesieniu do wniosku, o którym mowa w ust. 2, a w stosownych przypadkach informacje dotyczące sposobu wniesienia sprawy lub skargi do właściwych organów lub </w:t>
            </w:r>
            <w:r w:rsidRPr="00AD219C">
              <w:rPr>
                <w:rFonts w:asciiTheme="minorHAnsi" w:hAnsiTheme="minorHAnsi" w:cstheme="minorHAnsi"/>
                <w:b/>
                <w:bCs/>
                <w:sz w:val="18"/>
                <w:szCs w:val="18"/>
              </w:rPr>
              <w:t>sądów</w:t>
            </w:r>
            <w:r w:rsidRPr="00AD219C">
              <w:rPr>
                <w:rFonts w:asciiTheme="minorHAnsi" w:hAnsiTheme="minorHAnsi" w:cstheme="minorHAnsi"/>
                <w:sz w:val="18"/>
                <w:szCs w:val="18"/>
              </w:rPr>
              <w:t xml:space="preserve"> oraz informacje dotyczące pomocy dla tej osoby, w tym od właściwych krajowych organów nadzorczych”.</w:t>
            </w:r>
          </w:p>
          <w:p w14:paraId="331585E5" w14:textId="77777777" w:rsidR="00AD219C" w:rsidRDefault="00AD219C" w:rsidP="00AD21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AD6BC42" w14:textId="77777777" w:rsidR="00AD219C" w:rsidRDefault="00AD219C" w:rsidP="00AD21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sz w:val="18"/>
                <w:szCs w:val="18"/>
              </w:rPr>
              <w:t>Dodatkowo w projekcie ustawy mimo wcześniej zgłaszanych uwag, projektodawca nie uwzględnił przepisów odnoszących się do prawa podmiotu danych do dostępu, sprostowania danych osobowych i usunięcia za pośrednictwem Urzędu Ochrony Danych Osobowych, zgodnie z art. 64 rozporządzenia 2018/1240, w związku z art. 17 dyrektywy 2016/680.</w:t>
            </w:r>
          </w:p>
          <w:p w14:paraId="14C8074F" w14:textId="77777777" w:rsidR="00AD219C" w:rsidRDefault="00AD219C" w:rsidP="00AD21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8B3603C" w14:textId="6DFCCDF6" w:rsidR="00AD219C" w:rsidRPr="002058EC" w:rsidRDefault="00AD219C" w:rsidP="00AD21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AD219C">
              <w:rPr>
                <w:rFonts w:asciiTheme="minorHAnsi" w:hAnsiTheme="minorHAnsi" w:cstheme="minorHAnsi"/>
                <w:sz w:val="18"/>
                <w:szCs w:val="18"/>
              </w:rPr>
              <w:t xml:space="preserve">W analogicznych przypadkach dotyczących dostępu do Systemu Informacyjnego </w:t>
            </w:r>
            <w:proofErr w:type="spellStart"/>
            <w:r w:rsidRPr="00AD219C">
              <w:rPr>
                <w:rFonts w:asciiTheme="minorHAnsi" w:hAnsiTheme="minorHAnsi" w:cstheme="minorHAnsi"/>
                <w:sz w:val="18"/>
                <w:szCs w:val="18"/>
              </w:rPr>
              <w:t>Schengen</w:t>
            </w:r>
            <w:proofErr w:type="spellEnd"/>
            <w:r w:rsidRPr="00AD219C">
              <w:rPr>
                <w:rFonts w:asciiTheme="minorHAnsi" w:hAnsiTheme="minorHAnsi" w:cstheme="minorHAnsi"/>
                <w:sz w:val="18"/>
                <w:szCs w:val="18"/>
              </w:rPr>
              <w:t xml:space="preserve"> oraz Wizowego Systemu Informacyjnego, Komisja Europejska wraz z </w:t>
            </w:r>
            <w:proofErr w:type="spellStart"/>
            <w:r w:rsidRPr="00AD219C">
              <w:rPr>
                <w:rFonts w:asciiTheme="minorHAnsi" w:hAnsiTheme="minorHAnsi" w:cstheme="minorHAnsi"/>
                <w:sz w:val="18"/>
                <w:szCs w:val="18"/>
              </w:rPr>
              <w:t>ewaluatorami</w:t>
            </w:r>
            <w:proofErr w:type="spellEnd"/>
            <w:r w:rsidRPr="00AD219C">
              <w:rPr>
                <w:rFonts w:asciiTheme="minorHAnsi" w:hAnsiTheme="minorHAnsi" w:cstheme="minorHAnsi"/>
                <w:sz w:val="18"/>
                <w:szCs w:val="18"/>
              </w:rPr>
              <w:t xml:space="preserve"> zobowiązała Polskę do zapewnienia osobom, których dane dotyczą, możliwości wykonywania swoich praw do dostępu, sprostowania i usunięcia danych w systemie informacyjnym </w:t>
            </w:r>
            <w:proofErr w:type="spellStart"/>
            <w:r w:rsidRPr="00AD219C">
              <w:rPr>
                <w:rFonts w:asciiTheme="minorHAnsi" w:hAnsiTheme="minorHAnsi" w:cstheme="minorHAnsi"/>
                <w:sz w:val="18"/>
                <w:szCs w:val="18"/>
              </w:rPr>
              <w:t>Schengen</w:t>
            </w:r>
            <w:proofErr w:type="spellEnd"/>
            <w:r w:rsidRPr="00AD219C">
              <w:rPr>
                <w:rFonts w:asciiTheme="minorHAnsi" w:hAnsiTheme="minorHAnsi" w:cstheme="minorHAnsi"/>
                <w:sz w:val="18"/>
                <w:szCs w:val="18"/>
              </w:rPr>
              <w:t xml:space="preserve"> za pośrednictwem Urzędu Ochrony Danych</w:t>
            </w:r>
            <w:r>
              <w:rPr>
                <w:rFonts w:asciiTheme="minorHAnsi" w:hAnsiTheme="minorHAnsi" w:cstheme="minorHAnsi"/>
                <w:sz w:val="18"/>
                <w:szCs w:val="18"/>
              </w:rPr>
              <w:t xml:space="preserve"> </w:t>
            </w:r>
            <w:r w:rsidRPr="00AD219C">
              <w:rPr>
                <w:rFonts w:asciiTheme="minorHAnsi" w:hAnsiTheme="minorHAnsi" w:cstheme="minorHAnsi"/>
                <w:sz w:val="18"/>
                <w:szCs w:val="18"/>
              </w:rPr>
              <w:t xml:space="preserve">Osobowych w przypadku odmowy dostępu do danych, ich sprostowania lub usunięcia (zalecenie nr 45 w załączniku do decyzji wykonawczej Komisji Europejskiej ustanawiającej sprawozdanie z oceny stosowania dorobku </w:t>
            </w:r>
            <w:proofErr w:type="spellStart"/>
            <w:r w:rsidRPr="00AD219C">
              <w:rPr>
                <w:rFonts w:asciiTheme="minorHAnsi" w:hAnsiTheme="minorHAnsi" w:cstheme="minorHAnsi"/>
                <w:sz w:val="18"/>
                <w:szCs w:val="18"/>
              </w:rPr>
              <w:t>Schengen</w:t>
            </w:r>
            <w:proofErr w:type="spellEnd"/>
            <w:r w:rsidRPr="00AD219C">
              <w:rPr>
                <w:rFonts w:asciiTheme="minorHAnsi" w:hAnsiTheme="minorHAnsi" w:cstheme="minorHAnsi"/>
                <w:sz w:val="18"/>
                <w:szCs w:val="18"/>
              </w:rPr>
              <w:t xml:space="preserve"> przez Polskę w 2024 r.).</w:t>
            </w:r>
          </w:p>
        </w:tc>
        <w:tc>
          <w:tcPr>
            <w:tcW w:w="3403" w:type="dxa"/>
            <w:gridSpan w:val="2"/>
          </w:tcPr>
          <w:p w14:paraId="518BB9F0" w14:textId="77777777" w:rsidR="00CE0352" w:rsidRDefault="00E14889" w:rsidP="003144B0">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CB166D">
              <w:rPr>
                <w:rFonts w:asciiTheme="minorHAnsi" w:hAnsiTheme="minorHAnsi" w:cstheme="minorHAnsi"/>
                <w:b/>
                <w:bCs/>
                <w:sz w:val="18"/>
                <w:szCs w:val="18"/>
              </w:rPr>
              <w:t>Uwzględniono</w:t>
            </w:r>
          </w:p>
          <w:p w14:paraId="17B17629" w14:textId="77777777" w:rsidR="00384512" w:rsidRDefault="00384512" w:rsidP="003144B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p>
          <w:p w14:paraId="147FD370" w14:textId="121543CF" w:rsidR="000C0229" w:rsidRPr="003144B0" w:rsidRDefault="00141592" w:rsidP="003144B0">
            <w:pPr>
              <w:jc w:val="both"/>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sz w:val="18"/>
                <w:szCs w:val="18"/>
                <w:lang w:eastAsia="pl-PL"/>
              </w:rPr>
            </w:pPr>
            <w:r>
              <w:rPr>
                <w:rFonts w:asciiTheme="minorHAnsi" w:eastAsia="Times New Roman" w:hAnsiTheme="minorHAnsi" w:cstheme="minorHAnsi"/>
                <w:color w:val="000000"/>
                <w:sz w:val="18"/>
                <w:szCs w:val="18"/>
                <w:lang w:eastAsia="pl-PL"/>
              </w:rPr>
              <w:t xml:space="preserve">Zgodnie z ustaleniami w trakcie spotkania roboczego z przedstawicielami PUODO - </w:t>
            </w:r>
            <w:r w:rsidR="00884447">
              <w:rPr>
                <w:rFonts w:asciiTheme="minorHAnsi" w:eastAsia="Times New Roman" w:hAnsiTheme="minorHAnsi" w:cstheme="minorHAnsi"/>
                <w:color w:val="000000"/>
                <w:sz w:val="18"/>
                <w:szCs w:val="18"/>
                <w:lang w:eastAsia="pl-PL"/>
              </w:rPr>
              <w:t>u</w:t>
            </w:r>
            <w:r w:rsidR="000C0229">
              <w:rPr>
                <w:rFonts w:asciiTheme="minorHAnsi" w:eastAsia="Times New Roman" w:hAnsiTheme="minorHAnsi" w:cstheme="minorHAnsi"/>
                <w:color w:val="000000"/>
                <w:sz w:val="18"/>
                <w:szCs w:val="18"/>
                <w:lang w:eastAsia="pl-PL"/>
              </w:rPr>
              <w:t>zupełniono treść uzasadnienia w zakresie podniesionej uwagi.</w:t>
            </w:r>
          </w:p>
        </w:tc>
        <w:tc>
          <w:tcPr>
            <w:tcW w:w="3482" w:type="dxa"/>
            <w:gridSpan w:val="2"/>
          </w:tcPr>
          <w:p w14:paraId="06DF2A0F" w14:textId="2B30482C" w:rsidR="00CE0352" w:rsidRPr="009B2533" w:rsidRDefault="00CE0352" w:rsidP="0070414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83764A" w:rsidRPr="002058EC" w14:paraId="08698E2A"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7B8B2919" w14:textId="77777777" w:rsidR="00786F75" w:rsidRPr="009B2533" w:rsidRDefault="00786F75"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24B4A33D" w14:textId="65452B48" w:rsidR="00786F75" w:rsidRDefault="00681C09"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39 pkt 2 </w:t>
            </w:r>
          </w:p>
        </w:tc>
        <w:tc>
          <w:tcPr>
            <w:tcW w:w="2128" w:type="dxa"/>
          </w:tcPr>
          <w:p w14:paraId="40E71814" w14:textId="40BB9901" w:rsidR="00786F75" w:rsidRPr="002058EC" w:rsidRDefault="00687AA4" w:rsidP="002058EC">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39 pkt 2 </w:t>
            </w:r>
          </w:p>
        </w:tc>
        <w:tc>
          <w:tcPr>
            <w:tcW w:w="1136" w:type="dxa"/>
          </w:tcPr>
          <w:p w14:paraId="7C938497" w14:textId="280B10BE" w:rsidR="00786F75" w:rsidRPr="002058EC" w:rsidRDefault="00073F97" w:rsidP="002058E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PUODO</w:t>
            </w:r>
          </w:p>
        </w:tc>
        <w:tc>
          <w:tcPr>
            <w:tcW w:w="4535" w:type="dxa"/>
          </w:tcPr>
          <w:p w14:paraId="3F1B6B52" w14:textId="77777777" w:rsidR="00786F75" w:rsidRDefault="00D04FF8" w:rsidP="002058EC">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b/>
                <w:bCs/>
                <w:sz w:val="18"/>
                <w:szCs w:val="18"/>
              </w:rPr>
              <w:t>Zmiana ustawy z dnia 12 października 1990 r. o Straży Granicznej – Krajowy Rejestr Cudzoziemców</w:t>
            </w:r>
            <w:r w:rsidRPr="00D04FF8">
              <w:rPr>
                <w:rFonts w:asciiTheme="minorHAnsi" w:hAnsiTheme="minorHAnsi" w:cstheme="minorHAnsi"/>
                <w:sz w:val="18"/>
                <w:szCs w:val="18"/>
              </w:rPr>
              <w:t xml:space="preserve"> i wprowadzony w art. 39 pkt 2 projektu ustawy obok wdrożenia europejskiego systemu informacji o podróży oraz zezwoleń na podróż (ETIAS), rozwiązania czyli Krajowy Rejestr Cudzoziemców (KRC), mimo złożonych wyjaśnień organ nadzorczy ocenia negatywnie.</w:t>
            </w:r>
          </w:p>
          <w:p w14:paraId="1C515D3D" w14:textId="77777777" w:rsidR="00D04FF8"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 xml:space="preserve">Usprawnienie wymiany informacji między Strażą Graniczną a innymi organami rozstrzygającymi o wjeździe i przebywaniu na terytorium Rzeczypospolitej Polskiej cudzoziemców jest istotne. Jednak tworzenie Krajowego Rejestru Cudzoziemców (KRC) </w:t>
            </w:r>
            <w:r w:rsidRPr="00C40517">
              <w:rPr>
                <w:rFonts w:asciiTheme="minorHAnsi" w:hAnsiTheme="minorHAnsi" w:cstheme="minorHAnsi"/>
                <w:sz w:val="18"/>
                <w:szCs w:val="18"/>
              </w:rPr>
              <w:t xml:space="preserve">obok </w:t>
            </w:r>
            <w:r w:rsidRPr="00D04FF8">
              <w:rPr>
                <w:rFonts w:asciiTheme="minorHAnsi" w:hAnsiTheme="minorHAnsi" w:cstheme="minorHAnsi"/>
                <w:sz w:val="18"/>
                <w:szCs w:val="18"/>
              </w:rPr>
              <w:t>europejskiego systemu informacji o podróży oraz zezwoleń na podróż (ETIAS) nie znajduje uzasadnienia w projektowanej ustawie. Podstawy prawne i gwarancje przetwarzania danych w systemie ETIAS mają wprost oparcie w rozporządzeniu 2018/1240, a więc w prawie Unii Europejskiej. Zgodnie z wyjaśnieniami zawartymi w „Tabeli do opiniowania” cyt.: „podstawę prawną dla podjęcia prac nad opracowaniem rozwiązań technicznych, organizacyjnych i legislacyjnych stanowi zarządzenie nr 62 Ministra Spraw Wewnętrznych i Administracji z dnia 30 listopada 2018 r. w sprawie powołania i trybu działania Zespołu do spraw utworzenia Krajowego Rejestru</w:t>
            </w:r>
            <w:r>
              <w:rPr>
                <w:rFonts w:asciiTheme="minorHAnsi" w:hAnsiTheme="minorHAnsi" w:cstheme="minorHAnsi"/>
                <w:sz w:val="18"/>
                <w:szCs w:val="18"/>
              </w:rPr>
              <w:t xml:space="preserve"> </w:t>
            </w:r>
            <w:r w:rsidRPr="00D04FF8">
              <w:rPr>
                <w:rFonts w:asciiTheme="minorHAnsi" w:hAnsiTheme="minorHAnsi" w:cstheme="minorHAnsi"/>
                <w:sz w:val="18"/>
                <w:szCs w:val="18"/>
              </w:rPr>
              <w:t xml:space="preserve">Cudzoziemców przebywających na terytorium Rzeczypospolitej Polskiej oraz ubiegających się o wjazd do strefy </w:t>
            </w:r>
            <w:proofErr w:type="spellStart"/>
            <w:r w:rsidRPr="00D04FF8">
              <w:rPr>
                <w:rFonts w:asciiTheme="minorHAnsi" w:hAnsiTheme="minorHAnsi" w:cstheme="minorHAnsi"/>
                <w:sz w:val="18"/>
                <w:szCs w:val="18"/>
              </w:rPr>
              <w:t>Schengen</w:t>
            </w:r>
            <w:proofErr w:type="spellEnd"/>
            <w:r w:rsidRPr="00D04FF8">
              <w:rPr>
                <w:rFonts w:asciiTheme="minorHAnsi" w:hAnsiTheme="minorHAnsi" w:cstheme="minorHAnsi"/>
                <w:sz w:val="18"/>
                <w:szCs w:val="18"/>
              </w:rPr>
              <w:t>, zmienione zarządzeniem nr 86 Ministra Spraw Wewnętrznych i Administracji z dnia 25 września 2020 r.”.</w:t>
            </w:r>
          </w:p>
          <w:p w14:paraId="486944A4" w14:textId="77777777" w:rsidR="00D04FF8"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 xml:space="preserve">Bez wątpienia wprowadzenie nowego systemu służącego do przetwarzania danych osobowych powinno następować mocą przepisów ustawy, nie zaś akcie prawnym niższego rzędu, niemniej KRC jest </w:t>
            </w:r>
            <w:r w:rsidRPr="00D04FF8">
              <w:rPr>
                <w:rFonts w:asciiTheme="minorHAnsi" w:hAnsiTheme="minorHAnsi" w:cstheme="minorHAnsi"/>
                <w:b/>
                <w:bCs/>
                <w:sz w:val="18"/>
                <w:szCs w:val="18"/>
              </w:rPr>
              <w:t>niezależnym i dodatkowym</w:t>
            </w:r>
            <w:r w:rsidRPr="00D04FF8">
              <w:rPr>
                <w:rFonts w:asciiTheme="minorHAnsi" w:hAnsiTheme="minorHAnsi" w:cstheme="minorHAnsi"/>
                <w:sz w:val="18"/>
                <w:szCs w:val="18"/>
              </w:rPr>
              <w:t xml:space="preserve"> rejestrem (narodowym zasobem informacyjnym), którego ustanowienie nie może następować jako element implementacji prawa unijnego.</w:t>
            </w:r>
          </w:p>
          <w:p w14:paraId="3942496A" w14:textId="1A15D47C" w:rsidR="00D04FF8"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 xml:space="preserve">Dodatkowo cel przetwarzania zawartych w nim danych osobowych jest znacznie szerszy niż cel przetwarzania danych osobowych w systemie ETIAS, m.in. wspieranie realizacji działań umożliwiających przeciwdziałanie nadużyciom w zakresie korzystania przez cudzoziemców z pomocy udzielanej ze środków publicznych, w tym pomocy społecznej czy wspierania realizacji czynności administracyjnych podejmowanych wobec cudzoziemców </w:t>
            </w:r>
            <w:r w:rsidRPr="00D04FF8">
              <w:rPr>
                <w:rFonts w:asciiTheme="minorHAnsi" w:hAnsiTheme="minorHAnsi" w:cstheme="minorHAnsi"/>
                <w:sz w:val="18"/>
                <w:szCs w:val="18"/>
              </w:rPr>
              <w:lastRenderedPageBreak/>
              <w:t>przez organy administracji publicznej i inne podmioty realizujące zadania</w:t>
            </w:r>
            <w:r>
              <w:rPr>
                <w:rFonts w:asciiTheme="minorHAnsi" w:hAnsiTheme="minorHAnsi" w:cstheme="minorHAnsi"/>
                <w:sz w:val="18"/>
                <w:szCs w:val="18"/>
              </w:rPr>
              <w:t xml:space="preserve"> </w:t>
            </w:r>
            <w:r w:rsidRPr="00D04FF8">
              <w:rPr>
                <w:rFonts w:asciiTheme="minorHAnsi" w:hAnsiTheme="minorHAnsi" w:cstheme="minorHAnsi"/>
                <w:sz w:val="18"/>
                <w:szCs w:val="18"/>
              </w:rPr>
              <w:t>publiczne. W KRC przetwarzane są zatem</w:t>
            </w:r>
            <w:r>
              <w:rPr>
                <w:rFonts w:asciiTheme="minorHAnsi" w:hAnsiTheme="minorHAnsi" w:cstheme="minorHAnsi"/>
                <w:sz w:val="18"/>
                <w:szCs w:val="18"/>
              </w:rPr>
              <w:t xml:space="preserve"> </w:t>
            </w:r>
            <w:r w:rsidRPr="00D04FF8">
              <w:rPr>
                <w:rFonts w:asciiTheme="minorHAnsi" w:hAnsiTheme="minorHAnsi" w:cstheme="minorHAnsi"/>
                <w:b/>
                <w:bCs/>
                <w:sz w:val="18"/>
                <w:szCs w:val="18"/>
              </w:rPr>
              <w:t>nie tylko dane cudzoziemców zobowiązanych do posiadania zezwolenia na podróż ETIAS,</w:t>
            </w:r>
            <w:r>
              <w:rPr>
                <w:rFonts w:asciiTheme="minorHAnsi" w:hAnsiTheme="minorHAnsi" w:cstheme="minorHAnsi"/>
                <w:sz w:val="18"/>
                <w:szCs w:val="18"/>
              </w:rPr>
              <w:t xml:space="preserve"> </w:t>
            </w:r>
            <w:r w:rsidRPr="00D04FF8">
              <w:rPr>
                <w:rFonts w:asciiTheme="minorHAnsi" w:hAnsiTheme="minorHAnsi" w:cstheme="minorHAnsi"/>
                <w:sz w:val="18"/>
                <w:szCs w:val="18"/>
              </w:rPr>
              <w:t>lecz w założeniu projektodawcy przetwarzane będą dane cyt.: „cudzoziemców rozproszonych w różnych systemach teleinformatycznych organów administracji i innych podmiotów realizujących zadania i czynności dotyczące cudzoziemców (…)”, co oznacza, że dotyczyć będzie realizacji kompetencji własnych państwa. Stanowi to o odrębności i niezależności tego rejestru w stosunku do KSI ETIAS, co zresztą stwierdza sam projektodawca w „Tabeli do opiniowania”.</w:t>
            </w:r>
          </w:p>
          <w:p w14:paraId="5FBDE3BF" w14:textId="1FBF3609" w:rsidR="00D04FF8" w:rsidRPr="00D04FF8"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Dlatego Prezes UODO ponownie wnioskuje o wyłączenie prac legislacyjnych dotyczących projektowanego KRC z projektu ustawy dotyczącego wdrożenia ETIAS i – ewentualne – oddzielne prowadzenie procesu opiniowania KRC, by nie zaburzyć wdrożenia ETIAS w polskim porządku prawnym. Brak odrębnej ustawy regulującej</w:t>
            </w:r>
            <w:r>
              <w:rPr>
                <w:rFonts w:asciiTheme="minorHAnsi" w:hAnsiTheme="minorHAnsi" w:cstheme="minorHAnsi"/>
                <w:sz w:val="18"/>
                <w:szCs w:val="18"/>
              </w:rPr>
              <w:t xml:space="preserve"> </w:t>
            </w:r>
            <w:r w:rsidRPr="00D04FF8">
              <w:rPr>
                <w:rFonts w:asciiTheme="minorHAnsi" w:hAnsiTheme="minorHAnsi" w:cstheme="minorHAnsi"/>
                <w:sz w:val="18"/>
                <w:szCs w:val="18"/>
              </w:rPr>
              <w:t xml:space="preserve">Krajowy Rejestr Cudzoziemców wiąże się z </w:t>
            </w:r>
            <w:r w:rsidRPr="008419BB">
              <w:rPr>
                <w:rFonts w:asciiTheme="minorHAnsi" w:hAnsiTheme="minorHAnsi" w:cstheme="minorHAnsi"/>
                <w:b/>
                <w:bCs/>
                <w:sz w:val="18"/>
                <w:szCs w:val="18"/>
              </w:rPr>
              <w:t>naruszeniem zasady legalizmu</w:t>
            </w:r>
            <w:r w:rsidRPr="00D04FF8">
              <w:rPr>
                <w:rFonts w:asciiTheme="minorHAnsi" w:hAnsiTheme="minorHAnsi" w:cstheme="minorHAnsi"/>
                <w:sz w:val="18"/>
                <w:szCs w:val="18"/>
              </w:rPr>
              <w:t xml:space="preserve"> (art. 7</w:t>
            </w:r>
            <w:r w:rsidR="008419BB">
              <w:rPr>
                <w:rFonts w:asciiTheme="minorHAnsi" w:hAnsiTheme="minorHAnsi" w:cstheme="minorHAnsi"/>
                <w:sz w:val="18"/>
                <w:szCs w:val="18"/>
              </w:rPr>
              <w:t xml:space="preserve"> K</w:t>
            </w:r>
            <w:r w:rsidRPr="00D04FF8">
              <w:rPr>
                <w:rFonts w:asciiTheme="minorHAnsi" w:hAnsiTheme="minorHAnsi" w:cstheme="minorHAnsi"/>
                <w:sz w:val="18"/>
                <w:szCs w:val="18"/>
              </w:rPr>
              <w:t xml:space="preserve">onstytucji RP) oraz </w:t>
            </w:r>
            <w:r w:rsidRPr="008419BB">
              <w:rPr>
                <w:rFonts w:asciiTheme="minorHAnsi" w:hAnsiTheme="minorHAnsi" w:cstheme="minorHAnsi"/>
                <w:b/>
                <w:bCs/>
                <w:sz w:val="18"/>
                <w:szCs w:val="18"/>
              </w:rPr>
              <w:t>przekroczeniem celu przetwarzania danych</w:t>
            </w:r>
            <w:r w:rsidRPr="00D04FF8">
              <w:rPr>
                <w:rFonts w:asciiTheme="minorHAnsi" w:hAnsiTheme="minorHAnsi" w:cstheme="minorHAnsi"/>
                <w:sz w:val="18"/>
                <w:szCs w:val="18"/>
              </w:rPr>
              <w:t xml:space="preserve"> określonego w prawie UE. Zgodnie z rozporządzeniem 2016/679 dane osobowe mogą być przetwarzane w konkretnym, wyraźnym i prawnie uzasadnionym celu. W konsekwencji KRC wymaga kompleksowej, odrębnej regulacji ustawowej, określającej cel, zakres, podmioty uprawnione oraz gwarancje praw cudzoziemców.</w:t>
            </w:r>
          </w:p>
          <w:p w14:paraId="5EE6C368" w14:textId="00E352E9" w:rsidR="00D04FF8" w:rsidRPr="00D04FF8"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Ponadto komentarz projektodawcy nie usuwa wątpliwości organu nadzorczego dotyczących wysokiej inwazyjności przetwarzania danych w KRC, w szczególności w kontekście zautomatyzowanego porównywania danych biometrycznych i integracji danych z wielu systemów źródłowych. Należy zapewnić zgodność z art. 22 rozporządzenia 2016/679, który wymaga, aby decyzje oparte wyłącznie na zautomatyzowanym przetwarzaniu, w tym profilowaniu, nie wywoływały skutków prawnych ani nie wpływały istotnie na osobę, której dane dotyczą.</w:t>
            </w:r>
          </w:p>
          <w:p w14:paraId="42528014" w14:textId="5EB3150D" w:rsidR="00D04FF8" w:rsidRPr="002058EC" w:rsidRDefault="00D04FF8" w:rsidP="00D04FF8">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D04FF8">
              <w:rPr>
                <w:rFonts w:asciiTheme="minorHAnsi" w:hAnsiTheme="minorHAnsi" w:cstheme="minorHAnsi"/>
                <w:sz w:val="18"/>
                <w:szCs w:val="18"/>
              </w:rPr>
              <w:t xml:space="preserve">Podkreślam jednocześnie, że uwagi organu nadzorczego przedstawiane w toku prac legislacyjnych mają charakter eksperckich wskazówek dla projektodawcy, który podejmuje decyzję co do ostatecznego kształtu przyjmowanych przepisów i odpowiada za zapewnienie ich </w:t>
            </w:r>
            <w:r w:rsidRPr="00D04FF8">
              <w:rPr>
                <w:rFonts w:asciiTheme="minorHAnsi" w:hAnsiTheme="minorHAnsi" w:cstheme="minorHAnsi"/>
                <w:sz w:val="18"/>
                <w:szCs w:val="18"/>
              </w:rPr>
              <w:lastRenderedPageBreak/>
              <w:t>zgodności z przepisami o ochronie danych osobowych. Wyrażam nadzieję, że uwzględnienie wyrażonych wskazówek będzie pomocne w tym procesie i przyczyni się do podwyższenia poziomu ochrony danych osobowych w projektowanych przepisach</w:t>
            </w:r>
            <w:r w:rsidR="00C40517">
              <w:rPr>
                <w:rFonts w:asciiTheme="minorHAnsi" w:hAnsiTheme="minorHAnsi" w:cstheme="minorHAnsi"/>
                <w:sz w:val="18"/>
                <w:szCs w:val="18"/>
              </w:rPr>
              <w:t>.</w:t>
            </w:r>
          </w:p>
        </w:tc>
        <w:tc>
          <w:tcPr>
            <w:tcW w:w="3403" w:type="dxa"/>
            <w:gridSpan w:val="2"/>
          </w:tcPr>
          <w:p w14:paraId="7CDCC5C3" w14:textId="2025D8BA" w:rsidR="00266D14" w:rsidRDefault="00266D14" w:rsidP="00266D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Wyjaśniono</w:t>
            </w:r>
          </w:p>
          <w:p w14:paraId="72085668" w14:textId="21DCA193" w:rsidR="00786F75" w:rsidRPr="00C40517" w:rsidRDefault="00266D14" w:rsidP="0088365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sz w:val="18"/>
                <w:szCs w:val="18"/>
              </w:rPr>
              <w:t>R</w:t>
            </w:r>
            <w:r w:rsidR="003144B0" w:rsidRPr="004B0FDC">
              <w:rPr>
                <w:rFonts w:asciiTheme="minorHAnsi" w:hAnsiTheme="minorHAnsi" w:cstheme="minorHAnsi"/>
                <w:sz w:val="18"/>
                <w:szCs w:val="18"/>
              </w:rPr>
              <w:t>ozwiązanie prawne zostało szczegółowo omówiono</w:t>
            </w:r>
            <w:r w:rsidR="003144B0" w:rsidRPr="004B0FDC">
              <w:rPr>
                <w:rFonts w:asciiTheme="minorHAnsi" w:hAnsiTheme="minorHAnsi" w:cstheme="minorHAnsi"/>
                <w:b/>
                <w:bCs/>
                <w:sz w:val="18"/>
                <w:szCs w:val="18"/>
              </w:rPr>
              <w:t xml:space="preserve"> </w:t>
            </w:r>
            <w:r w:rsidR="003144B0" w:rsidRPr="004B0FDC">
              <w:rPr>
                <w:rFonts w:asciiTheme="minorHAnsi" w:hAnsiTheme="minorHAnsi" w:cstheme="minorHAnsi"/>
                <w:sz w:val="18"/>
                <w:szCs w:val="18"/>
              </w:rPr>
              <w:t xml:space="preserve">podczas spotkania </w:t>
            </w:r>
            <w:r w:rsidR="00884447">
              <w:rPr>
                <w:rFonts w:asciiTheme="minorHAnsi" w:hAnsiTheme="minorHAnsi" w:cstheme="minorHAnsi"/>
                <w:sz w:val="18"/>
                <w:szCs w:val="18"/>
              </w:rPr>
              <w:br/>
            </w:r>
            <w:r w:rsidR="003144B0" w:rsidRPr="004B0FDC">
              <w:rPr>
                <w:rFonts w:asciiTheme="minorHAnsi" w:hAnsiTheme="minorHAnsi" w:cstheme="minorHAnsi"/>
                <w:sz w:val="18"/>
                <w:szCs w:val="18"/>
              </w:rPr>
              <w:t>z przedstawicielami UODO.</w:t>
            </w:r>
            <w:r w:rsidR="004B0FDC">
              <w:rPr>
                <w:rFonts w:asciiTheme="minorHAnsi" w:hAnsiTheme="minorHAnsi" w:cstheme="minorHAnsi"/>
                <w:sz w:val="18"/>
                <w:szCs w:val="18"/>
              </w:rPr>
              <w:t xml:space="preserve"> Przedstawiciele podtrzymali zgłoszone wątpliwości.</w:t>
            </w:r>
            <w:r w:rsidR="003144B0" w:rsidRPr="004B0FDC">
              <w:rPr>
                <w:rFonts w:asciiTheme="minorHAnsi" w:hAnsiTheme="minorHAnsi" w:cstheme="minorHAnsi"/>
                <w:sz w:val="18"/>
                <w:szCs w:val="18"/>
              </w:rPr>
              <w:t xml:space="preserve"> </w:t>
            </w:r>
            <w:r w:rsidR="004B0FDC" w:rsidRPr="004B0FDC">
              <w:rPr>
                <w:rFonts w:asciiTheme="minorHAnsi" w:hAnsiTheme="minorHAnsi" w:cstheme="minorHAnsi"/>
                <w:sz w:val="18"/>
                <w:szCs w:val="18"/>
              </w:rPr>
              <w:t xml:space="preserve">Zgodnie z decyzją projektodawcy, pozostawiono przepisy </w:t>
            </w:r>
            <w:r w:rsidR="008375DA">
              <w:rPr>
                <w:rFonts w:asciiTheme="minorHAnsi" w:hAnsiTheme="minorHAnsi" w:cstheme="minorHAnsi"/>
                <w:sz w:val="18"/>
                <w:szCs w:val="18"/>
              </w:rPr>
              <w:t xml:space="preserve">dotyczące KRC </w:t>
            </w:r>
            <w:r w:rsidR="004B0FDC" w:rsidRPr="004B0FDC">
              <w:rPr>
                <w:rFonts w:asciiTheme="minorHAnsi" w:hAnsiTheme="minorHAnsi" w:cstheme="minorHAnsi"/>
                <w:sz w:val="18"/>
                <w:szCs w:val="18"/>
              </w:rPr>
              <w:t>w dotychczasowym brzmieni</w:t>
            </w:r>
            <w:r w:rsidR="008375DA">
              <w:rPr>
                <w:rFonts w:asciiTheme="minorHAnsi" w:hAnsiTheme="minorHAnsi" w:cstheme="minorHAnsi"/>
                <w:sz w:val="18"/>
                <w:szCs w:val="18"/>
              </w:rPr>
              <w:t>u, z modyfikacją dotyczącą algorytmów porównywania danych.</w:t>
            </w:r>
            <w:r w:rsidR="007F4E90">
              <w:rPr>
                <w:rFonts w:asciiTheme="minorHAnsi" w:hAnsiTheme="minorHAnsi" w:cstheme="minorHAnsi"/>
                <w:sz w:val="18"/>
                <w:szCs w:val="18"/>
              </w:rPr>
              <w:t xml:space="preserve"> </w:t>
            </w:r>
            <w:r w:rsidR="009365B5">
              <w:rPr>
                <w:rFonts w:asciiTheme="minorHAnsi" w:hAnsiTheme="minorHAnsi" w:cstheme="minorHAnsi"/>
                <w:sz w:val="18"/>
                <w:szCs w:val="18"/>
              </w:rPr>
              <w:t xml:space="preserve">Dodatkowo, w celu </w:t>
            </w:r>
            <w:r w:rsidR="0088365B">
              <w:rPr>
                <w:rFonts w:asciiTheme="minorHAnsi" w:hAnsiTheme="minorHAnsi" w:cstheme="minorHAnsi"/>
                <w:sz w:val="18"/>
                <w:szCs w:val="18"/>
              </w:rPr>
              <w:t xml:space="preserve">zachowania </w:t>
            </w:r>
            <w:r w:rsidR="009365B5">
              <w:rPr>
                <w:rFonts w:asciiTheme="minorHAnsi" w:hAnsiTheme="minorHAnsi" w:cstheme="minorHAnsi"/>
                <w:sz w:val="18"/>
                <w:szCs w:val="18"/>
              </w:rPr>
              <w:t xml:space="preserve">pełnej transparentności w zakresie ochrony danych osobowych Krajowego Rejestru Cudzoziemców – dokonano </w:t>
            </w:r>
            <w:r w:rsidR="00884447">
              <w:rPr>
                <w:rFonts w:asciiTheme="minorHAnsi" w:hAnsiTheme="minorHAnsi" w:cstheme="minorHAnsi"/>
                <w:sz w:val="18"/>
                <w:szCs w:val="18"/>
              </w:rPr>
              <w:t>o</w:t>
            </w:r>
            <w:r w:rsidR="009365B5" w:rsidRPr="009365B5">
              <w:rPr>
                <w:rFonts w:asciiTheme="minorHAnsi" w:hAnsiTheme="minorHAnsi" w:cstheme="minorHAnsi"/>
                <w:sz w:val="18"/>
                <w:szCs w:val="18"/>
              </w:rPr>
              <w:t>cen</w:t>
            </w:r>
            <w:r w:rsidR="009365B5">
              <w:rPr>
                <w:rFonts w:asciiTheme="minorHAnsi" w:hAnsiTheme="minorHAnsi" w:cstheme="minorHAnsi"/>
                <w:sz w:val="18"/>
                <w:szCs w:val="18"/>
              </w:rPr>
              <w:t>y</w:t>
            </w:r>
            <w:r w:rsidR="009365B5" w:rsidRPr="009365B5">
              <w:rPr>
                <w:rFonts w:asciiTheme="minorHAnsi" w:hAnsiTheme="minorHAnsi" w:cstheme="minorHAnsi"/>
                <w:sz w:val="18"/>
                <w:szCs w:val="18"/>
              </w:rPr>
              <w:t xml:space="preserve"> skutków dla ochrony danych (</w:t>
            </w:r>
            <w:r w:rsidR="0088365B">
              <w:rPr>
                <w:rFonts w:asciiTheme="minorHAnsi" w:hAnsiTheme="minorHAnsi" w:cstheme="minorHAnsi"/>
                <w:sz w:val="18"/>
                <w:szCs w:val="18"/>
              </w:rPr>
              <w:t>dokument</w:t>
            </w:r>
            <w:r w:rsidR="009365B5" w:rsidRPr="009365B5">
              <w:rPr>
                <w:rFonts w:asciiTheme="minorHAnsi" w:hAnsiTheme="minorHAnsi" w:cstheme="minorHAnsi"/>
                <w:sz w:val="18"/>
                <w:szCs w:val="18"/>
              </w:rPr>
              <w:t xml:space="preserve"> DPIA</w:t>
            </w:r>
            <w:r w:rsidR="009365B5">
              <w:rPr>
                <w:rFonts w:asciiTheme="minorHAnsi" w:hAnsiTheme="minorHAnsi" w:cstheme="minorHAnsi"/>
                <w:sz w:val="18"/>
                <w:szCs w:val="18"/>
              </w:rPr>
              <w:t>). Dokument zostanie dołączony jako załącznik do OSR.</w:t>
            </w:r>
          </w:p>
        </w:tc>
        <w:tc>
          <w:tcPr>
            <w:tcW w:w="3482" w:type="dxa"/>
            <w:gridSpan w:val="2"/>
          </w:tcPr>
          <w:p w14:paraId="3F38F31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bookmarkStart w:id="2" w:name="_Hlk174351599"/>
          </w:p>
          <w:p w14:paraId="6404A57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08F4F7D"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160B52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075EC2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450145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BDA8F8D"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459B6F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390F99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FD5F23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4468A4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03E6C8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9712CE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618A87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43A41D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C29BE9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570887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619F1E5"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5AE03D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13653E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39B832B"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B67D05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26C838E"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074A8B2C"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4AB2B13"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2DFB28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DB78C2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28BFE4F"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82E6EE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57B414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292AB84"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38358B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FBB912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811BE5E"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04F4793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266D6D0"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CFE47CC"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FC4FE2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06568494"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A1C169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FDFD02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A463BA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8374092"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B9F0032"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921527E"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E4BC7C4"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47032B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818DEF3"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502980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B2F15AB"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668C0B5"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661451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24BA91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07F6CCC5"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6914C375"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C15DE1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02DA0D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4E8137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999016B"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EABDCC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FBA8870"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7D2950E"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0CDC6A8"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17059E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09E246B"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4445491"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0382ACF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B341986"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573F849"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16992F5A"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C81EE3C"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3242062C"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7E17038F"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D845717"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54B0633E"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FE77265"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4908B960" w14:textId="77777777" w:rsidR="00CF691D" w:rsidRDefault="00CF691D"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p>
          <w:p w14:paraId="2905AAAA" w14:textId="7D1C7D88" w:rsidR="001C3B41" w:rsidRPr="001C3B41" w:rsidRDefault="001C3B41"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1C3B41">
              <w:rPr>
                <w:rFonts w:asciiTheme="minorHAnsi" w:hAnsiTheme="minorHAnsi" w:cstheme="minorHAnsi"/>
                <w:b/>
                <w:sz w:val="18"/>
                <w:szCs w:val="18"/>
              </w:rPr>
              <w:t>Art. 39.</w:t>
            </w:r>
            <w:r w:rsidRPr="001C3B41">
              <w:rPr>
                <w:rFonts w:asciiTheme="minorHAnsi" w:hAnsiTheme="minorHAnsi" w:cstheme="minorHAnsi"/>
                <w:sz w:val="18"/>
                <w:szCs w:val="18"/>
              </w:rPr>
              <w:t> W ustawie z dnia 12 października 1990 r. o Straży Granicznej (Dz. U. z 2025 r. poz. 914 i 1366) wprowadza się następujące zmiany:</w:t>
            </w:r>
            <w:bookmarkEnd w:id="2"/>
          </w:p>
          <w:p w14:paraId="597100FE" w14:textId="77777777" w:rsidR="001C3B41" w:rsidRPr="001C3B41" w:rsidRDefault="001C3B41"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1C3B41">
              <w:rPr>
                <w:rFonts w:asciiTheme="minorHAnsi" w:hAnsiTheme="minorHAnsi" w:cstheme="minorHAnsi"/>
                <w:bCs/>
                <w:sz w:val="18"/>
                <w:szCs w:val="18"/>
              </w:rPr>
              <w:t>1)</w:t>
            </w:r>
            <w:r w:rsidRPr="001C3B41">
              <w:rPr>
                <w:rFonts w:asciiTheme="minorHAnsi" w:hAnsiTheme="minorHAnsi" w:cstheme="minorHAnsi"/>
                <w:bCs/>
                <w:sz w:val="18"/>
                <w:szCs w:val="18"/>
              </w:rPr>
              <w:tab/>
              <w:t>po art. 2b dodaje się art. 2c w brzmieniu:</w:t>
            </w:r>
          </w:p>
          <w:p w14:paraId="5F3FE3D1" w14:textId="77777777" w:rsidR="001C3B41" w:rsidRPr="001C3B41" w:rsidRDefault="001C3B41" w:rsidP="001C3B4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1C3B41">
              <w:rPr>
                <w:rFonts w:asciiTheme="minorHAnsi" w:hAnsiTheme="minorHAnsi" w:cstheme="minorHAnsi"/>
                <w:sz w:val="18"/>
                <w:szCs w:val="18"/>
              </w:rPr>
              <w:t>„Art. 2c. 1. Komendant Główny Straży Granicznej tworzy, prowadzi, rozwija i utrzymuje Krajowy Rejestr Cudzoziemców, zwany dalej „KRC”, w celu:</w:t>
            </w:r>
          </w:p>
          <w:p w14:paraId="46EF863C" w14:textId="1C2B6D60" w:rsidR="00786F75" w:rsidRDefault="001C3B41" w:rsidP="00CF691D">
            <w:pPr>
              <w:pStyle w:val="Akapitzlist"/>
              <w:numPr>
                <w:ilvl w:val="0"/>
                <w:numId w:val="20"/>
              </w:numPr>
              <w:ind w:left="41" w:firstLine="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1C3B41">
              <w:rPr>
                <w:rFonts w:asciiTheme="minorHAnsi" w:hAnsiTheme="minorHAnsi" w:cstheme="minorHAnsi"/>
                <w:sz w:val="18"/>
                <w:szCs w:val="18"/>
              </w:rPr>
              <w:t>identyfikowania i weryfikowania danych cudzoziemców za pomocą zaawansowanych algorytmów porównywania danych alfanumerycznych;</w:t>
            </w:r>
          </w:p>
          <w:p w14:paraId="490FCD40" w14:textId="77777777" w:rsidR="00CF691D" w:rsidRPr="000C6910" w:rsidRDefault="00CF691D" w:rsidP="00CF691D">
            <w:pPr>
              <w:pStyle w:val="Akapitzlist"/>
              <w:ind w:left="4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4E7B723" w14:textId="4DDCCBCF" w:rsidR="00786F75" w:rsidRPr="002058EC" w:rsidRDefault="000C6910" w:rsidP="002058E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0C6910">
              <w:rPr>
                <w:rFonts w:asciiTheme="minorHAnsi" w:hAnsiTheme="minorHAnsi" w:cstheme="minorHAnsi"/>
                <w:sz w:val="18"/>
                <w:szCs w:val="18"/>
              </w:rPr>
              <w:t xml:space="preserve">5. GIC jest symbolem alfanumerycznym identyfikującym cudzoziemca, generowanym </w:t>
            </w:r>
            <w:r w:rsidRPr="000C6910">
              <w:rPr>
                <w:rFonts w:asciiTheme="minorHAnsi" w:hAnsiTheme="minorHAnsi" w:cstheme="minorHAnsi"/>
                <w:sz w:val="18"/>
                <w:szCs w:val="18"/>
              </w:rPr>
              <w:lastRenderedPageBreak/>
              <w:t>automatycznie, przy wsparciu algorytmów porównywania danych alfanumerycznych</w:t>
            </w:r>
          </w:p>
        </w:tc>
      </w:tr>
      <w:tr w:rsidR="0083764A" w:rsidRPr="009B2533" w14:paraId="1E4133BA"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2BDFC34B" w14:textId="77777777" w:rsidR="00CE0352" w:rsidRPr="009B2533" w:rsidRDefault="00CE0352"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4253D489" w14:textId="49F45E2B" w:rsidR="00CE0352" w:rsidRDefault="00CE0352"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250D5FC4" w14:textId="75EE16FA" w:rsidR="007D6DFE" w:rsidRPr="007D6DFE" w:rsidRDefault="007D6DFE" w:rsidP="00786F75">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tc>
        <w:tc>
          <w:tcPr>
            <w:tcW w:w="1136" w:type="dxa"/>
          </w:tcPr>
          <w:p w14:paraId="0D1FAD6F" w14:textId="6D1FD8EC" w:rsidR="00CE0352" w:rsidRPr="00CC73BF" w:rsidRDefault="003B251C"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Wojewoda Opolski</w:t>
            </w:r>
          </w:p>
        </w:tc>
        <w:tc>
          <w:tcPr>
            <w:tcW w:w="4535" w:type="dxa"/>
          </w:tcPr>
          <w:p w14:paraId="30E4CDDD" w14:textId="77777777" w:rsidR="003B251C" w:rsidRPr="003B251C" w:rsidRDefault="003B251C" w:rsidP="003B25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B251C">
              <w:rPr>
                <w:rFonts w:asciiTheme="minorHAnsi" w:hAnsiTheme="minorHAnsi" w:cstheme="minorHAnsi"/>
                <w:sz w:val="18"/>
                <w:szCs w:val="18"/>
              </w:rPr>
              <w:t>Proszę o ponowne rozpatrzenie możliwości wprowadzenia przepisów, które zobowiążą do przeprowadzenia szkoleń przez Straż Graniczną dla pracowników urzędów wojewódzkich w zakresie dostępu, funkcjonowania oraz przetwarzania danych poprzez KSI ETIAS.</w:t>
            </w:r>
          </w:p>
          <w:p w14:paraId="54BA691B" w14:textId="77777777" w:rsidR="003B251C" w:rsidRPr="003B251C" w:rsidRDefault="003B251C" w:rsidP="003B25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34D3CE4" w14:textId="33968426" w:rsidR="00CE0352" w:rsidRPr="007D6DFE" w:rsidRDefault="003B251C"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3B251C">
              <w:rPr>
                <w:rFonts w:asciiTheme="minorHAnsi" w:hAnsiTheme="minorHAnsi" w:cstheme="minorHAnsi"/>
                <w:sz w:val="18"/>
                <w:szCs w:val="18"/>
              </w:rPr>
              <w:t>Szkolenia te mogą zostać ograniczone jedynie do koordynatorów/zastępców koordynatorów ds. ETIAS w danym urzędzie wojewódzkim (co będzie stanowiło zaledwie 1-2 pracowników z danego urzędu, czyli od 16 do 32 pracowników). Szkolenia te mogą być przeprowadzone on-line. Szkolenia dla niewielkiej grupy koordynatorów z urzędów wojewódzkich nie będą zatem obciążające dla organu</w:t>
            </w:r>
            <w:r>
              <w:rPr>
                <w:rFonts w:asciiTheme="minorHAnsi" w:hAnsiTheme="minorHAnsi" w:cstheme="minorHAnsi"/>
                <w:sz w:val="18"/>
                <w:szCs w:val="18"/>
              </w:rPr>
              <w:t xml:space="preserve"> </w:t>
            </w:r>
            <w:r w:rsidRPr="003B251C">
              <w:rPr>
                <w:rFonts w:asciiTheme="minorHAnsi" w:hAnsiTheme="minorHAnsi" w:cstheme="minorHAnsi"/>
                <w:sz w:val="18"/>
                <w:szCs w:val="18"/>
              </w:rPr>
              <w:t>Straży Granicznej, a przyczynią się do ujednolicenia przekazywanej wiedzy w sprawie ETIAS i realizacji tego zadania przez organ posiadający najszerszą i praktyczną wiedzę w tym zakresie oraz odpowiednie struktury szkoleniowe.</w:t>
            </w:r>
          </w:p>
        </w:tc>
        <w:tc>
          <w:tcPr>
            <w:tcW w:w="3403" w:type="dxa"/>
            <w:gridSpan w:val="2"/>
          </w:tcPr>
          <w:p w14:paraId="0C77A8CF" w14:textId="0DB23129" w:rsidR="00CE0352" w:rsidRDefault="00CF6645"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2A6228">
              <w:rPr>
                <w:rFonts w:asciiTheme="minorHAnsi" w:hAnsiTheme="minorHAnsi" w:cstheme="minorHAnsi"/>
                <w:b/>
                <w:bCs/>
                <w:sz w:val="18"/>
                <w:szCs w:val="18"/>
              </w:rPr>
              <w:t>Nie uw</w:t>
            </w:r>
            <w:r w:rsidR="002A6228" w:rsidRPr="002A6228">
              <w:rPr>
                <w:rFonts w:asciiTheme="minorHAnsi" w:hAnsiTheme="minorHAnsi" w:cstheme="minorHAnsi"/>
                <w:b/>
                <w:bCs/>
                <w:sz w:val="18"/>
                <w:szCs w:val="18"/>
              </w:rPr>
              <w:t>zględniono</w:t>
            </w:r>
          </w:p>
          <w:p w14:paraId="38C76382" w14:textId="0A743F81" w:rsidR="00A17F25" w:rsidRDefault="00A17F25"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Wyjaśniono</w:t>
            </w:r>
          </w:p>
          <w:p w14:paraId="70A6DAC4" w14:textId="65BFAD0A" w:rsidR="002A6228" w:rsidRDefault="002A6228"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10F631A8" w14:textId="77777777" w:rsidR="002A6228" w:rsidRPr="002A6228" w:rsidRDefault="002A6228" w:rsidP="002A622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A6228">
              <w:rPr>
                <w:rFonts w:asciiTheme="minorHAnsi" w:hAnsiTheme="minorHAnsi" w:cstheme="minorHAnsi"/>
                <w:sz w:val="18"/>
                <w:szCs w:val="18"/>
              </w:rPr>
              <w:t>Wskazać należy, że zakres odpowiedzialności został precyzyjnie określony w art. 36 ust. 3 i 4 projektu ustawy:</w:t>
            </w:r>
          </w:p>
          <w:p w14:paraId="36CDD00A" w14:textId="10CE7773" w:rsidR="002A6228" w:rsidRPr="002A6228" w:rsidRDefault="002A6228" w:rsidP="002A622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18"/>
                <w:szCs w:val="18"/>
              </w:rPr>
            </w:pPr>
            <w:r w:rsidRPr="002A6228">
              <w:rPr>
                <w:rFonts w:asciiTheme="minorHAnsi" w:hAnsiTheme="minorHAnsi" w:cstheme="minorHAnsi"/>
                <w:sz w:val="18"/>
                <w:szCs w:val="18"/>
              </w:rPr>
              <w:t xml:space="preserve"> </w:t>
            </w:r>
            <w:r w:rsidRPr="002A6228">
              <w:rPr>
                <w:rFonts w:asciiTheme="minorHAnsi" w:hAnsiTheme="minorHAnsi" w:cstheme="minorHAnsi"/>
                <w:i/>
                <w:iCs/>
                <w:sz w:val="18"/>
                <w:szCs w:val="18"/>
              </w:rPr>
              <w:t>„3. Organ uprawniony do przetwarzania danych ETIAS zapewnia szkolenie, o którym mowa w ust. 2.</w:t>
            </w:r>
          </w:p>
          <w:p w14:paraId="055E32C7" w14:textId="35DC2560" w:rsidR="002A6228" w:rsidRPr="002A6228" w:rsidRDefault="002A6228" w:rsidP="002A622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sz w:val="18"/>
                <w:szCs w:val="18"/>
              </w:rPr>
            </w:pPr>
            <w:r w:rsidRPr="002A6228">
              <w:rPr>
                <w:rFonts w:asciiTheme="minorHAnsi" w:hAnsiTheme="minorHAnsi" w:cstheme="minorHAnsi"/>
                <w:i/>
                <w:iCs/>
                <w:sz w:val="18"/>
                <w:szCs w:val="18"/>
              </w:rPr>
              <w:t>4. Szkolenie, o którym mowa w ust. 2, jest prowadzone na podstawie programu szkolenia opracowanego i zatwierdzonego przez Komendanta Głównego Straży Granicznej.”</w:t>
            </w:r>
          </w:p>
          <w:p w14:paraId="1525A7D6" w14:textId="0EB3A60C" w:rsidR="002A6228" w:rsidRPr="002A6228" w:rsidRDefault="002A6228" w:rsidP="009E755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Projektodawca nie widzi potrzeb dokonywania</w:t>
            </w:r>
            <w:r>
              <w:t xml:space="preserve"> </w:t>
            </w:r>
            <w:r w:rsidRPr="002A6228">
              <w:rPr>
                <w:rFonts w:asciiTheme="minorHAnsi" w:hAnsiTheme="minorHAnsi" w:cstheme="minorHAnsi"/>
                <w:sz w:val="18"/>
                <w:szCs w:val="18"/>
              </w:rPr>
              <w:t>w zakresie dostępu, funkcjonowania oraz przetwarzania danych poprzez KSI ETIAS</w:t>
            </w:r>
            <w:r>
              <w:t xml:space="preserve"> </w:t>
            </w:r>
            <w:r w:rsidRPr="002A6228">
              <w:rPr>
                <w:rFonts w:asciiTheme="minorHAnsi" w:hAnsiTheme="minorHAnsi" w:cstheme="minorHAnsi"/>
                <w:sz w:val="18"/>
                <w:szCs w:val="18"/>
              </w:rPr>
              <w:t>w szczególności w zakresie zasad bezpieczeństwa danych oraz ich ochrony, a także w zakresie praw podstawowych</w:t>
            </w:r>
            <w:r>
              <w:rPr>
                <w:rFonts w:asciiTheme="minorHAnsi" w:hAnsiTheme="minorHAnsi" w:cstheme="minorHAnsi"/>
                <w:sz w:val="18"/>
                <w:szCs w:val="18"/>
              </w:rPr>
              <w:t xml:space="preserve">. </w:t>
            </w:r>
            <w:r w:rsidRPr="002A6228">
              <w:rPr>
                <w:rFonts w:asciiTheme="minorHAnsi" w:hAnsiTheme="minorHAnsi" w:cstheme="minorHAnsi"/>
                <w:sz w:val="18"/>
                <w:szCs w:val="18"/>
              </w:rPr>
              <w:t>Jednocześnie brak jest takich zapisów w innych ustawach krajowych regulujących funkcjonowanie systemów informacyjnych UE na terytorium RP np. EES, SIS/VIS.</w:t>
            </w:r>
            <w:r w:rsidR="004E7D9E">
              <w:rPr>
                <w:rFonts w:asciiTheme="minorHAnsi" w:hAnsiTheme="minorHAnsi" w:cstheme="minorHAnsi"/>
                <w:sz w:val="18"/>
                <w:szCs w:val="18"/>
              </w:rPr>
              <w:t xml:space="preserve"> Zgodnie ze wskazanym przepisem, Komendant KGSG</w:t>
            </w:r>
            <w:r w:rsidR="00D65429">
              <w:rPr>
                <w:rFonts w:asciiTheme="minorHAnsi" w:hAnsiTheme="minorHAnsi" w:cstheme="minorHAnsi"/>
                <w:sz w:val="18"/>
                <w:szCs w:val="18"/>
              </w:rPr>
              <w:t xml:space="preserve"> opracuje i zatwierdzi program szkole</w:t>
            </w:r>
            <w:r w:rsidR="009E755D">
              <w:rPr>
                <w:rFonts w:asciiTheme="minorHAnsi" w:hAnsiTheme="minorHAnsi" w:cstheme="minorHAnsi"/>
                <w:sz w:val="18"/>
                <w:szCs w:val="18"/>
              </w:rPr>
              <w:t>ń, na podstawie których o</w:t>
            </w:r>
            <w:r w:rsidR="00D65429">
              <w:rPr>
                <w:rFonts w:asciiTheme="minorHAnsi" w:hAnsiTheme="minorHAnsi" w:cstheme="minorHAnsi"/>
                <w:sz w:val="18"/>
                <w:szCs w:val="18"/>
              </w:rPr>
              <w:t xml:space="preserve">rgan uprawniony do przetwarzania danych będzie </w:t>
            </w:r>
            <w:r w:rsidR="009E755D">
              <w:rPr>
                <w:rFonts w:asciiTheme="minorHAnsi" w:hAnsiTheme="minorHAnsi" w:cstheme="minorHAnsi"/>
                <w:sz w:val="18"/>
                <w:szCs w:val="18"/>
              </w:rPr>
              <w:t>przeprowadzał</w:t>
            </w:r>
            <w:r w:rsidR="00D65429">
              <w:rPr>
                <w:rFonts w:asciiTheme="minorHAnsi" w:hAnsiTheme="minorHAnsi" w:cstheme="minorHAnsi"/>
                <w:sz w:val="18"/>
                <w:szCs w:val="18"/>
              </w:rPr>
              <w:t xml:space="preserve"> szkolenie.</w:t>
            </w:r>
          </w:p>
        </w:tc>
        <w:tc>
          <w:tcPr>
            <w:tcW w:w="3482" w:type="dxa"/>
            <w:gridSpan w:val="2"/>
          </w:tcPr>
          <w:p w14:paraId="60A46846" w14:textId="77777777" w:rsidR="00CE0352" w:rsidRPr="007D6DFE" w:rsidRDefault="00CE0352"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83764A" w:rsidRPr="009B2533" w14:paraId="215F6EEF"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505CEC4E" w14:textId="77777777" w:rsidR="00BA0C48" w:rsidRPr="009B2533" w:rsidRDefault="00BA0C48"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39C7252D" w14:textId="77777777" w:rsidR="00BA0C48" w:rsidRDefault="00CC6010"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15 ust. 3</w:t>
            </w:r>
          </w:p>
          <w:p w14:paraId="599FFA66" w14:textId="77777777" w:rsidR="00CC6010" w:rsidRDefault="00CC6010"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p w14:paraId="2A638E13" w14:textId="77777777" w:rsidR="00676118" w:rsidRDefault="00CC6010"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oraz </w:t>
            </w:r>
          </w:p>
          <w:p w14:paraId="6E828643" w14:textId="1B15B23D" w:rsidR="00CC6010" w:rsidRDefault="00CC6010"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 xml:space="preserve">art. 38 </w:t>
            </w:r>
          </w:p>
          <w:p w14:paraId="17E24461" w14:textId="7DF056B3" w:rsidR="00CC6010" w:rsidRDefault="00676118"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u</w:t>
            </w:r>
            <w:r w:rsidR="00CC6010">
              <w:rPr>
                <w:rStyle w:val="Ppogrubienie"/>
                <w:rFonts w:asciiTheme="minorHAnsi" w:hAnsiTheme="minorHAnsi" w:cstheme="minorHAnsi"/>
                <w:b w:val="0"/>
                <w:sz w:val="18"/>
                <w:szCs w:val="18"/>
              </w:rPr>
              <w:t>st. 2</w:t>
            </w:r>
          </w:p>
        </w:tc>
        <w:tc>
          <w:tcPr>
            <w:tcW w:w="2128" w:type="dxa"/>
          </w:tcPr>
          <w:p w14:paraId="63145C8B" w14:textId="7080E353" w:rsidR="00BA0C48" w:rsidRDefault="00DE25CC" w:rsidP="00FB44D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DE25CC">
              <w:rPr>
                <w:rFonts w:asciiTheme="minorHAnsi" w:hAnsiTheme="minorHAnsi" w:cstheme="minorHAnsi"/>
                <w:bCs/>
                <w:sz w:val="18"/>
                <w:szCs w:val="18"/>
              </w:rPr>
              <w:t xml:space="preserve">Art. 15. </w:t>
            </w:r>
            <w:r>
              <w:rPr>
                <w:rFonts w:asciiTheme="minorHAnsi" w:hAnsiTheme="minorHAnsi" w:cstheme="minorHAnsi"/>
                <w:bCs/>
                <w:sz w:val="18"/>
                <w:szCs w:val="18"/>
              </w:rPr>
              <w:t>ust. 3</w:t>
            </w:r>
          </w:p>
          <w:p w14:paraId="2B4911D1" w14:textId="77777777" w:rsidR="00DE25CC" w:rsidRDefault="00DE25CC" w:rsidP="00FB44D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3. </w:t>
            </w:r>
            <w:r w:rsidRPr="00DE25CC">
              <w:rPr>
                <w:rFonts w:asciiTheme="minorHAnsi" w:hAnsiTheme="minorHAnsi" w:cstheme="minorHAnsi"/>
                <w:bCs/>
                <w:sz w:val="18"/>
                <w:szCs w:val="18"/>
              </w:rPr>
              <w:t xml:space="preserve">Wniosek o ponowne rozpatrzenie sprawy może złożyć upoważniony przez cudzoziemca pełnomocnik do złożenia wniosku w jego imieniu, a w przypadku małoletnich, wniosek składa osoba </w:t>
            </w:r>
            <w:r w:rsidRPr="00DE25CC">
              <w:rPr>
                <w:rFonts w:asciiTheme="minorHAnsi" w:hAnsiTheme="minorHAnsi" w:cstheme="minorHAnsi"/>
                <w:bCs/>
                <w:sz w:val="18"/>
                <w:szCs w:val="18"/>
              </w:rPr>
              <w:lastRenderedPageBreak/>
              <w:t>sprawująca władzę rodzicielską lub opiekun prawny</w:t>
            </w:r>
            <w:r>
              <w:rPr>
                <w:rFonts w:asciiTheme="minorHAnsi" w:hAnsiTheme="minorHAnsi" w:cstheme="minorHAnsi"/>
                <w:bCs/>
                <w:sz w:val="18"/>
                <w:szCs w:val="18"/>
              </w:rPr>
              <w:t>.</w:t>
            </w:r>
          </w:p>
          <w:p w14:paraId="50207218" w14:textId="303F9E78" w:rsidR="00DE25CC" w:rsidRPr="00DE25CC" w:rsidRDefault="00DE25CC" w:rsidP="00DE25CC">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Art. 38 ust. 2 </w:t>
            </w:r>
          </w:p>
          <w:p w14:paraId="2645AAE4" w14:textId="7BCF66E1" w:rsidR="00DE25CC" w:rsidRDefault="00DE25CC" w:rsidP="00DE25C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DE25CC">
              <w:rPr>
                <w:rFonts w:asciiTheme="minorHAnsi" w:hAnsiTheme="minorHAnsi" w:cstheme="minorHAnsi"/>
                <w:bCs/>
                <w:sz w:val="18"/>
                <w:szCs w:val="18"/>
              </w:rPr>
              <w:t>2. Wnioski, o których mowa w ust. 1, składa się za pośrednictwem ogólnodostępnej strony internetowej lub aplikacji na urządzenia mobilne, o których mowa w art. 16 rozporządzenia 2018/1240, a w przypadku ich niedostępności, wniosek składa się w postaci elektronicznej za pośrednictwem narzędzia teleinformatycznego Straży Granicznej.</w:t>
            </w:r>
            <w:r>
              <w:rPr>
                <w:rFonts w:asciiTheme="minorHAnsi" w:hAnsiTheme="minorHAnsi" w:cstheme="minorHAnsi"/>
                <w:bCs/>
                <w:sz w:val="18"/>
                <w:szCs w:val="18"/>
              </w:rPr>
              <w:t xml:space="preserve"> </w:t>
            </w:r>
          </w:p>
          <w:p w14:paraId="5EAAB767" w14:textId="57C62B6E" w:rsidR="00DE25CC" w:rsidRDefault="00DE25CC" w:rsidP="00DE25CC">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DE25CC">
              <w:rPr>
                <w:rFonts w:asciiTheme="minorHAnsi" w:hAnsiTheme="minorHAnsi" w:cstheme="minorHAnsi"/>
                <w:bCs/>
                <w:sz w:val="18"/>
                <w:szCs w:val="18"/>
              </w:rPr>
              <w:t>W przypadku małoletnich, wniosek składa osoba sprawująca władzę rodzicielską lub opiekun prawny.</w:t>
            </w:r>
          </w:p>
          <w:p w14:paraId="4255D5DA" w14:textId="77777777" w:rsidR="00DE25CC" w:rsidRDefault="00DE25CC" w:rsidP="00DE25CC">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5E66011F" w14:textId="4BA579FD" w:rsidR="00BA0C48" w:rsidRPr="00E26D0F" w:rsidRDefault="00BA0C48" w:rsidP="00FB44D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tc>
        <w:tc>
          <w:tcPr>
            <w:tcW w:w="1136" w:type="dxa"/>
          </w:tcPr>
          <w:p w14:paraId="0A45F1D5" w14:textId="7F100CDD" w:rsidR="00BA0C48" w:rsidRDefault="00BA0C48"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lastRenderedPageBreak/>
              <w:t>Rzecznik Praw Dziecka</w:t>
            </w:r>
          </w:p>
        </w:tc>
        <w:tc>
          <w:tcPr>
            <w:tcW w:w="4535" w:type="dxa"/>
          </w:tcPr>
          <w:p w14:paraId="15C486E4" w14:textId="12BE6706" w:rsid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W najlepszym interesie małoletnich leży podniesienie następujących zastrzeżeń</w:t>
            </w:r>
            <w:r>
              <w:rPr>
                <w:rFonts w:asciiTheme="minorHAnsi" w:hAnsiTheme="minorHAnsi" w:cstheme="minorHAnsi"/>
                <w:sz w:val="18"/>
                <w:szCs w:val="18"/>
              </w:rPr>
              <w:t xml:space="preserve"> </w:t>
            </w:r>
            <w:r w:rsidRPr="00BA0C48">
              <w:rPr>
                <w:rFonts w:asciiTheme="minorHAnsi" w:hAnsiTheme="minorHAnsi" w:cstheme="minorHAnsi"/>
                <w:sz w:val="18"/>
                <w:szCs w:val="18"/>
              </w:rPr>
              <w:t>odnośnie do propozycji zawartych w artykule 15 ustęp 3 i artykule 38 ustęp 2 projektu</w:t>
            </w:r>
            <w:r>
              <w:rPr>
                <w:rFonts w:asciiTheme="minorHAnsi" w:hAnsiTheme="minorHAnsi" w:cstheme="minorHAnsi"/>
                <w:sz w:val="18"/>
                <w:szCs w:val="18"/>
              </w:rPr>
              <w:t xml:space="preserve"> </w:t>
            </w:r>
            <w:r w:rsidRPr="00BA0C48">
              <w:rPr>
                <w:rFonts w:asciiTheme="minorHAnsi" w:hAnsiTheme="minorHAnsi" w:cstheme="minorHAnsi"/>
                <w:sz w:val="18"/>
                <w:szCs w:val="18"/>
              </w:rPr>
              <w:t>dotyczących kolejno: składania wniosków o ponowne rozpatrzenie sprawy oraz wniosków</w:t>
            </w:r>
            <w:r>
              <w:rPr>
                <w:rFonts w:asciiTheme="minorHAnsi" w:hAnsiTheme="minorHAnsi" w:cstheme="minorHAnsi"/>
                <w:sz w:val="18"/>
                <w:szCs w:val="18"/>
              </w:rPr>
              <w:t xml:space="preserve"> </w:t>
            </w:r>
            <w:r w:rsidRPr="00BA0C48">
              <w:rPr>
                <w:rFonts w:asciiTheme="minorHAnsi" w:hAnsiTheme="minorHAnsi" w:cstheme="minorHAnsi"/>
                <w:sz w:val="18"/>
                <w:szCs w:val="18"/>
              </w:rPr>
              <w:t>o realizację praw, o których mowa w artykule 64 rozporządzenia Parlamentu Europejskiego</w:t>
            </w:r>
            <w:r>
              <w:rPr>
                <w:rFonts w:asciiTheme="minorHAnsi" w:hAnsiTheme="minorHAnsi" w:cstheme="minorHAnsi"/>
                <w:sz w:val="18"/>
                <w:szCs w:val="18"/>
              </w:rPr>
              <w:t xml:space="preserve"> </w:t>
            </w:r>
            <w:r w:rsidRPr="00BA0C48">
              <w:rPr>
                <w:rFonts w:asciiTheme="minorHAnsi" w:hAnsiTheme="minorHAnsi" w:cstheme="minorHAnsi"/>
                <w:sz w:val="18"/>
                <w:szCs w:val="18"/>
              </w:rPr>
              <w:t>i Rady (UE) 2018/1240 z dnia 12 września 2018 roku (dalej: rozporządzenie 2018/1240</w:t>
            </w:r>
            <w:r>
              <w:rPr>
                <w:rFonts w:asciiTheme="minorHAnsi" w:hAnsiTheme="minorHAnsi" w:cstheme="minorHAnsi"/>
                <w:sz w:val="18"/>
                <w:szCs w:val="18"/>
              </w:rPr>
              <w:t>.</w:t>
            </w:r>
          </w:p>
          <w:p w14:paraId="2D830D6C" w14:textId="77777777" w:rsidR="002A5E40" w:rsidRDefault="002A5E40"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6EFADCA" w14:textId="5EE5612C" w:rsid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lastRenderedPageBreak/>
              <w:t>Wskazane przepisy przewidują, że w przypadku małoletnich, wniosek składa osoba</w:t>
            </w:r>
            <w:r>
              <w:rPr>
                <w:rFonts w:asciiTheme="minorHAnsi" w:hAnsiTheme="minorHAnsi" w:cstheme="minorHAnsi"/>
                <w:sz w:val="18"/>
                <w:szCs w:val="18"/>
              </w:rPr>
              <w:t xml:space="preserve"> </w:t>
            </w:r>
            <w:r w:rsidRPr="00BA0C48">
              <w:rPr>
                <w:rFonts w:asciiTheme="minorHAnsi" w:hAnsiTheme="minorHAnsi" w:cstheme="minorHAnsi"/>
                <w:sz w:val="18"/>
                <w:szCs w:val="18"/>
              </w:rPr>
              <w:t>sprawująca władzę rodzicielską lub opiekun prawny. Przepisy te nie uwzględniają możliwości</w:t>
            </w:r>
            <w:r>
              <w:rPr>
                <w:rFonts w:asciiTheme="minorHAnsi" w:hAnsiTheme="minorHAnsi" w:cstheme="minorHAnsi"/>
                <w:sz w:val="18"/>
                <w:szCs w:val="18"/>
              </w:rPr>
              <w:t xml:space="preserve"> </w:t>
            </w:r>
            <w:r w:rsidRPr="00BA0C48">
              <w:rPr>
                <w:rFonts w:asciiTheme="minorHAnsi" w:hAnsiTheme="minorHAnsi" w:cstheme="minorHAnsi"/>
                <w:sz w:val="18"/>
                <w:szCs w:val="18"/>
              </w:rPr>
              <w:t>złożenia przez małoletniego formularza wniosku także z podpisem elektronicznym osoby</w:t>
            </w:r>
            <w:r>
              <w:rPr>
                <w:rFonts w:asciiTheme="minorHAnsi" w:hAnsiTheme="minorHAnsi" w:cstheme="minorHAnsi"/>
                <w:sz w:val="18"/>
                <w:szCs w:val="18"/>
              </w:rPr>
              <w:t xml:space="preserve"> </w:t>
            </w:r>
            <w:r w:rsidRPr="00BA0C48">
              <w:rPr>
                <w:rFonts w:asciiTheme="minorHAnsi" w:hAnsiTheme="minorHAnsi" w:cstheme="minorHAnsi"/>
                <w:sz w:val="18"/>
                <w:szCs w:val="18"/>
              </w:rPr>
              <w:t>sprawującej tymczasową władzę rodzicielską – jak wskazano w art. 17 ust. 1 rozporządzenia</w:t>
            </w:r>
            <w:r>
              <w:rPr>
                <w:rFonts w:asciiTheme="minorHAnsi" w:hAnsiTheme="minorHAnsi" w:cstheme="minorHAnsi"/>
                <w:sz w:val="18"/>
                <w:szCs w:val="18"/>
              </w:rPr>
              <w:t xml:space="preserve"> </w:t>
            </w:r>
            <w:r w:rsidRPr="00BA0C48">
              <w:rPr>
                <w:rFonts w:asciiTheme="minorHAnsi" w:hAnsiTheme="minorHAnsi" w:cstheme="minorHAnsi"/>
                <w:sz w:val="18"/>
                <w:szCs w:val="18"/>
              </w:rPr>
              <w:t>2018/1240.</w:t>
            </w:r>
          </w:p>
          <w:p w14:paraId="20CDCF1F" w14:textId="77777777" w:rsidR="00676118" w:rsidRDefault="0067611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3BB0F4D" w14:textId="37457465" w:rsidR="00BA0C48" w:rsidRP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Artykuł 17 rozporządzenia 2018/1240 wprost wskazuje, że: małoletni składają</w:t>
            </w:r>
            <w:r>
              <w:rPr>
                <w:rFonts w:asciiTheme="minorHAnsi" w:hAnsiTheme="minorHAnsi" w:cstheme="minorHAnsi"/>
                <w:sz w:val="18"/>
                <w:szCs w:val="18"/>
              </w:rPr>
              <w:t xml:space="preserve"> </w:t>
            </w:r>
            <w:r w:rsidRPr="00BA0C48">
              <w:rPr>
                <w:rFonts w:asciiTheme="minorHAnsi" w:hAnsiTheme="minorHAnsi" w:cstheme="minorHAnsi"/>
                <w:sz w:val="18"/>
                <w:szCs w:val="18"/>
              </w:rPr>
              <w:t>formularz wniosku z podpisem elektronicznym osoby sprawującej stałą lub tymczasową</w:t>
            </w:r>
          </w:p>
          <w:p w14:paraId="145E0A48" w14:textId="77777777" w:rsidR="00EA556A"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władzę rodzicielską bądź z podpisem elektronicznym opiekuna prawnego. Natomiast zgodnie</w:t>
            </w:r>
            <w:r>
              <w:rPr>
                <w:rFonts w:asciiTheme="minorHAnsi" w:hAnsiTheme="minorHAnsi" w:cstheme="minorHAnsi"/>
                <w:sz w:val="18"/>
                <w:szCs w:val="18"/>
              </w:rPr>
              <w:t xml:space="preserve"> </w:t>
            </w:r>
            <w:r w:rsidRPr="00BA0C48">
              <w:rPr>
                <w:rFonts w:asciiTheme="minorHAnsi" w:hAnsiTheme="minorHAnsi" w:cstheme="minorHAnsi"/>
                <w:sz w:val="18"/>
                <w:szCs w:val="18"/>
              </w:rPr>
              <w:t>z projektowanym artykułem 15 ustęp 3 oraz artykułem 38 ustęp 2: w przypadku małoletnich,</w:t>
            </w:r>
            <w:r>
              <w:rPr>
                <w:rFonts w:asciiTheme="minorHAnsi" w:hAnsiTheme="minorHAnsi" w:cstheme="minorHAnsi"/>
                <w:sz w:val="18"/>
                <w:szCs w:val="18"/>
              </w:rPr>
              <w:t xml:space="preserve"> </w:t>
            </w:r>
            <w:r w:rsidRPr="00BA0C48">
              <w:rPr>
                <w:rFonts w:asciiTheme="minorHAnsi" w:hAnsiTheme="minorHAnsi" w:cstheme="minorHAnsi"/>
                <w:sz w:val="18"/>
                <w:szCs w:val="18"/>
              </w:rPr>
              <w:t>wniosek składa osoba sprawująca władzę rodzicielską lub opiekun prawny.</w:t>
            </w:r>
            <w:r>
              <w:rPr>
                <w:rFonts w:asciiTheme="minorHAnsi" w:hAnsiTheme="minorHAnsi" w:cstheme="minorHAnsi"/>
                <w:sz w:val="18"/>
                <w:szCs w:val="18"/>
              </w:rPr>
              <w:t xml:space="preserve"> </w:t>
            </w:r>
          </w:p>
          <w:p w14:paraId="53C6353E" w14:textId="77777777" w:rsidR="00EA556A" w:rsidRDefault="00EA556A"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79B4D711" w14:textId="75F56CDA" w:rsid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W opinii Rzeczniczki Praw Dziecka projektowany katalog podmiotów uprawnionych</w:t>
            </w:r>
            <w:r>
              <w:rPr>
                <w:rFonts w:asciiTheme="minorHAnsi" w:hAnsiTheme="minorHAnsi" w:cstheme="minorHAnsi"/>
                <w:sz w:val="18"/>
                <w:szCs w:val="18"/>
              </w:rPr>
              <w:t xml:space="preserve"> </w:t>
            </w:r>
            <w:r w:rsidRPr="00BA0C48">
              <w:rPr>
                <w:rFonts w:asciiTheme="minorHAnsi" w:hAnsiTheme="minorHAnsi" w:cstheme="minorHAnsi"/>
                <w:sz w:val="18"/>
                <w:szCs w:val="18"/>
              </w:rPr>
              <w:t>do złożenia formularza wniosku o zezwolenie na podróż, wniosku o ponowne rozpatrzenie</w:t>
            </w:r>
            <w:r>
              <w:rPr>
                <w:rFonts w:asciiTheme="minorHAnsi" w:hAnsiTheme="minorHAnsi" w:cstheme="minorHAnsi"/>
                <w:sz w:val="18"/>
                <w:szCs w:val="18"/>
              </w:rPr>
              <w:t xml:space="preserve"> </w:t>
            </w:r>
            <w:r w:rsidRPr="00BA0C48">
              <w:rPr>
                <w:rFonts w:asciiTheme="minorHAnsi" w:hAnsiTheme="minorHAnsi" w:cstheme="minorHAnsi"/>
                <w:sz w:val="18"/>
                <w:szCs w:val="18"/>
              </w:rPr>
              <w:t>sprawy oraz wniosku o realizację praw, o których mowa w artykule 64 rozporządzenia</w:t>
            </w:r>
            <w:r>
              <w:rPr>
                <w:rFonts w:asciiTheme="minorHAnsi" w:hAnsiTheme="minorHAnsi" w:cstheme="minorHAnsi"/>
                <w:sz w:val="18"/>
                <w:szCs w:val="18"/>
              </w:rPr>
              <w:t xml:space="preserve"> </w:t>
            </w:r>
            <w:r w:rsidRPr="00BA0C48">
              <w:rPr>
                <w:rFonts w:asciiTheme="minorHAnsi" w:hAnsiTheme="minorHAnsi" w:cstheme="minorHAnsi"/>
                <w:sz w:val="18"/>
                <w:szCs w:val="18"/>
              </w:rPr>
              <w:t>2018/1240 – powinien uwzględnić również kategorię osób sprawujących tymczasową władzę</w:t>
            </w:r>
            <w:r>
              <w:rPr>
                <w:rFonts w:asciiTheme="minorHAnsi" w:hAnsiTheme="minorHAnsi" w:cstheme="minorHAnsi"/>
                <w:sz w:val="18"/>
                <w:szCs w:val="18"/>
              </w:rPr>
              <w:t xml:space="preserve"> </w:t>
            </w:r>
            <w:r w:rsidRPr="00BA0C48">
              <w:rPr>
                <w:rFonts w:asciiTheme="minorHAnsi" w:hAnsiTheme="minorHAnsi" w:cstheme="minorHAnsi"/>
                <w:sz w:val="18"/>
                <w:szCs w:val="18"/>
              </w:rPr>
              <w:t>rodzicielską.</w:t>
            </w:r>
          </w:p>
          <w:p w14:paraId="635DE586" w14:textId="77777777" w:rsidR="00EA556A" w:rsidRDefault="00EA556A"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5C8202D" w14:textId="273B8EF7" w:rsidR="00BA0C48" w:rsidRP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Sugerowane powyżej rozwiązanie legislacyjne zabezpieczy tych małoletnich, którzy</w:t>
            </w:r>
            <w:r>
              <w:rPr>
                <w:rFonts w:asciiTheme="minorHAnsi" w:hAnsiTheme="minorHAnsi" w:cstheme="minorHAnsi"/>
                <w:sz w:val="18"/>
                <w:szCs w:val="18"/>
              </w:rPr>
              <w:t xml:space="preserve"> </w:t>
            </w:r>
            <w:r w:rsidRPr="00BA0C48">
              <w:rPr>
                <w:rFonts w:asciiTheme="minorHAnsi" w:hAnsiTheme="minorHAnsi" w:cstheme="minorHAnsi"/>
                <w:sz w:val="18"/>
                <w:szCs w:val="18"/>
              </w:rPr>
              <w:t>znajdują się pod opieką osób nie dysponujących stałą władzą rodzicielską lub nie będących</w:t>
            </w:r>
          </w:p>
          <w:p w14:paraId="1FF703FB" w14:textId="2F4B17FA" w:rsidR="00BA0C48" w:rsidRP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opiekunami prawnymi, lecz posiadających uprawnienie tymczasowe do sprawowania władzy</w:t>
            </w:r>
            <w:r>
              <w:rPr>
                <w:rFonts w:asciiTheme="minorHAnsi" w:hAnsiTheme="minorHAnsi" w:cstheme="minorHAnsi"/>
                <w:sz w:val="18"/>
                <w:szCs w:val="18"/>
              </w:rPr>
              <w:t xml:space="preserve"> </w:t>
            </w:r>
            <w:r w:rsidRPr="00BA0C48">
              <w:rPr>
                <w:rFonts w:asciiTheme="minorHAnsi" w:hAnsiTheme="minorHAnsi" w:cstheme="minorHAnsi"/>
                <w:sz w:val="18"/>
                <w:szCs w:val="18"/>
              </w:rPr>
              <w:t>rodzicielskiej.</w:t>
            </w:r>
          </w:p>
          <w:p w14:paraId="4258E4E7" w14:textId="64E94A23" w:rsid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Biorąc pod uwagę dynamizm legislacyjny odpowiadający potrzebom dostosowywania</w:t>
            </w:r>
            <w:r>
              <w:rPr>
                <w:rFonts w:asciiTheme="minorHAnsi" w:hAnsiTheme="minorHAnsi" w:cstheme="minorHAnsi"/>
                <w:sz w:val="18"/>
                <w:szCs w:val="18"/>
              </w:rPr>
              <w:t xml:space="preserve"> </w:t>
            </w:r>
            <w:r w:rsidRPr="00BA0C48">
              <w:rPr>
                <w:rFonts w:asciiTheme="minorHAnsi" w:hAnsiTheme="minorHAnsi" w:cstheme="minorHAnsi"/>
                <w:sz w:val="18"/>
                <w:szCs w:val="18"/>
              </w:rPr>
              <w:t>standardów ustawodawstwa krajowego i międzynarodowego, w tym unijnego, wydaje się</w:t>
            </w:r>
            <w:r>
              <w:rPr>
                <w:rFonts w:asciiTheme="minorHAnsi" w:hAnsiTheme="minorHAnsi" w:cstheme="minorHAnsi"/>
                <w:sz w:val="18"/>
                <w:szCs w:val="18"/>
              </w:rPr>
              <w:t xml:space="preserve"> </w:t>
            </w:r>
            <w:r w:rsidRPr="00BA0C48">
              <w:rPr>
                <w:rFonts w:asciiTheme="minorHAnsi" w:hAnsiTheme="minorHAnsi" w:cstheme="minorHAnsi"/>
                <w:sz w:val="18"/>
                <w:szCs w:val="18"/>
              </w:rPr>
              <w:t>właściwe przeniesienie przepisu rozporządzenia 2018/1240 wprost do regulacji krajowej</w:t>
            </w:r>
            <w:r>
              <w:rPr>
                <w:rFonts w:asciiTheme="minorHAnsi" w:hAnsiTheme="minorHAnsi" w:cstheme="minorHAnsi"/>
                <w:sz w:val="18"/>
                <w:szCs w:val="18"/>
              </w:rPr>
              <w:t xml:space="preserve"> </w:t>
            </w:r>
            <w:r w:rsidRPr="00BA0C48">
              <w:rPr>
                <w:rFonts w:asciiTheme="minorHAnsi" w:hAnsiTheme="minorHAnsi" w:cstheme="minorHAnsi"/>
                <w:sz w:val="18"/>
                <w:szCs w:val="18"/>
              </w:rPr>
              <w:t>zabezpieczając tym samym małoletnich, których sytuacja może odpowiadać normie</w:t>
            </w:r>
            <w:r>
              <w:rPr>
                <w:rFonts w:asciiTheme="minorHAnsi" w:hAnsiTheme="minorHAnsi" w:cstheme="minorHAnsi"/>
                <w:sz w:val="18"/>
                <w:szCs w:val="18"/>
              </w:rPr>
              <w:t xml:space="preserve"> </w:t>
            </w:r>
            <w:r w:rsidRPr="00BA0C48">
              <w:rPr>
                <w:rFonts w:asciiTheme="minorHAnsi" w:hAnsiTheme="minorHAnsi" w:cstheme="minorHAnsi"/>
                <w:sz w:val="18"/>
                <w:szCs w:val="18"/>
              </w:rPr>
              <w:t>powołującej się na tymczasową władzę rodzicielską – zarówno w zakresie składania wniosku</w:t>
            </w:r>
            <w:r>
              <w:rPr>
                <w:rFonts w:asciiTheme="minorHAnsi" w:hAnsiTheme="minorHAnsi" w:cstheme="minorHAnsi"/>
                <w:sz w:val="18"/>
                <w:szCs w:val="18"/>
              </w:rPr>
              <w:t xml:space="preserve"> </w:t>
            </w:r>
            <w:r w:rsidRPr="00BA0C48">
              <w:rPr>
                <w:rFonts w:asciiTheme="minorHAnsi" w:hAnsiTheme="minorHAnsi" w:cstheme="minorHAnsi"/>
                <w:sz w:val="18"/>
                <w:szCs w:val="18"/>
              </w:rPr>
              <w:t>jak i procedury odwoławczej.</w:t>
            </w:r>
          </w:p>
          <w:p w14:paraId="385B3D9D" w14:textId="3496BC5A" w:rsidR="00BA0C48" w:rsidRPr="00BA0C48" w:rsidRDefault="00BA0C48" w:rsidP="00BA0C4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03" w:type="dxa"/>
            <w:gridSpan w:val="2"/>
          </w:tcPr>
          <w:p w14:paraId="7EC21221" w14:textId="3896ECE8" w:rsidR="00D71D25" w:rsidRPr="00816DBB" w:rsidRDefault="00D71D25"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r>
              <w:rPr>
                <w:rFonts w:asciiTheme="minorHAnsi" w:hAnsiTheme="minorHAnsi" w:cstheme="minorHAnsi"/>
                <w:b/>
                <w:sz w:val="18"/>
                <w:szCs w:val="18"/>
              </w:rPr>
              <w:lastRenderedPageBreak/>
              <w:t>Wyjaśniono:</w:t>
            </w:r>
          </w:p>
          <w:p w14:paraId="73DB50F7"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3FBE0ED7"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816DBB">
              <w:rPr>
                <w:rFonts w:asciiTheme="minorHAnsi" w:hAnsiTheme="minorHAnsi" w:cstheme="minorHAnsi"/>
                <w:bCs/>
                <w:sz w:val="18"/>
                <w:szCs w:val="18"/>
              </w:rPr>
              <w:t xml:space="preserve">W myśl art. 37 ust. 3 rozporządzenia 2018/1240 postępowanie odwoławcze prowadzi się zgodnie z prawem krajowym. Zgodnie z art. 15 ust. 3 oraz art. 38 ust. 2, w przypadku małoletnich, wniosek o ponowne rozpatrzenie sprawy składa osoba sprawująca władzę rodzicielską oraz opiekun prawny - są to pojęcia </w:t>
            </w:r>
            <w:r w:rsidRPr="00816DBB">
              <w:rPr>
                <w:rFonts w:asciiTheme="minorHAnsi" w:hAnsiTheme="minorHAnsi" w:cstheme="minorHAnsi"/>
                <w:bCs/>
                <w:sz w:val="18"/>
                <w:szCs w:val="18"/>
              </w:rPr>
              <w:lastRenderedPageBreak/>
              <w:t xml:space="preserve">funkcjonujące w polskim porządku prawnym i posiadają ustalone znaczenie normatywne na gruncie przepisów Kodeksu rodzinnego i opiekuńczego. Zastosowanie tych pojęć zapewnia jednoznaczność w zakresie identyfikacji podmiotów uprawnionych do złożenia wniosku o ponowne rozpatrzenie sprawy oraz umożliwia weryfikację statusu prawnego wnioskodawcy. Wskazana w uwadze kategoria „osób sprawujących tymczasową władzę rodzicielską” nie stanowi odrębnej, ustawowo zdefiniowanej kategorii podmiotowej w prawie krajowym. </w:t>
            </w:r>
          </w:p>
          <w:p w14:paraId="794C125D"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816DBB">
              <w:rPr>
                <w:rFonts w:asciiTheme="minorHAnsi" w:hAnsiTheme="minorHAnsi" w:cstheme="minorHAnsi"/>
                <w:bCs/>
                <w:sz w:val="18"/>
                <w:szCs w:val="18"/>
              </w:rPr>
              <w:t>Osoby, którym sąd powierzył tymczasowe wykonywanie władzy rodzicielskiej, mieszczą się w pojęciu osoby sprawującej władzę rodzicielską, wobec czego nie zachodzi potrzeba wyodrębniania osobnej kategorii osób. Powierzenie (w rozumieniu tymczasowego powierzenia) wykonywania władzy rodzicielskiej następuje w drodze orzeczenia sądu i nie tworzy nowego rodzaju podmiotu uprawnionego, lecz mieści się w zakresie pojęcia osoby sprawującej władzę rodzicielską w rozumieniu przepisów krajowych.</w:t>
            </w:r>
          </w:p>
          <w:p w14:paraId="766965D4"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44747385"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816DBB">
              <w:rPr>
                <w:rFonts w:asciiTheme="minorHAnsi" w:hAnsiTheme="minorHAnsi" w:cstheme="minorHAnsi"/>
                <w:bCs/>
                <w:sz w:val="18"/>
                <w:szCs w:val="18"/>
              </w:rPr>
              <w:t>Projektowana regulacja zmierza do zachowania spójności terminologicznej z obowiązującym systemem prawa oraz do ograniczenia ryzyka wątpliwości interpretacyjnych co do kategorii osób uprawnionych do działania w imieniu dziecka w sprawach dotyczących realizacji praw przewidzianych w art. 64 rozporządzenia Parlamentu Europejskiego i Rady (UE) 2018/1240. Wprowadzenie dodatkowej kategorii podmiotowej wymagałoby jej normatywnego zdefiniowania oraz określenia sposobu dokumentowania uprawnienia, co mogłoby prowadzić do niejednolitości praktyki organu oraz utrudnień proceduralnych.</w:t>
            </w:r>
          </w:p>
          <w:p w14:paraId="428098BF" w14:textId="77777777" w:rsidR="00816DBB" w:rsidRPr="00816DBB" w:rsidRDefault="00816DBB" w:rsidP="00816DB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1F578395" w14:textId="5A70B2A6" w:rsidR="00BA0C48" w:rsidRPr="00816DBB" w:rsidRDefault="00816DBB"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816DBB">
              <w:rPr>
                <w:rFonts w:asciiTheme="minorHAnsi" w:hAnsiTheme="minorHAnsi" w:cstheme="minorHAnsi"/>
                <w:bCs/>
                <w:sz w:val="18"/>
                <w:szCs w:val="18"/>
              </w:rPr>
              <w:t xml:space="preserve">Jednocześnie projektowane przepisy nie wyłączają możliwości działania w imieniu </w:t>
            </w:r>
            <w:r w:rsidRPr="00816DBB">
              <w:rPr>
                <w:rFonts w:asciiTheme="minorHAnsi" w:hAnsiTheme="minorHAnsi" w:cstheme="minorHAnsi"/>
                <w:bCs/>
                <w:sz w:val="18"/>
                <w:szCs w:val="18"/>
              </w:rPr>
              <w:lastRenderedPageBreak/>
              <w:t>dziecka przez osoby, którym sąd powierzył wykonywanie władzy rodzicielskiej w sposób czasowy lub tymczasowy, ponieważ osoby te – na podstawie orzeczenia sądu – wykonują władzę rodzicielską w rozumieniu przepisów prawa rodzinnego. W konsekwencji projekt zapewnia realizację praw dziecka wynikających z rozporządzenia 2018/1240 przy jednoczesnym zachowaniu przejrzystości.</w:t>
            </w:r>
          </w:p>
        </w:tc>
        <w:tc>
          <w:tcPr>
            <w:tcW w:w="3482" w:type="dxa"/>
            <w:gridSpan w:val="2"/>
          </w:tcPr>
          <w:p w14:paraId="7B5FB2E8" w14:textId="77777777" w:rsidR="00BA0C48" w:rsidRPr="00C1792A" w:rsidRDefault="00BA0C48"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83764A" w:rsidRPr="009B2533" w14:paraId="2BC41B3F"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18F4A8FA" w14:textId="77777777" w:rsidR="00BA0C48" w:rsidRPr="009B2533" w:rsidRDefault="00BA0C48"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7D03415A" w14:textId="52214F36" w:rsidR="00BA0C48" w:rsidRDefault="00EA556A" w:rsidP="00786F75">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r>
              <w:rPr>
                <w:rStyle w:val="Ppogrubienie"/>
                <w:rFonts w:asciiTheme="minorHAnsi" w:hAnsiTheme="minorHAnsi" w:cstheme="minorHAnsi"/>
                <w:b w:val="0"/>
                <w:sz w:val="18"/>
                <w:szCs w:val="18"/>
              </w:rPr>
              <w:t>Art. 47 pkt 32</w:t>
            </w:r>
          </w:p>
        </w:tc>
        <w:tc>
          <w:tcPr>
            <w:tcW w:w="2128" w:type="dxa"/>
          </w:tcPr>
          <w:p w14:paraId="49517430" w14:textId="77777777" w:rsidR="00BA0C48" w:rsidRDefault="00E846C7" w:rsidP="00FB44D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Art. 47 pkt 32</w:t>
            </w:r>
          </w:p>
          <w:p w14:paraId="046FB0DF" w14:textId="28BC0FAD" w:rsidR="00E846C7" w:rsidRPr="00E846C7" w:rsidRDefault="00E846C7" w:rsidP="00E846C7">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E846C7">
              <w:rPr>
                <w:rFonts w:asciiTheme="minorHAnsi" w:hAnsiTheme="minorHAnsi" w:cstheme="minorHAnsi"/>
                <w:bCs/>
                <w:sz w:val="18"/>
                <w:szCs w:val="18"/>
              </w:rPr>
              <w:t>32) w art. 397 w ust. 1 pkt 2 otrzymuje brzmienie:</w:t>
            </w:r>
          </w:p>
          <w:p w14:paraId="00EF254A" w14:textId="4BE109EB" w:rsidR="00BA0C48" w:rsidRPr="00E26D0F" w:rsidRDefault="00E846C7" w:rsidP="00FB44D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E846C7">
              <w:rPr>
                <w:rFonts w:asciiTheme="minorHAnsi" w:hAnsiTheme="minorHAnsi" w:cstheme="minorHAnsi"/>
                <w:bCs/>
                <w:sz w:val="18"/>
                <w:szCs w:val="18"/>
              </w:rPr>
              <w:t>„2) Straż Graniczna – występuje do sądu rejonowego właściwego ze względu na siedzibę wnioskującego organu Straży Granicznej z wnioskiem o umieszczenie małoletniego cudzoziemca w placówce opiekuńczo–wychowawczej lub w strzeżonym ośrodku.”;</w:t>
            </w:r>
          </w:p>
        </w:tc>
        <w:tc>
          <w:tcPr>
            <w:tcW w:w="1136" w:type="dxa"/>
          </w:tcPr>
          <w:p w14:paraId="71764AA4" w14:textId="08D65E40" w:rsidR="00BA0C48" w:rsidRDefault="00BA0C48"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BA0C48">
              <w:rPr>
                <w:rFonts w:asciiTheme="minorHAnsi" w:hAnsiTheme="minorHAnsi" w:cstheme="minorHAnsi"/>
                <w:color w:val="000000" w:themeColor="text1"/>
                <w:sz w:val="18"/>
                <w:szCs w:val="18"/>
              </w:rPr>
              <w:t>Rzecznik Praw Dziecka</w:t>
            </w:r>
          </w:p>
        </w:tc>
        <w:tc>
          <w:tcPr>
            <w:tcW w:w="4535" w:type="dxa"/>
          </w:tcPr>
          <w:p w14:paraId="7AF83BFB" w14:textId="77777777" w:rsidR="00BA0C48" w:rsidRDefault="00BA0C48" w:rsidP="00BA0C4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A0C48">
              <w:rPr>
                <w:rFonts w:asciiTheme="minorHAnsi" w:hAnsiTheme="minorHAnsi" w:cstheme="minorHAnsi"/>
                <w:sz w:val="18"/>
                <w:szCs w:val="18"/>
              </w:rPr>
              <w:t>W najlepszym interesie małoletnich leży także podniesienie zastrzeżenia dotyczącego</w:t>
            </w:r>
            <w:r>
              <w:rPr>
                <w:rFonts w:asciiTheme="minorHAnsi" w:hAnsiTheme="minorHAnsi" w:cstheme="minorHAnsi"/>
                <w:sz w:val="18"/>
                <w:szCs w:val="18"/>
              </w:rPr>
              <w:t xml:space="preserve"> </w:t>
            </w:r>
            <w:r w:rsidRPr="00BA0C48">
              <w:rPr>
                <w:rFonts w:asciiTheme="minorHAnsi" w:hAnsiTheme="minorHAnsi" w:cstheme="minorHAnsi"/>
                <w:sz w:val="18"/>
                <w:szCs w:val="18"/>
              </w:rPr>
              <w:t>zmiany projektowanej w artykule 47 punkt 32 w zakresie właściwości sądu orzekającego</w:t>
            </w:r>
            <w:r>
              <w:rPr>
                <w:rFonts w:asciiTheme="minorHAnsi" w:hAnsiTheme="minorHAnsi" w:cstheme="minorHAnsi"/>
                <w:sz w:val="18"/>
                <w:szCs w:val="18"/>
              </w:rPr>
              <w:t xml:space="preserve"> </w:t>
            </w:r>
            <w:r w:rsidRPr="00BA0C48">
              <w:rPr>
                <w:rFonts w:asciiTheme="minorHAnsi" w:hAnsiTheme="minorHAnsi" w:cstheme="minorHAnsi"/>
                <w:sz w:val="18"/>
                <w:szCs w:val="18"/>
              </w:rPr>
              <w:t>w sprawie wniosku o umieszczenie małoletniego cudzoziemca w placówce opiekuńczo</w:t>
            </w:r>
            <w:r>
              <w:rPr>
                <w:rFonts w:asciiTheme="minorHAnsi" w:hAnsiTheme="minorHAnsi" w:cstheme="minorHAnsi"/>
                <w:sz w:val="18"/>
                <w:szCs w:val="18"/>
              </w:rPr>
              <w:t>-</w:t>
            </w:r>
            <w:r w:rsidRPr="00BA0C48">
              <w:rPr>
                <w:rFonts w:asciiTheme="minorHAnsi" w:hAnsiTheme="minorHAnsi" w:cstheme="minorHAnsi"/>
                <w:sz w:val="18"/>
                <w:szCs w:val="18"/>
              </w:rPr>
              <w:t>wychowawczej lub w strzeżonym ośrodku.</w:t>
            </w:r>
            <w:r>
              <w:rPr>
                <w:rFonts w:asciiTheme="minorHAnsi" w:hAnsiTheme="minorHAnsi" w:cstheme="minorHAnsi"/>
                <w:sz w:val="18"/>
                <w:szCs w:val="18"/>
              </w:rPr>
              <w:t xml:space="preserve"> </w:t>
            </w:r>
          </w:p>
          <w:p w14:paraId="07AE15F5"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Obecnie obowiązujący artykuł 397 ustęp 1 punkt 2 ustawy z dnia 12 grudnia 2013 roku</w:t>
            </w:r>
            <w:r>
              <w:rPr>
                <w:rFonts w:asciiTheme="minorHAnsi" w:hAnsiTheme="minorHAnsi" w:cstheme="minorHAnsi"/>
                <w:sz w:val="18"/>
                <w:szCs w:val="18"/>
              </w:rPr>
              <w:t xml:space="preserve"> </w:t>
            </w:r>
            <w:r w:rsidRPr="00EA556A">
              <w:rPr>
                <w:rFonts w:asciiTheme="minorHAnsi" w:hAnsiTheme="minorHAnsi" w:cstheme="minorHAnsi"/>
                <w:sz w:val="18"/>
                <w:szCs w:val="18"/>
              </w:rPr>
              <w:t xml:space="preserve">o cudzoziemcach (Dz. U. z 2025 r. poz. 1079 z </w:t>
            </w:r>
            <w:proofErr w:type="spellStart"/>
            <w:r w:rsidRPr="00EA556A">
              <w:rPr>
                <w:rFonts w:asciiTheme="minorHAnsi" w:hAnsiTheme="minorHAnsi" w:cstheme="minorHAnsi"/>
                <w:sz w:val="18"/>
                <w:szCs w:val="18"/>
              </w:rPr>
              <w:t>późn</w:t>
            </w:r>
            <w:proofErr w:type="spellEnd"/>
            <w:r w:rsidRPr="00EA556A">
              <w:rPr>
                <w:rFonts w:asciiTheme="minorHAnsi" w:hAnsiTheme="minorHAnsi" w:cstheme="minorHAnsi"/>
                <w:sz w:val="18"/>
                <w:szCs w:val="18"/>
              </w:rPr>
              <w:t>. zm.) przewiduje, że z wnioskiem</w:t>
            </w:r>
            <w:r>
              <w:rPr>
                <w:rFonts w:asciiTheme="minorHAnsi" w:hAnsiTheme="minorHAnsi" w:cstheme="minorHAnsi"/>
                <w:sz w:val="18"/>
                <w:szCs w:val="18"/>
              </w:rPr>
              <w:t xml:space="preserve"> </w:t>
            </w:r>
            <w:r w:rsidRPr="00EA556A">
              <w:rPr>
                <w:rFonts w:asciiTheme="minorHAnsi" w:hAnsiTheme="minorHAnsi" w:cstheme="minorHAnsi"/>
                <w:sz w:val="18"/>
                <w:szCs w:val="18"/>
              </w:rPr>
              <w:t>o umieszczenie małoletniego cudzoziemca w placówce opiekuńczo-wychowawczej</w:t>
            </w:r>
            <w:r>
              <w:rPr>
                <w:rFonts w:asciiTheme="minorHAnsi" w:hAnsiTheme="minorHAnsi" w:cstheme="minorHAnsi"/>
                <w:sz w:val="18"/>
                <w:szCs w:val="18"/>
              </w:rPr>
              <w:t xml:space="preserve"> </w:t>
            </w:r>
            <w:r w:rsidRPr="00EA556A">
              <w:rPr>
                <w:rFonts w:asciiTheme="minorHAnsi" w:hAnsiTheme="minorHAnsi" w:cstheme="minorHAnsi"/>
                <w:sz w:val="18"/>
                <w:szCs w:val="18"/>
              </w:rPr>
              <w:t>lub w strzeżonym ośrodku Straż Graniczna występuje do sądu właściwego ze względu</w:t>
            </w:r>
            <w:r>
              <w:rPr>
                <w:rFonts w:asciiTheme="minorHAnsi" w:hAnsiTheme="minorHAnsi" w:cstheme="minorHAnsi"/>
                <w:sz w:val="18"/>
                <w:szCs w:val="18"/>
              </w:rPr>
              <w:t xml:space="preserve"> </w:t>
            </w:r>
            <w:r w:rsidRPr="00EA556A">
              <w:rPr>
                <w:rFonts w:asciiTheme="minorHAnsi" w:hAnsiTheme="minorHAnsi" w:cstheme="minorHAnsi"/>
                <w:sz w:val="18"/>
                <w:szCs w:val="18"/>
              </w:rPr>
              <w:t>na miejsce aktualnego pobytu małoletniego cudzoziemca. Projektowany przepis zmienia</w:t>
            </w:r>
            <w:r>
              <w:rPr>
                <w:rFonts w:asciiTheme="minorHAnsi" w:hAnsiTheme="minorHAnsi" w:cstheme="minorHAnsi"/>
                <w:sz w:val="18"/>
                <w:szCs w:val="18"/>
              </w:rPr>
              <w:t xml:space="preserve"> </w:t>
            </w:r>
            <w:r w:rsidRPr="00EA556A">
              <w:rPr>
                <w:rFonts w:asciiTheme="minorHAnsi" w:hAnsiTheme="minorHAnsi" w:cstheme="minorHAnsi"/>
                <w:sz w:val="18"/>
                <w:szCs w:val="18"/>
              </w:rPr>
              <w:t>właściwość wskazując sąd rejonowy właściwy ze względu na siedzibę wnioskującego organu</w:t>
            </w:r>
            <w:r>
              <w:rPr>
                <w:rFonts w:asciiTheme="minorHAnsi" w:hAnsiTheme="minorHAnsi" w:cstheme="minorHAnsi"/>
                <w:sz w:val="18"/>
                <w:szCs w:val="18"/>
              </w:rPr>
              <w:t xml:space="preserve"> </w:t>
            </w:r>
            <w:r w:rsidRPr="00EA556A">
              <w:rPr>
                <w:rFonts w:asciiTheme="minorHAnsi" w:hAnsiTheme="minorHAnsi" w:cstheme="minorHAnsi"/>
                <w:sz w:val="18"/>
                <w:szCs w:val="18"/>
              </w:rPr>
              <w:t>Straży Granicznej.</w:t>
            </w:r>
          </w:p>
          <w:p w14:paraId="07F03707"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CA4F270"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W opinii Rzeczniczki Praw Dziecka zmiana właściwości sądu w przypadku omawianego</w:t>
            </w:r>
            <w:r>
              <w:rPr>
                <w:rFonts w:asciiTheme="minorHAnsi" w:hAnsiTheme="minorHAnsi" w:cstheme="minorHAnsi"/>
                <w:sz w:val="18"/>
                <w:szCs w:val="18"/>
              </w:rPr>
              <w:t xml:space="preserve"> </w:t>
            </w:r>
            <w:r w:rsidRPr="00EA556A">
              <w:rPr>
                <w:rFonts w:asciiTheme="minorHAnsi" w:hAnsiTheme="minorHAnsi" w:cstheme="minorHAnsi"/>
                <w:sz w:val="18"/>
                <w:szCs w:val="18"/>
              </w:rPr>
              <w:t>przepisu może wpłynąć negatywnie na realizację prawa dziecka do bycia wysłuchanym</w:t>
            </w:r>
            <w:r>
              <w:rPr>
                <w:rFonts w:asciiTheme="minorHAnsi" w:hAnsiTheme="minorHAnsi" w:cstheme="minorHAnsi"/>
                <w:sz w:val="18"/>
                <w:szCs w:val="18"/>
              </w:rPr>
              <w:t xml:space="preserve"> </w:t>
            </w:r>
            <w:r w:rsidRPr="00EA556A">
              <w:rPr>
                <w:rFonts w:asciiTheme="minorHAnsi" w:hAnsiTheme="minorHAnsi" w:cstheme="minorHAnsi"/>
                <w:sz w:val="18"/>
                <w:szCs w:val="18"/>
              </w:rPr>
              <w:t>w postępowaniu dotyczącym umieszczenia małoletniego cudzoziemca w placówce</w:t>
            </w:r>
            <w:r>
              <w:rPr>
                <w:rFonts w:asciiTheme="minorHAnsi" w:hAnsiTheme="minorHAnsi" w:cstheme="minorHAnsi"/>
                <w:sz w:val="18"/>
                <w:szCs w:val="18"/>
              </w:rPr>
              <w:t xml:space="preserve"> </w:t>
            </w:r>
            <w:r w:rsidRPr="00EA556A">
              <w:rPr>
                <w:rFonts w:asciiTheme="minorHAnsi" w:hAnsiTheme="minorHAnsi" w:cstheme="minorHAnsi"/>
                <w:sz w:val="18"/>
                <w:szCs w:val="18"/>
              </w:rPr>
              <w:t>opiekuńczo-wychowawczej lub w strzeżonym ośrodku.</w:t>
            </w:r>
          </w:p>
          <w:p w14:paraId="18BBDB28"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4BED24C"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Projektodawca zaznacza w uzasadnieniu projektu, że obecna regulacja – ze względu</w:t>
            </w:r>
            <w:r>
              <w:rPr>
                <w:rFonts w:asciiTheme="minorHAnsi" w:hAnsiTheme="minorHAnsi" w:cstheme="minorHAnsi"/>
                <w:sz w:val="18"/>
                <w:szCs w:val="18"/>
              </w:rPr>
              <w:t xml:space="preserve"> </w:t>
            </w:r>
            <w:r w:rsidRPr="00EA556A">
              <w:rPr>
                <w:rFonts w:asciiTheme="minorHAnsi" w:hAnsiTheme="minorHAnsi" w:cstheme="minorHAnsi"/>
                <w:sz w:val="18"/>
                <w:szCs w:val="18"/>
              </w:rPr>
              <w:t>na zasięg terytorialny jednostek organizacyjnych Straży Granicznej i umiejscowienie ich siedzib</w:t>
            </w:r>
            <w:r>
              <w:rPr>
                <w:rFonts w:asciiTheme="minorHAnsi" w:hAnsiTheme="minorHAnsi" w:cstheme="minorHAnsi"/>
                <w:sz w:val="18"/>
                <w:szCs w:val="18"/>
              </w:rPr>
              <w:t xml:space="preserve"> </w:t>
            </w:r>
            <w:r w:rsidRPr="00EA556A">
              <w:rPr>
                <w:rFonts w:asciiTheme="minorHAnsi" w:hAnsiTheme="minorHAnsi" w:cstheme="minorHAnsi"/>
                <w:sz w:val="18"/>
                <w:szCs w:val="18"/>
              </w:rPr>
              <w:t>na terenie służbowej odpowiedzialności obejmującej kilka lub kilkanaście powiatów –</w:t>
            </w:r>
            <w:r>
              <w:rPr>
                <w:rFonts w:asciiTheme="minorHAnsi" w:hAnsiTheme="minorHAnsi" w:cstheme="minorHAnsi"/>
                <w:sz w:val="18"/>
                <w:szCs w:val="18"/>
              </w:rPr>
              <w:t xml:space="preserve"> </w:t>
            </w:r>
            <w:r w:rsidRPr="00EA556A">
              <w:rPr>
                <w:rFonts w:asciiTheme="minorHAnsi" w:hAnsiTheme="minorHAnsi" w:cstheme="minorHAnsi"/>
                <w:sz w:val="18"/>
                <w:szCs w:val="18"/>
              </w:rPr>
              <w:t>negatywnie wpływa na czas realizowanych czynności względem tak szczególnej grupy</w:t>
            </w:r>
            <w:r>
              <w:rPr>
                <w:rFonts w:asciiTheme="minorHAnsi" w:hAnsiTheme="minorHAnsi" w:cstheme="minorHAnsi"/>
                <w:sz w:val="18"/>
                <w:szCs w:val="18"/>
              </w:rPr>
              <w:t xml:space="preserve"> </w:t>
            </w:r>
            <w:r w:rsidRPr="00EA556A">
              <w:rPr>
                <w:rFonts w:asciiTheme="minorHAnsi" w:hAnsiTheme="minorHAnsi" w:cstheme="minorHAnsi"/>
                <w:sz w:val="18"/>
                <w:szCs w:val="18"/>
              </w:rPr>
              <w:t>cudzoziemców jaką stanowią małoletni bez opieki.</w:t>
            </w:r>
          </w:p>
          <w:p w14:paraId="1222579F"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D1582AC" w14:textId="1D6DA927" w:rsidR="00EA556A" w:rsidRP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Należy zwrócić jednak uwagę, że potencjalne zwiększenie dystansu pomiędzy miejscem</w:t>
            </w:r>
            <w:r>
              <w:rPr>
                <w:rFonts w:asciiTheme="minorHAnsi" w:hAnsiTheme="minorHAnsi" w:cstheme="minorHAnsi"/>
                <w:sz w:val="18"/>
                <w:szCs w:val="18"/>
              </w:rPr>
              <w:t xml:space="preserve"> </w:t>
            </w:r>
            <w:r w:rsidRPr="00EA556A">
              <w:rPr>
                <w:rFonts w:asciiTheme="minorHAnsi" w:hAnsiTheme="minorHAnsi" w:cstheme="minorHAnsi"/>
                <w:sz w:val="18"/>
                <w:szCs w:val="18"/>
              </w:rPr>
              <w:t>pobytu dziecka a sądem orzekającym w jego sprawie, może spowodować osłabienie realizacji</w:t>
            </w:r>
            <w:r>
              <w:rPr>
                <w:rFonts w:asciiTheme="minorHAnsi" w:hAnsiTheme="minorHAnsi" w:cstheme="minorHAnsi"/>
                <w:sz w:val="18"/>
                <w:szCs w:val="18"/>
              </w:rPr>
              <w:t xml:space="preserve"> </w:t>
            </w:r>
            <w:r w:rsidRPr="00EA556A">
              <w:rPr>
                <w:rFonts w:asciiTheme="minorHAnsi" w:hAnsiTheme="minorHAnsi" w:cstheme="minorHAnsi"/>
                <w:sz w:val="18"/>
                <w:szCs w:val="18"/>
              </w:rPr>
              <w:t xml:space="preserve">zasady wskazanej w art. 72 ust. 3 Konstytucji </w:t>
            </w:r>
            <w:r w:rsidRPr="00EA556A">
              <w:rPr>
                <w:rFonts w:asciiTheme="minorHAnsi" w:hAnsiTheme="minorHAnsi" w:cstheme="minorHAnsi"/>
                <w:sz w:val="18"/>
                <w:szCs w:val="18"/>
              </w:rPr>
              <w:lastRenderedPageBreak/>
              <w:t>Rzeczypospolitej Polskiej z dnia 2 kwietnia 1997</w:t>
            </w:r>
            <w:r>
              <w:rPr>
                <w:rFonts w:asciiTheme="minorHAnsi" w:hAnsiTheme="minorHAnsi" w:cstheme="minorHAnsi"/>
                <w:sz w:val="18"/>
                <w:szCs w:val="18"/>
              </w:rPr>
              <w:t xml:space="preserve"> </w:t>
            </w:r>
            <w:r w:rsidRPr="00EA556A">
              <w:rPr>
                <w:rFonts w:asciiTheme="minorHAnsi" w:hAnsiTheme="minorHAnsi" w:cstheme="minorHAnsi"/>
                <w:sz w:val="18"/>
                <w:szCs w:val="18"/>
              </w:rPr>
              <w:t xml:space="preserve">roku (Dz. U. Nr 78, poz. 483 z </w:t>
            </w:r>
            <w:proofErr w:type="spellStart"/>
            <w:r w:rsidRPr="00EA556A">
              <w:rPr>
                <w:rFonts w:asciiTheme="minorHAnsi" w:hAnsiTheme="minorHAnsi" w:cstheme="minorHAnsi"/>
                <w:sz w:val="18"/>
                <w:szCs w:val="18"/>
              </w:rPr>
              <w:t>późn</w:t>
            </w:r>
            <w:proofErr w:type="spellEnd"/>
            <w:r w:rsidRPr="00EA556A">
              <w:rPr>
                <w:rFonts w:asciiTheme="minorHAnsi" w:hAnsiTheme="minorHAnsi" w:cstheme="minorHAnsi"/>
                <w:sz w:val="18"/>
                <w:szCs w:val="18"/>
              </w:rPr>
              <w:t>. zm.), zgodnie z którą w toku ustalania praw dziecka organy</w:t>
            </w:r>
            <w:r>
              <w:rPr>
                <w:rFonts w:asciiTheme="minorHAnsi" w:hAnsiTheme="minorHAnsi" w:cstheme="minorHAnsi"/>
                <w:sz w:val="18"/>
                <w:szCs w:val="18"/>
              </w:rPr>
              <w:t xml:space="preserve"> </w:t>
            </w:r>
            <w:r w:rsidRPr="00EA556A">
              <w:rPr>
                <w:rFonts w:asciiTheme="minorHAnsi" w:hAnsiTheme="minorHAnsi" w:cstheme="minorHAnsi"/>
                <w:sz w:val="18"/>
                <w:szCs w:val="18"/>
              </w:rPr>
              <w:t>władzy publicznej oraz osoby odpowiedzialne za dziecko są obowiązane do wysłuchania</w:t>
            </w:r>
          </w:p>
          <w:p w14:paraId="59573C21"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i w miarę możliwości uwzględnienia zdania dziecka.</w:t>
            </w:r>
          </w:p>
          <w:p w14:paraId="67F69602"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5448DDB" w14:textId="0FED90D4" w:rsidR="00EA556A" w:rsidRP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Wydaje się, że zaproponowany w projekcie model przedkłada efektywność</w:t>
            </w:r>
            <w:r>
              <w:rPr>
                <w:rFonts w:asciiTheme="minorHAnsi" w:hAnsiTheme="minorHAnsi" w:cstheme="minorHAnsi"/>
                <w:sz w:val="18"/>
                <w:szCs w:val="18"/>
              </w:rPr>
              <w:t xml:space="preserve"> </w:t>
            </w:r>
            <w:r w:rsidRPr="00EA556A">
              <w:rPr>
                <w:rFonts w:asciiTheme="minorHAnsi" w:hAnsiTheme="minorHAnsi" w:cstheme="minorHAnsi"/>
                <w:sz w:val="18"/>
                <w:szCs w:val="18"/>
              </w:rPr>
              <w:t>administracyjną nad gwarancje ochrony praw dziecka. Rzeczniczka Praw Dziecka wyraża</w:t>
            </w:r>
          </w:p>
          <w:p w14:paraId="1A06959D" w14:textId="77777777" w:rsidR="00EA556A"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obawę, że wprowadzenie przepisu ustalającego właściwość sądu względem siedziby</w:t>
            </w:r>
            <w:r>
              <w:rPr>
                <w:rFonts w:asciiTheme="minorHAnsi" w:hAnsiTheme="minorHAnsi" w:cstheme="minorHAnsi"/>
                <w:sz w:val="18"/>
                <w:szCs w:val="18"/>
              </w:rPr>
              <w:t xml:space="preserve"> </w:t>
            </w:r>
            <w:r w:rsidRPr="00EA556A">
              <w:rPr>
                <w:rFonts w:asciiTheme="minorHAnsi" w:hAnsiTheme="minorHAnsi" w:cstheme="minorHAnsi"/>
                <w:sz w:val="18"/>
                <w:szCs w:val="18"/>
              </w:rPr>
              <w:t>wnioskującego organu Straży Granicznej negatywnie wpłynie na praktykę wysłuchania</w:t>
            </w:r>
            <w:r>
              <w:rPr>
                <w:rFonts w:asciiTheme="minorHAnsi" w:hAnsiTheme="minorHAnsi" w:cstheme="minorHAnsi"/>
                <w:sz w:val="18"/>
                <w:szCs w:val="18"/>
              </w:rPr>
              <w:t xml:space="preserve"> </w:t>
            </w:r>
            <w:r w:rsidRPr="00EA556A">
              <w:rPr>
                <w:rFonts w:asciiTheme="minorHAnsi" w:hAnsiTheme="minorHAnsi" w:cstheme="minorHAnsi"/>
                <w:sz w:val="18"/>
                <w:szCs w:val="18"/>
              </w:rPr>
              <w:t>małoletniego w postępowaniu, które istotnie go dotyczy.</w:t>
            </w:r>
          </w:p>
          <w:p w14:paraId="621A6FB6" w14:textId="756F0684" w:rsidR="00EA556A" w:rsidRPr="00BA0C48" w:rsidRDefault="00EA556A" w:rsidP="00EA556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EA556A">
              <w:rPr>
                <w:rFonts w:asciiTheme="minorHAnsi" w:hAnsiTheme="minorHAnsi" w:cstheme="minorHAnsi"/>
                <w:sz w:val="18"/>
                <w:szCs w:val="18"/>
              </w:rPr>
              <w:t>Biorąc powyższe pod uwagę, Rzeczniczka Praw Dziecka zwraca się o uwzględnienie</w:t>
            </w:r>
            <w:r>
              <w:rPr>
                <w:rFonts w:asciiTheme="minorHAnsi" w:hAnsiTheme="minorHAnsi" w:cstheme="minorHAnsi"/>
                <w:sz w:val="18"/>
                <w:szCs w:val="18"/>
              </w:rPr>
              <w:t xml:space="preserve"> </w:t>
            </w:r>
            <w:r w:rsidRPr="00EA556A">
              <w:rPr>
                <w:rFonts w:asciiTheme="minorHAnsi" w:hAnsiTheme="minorHAnsi" w:cstheme="minorHAnsi"/>
                <w:sz w:val="18"/>
                <w:szCs w:val="18"/>
              </w:rPr>
              <w:t>zaprezentowanych uwag celem zabezpieczenia najlepszego interesu i dobra małoletnich.</w:t>
            </w:r>
          </w:p>
        </w:tc>
        <w:tc>
          <w:tcPr>
            <w:tcW w:w="3403" w:type="dxa"/>
            <w:gridSpan w:val="2"/>
          </w:tcPr>
          <w:p w14:paraId="26F9897F" w14:textId="12B986B8"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rPr>
            </w:pPr>
            <w:r w:rsidRPr="004F4814">
              <w:rPr>
                <w:rFonts w:asciiTheme="minorHAnsi" w:hAnsiTheme="minorHAnsi" w:cstheme="minorHAnsi"/>
                <w:b/>
                <w:sz w:val="18"/>
                <w:szCs w:val="18"/>
              </w:rPr>
              <w:lastRenderedPageBreak/>
              <w:t>Nie uwzględniono</w:t>
            </w:r>
          </w:p>
          <w:p w14:paraId="3A222ECE" w14:textId="77777777"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31FD5F6" w14:textId="3DDECA09"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 xml:space="preserve">Projektowana zmiana art. 397 ust. 1 pkt 2 ustawy o cudzoziemcach powinna być oceniana przez pryzmat konstytucyjnej zasady dobra dziecka oraz standardów wynikających z prawa międzynarodowego i orzecznictwa sądowego, a nie wyłącznie w </w:t>
            </w:r>
            <w:r>
              <w:rPr>
                <w:rFonts w:asciiTheme="minorHAnsi" w:hAnsiTheme="minorHAnsi" w:cstheme="minorHAnsi"/>
                <w:bCs/>
                <w:sz w:val="18"/>
                <w:szCs w:val="18"/>
              </w:rPr>
              <w:t xml:space="preserve"> kontekście</w:t>
            </w:r>
            <w:r w:rsidRPr="004F4814">
              <w:rPr>
                <w:rFonts w:asciiTheme="minorHAnsi" w:hAnsiTheme="minorHAnsi" w:cstheme="minorHAnsi"/>
                <w:bCs/>
                <w:sz w:val="18"/>
                <w:szCs w:val="18"/>
              </w:rPr>
              <w:t xml:space="preserve"> realiów funkcjonowania małoletnich cudzoziemców bez opieki. Z perspektywy tych standardów argumentacja przedstawiona w opinii Rzecznika Praw Dziecka nie uwzględnia istotnych aspektów faktycznych i prawnych, które przemawiają za pozytywną oceną projektowanej regulacji.</w:t>
            </w:r>
          </w:p>
          <w:p w14:paraId="5760216C"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DEF0B05"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Zgodnie z art. 72 ust. 1 Konstytucji Rzeczypospolitej Polskiej „Rzeczpospolita Polska zapewnia ochronę praw dziecka”, zaś ustęp 3 tego przepisu stanowi, że „w toku ustalania praw dziecka organy władzy publicznej oraz osoby odpowiedzialne za dziecko są obowiązane do wysłuchania i w miarę możliwości uwzględnienia zdania dziecka”. Trybunał Konstytucyjny w wyroku z dnia 28 kwietnia 2003 r. (sygn. K 18/02) jednoznacznie wskazał, że zasada dobra dziecka ma charakter nadrzędny i powinna być interpretowana w sposób funkcjonalny, z uwzględnieniem rzeczywistych konsekwencji podejmowanych działań dla sytuacji dziecka, a nie wyłącznie formalnych konstrukcji proceduralnych.</w:t>
            </w:r>
          </w:p>
          <w:p w14:paraId="76869009"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2350A594"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 xml:space="preserve">Prawo dziecka do bycia wysłuchanym nie ma charakteru absolutnego ani </w:t>
            </w:r>
            <w:r w:rsidRPr="004F4814">
              <w:rPr>
                <w:rFonts w:asciiTheme="minorHAnsi" w:hAnsiTheme="minorHAnsi" w:cstheme="minorHAnsi"/>
                <w:bCs/>
                <w:sz w:val="18"/>
                <w:szCs w:val="18"/>
              </w:rPr>
              <w:lastRenderedPageBreak/>
              <w:t>formalistycznego. Jak podkreślił Sąd Najwyższy w postanowieniu z dnia 4 lutego 2016 r. (sygn. III CZP 95/15), realizacja tego prawa powinna uwzględniać wiek, stopień dojrzałości, stan psychiczny dziecka oraz okoliczności sprawy, a jego celem jest rzeczywiste poznanie stanowiska dziecka, a nie spełnienie wyłącznie proceduralnego obowiązku. Oznacza to, że sposób i forma wysłuchania mogą być dostosowane do sytuacji konkretnego małoletniego, w tym z wykorzystaniem środków porozumiewania się na odległość lub poprzez inne formy pośrednie, jeżeli służy to jego dobru.</w:t>
            </w:r>
          </w:p>
          <w:p w14:paraId="67ECDF6D"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5444F70" w14:textId="3F728510"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 xml:space="preserve">Podobne stanowisko prezentuje Europejski Trybunał Praw Człowieka, który w wyroku w sprawie </w:t>
            </w:r>
            <w:proofErr w:type="spellStart"/>
            <w:r w:rsidRPr="004F4814">
              <w:rPr>
                <w:rFonts w:asciiTheme="minorHAnsi" w:hAnsiTheme="minorHAnsi" w:cstheme="minorHAnsi"/>
                <w:bCs/>
                <w:sz w:val="18"/>
                <w:szCs w:val="18"/>
              </w:rPr>
              <w:t>Sahin</w:t>
            </w:r>
            <w:proofErr w:type="spellEnd"/>
            <w:r w:rsidRPr="004F4814">
              <w:rPr>
                <w:rFonts w:asciiTheme="minorHAnsi" w:hAnsiTheme="minorHAnsi" w:cstheme="minorHAnsi"/>
                <w:bCs/>
                <w:sz w:val="18"/>
                <w:szCs w:val="18"/>
              </w:rPr>
              <w:t xml:space="preserve"> przeciwko Niemcom (skarga nr 30943/96) wskazał, że prawo dziecka do bycia wysłuchanym, wywodzone z art. 8 Europejskiej Konwencji Praw Człowieka, nie oznacza bezwzględnego obowiązku osobistego stawiennictwa dziecka przed sądem, lecz wymaga zapewnienia realnej możliwości uwzględnienia jego interesów i perspektywy w postępowaniu. Trybunał podkreślił, że kluczowe znaczenie ma skuteczność ochrony, a nie forma.</w:t>
            </w:r>
          </w:p>
          <w:p w14:paraId="28A83250"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79EEA7F" w14:textId="48762740"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 xml:space="preserve">W tym kontekście nie sposób przyjąć, że zmiana właściwości miejscowej sądu z kryterium miejsca aktualnego pobytu dziecka na kryterium siedziby wnioskującego organu Straży Granicznej automatycznie prowadzi do ograniczenia prawa dziecka do bycia wysłuchanym. Przeciwnie, w wielu przypadkach może ona sprzyjać lepszej realizacji tego prawa poprzez uniknięcie długotrwałych i obciążających psychicznie </w:t>
            </w:r>
            <w:proofErr w:type="spellStart"/>
            <w:r w:rsidRPr="004F4814">
              <w:rPr>
                <w:rFonts w:asciiTheme="minorHAnsi" w:hAnsiTheme="minorHAnsi" w:cstheme="minorHAnsi"/>
                <w:bCs/>
                <w:sz w:val="18"/>
                <w:szCs w:val="18"/>
              </w:rPr>
              <w:t>doprowadzeń</w:t>
            </w:r>
            <w:proofErr w:type="spellEnd"/>
            <w:r w:rsidRPr="004F4814">
              <w:rPr>
                <w:rFonts w:asciiTheme="minorHAnsi" w:hAnsiTheme="minorHAnsi" w:cstheme="minorHAnsi"/>
                <w:bCs/>
                <w:sz w:val="18"/>
                <w:szCs w:val="18"/>
              </w:rPr>
              <w:t xml:space="preserve"> małoletnich do sądów oddalonych niekiedy o setki kilometrów. Europejski Trybunał Praw Człowieka wielokrotnie wskazywał, że państwa są zobowiązane do ochrony dzieci przed wtórną </w:t>
            </w:r>
            <w:proofErr w:type="spellStart"/>
            <w:r w:rsidRPr="004F4814">
              <w:rPr>
                <w:rFonts w:asciiTheme="minorHAnsi" w:hAnsiTheme="minorHAnsi" w:cstheme="minorHAnsi"/>
                <w:bCs/>
                <w:sz w:val="18"/>
                <w:szCs w:val="18"/>
              </w:rPr>
              <w:t>wiktymizacją</w:t>
            </w:r>
            <w:proofErr w:type="spellEnd"/>
            <w:r w:rsidRPr="004F4814">
              <w:rPr>
                <w:rFonts w:asciiTheme="minorHAnsi" w:hAnsiTheme="minorHAnsi" w:cstheme="minorHAnsi"/>
                <w:bCs/>
                <w:sz w:val="18"/>
                <w:szCs w:val="18"/>
              </w:rPr>
              <w:t xml:space="preserve"> w toku postępowań, w szczególności w sprawach dotyczących ich sytuacji osobistej i </w:t>
            </w:r>
            <w:r w:rsidRPr="004F4814">
              <w:rPr>
                <w:rFonts w:asciiTheme="minorHAnsi" w:hAnsiTheme="minorHAnsi" w:cstheme="minorHAnsi"/>
                <w:bCs/>
                <w:sz w:val="18"/>
                <w:szCs w:val="18"/>
              </w:rPr>
              <w:lastRenderedPageBreak/>
              <w:t>pobytowej, co wynika m.in. z wyroku w sprawie M. i M. przeciwko Chorwacji (skarga nr 10161/13).</w:t>
            </w:r>
          </w:p>
          <w:p w14:paraId="0696F643"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68721FEF"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Nie można również pominąć faktu, że małoletni cudzoziemcy bez opieki w zdecydowanej większości przypadków nie posiadają stałego miejsca pobytu na terytorium Rzeczypospolitej Polskiej. Ich „aktualne miejsce pobytu” ma charakter incydentalny i często wynika wyłącznie z miejsca ujawnienia przez Straż Graniczną. W takich warunkach powiązanie właściwości sądu z tym kryterium prowadzi do przypadkowości i rozproszenia postępowań, co pozostaje w sprzeczności z zasadą pewności prawa oraz z postulatem sprawnego i szybkiego rozstrzygania spraw dotyczących dzieci.</w:t>
            </w:r>
          </w:p>
          <w:p w14:paraId="7D400B7B"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D0570F6"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Trybunał Konstytucyjny w wyroku z dnia 20 listopada 2012 r. (sygn. SK 3/12) wskazał, że przewlekłość postępowania w sprawach dotyczących sytuacji osobistej jednostki może sama w sobie stanowić naruszenie standardów konstytucyjnych. W odniesieniu do dzieci znaczenie to jest jeszcze większe, ponieważ długotrwały stan niepewności prawnej negatywnie wpływa na ich rozwój psychiczny i poczucie bezpieczeństwa. Projektowana zmiana, poprzez skrócenie czasu procedur związanych z wystąpieniem do sądu i rozpoznaniem wniosku, realizuje zatem konstytucyjny obowiązek ochrony dziecka w sposób realny i efektywny.</w:t>
            </w:r>
          </w:p>
          <w:p w14:paraId="74CB49D5"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35DC609F"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 xml:space="preserve">Należy również zauważyć, że Konwencja o prawach dziecka w art. 3 ust. 1 stanowi, iż „we wszystkich działaniach dotyczących dzieci […] najlepsze interesy dziecka będą sprawą nadrzędną”. Komitet Praw Dziecka ONZ w Komentarzu Ogólnym nr 14 podkreślił, że najlepszy interes dziecka obejmuje także prawo do szybkiego i stabilnego rozstrzygnięcia jego sytuacji prawnej oraz ochronę przed </w:t>
            </w:r>
            <w:r w:rsidRPr="004F4814">
              <w:rPr>
                <w:rFonts w:asciiTheme="minorHAnsi" w:hAnsiTheme="minorHAnsi" w:cstheme="minorHAnsi"/>
                <w:bCs/>
                <w:sz w:val="18"/>
                <w:szCs w:val="18"/>
              </w:rPr>
              <w:lastRenderedPageBreak/>
              <w:t>nieuzasadnionymi opóźnieniami proceduralnymi. Projektowana regulacja pozostaje w pełnej zgodności z tym standardem.</w:t>
            </w:r>
          </w:p>
          <w:p w14:paraId="6273917F"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6A197E5" w14:textId="31AAEAD6"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Wbrew obawom Rzecznika Praw Dziecka nie sposób uznać, że proponowane rozwiązanie przedkłada efektywność administracyjną nad prawa dziecka. Efektywność postępowania w sprawach dotyczących małoletnich cudzoziemców bez opieki jest elementem realizacji ich praw, a nie wartością konkurencyjną wobec nich. Sprawne działanie organów państwa, szybkie skierowanie wniosku do sądu oraz niezwłoczne rozstrzygnięcie w przedmiocie umieszczenia dziecka w odpowiedniej placówce opiekuńczo-wychowawczej służą przede wszystkim ochronie jego dobra, bezpieczeństwa i stabilizacji sytuacji życiowej.</w:t>
            </w:r>
          </w:p>
          <w:p w14:paraId="04FFEAF6" w14:textId="68E5A353"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084E35D4"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3B73BB11" w14:textId="043346A6"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Należy podkreślić, że w wielu przypadkach fizyczne doprowadzenie małoletniego na rozprawę do sądu oddalonego o kilkaset kilometrów może:</w:t>
            </w:r>
          </w:p>
          <w:p w14:paraId="5A6BE682" w14:textId="02226ED4"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w:t>
            </w:r>
            <w:r w:rsidRPr="004F4814">
              <w:rPr>
                <w:rFonts w:asciiTheme="minorHAnsi" w:hAnsiTheme="minorHAnsi" w:cstheme="minorHAnsi"/>
                <w:bCs/>
                <w:sz w:val="18"/>
                <w:szCs w:val="18"/>
              </w:rPr>
              <w:t xml:space="preserve"> pogłębiać stres,</w:t>
            </w:r>
          </w:p>
          <w:p w14:paraId="7876DF51" w14:textId="73AF3822"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 </w:t>
            </w:r>
            <w:r w:rsidRPr="004F4814">
              <w:rPr>
                <w:rFonts w:asciiTheme="minorHAnsi" w:hAnsiTheme="minorHAnsi" w:cstheme="minorHAnsi"/>
                <w:bCs/>
                <w:sz w:val="18"/>
                <w:szCs w:val="18"/>
              </w:rPr>
              <w:t>prowadzić do wtórnej traumatyzacji,</w:t>
            </w:r>
          </w:p>
          <w:p w14:paraId="03621B51" w14:textId="49885060"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 </w:t>
            </w:r>
            <w:r w:rsidRPr="004F4814">
              <w:rPr>
                <w:rFonts w:asciiTheme="minorHAnsi" w:hAnsiTheme="minorHAnsi" w:cstheme="minorHAnsi"/>
                <w:bCs/>
                <w:sz w:val="18"/>
                <w:szCs w:val="18"/>
              </w:rPr>
              <w:t>naruszać zasadę minimalizacji ingerencji w sferę psychiczną dziecka.</w:t>
            </w:r>
          </w:p>
          <w:p w14:paraId="65BEB3B0"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4CB79DB0" w14:textId="36459FF6"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Projektowana zmiana, poprzez koncentrację spraw w sądach współpracujących z danym organem Straży Granicznej,</w:t>
            </w:r>
            <w:r>
              <w:rPr>
                <w:rFonts w:asciiTheme="minorHAnsi" w:hAnsiTheme="minorHAnsi" w:cstheme="minorHAnsi"/>
                <w:bCs/>
                <w:sz w:val="18"/>
                <w:szCs w:val="18"/>
              </w:rPr>
              <w:t xml:space="preserve"> </w:t>
            </w:r>
            <w:r w:rsidRPr="004F4814">
              <w:rPr>
                <w:rFonts w:asciiTheme="minorHAnsi" w:hAnsiTheme="minorHAnsi" w:cstheme="minorHAnsi"/>
                <w:bCs/>
                <w:sz w:val="18"/>
                <w:szCs w:val="18"/>
              </w:rPr>
              <w:t>umożliwia wypracowanie stabilnej praktyki orzeczniczej, w tym wyspecjalizowania sędziów w sprawach dotyczących małoletnich cudzoziemców bez opieki.</w:t>
            </w:r>
          </w:p>
          <w:p w14:paraId="1657916A" w14:textId="77777777"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57B38296" w14:textId="4CA94F64"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sidRPr="004F4814">
              <w:rPr>
                <w:rFonts w:asciiTheme="minorHAnsi" w:hAnsiTheme="minorHAnsi" w:cstheme="minorHAnsi"/>
                <w:bCs/>
                <w:sz w:val="18"/>
                <w:szCs w:val="18"/>
              </w:rPr>
              <w:t>Projektowana regulacja:</w:t>
            </w:r>
          </w:p>
          <w:p w14:paraId="15FEC84E" w14:textId="6413EE6F"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 </w:t>
            </w:r>
            <w:r w:rsidRPr="004F4814">
              <w:rPr>
                <w:rFonts w:asciiTheme="minorHAnsi" w:hAnsiTheme="minorHAnsi" w:cstheme="minorHAnsi"/>
                <w:bCs/>
                <w:sz w:val="18"/>
                <w:szCs w:val="18"/>
              </w:rPr>
              <w:t>eliminuje konieczność każdorazowego ustalania właściwości sądu według zmiennego miejsca pobytu dziecka,</w:t>
            </w:r>
          </w:p>
          <w:p w14:paraId="6A570FC8" w14:textId="24597D06"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lastRenderedPageBreak/>
              <w:t xml:space="preserve">- </w:t>
            </w:r>
            <w:r w:rsidRPr="004F4814">
              <w:rPr>
                <w:rFonts w:asciiTheme="minorHAnsi" w:hAnsiTheme="minorHAnsi" w:cstheme="minorHAnsi"/>
                <w:bCs/>
                <w:sz w:val="18"/>
                <w:szCs w:val="18"/>
              </w:rPr>
              <w:t>umożliwia organom Straży Granicznej szybkie i jednolite kierowanie wniosków do właściwego sądu,</w:t>
            </w:r>
          </w:p>
          <w:p w14:paraId="281662AE" w14:textId="441D4812" w:rsid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 </w:t>
            </w:r>
            <w:r w:rsidRPr="004F4814">
              <w:rPr>
                <w:rFonts w:asciiTheme="minorHAnsi" w:hAnsiTheme="minorHAnsi" w:cstheme="minorHAnsi"/>
                <w:bCs/>
                <w:sz w:val="18"/>
                <w:szCs w:val="18"/>
              </w:rPr>
              <w:t>ogranicza liczbę czynności technicznych i organizacyjnych.</w:t>
            </w:r>
          </w:p>
          <w:p w14:paraId="004CEF1B" w14:textId="77777777" w:rsidR="004F4814" w:rsidRPr="004F4814"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2B3C8158" w14:textId="61310C1F" w:rsidR="00BA0C48" w:rsidRPr="00C95DE9" w:rsidRDefault="004F4814" w:rsidP="004F48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rPr>
            </w:pPr>
            <w:r w:rsidRPr="004F4814">
              <w:rPr>
                <w:rFonts w:asciiTheme="minorHAnsi" w:hAnsiTheme="minorHAnsi" w:cstheme="minorHAnsi"/>
                <w:bCs/>
                <w:sz w:val="18"/>
                <w:szCs w:val="18"/>
              </w:rPr>
              <w:t xml:space="preserve">Podsumowując, projektowana zmiana </w:t>
            </w:r>
            <w:r>
              <w:rPr>
                <w:rFonts w:asciiTheme="minorHAnsi" w:hAnsiTheme="minorHAnsi" w:cstheme="minorHAnsi"/>
                <w:bCs/>
                <w:sz w:val="18"/>
                <w:szCs w:val="18"/>
              </w:rPr>
              <w:t xml:space="preserve">                  </w:t>
            </w:r>
            <w:r w:rsidRPr="004F4814">
              <w:rPr>
                <w:rFonts w:asciiTheme="minorHAnsi" w:hAnsiTheme="minorHAnsi" w:cstheme="minorHAnsi"/>
                <w:bCs/>
                <w:sz w:val="18"/>
                <w:szCs w:val="18"/>
              </w:rPr>
              <w:t>art. 397 ust. 1 pkt 2 ustawy o cudzoziemcach nie narusza prawa dziecka do bycia wysłuchanym, nie pozostaje w sprzeczności z art. 72 Konstytucji RP ani z międzynarodowymi standardami ochrony praw dziecka. Przeciwnie, odpowiada ona na realne potrzeby małoletnich cudzoziemców bez opieki, minimalizuje ryzyko wtórnej traumatyzacji, skraca czas postępowań i zapewnia bardziej przewidywalne oraz stabilne ramy proceduralne. Z tych względów zarzuty sformułowane w opinii Rzecznika Praw Dziecka nie znajdują wystarczającego uzasadnienia prawnego ani aksjologicznego.</w:t>
            </w:r>
          </w:p>
        </w:tc>
        <w:tc>
          <w:tcPr>
            <w:tcW w:w="3482" w:type="dxa"/>
            <w:gridSpan w:val="2"/>
          </w:tcPr>
          <w:p w14:paraId="4B3AD9D8" w14:textId="77777777" w:rsidR="00BA0C48" w:rsidRPr="00C1792A" w:rsidRDefault="00BA0C48" w:rsidP="00786F75">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83764A" w:rsidRPr="009B2533" w14:paraId="7A650F25"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047684A8" w14:textId="77777777" w:rsidR="00B240F9" w:rsidRPr="009B2533" w:rsidRDefault="00B240F9" w:rsidP="00786F75">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51CBC7FE" w14:textId="77777777" w:rsidR="00B240F9" w:rsidRDefault="00B240F9" w:rsidP="00786F75">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11C44680" w14:textId="77777777" w:rsidR="00B240F9" w:rsidRDefault="00B240F9" w:rsidP="00FB44D8">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tc>
        <w:tc>
          <w:tcPr>
            <w:tcW w:w="1136" w:type="dxa"/>
          </w:tcPr>
          <w:p w14:paraId="31D14D34" w14:textId="1215986A" w:rsidR="00B240F9" w:rsidRPr="00BA0C48" w:rsidRDefault="00B240F9"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GIS</w:t>
            </w:r>
          </w:p>
        </w:tc>
        <w:tc>
          <w:tcPr>
            <w:tcW w:w="4535" w:type="dxa"/>
          </w:tcPr>
          <w:p w14:paraId="5CB60CEA" w14:textId="147CEA89" w:rsidR="00B240F9" w:rsidRDefault="00800265"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W</w:t>
            </w:r>
            <w:r w:rsidR="00B240F9" w:rsidRPr="00B240F9">
              <w:rPr>
                <w:rFonts w:asciiTheme="minorHAnsi" w:hAnsiTheme="minorHAnsi" w:cstheme="minorHAnsi"/>
                <w:sz w:val="18"/>
                <w:szCs w:val="18"/>
              </w:rPr>
              <w:t xml:space="preserve"> nawiązaniu do pisma dotyczącego projektu ustawy o udziale Rzeczypospolitej Polskiej w</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europejskim systemie informacji o podróży oraz zezwoleń na podróż (ETIAS) (UC104) oraz</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ustaleń roboczych przekazuję propozycję w zakresie przekazywania informacji przez Straż</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Graniczną organom Państwowej Inspekcji Sanitarnej na podstawie art. 32a ustawy z dnia 5</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grudnia 2008 r. o zapobieganiu oraz zwalczaniu zakażeń i chorób zakaźnych u ludzi (Dz. U. z</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2025 r. poz. 1675), która umożliwi Straży Granicznej przekazywanie danych w ramach</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ogólnego obowiązku wskazanego w tym przepisie, z uprzejmą prośbą o jej uwzględnienie w</w:t>
            </w:r>
            <w:r w:rsidR="00B240F9">
              <w:rPr>
                <w:rFonts w:asciiTheme="minorHAnsi" w:hAnsiTheme="minorHAnsi" w:cstheme="minorHAnsi"/>
                <w:sz w:val="18"/>
                <w:szCs w:val="18"/>
              </w:rPr>
              <w:t xml:space="preserve"> </w:t>
            </w:r>
            <w:r w:rsidR="00B240F9" w:rsidRPr="00B240F9">
              <w:rPr>
                <w:rFonts w:asciiTheme="minorHAnsi" w:hAnsiTheme="minorHAnsi" w:cstheme="minorHAnsi"/>
                <w:sz w:val="18"/>
                <w:szCs w:val="18"/>
              </w:rPr>
              <w:t>procedowanym projekcie ustawy.</w:t>
            </w:r>
          </w:p>
          <w:p w14:paraId="0D7C28FB"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11F21D8" w14:textId="10005803" w:rsid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W ustawie z dnia 12 października 1990 r. o Straży Granicznej (Dz. U. z 2025 r. poz. 914) po</w:t>
            </w:r>
            <w:r>
              <w:rPr>
                <w:rFonts w:asciiTheme="minorHAnsi" w:hAnsiTheme="minorHAnsi" w:cstheme="minorHAnsi"/>
                <w:sz w:val="18"/>
                <w:szCs w:val="18"/>
              </w:rPr>
              <w:t xml:space="preserve"> </w:t>
            </w:r>
            <w:r w:rsidRPr="00B240F9">
              <w:rPr>
                <w:rFonts w:asciiTheme="minorHAnsi" w:hAnsiTheme="minorHAnsi" w:cstheme="minorHAnsi"/>
                <w:sz w:val="18"/>
                <w:szCs w:val="18"/>
              </w:rPr>
              <w:t>art. 10f dodaje się art. 10g w brzmieniu:</w:t>
            </w:r>
          </w:p>
          <w:p w14:paraId="783D277B"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32465A4" w14:textId="17892622"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„Art. 10g. W przypadku gdy organ Państwowej Inspekcji Sanitarnej, o którym mowa w art.</w:t>
            </w:r>
            <w:r>
              <w:rPr>
                <w:rFonts w:asciiTheme="minorHAnsi" w:hAnsiTheme="minorHAnsi" w:cstheme="minorHAnsi"/>
                <w:sz w:val="18"/>
                <w:szCs w:val="18"/>
              </w:rPr>
              <w:t xml:space="preserve"> </w:t>
            </w:r>
            <w:r w:rsidRPr="00B240F9">
              <w:rPr>
                <w:rFonts w:asciiTheme="minorHAnsi" w:hAnsiTheme="minorHAnsi" w:cstheme="minorHAnsi"/>
                <w:sz w:val="18"/>
                <w:szCs w:val="18"/>
              </w:rPr>
              <w:t>32a ust. 1 ustawy z dnia 5 grudnia 2008 r. o zapobieganiu oraz zwalczaniu zakażeń i chorób</w:t>
            </w:r>
            <w:r>
              <w:rPr>
                <w:rFonts w:asciiTheme="minorHAnsi" w:hAnsiTheme="minorHAnsi" w:cstheme="minorHAnsi"/>
                <w:sz w:val="18"/>
                <w:szCs w:val="18"/>
              </w:rPr>
              <w:t xml:space="preserve"> </w:t>
            </w:r>
            <w:r w:rsidRPr="00B240F9">
              <w:rPr>
                <w:rFonts w:asciiTheme="minorHAnsi" w:hAnsiTheme="minorHAnsi" w:cstheme="minorHAnsi"/>
                <w:sz w:val="18"/>
                <w:szCs w:val="18"/>
              </w:rPr>
              <w:t>zakaźnych u ludzi (Dz. U. z 2025 r. poz. 1675), zwróci się za pośrednictwem Wspólnego</w:t>
            </w:r>
            <w:r>
              <w:rPr>
                <w:rFonts w:asciiTheme="minorHAnsi" w:hAnsiTheme="minorHAnsi" w:cstheme="minorHAnsi"/>
                <w:sz w:val="18"/>
                <w:szCs w:val="18"/>
              </w:rPr>
              <w:t xml:space="preserve"> </w:t>
            </w:r>
            <w:r w:rsidRPr="00B240F9">
              <w:rPr>
                <w:rFonts w:asciiTheme="minorHAnsi" w:hAnsiTheme="minorHAnsi" w:cstheme="minorHAnsi"/>
                <w:sz w:val="18"/>
                <w:szCs w:val="18"/>
              </w:rPr>
              <w:t>Punktu Kontaktowego Państwowej Inspekcji Sanitarnej do Komendanta Głównego</w:t>
            </w:r>
            <w:r w:rsidR="00FE670B">
              <w:rPr>
                <w:rFonts w:asciiTheme="minorHAnsi" w:hAnsiTheme="minorHAnsi" w:cstheme="minorHAnsi"/>
                <w:sz w:val="18"/>
                <w:szCs w:val="18"/>
              </w:rPr>
              <w:t xml:space="preserve"> </w:t>
            </w:r>
            <w:r w:rsidRPr="00B240F9">
              <w:rPr>
                <w:rFonts w:asciiTheme="minorHAnsi" w:hAnsiTheme="minorHAnsi" w:cstheme="minorHAnsi"/>
                <w:sz w:val="18"/>
                <w:szCs w:val="18"/>
              </w:rPr>
              <w:t>Straży</w:t>
            </w:r>
            <w:r w:rsidR="00FE670B">
              <w:rPr>
                <w:rFonts w:asciiTheme="minorHAnsi" w:hAnsiTheme="minorHAnsi" w:cstheme="minorHAnsi"/>
                <w:sz w:val="18"/>
                <w:szCs w:val="18"/>
              </w:rPr>
              <w:t xml:space="preserve"> </w:t>
            </w:r>
            <w:r w:rsidRPr="00B240F9">
              <w:rPr>
                <w:rFonts w:asciiTheme="minorHAnsi" w:hAnsiTheme="minorHAnsi" w:cstheme="minorHAnsi"/>
                <w:sz w:val="18"/>
                <w:szCs w:val="18"/>
              </w:rPr>
              <w:t xml:space="preserve">Granicznej o ustalenie i przekazanie danych i </w:t>
            </w:r>
            <w:r w:rsidRPr="00B240F9">
              <w:rPr>
                <w:rFonts w:asciiTheme="minorHAnsi" w:hAnsiTheme="minorHAnsi" w:cstheme="minorHAnsi"/>
                <w:sz w:val="18"/>
                <w:szCs w:val="18"/>
              </w:rPr>
              <w:lastRenderedPageBreak/>
              <w:t>informacji, o których mowa w art. 32a ust. 2</w:t>
            </w:r>
            <w:r w:rsidR="00FE670B">
              <w:rPr>
                <w:rFonts w:asciiTheme="minorHAnsi" w:hAnsiTheme="minorHAnsi" w:cstheme="minorHAnsi"/>
                <w:sz w:val="18"/>
                <w:szCs w:val="18"/>
              </w:rPr>
              <w:t xml:space="preserve"> </w:t>
            </w:r>
            <w:r w:rsidRPr="00B240F9">
              <w:rPr>
                <w:rFonts w:asciiTheme="minorHAnsi" w:hAnsiTheme="minorHAnsi" w:cstheme="minorHAnsi"/>
                <w:sz w:val="18"/>
                <w:szCs w:val="18"/>
              </w:rPr>
              <w:t>pkt 1-7 lub 10-11tej ustawy, Komendant Główny Straży Granicznej:</w:t>
            </w:r>
          </w:p>
          <w:p w14:paraId="465C0CA9"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1) dokonuje sprawdzenia danych i informacji, o których ustalenie i przekazanie wystąpił</w:t>
            </w:r>
          </w:p>
          <w:p w14:paraId="545E7F31"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organ Państwowej Inspekcji Sanitarnej, w systemach teleinformatycznych</w:t>
            </w:r>
          </w:p>
          <w:p w14:paraId="484265CC"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prowadzonych przez Straż Graniczną lub do których Straż Graniczna posiada dostęp;</w:t>
            </w:r>
          </w:p>
          <w:p w14:paraId="36482BA3"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2) przekazuje sprawdzone dane i informacje do tego organu Państwowej Inspekcji</w:t>
            </w:r>
          </w:p>
          <w:p w14:paraId="09BECE9B" w14:textId="77777777" w:rsidR="00B240F9" w:rsidRP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Sanitarnej za pośrednictwem Wspólnego Punktu Kontaktowego Państwowej Inspekcji</w:t>
            </w:r>
          </w:p>
          <w:p w14:paraId="2BF21B23" w14:textId="77777777" w:rsidR="00B240F9" w:rsidRDefault="00B240F9"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B240F9">
              <w:rPr>
                <w:rFonts w:asciiTheme="minorHAnsi" w:hAnsiTheme="minorHAnsi" w:cstheme="minorHAnsi"/>
                <w:sz w:val="18"/>
                <w:szCs w:val="18"/>
              </w:rPr>
              <w:t>Sanitarnej.”.</w:t>
            </w:r>
          </w:p>
          <w:p w14:paraId="7FE9F6B1" w14:textId="77777777" w:rsidR="00FE670B" w:rsidRDefault="00FE670B" w:rsidP="00B240F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AC72E27" w14:textId="77777777" w:rsid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E670B">
              <w:rPr>
                <w:rFonts w:asciiTheme="minorHAnsi" w:hAnsiTheme="minorHAnsi" w:cstheme="minorHAnsi"/>
                <w:sz w:val="18"/>
                <w:szCs w:val="18"/>
              </w:rPr>
              <w:t>Zgodnie z art. 32a ust. 1 ustawy z dnia 5 grudnia 2008 r. o zapobieganiu oraz zwalczaniu</w:t>
            </w:r>
            <w:r>
              <w:rPr>
                <w:rFonts w:asciiTheme="minorHAnsi" w:hAnsiTheme="minorHAnsi" w:cstheme="minorHAnsi"/>
                <w:sz w:val="18"/>
                <w:szCs w:val="18"/>
              </w:rPr>
              <w:t xml:space="preserve"> </w:t>
            </w:r>
            <w:r w:rsidRPr="00FE670B">
              <w:rPr>
                <w:rFonts w:asciiTheme="minorHAnsi" w:hAnsiTheme="minorHAnsi" w:cstheme="minorHAnsi"/>
                <w:sz w:val="18"/>
                <w:szCs w:val="18"/>
              </w:rPr>
              <w:t>zakażeń i chorób zakaźnych u ludzi (Dz. U. z 2025 r. poz. 1675) państwowi inspektorzy</w:t>
            </w:r>
            <w:r>
              <w:rPr>
                <w:rFonts w:asciiTheme="minorHAnsi" w:hAnsiTheme="minorHAnsi" w:cstheme="minorHAnsi"/>
                <w:sz w:val="18"/>
                <w:szCs w:val="18"/>
              </w:rPr>
              <w:t xml:space="preserve"> </w:t>
            </w:r>
            <w:r w:rsidRPr="00FE670B">
              <w:rPr>
                <w:rFonts w:asciiTheme="minorHAnsi" w:hAnsiTheme="minorHAnsi" w:cstheme="minorHAnsi"/>
                <w:sz w:val="18"/>
                <w:szCs w:val="18"/>
              </w:rPr>
              <w:t>sanitarny lub Główny Inspektor Sanitarny, w związku z prowadzonym dochodzeniem</w:t>
            </w:r>
            <w:r>
              <w:rPr>
                <w:rFonts w:asciiTheme="minorHAnsi" w:hAnsiTheme="minorHAnsi" w:cstheme="minorHAnsi"/>
                <w:sz w:val="18"/>
                <w:szCs w:val="18"/>
              </w:rPr>
              <w:t xml:space="preserve"> </w:t>
            </w:r>
            <w:r w:rsidRPr="00FE670B">
              <w:rPr>
                <w:rFonts w:asciiTheme="minorHAnsi" w:hAnsiTheme="minorHAnsi" w:cstheme="minorHAnsi"/>
                <w:sz w:val="18"/>
                <w:szCs w:val="18"/>
              </w:rPr>
              <w:t>epidemiologicznym, mogą żądać udzielenia informacji od każdego, kto takie dane posiada,</w:t>
            </w:r>
            <w:r>
              <w:rPr>
                <w:rFonts w:asciiTheme="minorHAnsi" w:hAnsiTheme="minorHAnsi" w:cstheme="minorHAnsi"/>
                <w:sz w:val="18"/>
                <w:szCs w:val="18"/>
              </w:rPr>
              <w:t xml:space="preserve"> </w:t>
            </w:r>
            <w:r w:rsidRPr="00FE670B">
              <w:rPr>
                <w:rFonts w:asciiTheme="minorHAnsi" w:hAnsiTheme="minorHAnsi" w:cstheme="minorHAnsi"/>
                <w:sz w:val="18"/>
                <w:szCs w:val="18"/>
              </w:rPr>
              <w:t>lub jednostek administracji publicznej, które dane takie mogą</w:t>
            </w:r>
            <w:r>
              <w:rPr>
                <w:rFonts w:asciiTheme="minorHAnsi" w:hAnsiTheme="minorHAnsi" w:cstheme="minorHAnsi"/>
                <w:sz w:val="18"/>
                <w:szCs w:val="18"/>
              </w:rPr>
              <w:t xml:space="preserve"> </w:t>
            </w:r>
            <w:r w:rsidRPr="00FE670B">
              <w:rPr>
                <w:rFonts w:asciiTheme="minorHAnsi" w:hAnsiTheme="minorHAnsi" w:cstheme="minorHAnsi"/>
                <w:sz w:val="18"/>
                <w:szCs w:val="18"/>
              </w:rPr>
              <w:t>ustalić. Prowadzone przez</w:t>
            </w:r>
            <w:r>
              <w:rPr>
                <w:rFonts w:asciiTheme="minorHAnsi" w:hAnsiTheme="minorHAnsi" w:cstheme="minorHAnsi"/>
                <w:sz w:val="18"/>
                <w:szCs w:val="18"/>
              </w:rPr>
              <w:t xml:space="preserve"> </w:t>
            </w:r>
            <w:r w:rsidRPr="00FE670B">
              <w:rPr>
                <w:rFonts w:asciiTheme="minorHAnsi" w:hAnsiTheme="minorHAnsi" w:cstheme="minorHAnsi"/>
                <w:sz w:val="18"/>
                <w:szCs w:val="18"/>
              </w:rPr>
              <w:t>organy Państwowej Inspekcji Sanitarnej dochodzenia epidemiologiczne mogą również</w:t>
            </w:r>
            <w:r>
              <w:rPr>
                <w:rFonts w:asciiTheme="minorHAnsi" w:hAnsiTheme="minorHAnsi" w:cstheme="minorHAnsi"/>
                <w:sz w:val="18"/>
                <w:szCs w:val="18"/>
              </w:rPr>
              <w:t xml:space="preserve"> </w:t>
            </w:r>
            <w:r w:rsidRPr="00FE670B">
              <w:rPr>
                <w:rFonts w:asciiTheme="minorHAnsi" w:hAnsiTheme="minorHAnsi" w:cstheme="minorHAnsi"/>
                <w:sz w:val="18"/>
                <w:szCs w:val="18"/>
              </w:rPr>
              <w:t>dotyczyć</w:t>
            </w:r>
            <w:r>
              <w:rPr>
                <w:rFonts w:asciiTheme="minorHAnsi" w:hAnsiTheme="minorHAnsi" w:cstheme="minorHAnsi"/>
                <w:sz w:val="18"/>
                <w:szCs w:val="18"/>
              </w:rPr>
              <w:t xml:space="preserve"> </w:t>
            </w:r>
            <w:r w:rsidRPr="00FE670B">
              <w:rPr>
                <w:rFonts w:asciiTheme="minorHAnsi" w:hAnsiTheme="minorHAnsi" w:cstheme="minorHAnsi"/>
                <w:sz w:val="18"/>
                <w:szCs w:val="18"/>
              </w:rPr>
              <w:t>narażenia na choroby zakaźne, do którego doszło w czasie pobytu za granicą lub</w:t>
            </w:r>
            <w:r>
              <w:rPr>
                <w:rFonts w:asciiTheme="minorHAnsi" w:hAnsiTheme="minorHAnsi" w:cstheme="minorHAnsi"/>
                <w:sz w:val="18"/>
                <w:szCs w:val="18"/>
              </w:rPr>
              <w:t xml:space="preserve"> </w:t>
            </w:r>
            <w:r w:rsidRPr="00FE670B">
              <w:rPr>
                <w:rFonts w:asciiTheme="minorHAnsi" w:hAnsiTheme="minorHAnsi" w:cstheme="minorHAnsi"/>
                <w:sz w:val="18"/>
                <w:szCs w:val="18"/>
              </w:rPr>
              <w:t>podróży międzynarodowej.</w:t>
            </w:r>
          </w:p>
          <w:p w14:paraId="4CF60264" w14:textId="77777777" w:rsid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5774291D" w14:textId="77777777" w:rsid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E670B">
              <w:rPr>
                <w:rFonts w:asciiTheme="minorHAnsi" w:hAnsiTheme="minorHAnsi" w:cstheme="minorHAnsi"/>
                <w:sz w:val="18"/>
                <w:szCs w:val="18"/>
              </w:rPr>
              <w:t>W przypadku otrzymania przez Państwową Inspekcję Sanitarną od zagranicznych służb</w:t>
            </w:r>
            <w:r>
              <w:rPr>
                <w:rFonts w:asciiTheme="minorHAnsi" w:hAnsiTheme="minorHAnsi" w:cstheme="minorHAnsi"/>
                <w:sz w:val="18"/>
                <w:szCs w:val="18"/>
              </w:rPr>
              <w:t xml:space="preserve"> </w:t>
            </w:r>
            <w:r w:rsidRPr="00FE670B">
              <w:rPr>
                <w:rFonts w:asciiTheme="minorHAnsi" w:hAnsiTheme="minorHAnsi" w:cstheme="minorHAnsi"/>
                <w:sz w:val="18"/>
                <w:szCs w:val="18"/>
              </w:rPr>
              <w:t>sanitarno-epidemiologicznych informacji o narażeniu na chorobę zakaźną pasażera</w:t>
            </w:r>
            <w:r>
              <w:rPr>
                <w:rFonts w:asciiTheme="minorHAnsi" w:hAnsiTheme="minorHAnsi" w:cstheme="minorHAnsi"/>
                <w:sz w:val="18"/>
                <w:szCs w:val="18"/>
              </w:rPr>
              <w:t xml:space="preserve"> </w:t>
            </w:r>
            <w:r w:rsidRPr="00FE670B">
              <w:rPr>
                <w:rFonts w:asciiTheme="minorHAnsi" w:hAnsiTheme="minorHAnsi" w:cstheme="minorHAnsi"/>
                <w:sz w:val="18"/>
                <w:szCs w:val="18"/>
              </w:rPr>
              <w:t>obywającego</w:t>
            </w:r>
            <w:r>
              <w:rPr>
                <w:rFonts w:asciiTheme="minorHAnsi" w:hAnsiTheme="minorHAnsi" w:cstheme="minorHAnsi"/>
                <w:sz w:val="18"/>
                <w:szCs w:val="18"/>
              </w:rPr>
              <w:t xml:space="preserve"> </w:t>
            </w:r>
            <w:r w:rsidRPr="00FE670B">
              <w:rPr>
                <w:rFonts w:asciiTheme="minorHAnsi" w:hAnsiTheme="minorHAnsi" w:cstheme="minorHAnsi"/>
                <w:sz w:val="18"/>
                <w:szCs w:val="18"/>
              </w:rPr>
              <w:t>podroż międzynarodową środkiem transportu lotniczego lub narażeniu osoby</w:t>
            </w:r>
            <w:r>
              <w:rPr>
                <w:rFonts w:asciiTheme="minorHAnsi" w:hAnsiTheme="minorHAnsi" w:cstheme="minorHAnsi"/>
                <w:sz w:val="18"/>
                <w:szCs w:val="18"/>
              </w:rPr>
              <w:t xml:space="preserve"> </w:t>
            </w:r>
            <w:r w:rsidRPr="00FE670B">
              <w:rPr>
                <w:rFonts w:asciiTheme="minorHAnsi" w:hAnsiTheme="minorHAnsi" w:cstheme="minorHAnsi"/>
                <w:sz w:val="18"/>
                <w:szCs w:val="18"/>
              </w:rPr>
              <w:t>na chorobę zakaźną w trakcie pobytu na terytorium tego państwa (w związku z</w:t>
            </w:r>
            <w:r>
              <w:rPr>
                <w:rFonts w:asciiTheme="minorHAnsi" w:hAnsiTheme="minorHAnsi" w:cstheme="minorHAnsi"/>
                <w:sz w:val="18"/>
                <w:szCs w:val="18"/>
              </w:rPr>
              <w:t xml:space="preserve"> </w:t>
            </w:r>
            <w:r w:rsidRPr="00FE670B">
              <w:rPr>
                <w:rFonts w:asciiTheme="minorHAnsi" w:hAnsiTheme="minorHAnsi" w:cstheme="minorHAnsi"/>
                <w:sz w:val="18"/>
                <w:szCs w:val="18"/>
              </w:rPr>
              <w:t>uczestnictwem w imprezach masowych, szkoleniach i konferencjach, pobycie w hotelu lub</w:t>
            </w:r>
            <w:r>
              <w:rPr>
                <w:rFonts w:asciiTheme="minorHAnsi" w:hAnsiTheme="minorHAnsi" w:cstheme="minorHAnsi"/>
                <w:sz w:val="18"/>
                <w:szCs w:val="18"/>
              </w:rPr>
              <w:t xml:space="preserve"> </w:t>
            </w:r>
            <w:r w:rsidRPr="00FE670B">
              <w:rPr>
                <w:rFonts w:asciiTheme="minorHAnsi" w:hAnsiTheme="minorHAnsi" w:cstheme="minorHAnsi"/>
                <w:sz w:val="18"/>
                <w:szCs w:val="18"/>
              </w:rPr>
              <w:t>miejscu prywatnego zakwaterowania, itp.), zachodzi konieczność ustalenia miejsca pobytu</w:t>
            </w:r>
            <w:r>
              <w:rPr>
                <w:rFonts w:asciiTheme="minorHAnsi" w:hAnsiTheme="minorHAnsi" w:cstheme="minorHAnsi"/>
                <w:sz w:val="18"/>
                <w:szCs w:val="18"/>
              </w:rPr>
              <w:t xml:space="preserve"> </w:t>
            </w:r>
            <w:r w:rsidRPr="00FE670B">
              <w:rPr>
                <w:rFonts w:asciiTheme="minorHAnsi" w:hAnsiTheme="minorHAnsi" w:cstheme="minorHAnsi"/>
                <w:sz w:val="18"/>
                <w:szCs w:val="18"/>
              </w:rPr>
              <w:t>osób narażonych. Ma to na celu przekazanie osobie narażonej informacji o narażeniu i</w:t>
            </w:r>
            <w:r>
              <w:rPr>
                <w:rFonts w:asciiTheme="minorHAnsi" w:hAnsiTheme="minorHAnsi" w:cstheme="minorHAnsi"/>
                <w:sz w:val="18"/>
                <w:szCs w:val="18"/>
              </w:rPr>
              <w:t xml:space="preserve"> </w:t>
            </w:r>
            <w:r w:rsidRPr="00FE670B">
              <w:rPr>
                <w:rFonts w:asciiTheme="minorHAnsi" w:hAnsiTheme="minorHAnsi" w:cstheme="minorHAnsi"/>
                <w:sz w:val="18"/>
                <w:szCs w:val="18"/>
              </w:rPr>
              <w:t xml:space="preserve">związanej z tym konieczności przyjęcia antybiotykowej profilaktyki </w:t>
            </w:r>
            <w:proofErr w:type="spellStart"/>
            <w:r w:rsidRPr="00FE670B">
              <w:rPr>
                <w:rFonts w:asciiTheme="minorHAnsi" w:hAnsiTheme="minorHAnsi" w:cstheme="minorHAnsi"/>
                <w:sz w:val="18"/>
                <w:szCs w:val="18"/>
              </w:rPr>
              <w:t>poekspozycyjnej</w:t>
            </w:r>
            <w:proofErr w:type="spellEnd"/>
            <w:r w:rsidRPr="00FE670B">
              <w:rPr>
                <w:rFonts w:asciiTheme="minorHAnsi" w:hAnsiTheme="minorHAnsi" w:cstheme="minorHAnsi"/>
                <w:sz w:val="18"/>
                <w:szCs w:val="18"/>
              </w:rPr>
              <w:t xml:space="preserve"> lub</w:t>
            </w:r>
            <w:r>
              <w:rPr>
                <w:rFonts w:asciiTheme="minorHAnsi" w:hAnsiTheme="minorHAnsi" w:cstheme="minorHAnsi"/>
                <w:sz w:val="18"/>
                <w:szCs w:val="18"/>
              </w:rPr>
              <w:t xml:space="preserve"> </w:t>
            </w:r>
            <w:r w:rsidRPr="00FE670B">
              <w:rPr>
                <w:rFonts w:asciiTheme="minorHAnsi" w:hAnsiTheme="minorHAnsi" w:cstheme="minorHAnsi"/>
                <w:sz w:val="18"/>
                <w:szCs w:val="18"/>
              </w:rPr>
              <w:t>wykonania niezbędnych badań diagnostycznych, a także</w:t>
            </w:r>
            <w:r>
              <w:rPr>
                <w:rFonts w:asciiTheme="minorHAnsi" w:hAnsiTheme="minorHAnsi" w:cstheme="minorHAnsi"/>
                <w:sz w:val="18"/>
                <w:szCs w:val="18"/>
              </w:rPr>
              <w:t xml:space="preserve"> </w:t>
            </w:r>
            <w:r w:rsidRPr="00FE670B">
              <w:rPr>
                <w:rFonts w:asciiTheme="minorHAnsi" w:hAnsiTheme="minorHAnsi" w:cstheme="minorHAnsi"/>
                <w:sz w:val="18"/>
                <w:szCs w:val="18"/>
              </w:rPr>
              <w:t>objęcia tej osoby przez</w:t>
            </w:r>
            <w:r>
              <w:rPr>
                <w:rFonts w:asciiTheme="minorHAnsi" w:hAnsiTheme="minorHAnsi" w:cstheme="minorHAnsi"/>
                <w:sz w:val="18"/>
                <w:szCs w:val="18"/>
              </w:rPr>
              <w:t xml:space="preserve"> </w:t>
            </w:r>
            <w:r w:rsidRPr="00FE670B">
              <w:rPr>
                <w:rFonts w:asciiTheme="minorHAnsi" w:hAnsiTheme="minorHAnsi" w:cstheme="minorHAnsi"/>
                <w:sz w:val="18"/>
                <w:szCs w:val="18"/>
              </w:rPr>
              <w:t>właściwego</w:t>
            </w:r>
            <w:r>
              <w:rPr>
                <w:rFonts w:asciiTheme="minorHAnsi" w:hAnsiTheme="minorHAnsi" w:cstheme="minorHAnsi"/>
                <w:sz w:val="18"/>
                <w:szCs w:val="18"/>
              </w:rPr>
              <w:t xml:space="preserve"> </w:t>
            </w:r>
            <w:r w:rsidRPr="00FE670B">
              <w:rPr>
                <w:rFonts w:asciiTheme="minorHAnsi" w:hAnsiTheme="minorHAnsi" w:cstheme="minorHAnsi"/>
                <w:sz w:val="18"/>
                <w:szCs w:val="18"/>
              </w:rPr>
              <w:t>państwowego inspektora sanitarnego indywidualnym nadzorem</w:t>
            </w:r>
            <w:r>
              <w:rPr>
                <w:rFonts w:asciiTheme="minorHAnsi" w:hAnsiTheme="minorHAnsi" w:cstheme="minorHAnsi"/>
                <w:sz w:val="18"/>
                <w:szCs w:val="18"/>
              </w:rPr>
              <w:t xml:space="preserve"> </w:t>
            </w:r>
            <w:r w:rsidRPr="00FE670B">
              <w:rPr>
                <w:rFonts w:asciiTheme="minorHAnsi" w:hAnsiTheme="minorHAnsi" w:cstheme="minorHAnsi"/>
                <w:sz w:val="18"/>
                <w:szCs w:val="18"/>
              </w:rPr>
              <w:t>epidemiologicznym lub zastosowania innych działań zapobiegawczych lub</w:t>
            </w:r>
            <w:r>
              <w:rPr>
                <w:rFonts w:asciiTheme="minorHAnsi" w:hAnsiTheme="minorHAnsi" w:cstheme="minorHAnsi"/>
                <w:sz w:val="18"/>
                <w:szCs w:val="18"/>
              </w:rPr>
              <w:t xml:space="preserve"> </w:t>
            </w:r>
            <w:r w:rsidRPr="00FE670B">
              <w:rPr>
                <w:rFonts w:asciiTheme="minorHAnsi" w:hAnsiTheme="minorHAnsi" w:cstheme="minorHAnsi"/>
                <w:sz w:val="18"/>
                <w:szCs w:val="18"/>
              </w:rPr>
              <w:t>przeciwepidemicznych.</w:t>
            </w:r>
          </w:p>
          <w:p w14:paraId="05899E26" w14:textId="77777777" w:rsid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BF1211A" w14:textId="61583904" w:rsidR="00FE670B" w:rsidRP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E670B">
              <w:rPr>
                <w:rFonts w:asciiTheme="minorHAnsi" w:hAnsiTheme="minorHAnsi" w:cstheme="minorHAnsi"/>
                <w:sz w:val="18"/>
                <w:szCs w:val="18"/>
              </w:rPr>
              <w:lastRenderedPageBreak/>
              <w:t>Dane przekazywane przez zagraniczne służby sanitarno-epidemiologicznych najczęściej nie</w:t>
            </w:r>
            <w:r>
              <w:rPr>
                <w:rFonts w:asciiTheme="minorHAnsi" w:hAnsiTheme="minorHAnsi" w:cstheme="minorHAnsi"/>
                <w:sz w:val="18"/>
                <w:szCs w:val="18"/>
              </w:rPr>
              <w:t xml:space="preserve"> </w:t>
            </w:r>
            <w:r w:rsidRPr="00FE670B">
              <w:rPr>
                <w:rFonts w:asciiTheme="minorHAnsi" w:hAnsiTheme="minorHAnsi" w:cstheme="minorHAnsi"/>
                <w:sz w:val="18"/>
                <w:szCs w:val="18"/>
              </w:rPr>
              <w:t>zawierają danych dotyczących miejsca zamieszkania w Polsce osoby narażonej. W związku</w:t>
            </w:r>
            <w:r>
              <w:rPr>
                <w:rFonts w:asciiTheme="minorHAnsi" w:hAnsiTheme="minorHAnsi" w:cstheme="minorHAnsi"/>
                <w:sz w:val="18"/>
                <w:szCs w:val="18"/>
              </w:rPr>
              <w:t xml:space="preserve"> </w:t>
            </w:r>
            <w:r w:rsidRPr="00FE670B">
              <w:rPr>
                <w:rFonts w:asciiTheme="minorHAnsi" w:hAnsiTheme="minorHAnsi" w:cstheme="minorHAnsi"/>
                <w:sz w:val="18"/>
                <w:szCs w:val="18"/>
              </w:rPr>
              <w:t>z powyższym ustalenie miejsca zameldowania danej osoby w Polsce pozwala bezpośrednio</w:t>
            </w:r>
          </w:p>
          <w:p w14:paraId="0D575AD0" w14:textId="6ADCFA51" w:rsidR="00FE670B" w:rsidRPr="00FE670B"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E670B">
              <w:rPr>
                <w:rFonts w:asciiTheme="minorHAnsi" w:hAnsiTheme="minorHAnsi" w:cstheme="minorHAnsi"/>
                <w:sz w:val="18"/>
                <w:szCs w:val="18"/>
              </w:rPr>
              <w:t>lub za pośrednictwem jej rodziny lub innych osób zamieszkujących w miejscu jej</w:t>
            </w:r>
            <w:r>
              <w:rPr>
                <w:rFonts w:asciiTheme="minorHAnsi" w:hAnsiTheme="minorHAnsi" w:cstheme="minorHAnsi"/>
                <w:sz w:val="18"/>
                <w:szCs w:val="18"/>
              </w:rPr>
              <w:t xml:space="preserve"> </w:t>
            </w:r>
            <w:r w:rsidRPr="00FE670B">
              <w:rPr>
                <w:rFonts w:asciiTheme="minorHAnsi" w:hAnsiTheme="minorHAnsi" w:cstheme="minorHAnsi"/>
                <w:sz w:val="18"/>
                <w:szCs w:val="18"/>
              </w:rPr>
              <w:t>zameldowania ustalić dane kontaktowe osoby narażonej oraz miejsce jej faktycznego</w:t>
            </w:r>
          </w:p>
          <w:p w14:paraId="458BA047" w14:textId="32DFD7B8" w:rsidR="00FE670B" w:rsidRPr="00BA0C48" w:rsidRDefault="00FE670B" w:rsidP="00FE67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E670B">
              <w:rPr>
                <w:rFonts w:asciiTheme="minorHAnsi" w:hAnsiTheme="minorHAnsi" w:cstheme="minorHAnsi"/>
                <w:sz w:val="18"/>
                <w:szCs w:val="18"/>
              </w:rPr>
              <w:t>pobytu. Uzyskanie tych danych pozwala na realizację wskazanych wyżej działań</w:t>
            </w:r>
            <w:r>
              <w:rPr>
                <w:rFonts w:asciiTheme="minorHAnsi" w:hAnsiTheme="minorHAnsi" w:cstheme="minorHAnsi"/>
                <w:sz w:val="18"/>
                <w:szCs w:val="18"/>
              </w:rPr>
              <w:t xml:space="preserve"> </w:t>
            </w:r>
            <w:r w:rsidRPr="00FE670B">
              <w:rPr>
                <w:rFonts w:asciiTheme="minorHAnsi" w:hAnsiTheme="minorHAnsi" w:cstheme="minorHAnsi"/>
                <w:sz w:val="18"/>
                <w:szCs w:val="18"/>
              </w:rPr>
              <w:t>informacyjnych, zapobiegawczych lub przeciwepidemicznych. Jak wskazano powyżej,</w:t>
            </w:r>
            <w:r>
              <w:rPr>
                <w:rFonts w:asciiTheme="minorHAnsi" w:hAnsiTheme="minorHAnsi" w:cstheme="minorHAnsi"/>
                <w:sz w:val="18"/>
                <w:szCs w:val="18"/>
              </w:rPr>
              <w:t xml:space="preserve"> </w:t>
            </w:r>
            <w:r w:rsidRPr="00FE670B">
              <w:rPr>
                <w:rFonts w:asciiTheme="minorHAnsi" w:hAnsiTheme="minorHAnsi" w:cstheme="minorHAnsi"/>
                <w:sz w:val="18"/>
                <w:szCs w:val="18"/>
              </w:rPr>
              <w:t>przepisy art. 32 ww. ustawy zawierają uprawnienie generalne do uzyskania tych danych od</w:t>
            </w:r>
            <w:r>
              <w:rPr>
                <w:rFonts w:asciiTheme="minorHAnsi" w:hAnsiTheme="minorHAnsi" w:cstheme="minorHAnsi"/>
                <w:sz w:val="18"/>
                <w:szCs w:val="18"/>
              </w:rPr>
              <w:t xml:space="preserve"> </w:t>
            </w:r>
            <w:r w:rsidRPr="00FE670B">
              <w:rPr>
                <w:rFonts w:asciiTheme="minorHAnsi" w:hAnsiTheme="minorHAnsi" w:cstheme="minorHAnsi"/>
                <w:sz w:val="18"/>
                <w:szCs w:val="18"/>
              </w:rPr>
              <w:t>każdego, kto takie dane posiada lub jednostek administracji publicznej, które dane takie</w:t>
            </w:r>
            <w:r>
              <w:rPr>
                <w:rFonts w:asciiTheme="minorHAnsi" w:hAnsiTheme="minorHAnsi" w:cstheme="minorHAnsi"/>
                <w:sz w:val="18"/>
                <w:szCs w:val="18"/>
              </w:rPr>
              <w:t xml:space="preserve"> </w:t>
            </w:r>
            <w:r w:rsidRPr="00FE670B">
              <w:rPr>
                <w:rFonts w:asciiTheme="minorHAnsi" w:hAnsiTheme="minorHAnsi" w:cstheme="minorHAnsi"/>
                <w:sz w:val="18"/>
                <w:szCs w:val="18"/>
              </w:rPr>
              <w:t>mogą</w:t>
            </w:r>
            <w:r>
              <w:rPr>
                <w:rFonts w:asciiTheme="minorHAnsi" w:hAnsiTheme="minorHAnsi" w:cstheme="minorHAnsi"/>
                <w:sz w:val="18"/>
                <w:szCs w:val="18"/>
              </w:rPr>
              <w:t xml:space="preserve"> </w:t>
            </w:r>
            <w:r w:rsidRPr="00FE670B">
              <w:rPr>
                <w:rFonts w:asciiTheme="minorHAnsi" w:hAnsiTheme="minorHAnsi" w:cstheme="minorHAnsi"/>
                <w:sz w:val="18"/>
                <w:szCs w:val="18"/>
              </w:rPr>
              <w:t>ustalić, jednakże dla Straży Granicznej istotnym jest również wprowadzenie</w:t>
            </w:r>
            <w:r>
              <w:rPr>
                <w:rFonts w:asciiTheme="minorHAnsi" w:hAnsiTheme="minorHAnsi" w:cstheme="minorHAnsi"/>
                <w:sz w:val="18"/>
                <w:szCs w:val="18"/>
              </w:rPr>
              <w:t xml:space="preserve"> </w:t>
            </w:r>
            <w:r w:rsidRPr="00FE670B">
              <w:rPr>
                <w:rFonts w:asciiTheme="minorHAnsi" w:hAnsiTheme="minorHAnsi" w:cstheme="minorHAnsi"/>
                <w:sz w:val="18"/>
                <w:szCs w:val="18"/>
              </w:rPr>
              <w:t>procedury szczegółowej dla przekazywania ww. danych.</w:t>
            </w:r>
          </w:p>
        </w:tc>
        <w:tc>
          <w:tcPr>
            <w:tcW w:w="3403" w:type="dxa"/>
            <w:gridSpan w:val="2"/>
          </w:tcPr>
          <w:p w14:paraId="57F8DCC2" w14:textId="513F3CA4" w:rsidR="009642C4" w:rsidRPr="00E14FC1" w:rsidRDefault="009642C4" w:rsidP="001437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r w:rsidRPr="00E14FC1">
              <w:rPr>
                <w:rFonts w:asciiTheme="minorHAnsi" w:hAnsiTheme="minorHAnsi" w:cstheme="minorHAnsi"/>
                <w:b/>
                <w:sz w:val="18"/>
                <w:szCs w:val="18"/>
              </w:rPr>
              <w:lastRenderedPageBreak/>
              <w:t>Nie uwzględniono</w:t>
            </w:r>
          </w:p>
          <w:p w14:paraId="227A351E" w14:textId="77777777" w:rsidR="009642C4" w:rsidRDefault="009642C4" w:rsidP="001437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p w14:paraId="0F986910" w14:textId="78B8890D" w:rsidR="001437FD" w:rsidRPr="001437FD" w:rsidRDefault="001437FD" w:rsidP="001437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1437FD">
              <w:rPr>
                <w:rFonts w:asciiTheme="minorHAnsi" w:hAnsiTheme="minorHAnsi" w:cstheme="minorHAnsi"/>
                <w:bCs/>
                <w:sz w:val="18"/>
                <w:szCs w:val="18"/>
              </w:rPr>
              <w:t xml:space="preserve">Zgodnie z art. 1 ust. 2 ustawy z dnia 12 października 1990 r. o Straży Granicznej do ustawowych (podstawowych) zadań Straży Granicznej należy ochrona granicy państwowej oraz kontrola ruchu granicznego, a także zapobieganie i przeciwdziałanie nielegalnej migracji. Czynności realizowane w ramach kontroli granicznej mają ściśle określony charakter i zakres, wynikający zarówno z przepisów ustawy o Straży Granicznej, jak i z przepisów wykonawczych regulujących tryb i sposób prowadzenia kontroli granicznej oraz </w:t>
            </w:r>
            <w:r w:rsidR="009D0ABB">
              <w:rPr>
                <w:rFonts w:asciiTheme="minorHAnsi" w:hAnsiTheme="minorHAnsi" w:cstheme="minorHAnsi"/>
                <w:bCs/>
                <w:sz w:val="18"/>
                <w:szCs w:val="18"/>
              </w:rPr>
              <w:t xml:space="preserve">jej </w:t>
            </w:r>
            <w:r w:rsidRPr="001437FD">
              <w:rPr>
                <w:rFonts w:asciiTheme="minorHAnsi" w:hAnsiTheme="minorHAnsi" w:cstheme="minorHAnsi"/>
                <w:bCs/>
                <w:sz w:val="18"/>
                <w:szCs w:val="18"/>
              </w:rPr>
              <w:t xml:space="preserve">dokumentowania/ewidencjonowania. Zakres danych ustalanych i przetwarzanych w toku przeprowadzanych czynności w czasie  kontroli granicznej obejmuje w szczególności dane osobowe osoby przekraczającej granicę (imię i nazwisko), obywatelstwo, płeć, dane dokumentu podróży, dokumentów pobytowych/wiz oraz środka transportu. </w:t>
            </w:r>
          </w:p>
          <w:p w14:paraId="18909C36" w14:textId="1A999644" w:rsidR="00B240F9" w:rsidRPr="00800265" w:rsidRDefault="001437FD" w:rsidP="004F48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1437FD">
              <w:rPr>
                <w:rFonts w:asciiTheme="minorHAnsi" w:hAnsiTheme="minorHAnsi" w:cstheme="minorHAnsi"/>
                <w:bCs/>
                <w:sz w:val="18"/>
                <w:szCs w:val="18"/>
              </w:rPr>
              <w:lastRenderedPageBreak/>
              <w:t xml:space="preserve">Propozycja Głównego Inspektora Sanitarnego sprowadza się praktycznie do sytuacji, że w ustawie o Straży Granicznej zostanie wprowadzona norma, która na Straż Graniczną nałoży obowiązek </w:t>
            </w:r>
            <w:r w:rsidR="009D0ABB">
              <w:rPr>
                <w:rFonts w:asciiTheme="minorHAnsi" w:hAnsiTheme="minorHAnsi" w:cstheme="minorHAnsi"/>
                <w:bCs/>
                <w:sz w:val="18"/>
                <w:szCs w:val="18"/>
              </w:rPr>
              <w:t xml:space="preserve">jej </w:t>
            </w:r>
            <w:r w:rsidRPr="001437FD">
              <w:rPr>
                <w:rFonts w:asciiTheme="minorHAnsi" w:hAnsiTheme="minorHAnsi" w:cstheme="minorHAnsi"/>
                <w:bCs/>
                <w:sz w:val="18"/>
                <w:szCs w:val="18"/>
              </w:rPr>
              <w:t xml:space="preserve">działania na rzecz GIS. Warto podkreślić, że projektowany art. 10g nakłada na organ Straży Granicznej obowiązek przekazywania danych, o których mowa w art. 32a ust. 2 ustawy o zapobieganiu i zwalczaniu zakażeń (…), a których organ SG nie ustala w toku przeprowadzanych czynności kontrolnych (np. adres zamieszkania, informacje o aktualnym miejscu pobytu, numer telefonu kontaktowego oraz adres poczty elektronicznej (…) czy ustalenie miejsca pobytu osoby zakażonej w okresie wylęgania choroby). Proponowany przepis art. 10g w zakresie konieczności ustalenia przez Straż Graniczną miejsca pobytu osób narażonych poprzez ustalenie miejsca zameldowania danej osoby w  Polsce, bezpośrednio lub za pośrednictwem jej rodziny lub innych osób zamieszkujących w miejscu jej zameldowania, ustalanie danych kontaktowych osoby narażonej oraz miejsce jej faktycznego pobytu nie jest daną graniczną ani nie znajduje się w ustawowych zadaniach i obowiązkach, do jakich Straż Graniczna została powołana. W związku z faktem, że Straż Graniczna podczas </w:t>
            </w:r>
            <w:r w:rsidR="009D0ABB">
              <w:rPr>
                <w:rFonts w:asciiTheme="minorHAnsi" w:hAnsiTheme="minorHAnsi" w:cstheme="minorHAnsi"/>
                <w:bCs/>
                <w:sz w:val="18"/>
                <w:szCs w:val="18"/>
              </w:rPr>
              <w:t>kontroli</w:t>
            </w:r>
            <w:r w:rsidRPr="001437FD">
              <w:rPr>
                <w:rFonts w:asciiTheme="minorHAnsi" w:hAnsiTheme="minorHAnsi" w:cstheme="minorHAnsi"/>
                <w:bCs/>
                <w:sz w:val="18"/>
                <w:szCs w:val="18"/>
              </w:rPr>
              <w:t xml:space="preserve"> granicznej, nie gromadzi danych, o których mowa w art. 32a ust. 1 ustawy z dnia 5 grudnia 2008 r. o zapobieganiu oraz zwalczaniu zakażeń i chorób zakaźnych u ludzi (Dz. U. z 2025 r. poz. 1675), w szczególności dotyczących adresów podróżnych, informacji o miejscu ich pobytu, nie ma wiedzy w tym zakresie. Wprowadzenie obowiązku każdorazowego ustalania dodatkowych danych na potrzeby organów sanitarnych </w:t>
            </w:r>
            <w:r w:rsidR="009D0ABB">
              <w:rPr>
                <w:rFonts w:asciiTheme="minorHAnsi" w:hAnsiTheme="minorHAnsi" w:cstheme="minorHAnsi"/>
                <w:bCs/>
                <w:sz w:val="18"/>
                <w:szCs w:val="18"/>
              </w:rPr>
              <w:t>powodowałoby</w:t>
            </w:r>
            <w:r w:rsidRPr="001437FD">
              <w:rPr>
                <w:rFonts w:asciiTheme="minorHAnsi" w:hAnsiTheme="minorHAnsi" w:cstheme="minorHAnsi"/>
                <w:bCs/>
                <w:sz w:val="18"/>
                <w:szCs w:val="18"/>
              </w:rPr>
              <w:t xml:space="preserve"> istotn</w:t>
            </w:r>
            <w:r w:rsidR="009D0ABB">
              <w:rPr>
                <w:rFonts w:asciiTheme="minorHAnsi" w:hAnsiTheme="minorHAnsi" w:cstheme="minorHAnsi"/>
                <w:bCs/>
                <w:sz w:val="18"/>
                <w:szCs w:val="18"/>
              </w:rPr>
              <w:t>e</w:t>
            </w:r>
            <w:r w:rsidRPr="001437FD">
              <w:rPr>
                <w:rFonts w:asciiTheme="minorHAnsi" w:hAnsiTheme="minorHAnsi" w:cstheme="minorHAnsi"/>
                <w:bCs/>
                <w:sz w:val="18"/>
                <w:szCs w:val="18"/>
              </w:rPr>
              <w:t xml:space="preserve"> rozszerzenie czynności realizowanych podczas kontroli granicznej, a które nie mieszczą się w zakresie czynności do których uprawnieni są funkcjonariusze Straży Granicznej, </w:t>
            </w:r>
            <w:r w:rsidRPr="001437FD">
              <w:rPr>
                <w:rFonts w:asciiTheme="minorHAnsi" w:hAnsiTheme="minorHAnsi" w:cstheme="minorHAnsi"/>
                <w:bCs/>
                <w:sz w:val="18"/>
                <w:szCs w:val="18"/>
              </w:rPr>
              <w:lastRenderedPageBreak/>
              <w:t xml:space="preserve">skutkowałoby też wydłużeniem czasu </w:t>
            </w:r>
            <w:r w:rsidR="00AE7F98">
              <w:rPr>
                <w:rFonts w:asciiTheme="minorHAnsi" w:hAnsiTheme="minorHAnsi" w:cstheme="minorHAnsi"/>
                <w:bCs/>
                <w:sz w:val="18"/>
                <w:szCs w:val="18"/>
              </w:rPr>
              <w:t>kontroli</w:t>
            </w:r>
            <w:r w:rsidRPr="001437FD">
              <w:rPr>
                <w:rFonts w:asciiTheme="minorHAnsi" w:hAnsiTheme="minorHAnsi" w:cstheme="minorHAnsi"/>
                <w:bCs/>
                <w:sz w:val="18"/>
                <w:szCs w:val="18"/>
              </w:rPr>
              <w:t>, a także koniecznością zmian w architekturze systemów teleinformatycznych oraz w przepisach wykonawczych regulujących te kwestie. Organ może przekazywać dane, którymi faktycznie dysponuje, które przetwarza w swoich systemach teleinformatycznych oraz których jest administratorem. Projektowany przepis nie powinien również prowadzić do zobowiązania Straży Granicznej do udostępniania danych pochodzących z rejestrów publicznych, których SG nie jest administratorem, a jedynie użytkownikiem (np. rejestr PESEL, POBYT); Straż Graniczna korzysta z tych systemów wyłącznie w zakresie przewidzianym przepisami szczególnymi, w celu realizacji ustawowych zadań i nie jest administratorem tych danych, a co za tym idzie podmiotem uprawnionym do ich dalsze</w:t>
            </w:r>
            <w:r w:rsidR="00AE7F98">
              <w:rPr>
                <w:rFonts w:asciiTheme="minorHAnsi" w:hAnsiTheme="minorHAnsi" w:cstheme="minorHAnsi"/>
                <w:bCs/>
                <w:sz w:val="18"/>
                <w:szCs w:val="18"/>
              </w:rPr>
              <w:t>go</w:t>
            </w:r>
            <w:r w:rsidRPr="001437FD">
              <w:rPr>
                <w:rFonts w:asciiTheme="minorHAnsi" w:hAnsiTheme="minorHAnsi" w:cstheme="minorHAnsi"/>
                <w:bCs/>
                <w:sz w:val="18"/>
                <w:szCs w:val="18"/>
              </w:rPr>
              <w:t xml:space="preserve"> </w:t>
            </w:r>
            <w:r w:rsidR="00AE7F98">
              <w:rPr>
                <w:rFonts w:asciiTheme="minorHAnsi" w:hAnsiTheme="minorHAnsi" w:cstheme="minorHAnsi"/>
                <w:bCs/>
                <w:sz w:val="18"/>
                <w:szCs w:val="18"/>
              </w:rPr>
              <w:t>przekazywania</w:t>
            </w:r>
            <w:r w:rsidRPr="001437FD">
              <w:rPr>
                <w:rFonts w:asciiTheme="minorHAnsi" w:hAnsiTheme="minorHAnsi" w:cstheme="minorHAnsi"/>
                <w:bCs/>
                <w:sz w:val="18"/>
                <w:szCs w:val="18"/>
              </w:rPr>
              <w:t>.</w:t>
            </w:r>
          </w:p>
        </w:tc>
        <w:tc>
          <w:tcPr>
            <w:tcW w:w="3482" w:type="dxa"/>
            <w:gridSpan w:val="2"/>
          </w:tcPr>
          <w:p w14:paraId="7EC583FA" w14:textId="77777777" w:rsidR="00B240F9" w:rsidRPr="00C1792A" w:rsidRDefault="00B240F9" w:rsidP="00786F75">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83764A" w:rsidRPr="009B2533" w14:paraId="5D24BE8A" w14:textId="77777777" w:rsidTr="008C4785">
        <w:trPr>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58103D3D" w14:textId="77777777" w:rsidR="001C084E" w:rsidRPr="009B2533" w:rsidRDefault="001C084E" w:rsidP="001C084E">
            <w:pPr>
              <w:pStyle w:val="Akapitzlist"/>
              <w:numPr>
                <w:ilvl w:val="0"/>
                <w:numId w:val="3"/>
              </w:numPr>
              <w:ind w:left="313"/>
              <w:jc w:val="both"/>
              <w:rPr>
                <w:rFonts w:asciiTheme="minorHAnsi" w:hAnsiTheme="minorHAnsi" w:cstheme="minorHAnsi"/>
                <w:bCs w:val="0"/>
                <w:vanish/>
                <w:sz w:val="18"/>
                <w:szCs w:val="18"/>
              </w:rPr>
            </w:pPr>
          </w:p>
        </w:tc>
        <w:tc>
          <w:tcPr>
            <w:tcW w:w="15503" w:type="dxa"/>
            <w:gridSpan w:val="9"/>
          </w:tcPr>
          <w:p w14:paraId="020A3876" w14:textId="4539B6FD" w:rsidR="001C084E" w:rsidRDefault="001C084E" w:rsidP="001C084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OSR</w:t>
            </w:r>
          </w:p>
        </w:tc>
      </w:tr>
      <w:tr w:rsidR="0083764A" w:rsidRPr="009B2533" w14:paraId="2EF42A6C"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28C68B1F" w14:textId="77777777" w:rsidR="001C084E" w:rsidRPr="009B2533" w:rsidRDefault="001C084E" w:rsidP="001C084E">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63D3F721" w14:textId="77777777" w:rsidR="001C084E" w:rsidRDefault="001C084E" w:rsidP="001C084E">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55BCA925" w14:textId="2C8B7F3A" w:rsidR="001C084E" w:rsidRDefault="00AC6C77" w:rsidP="001C084E">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 xml:space="preserve">OSR </w:t>
            </w:r>
          </w:p>
        </w:tc>
        <w:tc>
          <w:tcPr>
            <w:tcW w:w="1136" w:type="dxa"/>
          </w:tcPr>
          <w:p w14:paraId="41B1C975" w14:textId="5DC12350" w:rsidR="001C084E" w:rsidRPr="000C702C" w:rsidRDefault="00FB6614"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NIZP PZH - PIB</w:t>
            </w:r>
          </w:p>
        </w:tc>
        <w:tc>
          <w:tcPr>
            <w:tcW w:w="4535" w:type="dxa"/>
          </w:tcPr>
          <w:p w14:paraId="0729EC61" w14:textId="77777777" w:rsidR="001C084E" w:rsidRDefault="00FB6614"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Brak ujęcia NIZP PZH – PIB jako podmiotu, na który oddziałuje projekt</w:t>
            </w:r>
          </w:p>
          <w:p w14:paraId="4602B8BB" w14:textId="77777777" w:rsidR="00FB6614" w:rsidRPr="00FB6614" w:rsidRDefault="00FB6614"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t xml:space="preserve">Uzasadnienie: </w:t>
            </w:r>
          </w:p>
          <w:p w14:paraId="4E933C05" w14:textId="77777777" w:rsidR="00FB6614" w:rsidRDefault="00FB6614"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859440E" w14:textId="77777777" w:rsidR="00FB6614" w:rsidRP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Zgodnie z art. 2c ust. 3 pkt 11 projektowanej ustawy o Straży Granicznej, Krajowy Rejestr Cudzoziemców (KRC) będzie zasilany danymi przez organy Państwowej Inspekcji Sanitarnej lub krajowe jednostki specjalistyczne na podstawie art. 30 ust. 1 ustawy z dnia 5 grudnia 2008 r. o zapobieganiu oraz zwalczaniu zakażeń i chorób zakaźnych u ludzi.</w:t>
            </w:r>
          </w:p>
          <w:p w14:paraId="4394CDF6" w14:textId="77777777" w:rsidR="00FB6614" w:rsidRP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3EAE4064" w14:textId="77777777" w:rsidR="00FB6614" w:rsidRP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 xml:space="preserve">NIZP PZH – PIB jako krajowa jednostka specjalistyczna prowadząca Rejestr Chorób Zakaźnych w systemie </w:t>
            </w:r>
            <w:proofErr w:type="spellStart"/>
            <w:r w:rsidRPr="00FB6614">
              <w:rPr>
                <w:rFonts w:asciiTheme="minorHAnsi" w:hAnsiTheme="minorHAnsi" w:cstheme="minorHAnsi"/>
                <w:sz w:val="18"/>
                <w:szCs w:val="18"/>
              </w:rPr>
              <w:t>EpiBaza</w:t>
            </w:r>
            <w:proofErr w:type="spellEnd"/>
            <w:r w:rsidRPr="00FB6614">
              <w:rPr>
                <w:rFonts w:asciiTheme="minorHAnsi" w:hAnsiTheme="minorHAnsi" w:cstheme="minorHAnsi"/>
                <w:sz w:val="18"/>
                <w:szCs w:val="18"/>
              </w:rPr>
              <w:t xml:space="preserve"> będzie faktycznie realizował obowiązki wynikające z tego przepisu, w szczególności w zakresie zapewnienia teletransmisji danych oraz dostosowania systemu teleinformatycznego do wymagań KRC.</w:t>
            </w:r>
          </w:p>
          <w:p w14:paraId="3DE916FE" w14:textId="77777777" w:rsidR="00FB6614" w:rsidRP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2C4B4AC" w14:textId="77777777" w:rsid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W OSR NIZP PZH – PIB nie został jednak wskazany jako podmiot, na który oddziałuje projekt.</w:t>
            </w:r>
          </w:p>
          <w:p w14:paraId="730BEEC8" w14:textId="77777777" w:rsid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25EF863" w14:textId="77777777" w:rsid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lastRenderedPageBreak/>
              <w:t>Propozycja:</w:t>
            </w:r>
          </w:p>
          <w:p w14:paraId="75D3ADDA" w14:textId="77777777" w:rsid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50AC8198" w14:textId="77777777" w:rsid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 xml:space="preserve">Uzupełnienie tabeli „Podmioty, na które oddziałuje projekt” o Narodowy Instytut Zdrowia Publicznego PZH – Państwowy Instytut Badawczy wraz z opisem obowiązków związanych z zasilaniem KRC danymi z Rejestru Chorób Zakaźnych systemu </w:t>
            </w:r>
            <w:proofErr w:type="spellStart"/>
            <w:r w:rsidRPr="00FB6614">
              <w:rPr>
                <w:rFonts w:asciiTheme="minorHAnsi" w:hAnsiTheme="minorHAnsi" w:cstheme="minorHAnsi"/>
                <w:sz w:val="18"/>
                <w:szCs w:val="18"/>
              </w:rPr>
              <w:t>EpiBaza</w:t>
            </w:r>
            <w:proofErr w:type="spellEnd"/>
            <w:r w:rsidRPr="00FB6614">
              <w:rPr>
                <w:rFonts w:asciiTheme="minorHAnsi" w:hAnsiTheme="minorHAnsi" w:cstheme="minorHAnsi"/>
                <w:sz w:val="18"/>
                <w:szCs w:val="18"/>
              </w:rPr>
              <w:t>.</w:t>
            </w:r>
          </w:p>
          <w:p w14:paraId="5C8A5F40" w14:textId="0B51801D" w:rsidR="00FB6614" w:rsidRPr="00FB6614" w:rsidRDefault="00FB6614" w:rsidP="00FB66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03" w:type="dxa"/>
            <w:gridSpan w:val="2"/>
          </w:tcPr>
          <w:p w14:paraId="6EB01D81" w14:textId="64EAAFD4" w:rsidR="00D57FFE" w:rsidRDefault="00A42C0B"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Wyjaśniono</w:t>
            </w:r>
            <w:r w:rsidR="00237C1B">
              <w:rPr>
                <w:rFonts w:asciiTheme="minorHAnsi" w:hAnsiTheme="minorHAnsi" w:cstheme="minorHAnsi"/>
                <w:b/>
                <w:bCs/>
                <w:sz w:val="18"/>
                <w:szCs w:val="18"/>
              </w:rPr>
              <w:t xml:space="preserve">: </w:t>
            </w:r>
          </w:p>
          <w:p w14:paraId="4FF44856" w14:textId="47F3D538" w:rsidR="00D57FFE" w:rsidRDefault="00D57FFE"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Dodano przepis przejściowy</w:t>
            </w:r>
          </w:p>
          <w:p w14:paraId="06B971E2" w14:textId="46C78117" w:rsidR="00C40517" w:rsidRPr="00237C1B" w:rsidRDefault="00C40517"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B1317F">
              <w:rPr>
                <w:rFonts w:asciiTheme="minorHAnsi" w:hAnsiTheme="minorHAnsi" w:cstheme="minorHAnsi"/>
                <w:sz w:val="18"/>
                <w:szCs w:val="18"/>
              </w:rPr>
              <w:t>Zgodnie z ustaleniami, dostęp do danych z re</w:t>
            </w:r>
            <w:r w:rsidR="00B1317F" w:rsidRPr="00B1317F">
              <w:rPr>
                <w:rFonts w:asciiTheme="minorHAnsi" w:hAnsiTheme="minorHAnsi" w:cstheme="minorHAnsi"/>
                <w:sz w:val="18"/>
                <w:szCs w:val="18"/>
              </w:rPr>
              <w:t>jestru chorób zakaźnych</w:t>
            </w:r>
            <w:r w:rsidR="00B1317F">
              <w:rPr>
                <w:rFonts w:asciiTheme="minorHAnsi" w:hAnsiTheme="minorHAnsi" w:cstheme="minorHAnsi"/>
                <w:sz w:val="18"/>
                <w:szCs w:val="18"/>
              </w:rPr>
              <w:t xml:space="preserve"> dla SG w drodze teletransmisji danych</w:t>
            </w:r>
            <w:r w:rsidR="00B1317F" w:rsidRPr="00B1317F">
              <w:rPr>
                <w:rFonts w:asciiTheme="minorHAnsi" w:hAnsiTheme="minorHAnsi" w:cstheme="minorHAnsi"/>
                <w:sz w:val="18"/>
                <w:szCs w:val="18"/>
              </w:rPr>
              <w:t xml:space="preserve"> został uregulowany w ustawie z dnia 5 grudnia 2008 r. o zapobieganiu oraz zwalczaniu zakażeń i chorób zakaźnych u ludzi (uwaga Ministra Zdrowia). </w:t>
            </w:r>
            <w:r w:rsidR="00B1317F">
              <w:rPr>
                <w:rFonts w:asciiTheme="minorHAnsi" w:hAnsiTheme="minorHAnsi" w:cstheme="minorHAnsi"/>
                <w:sz w:val="18"/>
                <w:szCs w:val="18"/>
              </w:rPr>
              <w:t>Tym samym, dane te nie będą zasilały Krajowego Rejestru Cudzoziemców.</w:t>
            </w:r>
          </w:p>
          <w:p w14:paraId="64F0760C" w14:textId="77777777" w:rsidR="003E43A2" w:rsidRDefault="003E43A2"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231D32A" w14:textId="43A27B91" w:rsidR="009D1724" w:rsidRPr="00237C1B" w:rsidRDefault="009D1724"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4B6B373A" w14:textId="77777777" w:rsidR="00050B92" w:rsidRPr="00237C1B" w:rsidRDefault="00050B9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5E3D8265" w14:textId="3F8616A1" w:rsidR="009D1724" w:rsidRDefault="009D1724"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374FA9C" w14:textId="447001B3" w:rsidR="006D4552" w:rsidRPr="009D1724" w:rsidRDefault="006D455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 xml:space="preserve">Tym samym koszty wskazane przez </w:t>
            </w:r>
            <w:r w:rsidRPr="00FB6614">
              <w:rPr>
                <w:rFonts w:asciiTheme="minorHAnsi" w:hAnsiTheme="minorHAnsi" w:cstheme="minorHAnsi"/>
                <w:color w:val="000000" w:themeColor="text1"/>
                <w:sz w:val="18"/>
                <w:szCs w:val="18"/>
              </w:rPr>
              <w:t>NIZP PZH - PIB</w:t>
            </w:r>
            <w:r>
              <w:rPr>
                <w:rFonts w:asciiTheme="minorHAnsi" w:hAnsiTheme="minorHAnsi" w:cstheme="minorHAnsi"/>
                <w:sz w:val="18"/>
                <w:szCs w:val="18"/>
              </w:rPr>
              <w:t xml:space="preserve"> w załączniku 1, nie znajdują uzasadnienia aby umieścić je w limitach zwiększających budżet.</w:t>
            </w:r>
          </w:p>
        </w:tc>
        <w:tc>
          <w:tcPr>
            <w:tcW w:w="3482" w:type="dxa"/>
            <w:gridSpan w:val="2"/>
          </w:tcPr>
          <w:p w14:paraId="5867DAEB" w14:textId="14B8F93E" w:rsidR="00C936AE" w:rsidRPr="00800265" w:rsidRDefault="00C936AE" w:rsidP="00C936A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00265">
              <w:rPr>
                <w:rFonts w:asciiTheme="minorHAnsi" w:hAnsiTheme="minorHAnsi" w:cstheme="minorHAnsi"/>
                <w:color w:val="000000" w:themeColor="text1"/>
                <w:sz w:val="18"/>
                <w:szCs w:val="18"/>
              </w:rPr>
              <w:t xml:space="preserve">„Art. </w:t>
            </w:r>
            <w:r w:rsidR="004C30D9">
              <w:rPr>
                <w:rFonts w:asciiTheme="minorHAnsi" w:hAnsiTheme="minorHAnsi" w:cstheme="minorHAnsi"/>
                <w:color w:val="000000" w:themeColor="text1"/>
                <w:sz w:val="18"/>
                <w:szCs w:val="18"/>
              </w:rPr>
              <w:t>61</w:t>
            </w:r>
            <w:r w:rsidRPr="00800265">
              <w:rPr>
                <w:rFonts w:asciiTheme="minorHAnsi" w:hAnsiTheme="minorHAnsi" w:cstheme="minorHAnsi"/>
                <w:color w:val="000000" w:themeColor="text1"/>
                <w:sz w:val="18"/>
                <w:szCs w:val="18"/>
              </w:rPr>
              <w:t xml:space="preserve"> Do czasu zapewnienia rozwiązań technicznych i organizacyjnych umożliwiających udostępnianie właściwym organom Straży Granicznej, w drodze teletransmisji, danych zgromadzonych w rejestrze chorób zakaźnych, o którym mowa w art. 30 ust. 4c ustawy zmienianej w art. 45, w brzmieniu nadanym niniejszą ustawą:</w:t>
            </w:r>
          </w:p>
          <w:p w14:paraId="234650A0" w14:textId="78EFAD15" w:rsidR="00C936AE" w:rsidRPr="00800265" w:rsidRDefault="00C936AE" w:rsidP="00C936A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00265">
              <w:rPr>
                <w:rFonts w:asciiTheme="minorHAnsi" w:hAnsiTheme="minorHAnsi" w:cstheme="minorHAnsi"/>
                <w:color w:val="000000" w:themeColor="text1"/>
                <w:sz w:val="18"/>
                <w:szCs w:val="18"/>
              </w:rPr>
              <w:t>1)</w:t>
            </w:r>
            <w:r w:rsidRPr="00800265">
              <w:rPr>
                <w:rFonts w:asciiTheme="minorHAnsi" w:hAnsiTheme="minorHAnsi" w:cstheme="minorHAnsi"/>
                <w:color w:val="000000" w:themeColor="text1"/>
                <w:sz w:val="18"/>
                <w:szCs w:val="18"/>
              </w:rPr>
              <w:tab/>
              <w:t xml:space="preserve">Komendant Główny Straży Granicznej, przeprowadzając konsultacje krajowe, zwraca się jednocześnie do organu, o którym mowa w art. 10 ust. 1 pkt 15, </w:t>
            </w:r>
          </w:p>
          <w:p w14:paraId="5B8FC923" w14:textId="1DD003B4" w:rsidR="00C936AE" w:rsidRPr="00800265" w:rsidRDefault="00C936AE" w:rsidP="00C936A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800265">
              <w:rPr>
                <w:rFonts w:asciiTheme="minorHAnsi" w:hAnsiTheme="minorHAnsi" w:cstheme="minorHAnsi"/>
                <w:color w:val="000000" w:themeColor="text1"/>
                <w:sz w:val="18"/>
                <w:szCs w:val="18"/>
              </w:rPr>
              <w:t>2)</w:t>
            </w:r>
            <w:r w:rsidRPr="00800265">
              <w:rPr>
                <w:rFonts w:asciiTheme="minorHAnsi" w:hAnsiTheme="minorHAnsi" w:cstheme="minorHAnsi"/>
                <w:color w:val="000000" w:themeColor="text1"/>
                <w:sz w:val="18"/>
                <w:szCs w:val="18"/>
              </w:rPr>
              <w:tab/>
              <w:t>komendant placówki Straży Granicznej, występując o przedstawienie opinii, o której mowa w art. 30a ust. 1 ustawy zmienianej w art. 45, zwraca się jednocześnie do Wspólnego Punktu Kontaktowego</w:t>
            </w:r>
          </w:p>
          <w:p w14:paraId="79BEFCC6" w14:textId="36243AB4" w:rsidR="001C084E" w:rsidRPr="00C95DE9" w:rsidRDefault="00C936AE" w:rsidP="001C084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18"/>
                <w:szCs w:val="18"/>
              </w:rPr>
            </w:pPr>
            <w:r w:rsidRPr="00800265">
              <w:rPr>
                <w:rFonts w:asciiTheme="minorHAnsi" w:hAnsiTheme="minorHAnsi" w:cstheme="minorHAnsi"/>
                <w:color w:val="000000" w:themeColor="text1"/>
                <w:sz w:val="18"/>
                <w:szCs w:val="18"/>
              </w:rPr>
              <w:t>- o dokonanie sprawdzenia w tym rejestrze.”</w:t>
            </w:r>
          </w:p>
        </w:tc>
      </w:tr>
      <w:tr w:rsidR="0083764A" w:rsidRPr="009B2533" w14:paraId="46BCBD79"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2467FA57" w14:textId="77777777" w:rsidR="003E43A2" w:rsidRPr="009B2533" w:rsidRDefault="003E43A2" w:rsidP="003E43A2">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43FBA483" w14:textId="1F72791E"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27E30551" w14:textId="76F7C379" w:rsidR="003E43A2" w:rsidRDefault="003E43A2" w:rsidP="003E43A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OSR</w:t>
            </w:r>
          </w:p>
        </w:tc>
        <w:tc>
          <w:tcPr>
            <w:tcW w:w="1136" w:type="dxa"/>
          </w:tcPr>
          <w:p w14:paraId="4B4FB217" w14:textId="113D5D8E" w:rsidR="003E43A2" w:rsidRPr="000C702C"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NIZP PZH - PIB</w:t>
            </w:r>
          </w:p>
        </w:tc>
        <w:tc>
          <w:tcPr>
            <w:tcW w:w="4535" w:type="dxa"/>
          </w:tcPr>
          <w:p w14:paraId="5588478C"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Brak oszacowania skutków finansowych na wszystkie lata wdrażania ustawy po stronie NIZP PZH – PIB</w:t>
            </w:r>
          </w:p>
          <w:p w14:paraId="3B34721A"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EA159E0"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t>Uzasadnienie:</w:t>
            </w:r>
          </w:p>
          <w:p w14:paraId="0ED0AB55"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38C965B8" w14:textId="77777777" w:rsidR="003E43A2" w:rsidRPr="00FB6614"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 xml:space="preserve">Projekt ustawy nakłada na NIZP PZH – PIB nowe obowiązki o charakterze technicznym i organizacyjnym, obejmujące m.in. analizę, dostosowanie i integrację systemu </w:t>
            </w:r>
            <w:proofErr w:type="spellStart"/>
            <w:r w:rsidRPr="00FB6614">
              <w:rPr>
                <w:rFonts w:asciiTheme="minorHAnsi" w:hAnsiTheme="minorHAnsi" w:cstheme="minorHAnsi"/>
                <w:sz w:val="18"/>
                <w:szCs w:val="18"/>
              </w:rPr>
              <w:t>EpiBaza</w:t>
            </w:r>
            <w:proofErr w:type="spellEnd"/>
            <w:r w:rsidRPr="00FB6614">
              <w:rPr>
                <w:rFonts w:asciiTheme="minorHAnsi" w:hAnsiTheme="minorHAnsi" w:cstheme="minorHAnsi"/>
                <w:sz w:val="18"/>
                <w:szCs w:val="18"/>
              </w:rPr>
              <w:t xml:space="preserve"> (Rejestru Chorób Zakaźnych) z Krajowym Rejestrem Cudzoziemców, a następnie jego utrzymanie i ewentualny rozwój.</w:t>
            </w:r>
          </w:p>
          <w:p w14:paraId="215028D9" w14:textId="77777777" w:rsidR="003E43A2" w:rsidRPr="00FB6614"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A96363B" w14:textId="4C19417B"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 xml:space="preserve">W OSR szczegółowo wskazano skutki finansowe dla szeregu podmiotów (m.in. Straży Granicznej, Szefa </w:t>
            </w:r>
            <w:proofErr w:type="spellStart"/>
            <w:r w:rsidRPr="00FB6614">
              <w:rPr>
                <w:rFonts w:asciiTheme="minorHAnsi" w:hAnsiTheme="minorHAnsi" w:cstheme="minorHAnsi"/>
                <w:sz w:val="18"/>
                <w:szCs w:val="18"/>
              </w:rPr>
              <w:t>UdSC</w:t>
            </w:r>
            <w:proofErr w:type="spellEnd"/>
            <w:r w:rsidRPr="00FB6614">
              <w:rPr>
                <w:rFonts w:asciiTheme="minorHAnsi" w:hAnsiTheme="minorHAnsi" w:cstheme="minorHAnsi"/>
                <w:sz w:val="18"/>
                <w:szCs w:val="18"/>
              </w:rPr>
              <w:t>, MSWiA, UODO, ZUS), natomiast nie uwzględniono analogicznych kosztów po stronie NIZP PZH – PIB, mimo że zakres obowiązków ma charakter porównywalny do innych systemów źródłowych.</w:t>
            </w:r>
          </w:p>
          <w:p w14:paraId="7FF1EC0A"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9CAE513" w14:textId="7EF92C19"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t>Propozycja:</w:t>
            </w:r>
          </w:p>
          <w:p w14:paraId="381DADA6" w14:textId="659B88CD"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1ADC15F6" w14:textId="414DEC23" w:rsidR="003E43A2" w:rsidRPr="00FB6614"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Uzupełnienie OSR o skutki finansowe po stronie NIZP PZH – PIB, wynikające z dostosowania i utrzymania systemu teleinformatycznego Rejestru Chorób Zakaźnych.</w:t>
            </w:r>
          </w:p>
          <w:p w14:paraId="4B700900" w14:textId="5FAB4D8C" w:rsidR="003E43A2" w:rsidRPr="00FB6614"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tc>
        <w:tc>
          <w:tcPr>
            <w:tcW w:w="3403" w:type="dxa"/>
            <w:gridSpan w:val="2"/>
          </w:tcPr>
          <w:p w14:paraId="001A1E47" w14:textId="77777777" w:rsidR="00A42C0B" w:rsidRDefault="00A42C0B" w:rsidP="00A42C0B">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Wyjaśniono:</w:t>
            </w:r>
          </w:p>
          <w:p w14:paraId="6930A1A8" w14:textId="0219ECEB" w:rsidR="003E43A2" w:rsidRPr="00237C1B" w:rsidRDefault="00237C1B"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 xml:space="preserve">Komentarz: </w:t>
            </w:r>
            <w:r w:rsidR="003E43A2" w:rsidRPr="00B1317F">
              <w:rPr>
                <w:rFonts w:asciiTheme="minorHAnsi" w:hAnsiTheme="minorHAnsi" w:cstheme="minorHAnsi"/>
                <w:sz w:val="18"/>
                <w:szCs w:val="18"/>
              </w:rPr>
              <w:t>Zgodnie z ustaleniami, dostęp do danych z rejestru chorób zakaźnych</w:t>
            </w:r>
            <w:r w:rsidR="003E43A2">
              <w:rPr>
                <w:rFonts w:asciiTheme="minorHAnsi" w:hAnsiTheme="minorHAnsi" w:cstheme="minorHAnsi"/>
                <w:sz w:val="18"/>
                <w:szCs w:val="18"/>
              </w:rPr>
              <w:t xml:space="preserve"> dla SG w drodze teletransmisji danych</w:t>
            </w:r>
            <w:r w:rsidR="003E43A2" w:rsidRPr="00B1317F">
              <w:rPr>
                <w:rFonts w:asciiTheme="minorHAnsi" w:hAnsiTheme="minorHAnsi" w:cstheme="minorHAnsi"/>
                <w:sz w:val="18"/>
                <w:szCs w:val="18"/>
              </w:rPr>
              <w:t xml:space="preserve"> został uregulowany w ustawie z dnia 5 grudnia 2008 r. o zapobieganiu oraz zwalczaniu zakażeń i chorób zakaźnych u ludzi (uwaga Ministra Zdrowia). </w:t>
            </w:r>
            <w:r w:rsidR="003E43A2">
              <w:rPr>
                <w:rFonts w:asciiTheme="minorHAnsi" w:hAnsiTheme="minorHAnsi" w:cstheme="minorHAnsi"/>
                <w:sz w:val="18"/>
                <w:szCs w:val="18"/>
              </w:rPr>
              <w:t>Tym samym, dane te nie będą zasilały Krajowego Rejestru Cudzoziemców.</w:t>
            </w:r>
          </w:p>
          <w:p w14:paraId="09B6958F"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4E6756C" w14:textId="77777777" w:rsidR="004155E1" w:rsidRDefault="004155E1"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2B156E90" w14:textId="77777777" w:rsidR="00301C18" w:rsidRDefault="00301C18"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24162D61" w14:textId="2140C9B3" w:rsidR="00301C18" w:rsidRPr="009D1724" w:rsidRDefault="0093611D"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sz w:val="18"/>
                <w:szCs w:val="18"/>
              </w:rPr>
              <w:t xml:space="preserve">Tym samym koszty wskazane przez </w:t>
            </w:r>
            <w:r w:rsidRPr="00FB6614">
              <w:rPr>
                <w:rFonts w:asciiTheme="minorHAnsi" w:hAnsiTheme="minorHAnsi" w:cstheme="minorHAnsi"/>
                <w:color w:val="000000" w:themeColor="text1"/>
                <w:sz w:val="18"/>
                <w:szCs w:val="18"/>
              </w:rPr>
              <w:t>NIZP PZH - PIB</w:t>
            </w:r>
            <w:r>
              <w:rPr>
                <w:rFonts w:asciiTheme="minorHAnsi" w:hAnsiTheme="minorHAnsi" w:cstheme="minorHAnsi"/>
                <w:sz w:val="18"/>
                <w:szCs w:val="18"/>
              </w:rPr>
              <w:t xml:space="preserve"> w załączniku 1, nie znajdują uzasadnienia aby umieścić je w limitach zwiększający</w:t>
            </w:r>
            <w:r w:rsidR="00A25F0C">
              <w:rPr>
                <w:rFonts w:asciiTheme="minorHAnsi" w:hAnsiTheme="minorHAnsi" w:cstheme="minorHAnsi"/>
                <w:sz w:val="18"/>
                <w:szCs w:val="18"/>
              </w:rPr>
              <w:t>ch</w:t>
            </w:r>
            <w:r>
              <w:rPr>
                <w:rFonts w:asciiTheme="minorHAnsi" w:hAnsiTheme="minorHAnsi" w:cstheme="minorHAnsi"/>
                <w:sz w:val="18"/>
                <w:szCs w:val="18"/>
              </w:rPr>
              <w:t xml:space="preserve"> budżet.</w:t>
            </w:r>
          </w:p>
        </w:tc>
        <w:tc>
          <w:tcPr>
            <w:tcW w:w="3482" w:type="dxa"/>
            <w:gridSpan w:val="2"/>
          </w:tcPr>
          <w:p w14:paraId="01D796B1" w14:textId="77777777" w:rsidR="003E43A2" w:rsidRPr="009B2533"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83764A" w:rsidRPr="009B2533" w14:paraId="0633595B"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11C36380" w14:textId="77777777" w:rsidR="003E43A2" w:rsidRPr="009B2533" w:rsidRDefault="003E43A2" w:rsidP="003E43A2">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0FCCE8DD" w14:textId="77777777"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430E2513" w14:textId="35A9D373" w:rsidR="003E43A2" w:rsidRDefault="003E43A2" w:rsidP="003E43A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OSR</w:t>
            </w:r>
          </w:p>
        </w:tc>
        <w:tc>
          <w:tcPr>
            <w:tcW w:w="1136" w:type="dxa"/>
          </w:tcPr>
          <w:p w14:paraId="10B12BFD" w14:textId="10EC135E" w:rsidR="003E43A2" w:rsidRPr="000C702C"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sidRPr="00FB6614">
              <w:rPr>
                <w:rFonts w:asciiTheme="minorHAnsi" w:hAnsiTheme="minorHAnsi" w:cstheme="minorHAnsi"/>
                <w:color w:val="000000" w:themeColor="text1"/>
                <w:sz w:val="18"/>
                <w:szCs w:val="18"/>
              </w:rPr>
              <w:t>NIZP PZH - PIB</w:t>
            </w:r>
          </w:p>
        </w:tc>
        <w:tc>
          <w:tcPr>
            <w:tcW w:w="4535" w:type="dxa"/>
          </w:tcPr>
          <w:p w14:paraId="43100901" w14:textId="071D0799"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Propozycja ujęcia kosztów w horyzoncie 10-letnim</w:t>
            </w:r>
          </w:p>
          <w:p w14:paraId="7FB91EA4" w14:textId="77777777"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0F29CEAC" w14:textId="7BD98444"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t>Uzasadnienie:</w:t>
            </w:r>
          </w:p>
          <w:p w14:paraId="62B42D4C" w14:textId="353A9B8B"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246E02A8" w14:textId="78127A37"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Prace dostosowawcze będą miały charakter wieloetapowy i rozłożony w czasie, analogicznie do innych integracji systemowych przewidzianych w projekcie. Konieczne jest wskazanie kosztów zarówno wdrożeniowych, jak i utrzymaniowych.</w:t>
            </w:r>
          </w:p>
          <w:p w14:paraId="77E794E6" w14:textId="0A4844C1"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118243B5" w14:textId="131C5120" w:rsidR="003E43A2" w:rsidRPr="00FB6614"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sidRPr="00FB6614">
              <w:rPr>
                <w:rFonts w:asciiTheme="minorHAnsi" w:hAnsiTheme="minorHAnsi" w:cstheme="minorHAnsi"/>
                <w:b/>
                <w:bCs/>
                <w:sz w:val="18"/>
                <w:szCs w:val="18"/>
              </w:rPr>
              <w:t>Propozycja:</w:t>
            </w:r>
          </w:p>
          <w:p w14:paraId="5FDE83AB" w14:textId="38AA919F"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Ujęcie w OSR następujących szacunkowych kosztów po stronie NIZP PZH – PIB (ceny stałe z 2025 r.):</w:t>
            </w:r>
          </w:p>
          <w:p w14:paraId="02A158A8" w14:textId="02D2DAFC"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6E27A0A1" w14:textId="2FE34DEC"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Symulacja kosztów – NIZP PZH – PIB (mln zł)</w:t>
            </w:r>
          </w:p>
          <w:p w14:paraId="27ACCAC1" w14:textId="77777777" w:rsidR="003E43A2" w:rsidRDefault="003E43A2" w:rsidP="003E43A2">
            <w:pPr>
              <w:cnfStyle w:val="000000100000" w:firstRow="0" w:lastRow="0" w:firstColumn="0" w:lastColumn="0" w:oddVBand="0" w:evenVBand="0" w:oddHBand="1" w:evenHBand="0" w:firstRowFirstColumn="0" w:firstRowLastColumn="0" w:lastRowFirstColumn="0" w:lastRowLastColumn="0"/>
            </w:pPr>
          </w:p>
          <w:tbl>
            <w:tblPr>
              <w:tblStyle w:val="Tabela-Siatka"/>
              <w:tblW w:w="4967" w:type="dxa"/>
              <w:tblLayout w:type="fixed"/>
              <w:tblLook w:val="04A0" w:firstRow="1" w:lastRow="0" w:firstColumn="1" w:lastColumn="0" w:noHBand="0" w:noVBand="1"/>
            </w:tblPr>
            <w:tblGrid>
              <w:gridCol w:w="874"/>
              <w:gridCol w:w="2835"/>
              <w:gridCol w:w="1258"/>
            </w:tblGrid>
            <w:tr w:rsidR="003E43A2" w:rsidRPr="0071061B" w14:paraId="3FC1FC66" w14:textId="77777777" w:rsidTr="0071061B">
              <w:tc>
                <w:tcPr>
                  <w:tcW w:w="874" w:type="dxa"/>
                </w:tcPr>
                <w:p w14:paraId="2AEB0DBB" w14:textId="77777777" w:rsidR="003E43A2" w:rsidRPr="0071061B" w:rsidRDefault="003E43A2" w:rsidP="003E43A2">
                  <w:pPr>
                    <w:rPr>
                      <w:b/>
                      <w:bCs/>
                      <w:sz w:val="16"/>
                      <w:szCs w:val="16"/>
                    </w:rPr>
                  </w:pPr>
                  <w:r w:rsidRPr="0071061B">
                    <w:rPr>
                      <w:b/>
                      <w:bCs/>
                      <w:sz w:val="16"/>
                      <w:szCs w:val="16"/>
                    </w:rPr>
                    <w:t>Rok</w:t>
                  </w:r>
                </w:p>
              </w:tc>
              <w:tc>
                <w:tcPr>
                  <w:tcW w:w="2835" w:type="dxa"/>
                </w:tcPr>
                <w:p w14:paraId="167A7A94" w14:textId="77777777" w:rsidR="003E43A2" w:rsidRPr="0071061B" w:rsidRDefault="003E43A2" w:rsidP="003E43A2">
                  <w:pPr>
                    <w:rPr>
                      <w:b/>
                      <w:bCs/>
                      <w:sz w:val="16"/>
                      <w:szCs w:val="16"/>
                    </w:rPr>
                  </w:pPr>
                  <w:r w:rsidRPr="0071061B">
                    <w:rPr>
                      <w:b/>
                      <w:bCs/>
                      <w:sz w:val="16"/>
                      <w:szCs w:val="16"/>
                    </w:rPr>
                    <w:t>Zakres</w:t>
                  </w:r>
                </w:p>
              </w:tc>
              <w:tc>
                <w:tcPr>
                  <w:tcW w:w="1258" w:type="dxa"/>
                </w:tcPr>
                <w:p w14:paraId="73BD49B8" w14:textId="77777777" w:rsidR="003E43A2" w:rsidRPr="0071061B" w:rsidRDefault="003E43A2" w:rsidP="003E43A2">
                  <w:pPr>
                    <w:rPr>
                      <w:b/>
                      <w:bCs/>
                      <w:sz w:val="16"/>
                      <w:szCs w:val="16"/>
                    </w:rPr>
                  </w:pPr>
                  <w:r w:rsidRPr="0071061B">
                    <w:rPr>
                      <w:b/>
                      <w:bCs/>
                      <w:sz w:val="16"/>
                      <w:szCs w:val="16"/>
                    </w:rPr>
                    <w:t>Koszt</w:t>
                  </w:r>
                </w:p>
              </w:tc>
            </w:tr>
            <w:tr w:rsidR="003E43A2" w:rsidRPr="0071061B" w14:paraId="65B8F5BD" w14:textId="77777777" w:rsidTr="0071061B">
              <w:tc>
                <w:tcPr>
                  <w:tcW w:w="874" w:type="dxa"/>
                </w:tcPr>
                <w:p w14:paraId="0FFCA5E8" w14:textId="77777777" w:rsidR="003E43A2" w:rsidRPr="0071061B" w:rsidRDefault="003E43A2" w:rsidP="003E43A2">
                  <w:pPr>
                    <w:rPr>
                      <w:sz w:val="16"/>
                      <w:szCs w:val="16"/>
                    </w:rPr>
                  </w:pPr>
                  <w:r w:rsidRPr="0071061B">
                    <w:rPr>
                      <w:sz w:val="16"/>
                      <w:szCs w:val="16"/>
                    </w:rPr>
                    <w:t>2025</w:t>
                  </w:r>
                </w:p>
              </w:tc>
              <w:tc>
                <w:tcPr>
                  <w:tcW w:w="2835" w:type="dxa"/>
                </w:tcPr>
                <w:p w14:paraId="6A756861" w14:textId="77777777" w:rsidR="003E43A2" w:rsidRPr="0071061B" w:rsidRDefault="003E43A2" w:rsidP="003E43A2">
                  <w:pPr>
                    <w:rPr>
                      <w:sz w:val="16"/>
                      <w:szCs w:val="16"/>
                    </w:rPr>
                  </w:pPr>
                  <w:r w:rsidRPr="0071061B">
                    <w:rPr>
                      <w:sz w:val="16"/>
                      <w:szCs w:val="16"/>
                    </w:rPr>
                    <w:t>brak kosztów</w:t>
                  </w:r>
                </w:p>
              </w:tc>
              <w:tc>
                <w:tcPr>
                  <w:tcW w:w="1258" w:type="dxa"/>
                </w:tcPr>
                <w:p w14:paraId="35324CCC" w14:textId="77777777" w:rsidR="003E43A2" w:rsidRPr="0071061B" w:rsidRDefault="003E43A2" w:rsidP="003E43A2">
                  <w:pPr>
                    <w:rPr>
                      <w:sz w:val="16"/>
                      <w:szCs w:val="16"/>
                    </w:rPr>
                  </w:pPr>
                  <w:r w:rsidRPr="0071061B">
                    <w:rPr>
                      <w:sz w:val="16"/>
                      <w:szCs w:val="16"/>
                    </w:rPr>
                    <w:t>0,000</w:t>
                  </w:r>
                </w:p>
              </w:tc>
            </w:tr>
            <w:tr w:rsidR="003E43A2" w:rsidRPr="0071061B" w14:paraId="13CA226C" w14:textId="77777777" w:rsidTr="0071061B">
              <w:tc>
                <w:tcPr>
                  <w:tcW w:w="874" w:type="dxa"/>
                </w:tcPr>
                <w:p w14:paraId="03B84661" w14:textId="77777777" w:rsidR="003E43A2" w:rsidRPr="0071061B" w:rsidRDefault="003E43A2" w:rsidP="003E43A2">
                  <w:pPr>
                    <w:rPr>
                      <w:sz w:val="16"/>
                      <w:szCs w:val="16"/>
                    </w:rPr>
                  </w:pPr>
                  <w:r w:rsidRPr="0071061B">
                    <w:rPr>
                      <w:sz w:val="16"/>
                      <w:szCs w:val="16"/>
                    </w:rPr>
                    <w:t>2026</w:t>
                  </w:r>
                </w:p>
              </w:tc>
              <w:tc>
                <w:tcPr>
                  <w:tcW w:w="2835" w:type="dxa"/>
                </w:tcPr>
                <w:p w14:paraId="4F70AE3C" w14:textId="77777777" w:rsidR="003E43A2" w:rsidRPr="0071061B" w:rsidRDefault="003E43A2" w:rsidP="003E43A2">
                  <w:pPr>
                    <w:rPr>
                      <w:sz w:val="16"/>
                      <w:szCs w:val="16"/>
                    </w:rPr>
                  </w:pPr>
                  <w:r w:rsidRPr="0071061B">
                    <w:rPr>
                      <w:sz w:val="16"/>
                      <w:szCs w:val="16"/>
                    </w:rPr>
                    <w:t xml:space="preserve">analizy, projekt techniczny, rozpoczęcie przebudowy systemu </w:t>
                  </w:r>
                  <w:proofErr w:type="spellStart"/>
                  <w:r w:rsidRPr="0071061B">
                    <w:rPr>
                      <w:sz w:val="16"/>
                      <w:szCs w:val="16"/>
                    </w:rPr>
                    <w:t>EpiBaza</w:t>
                  </w:r>
                  <w:proofErr w:type="spellEnd"/>
                </w:p>
              </w:tc>
              <w:tc>
                <w:tcPr>
                  <w:tcW w:w="1258" w:type="dxa"/>
                </w:tcPr>
                <w:p w14:paraId="30D91A13" w14:textId="77777777" w:rsidR="003E43A2" w:rsidRPr="0071061B" w:rsidRDefault="003E43A2" w:rsidP="003E43A2">
                  <w:pPr>
                    <w:rPr>
                      <w:sz w:val="16"/>
                      <w:szCs w:val="16"/>
                    </w:rPr>
                  </w:pPr>
                  <w:r w:rsidRPr="0071061B">
                    <w:rPr>
                      <w:sz w:val="16"/>
                      <w:szCs w:val="16"/>
                    </w:rPr>
                    <w:t>0,120</w:t>
                  </w:r>
                </w:p>
              </w:tc>
            </w:tr>
            <w:tr w:rsidR="003E43A2" w:rsidRPr="0071061B" w14:paraId="166AAB61" w14:textId="77777777" w:rsidTr="0071061B">
              <w:tc>
                <w:tcPr>
                  <w:tcW w:w="874" w:type="dxa"/>
                </w:tcPr>
                <w:p w14:paraId="4C9742B4" w14:textId="77777777" w:rsidR="003E43A2" w:rsidRPr="0071061B" w:rsidRDefault="003E43A2" w:rsidP="003E43A2">
                  <w:pPr>
                    <w:rPr>
                      <w:sz w:val="16"/>
                      <w:szCs w:val="16"/>
                    </w:rPr>
                  </w:pPr>
                  <w:r w:rsidRPr="0071061B">
                    <w:rPr>
                      <w:sz w:val="16"/>
                      <w:szCs w:val="16"/>
                    </w:rPr>
                    <w:t>2027</w:t>
                  </w:r>
                </w:p>
              </w:tc>
              <w:tc>
                <w:tcPr>
                  <w:tcW w:w="2835" w:type="dxa"/>
                </w:tcPr>
                <w:p w14:paraId="61E6D971" w14:textId="77777777" w:rsidR="003E43A2" w:rsidRPr="0071061B" w:rsidRDefault="003E43A2" w:rsidP="003E43A2">
                  <w:pPr>
                    <w:rPr>
                      <w:sz w:val="16"/>
                      <w:szCs w:val="16"/>
                    </w:rPr>
                  </w:pPr>
                  <w:r w:rsidRPr="0071061B">
                    <w:rPr>
                      <w:sz w:val="16"/>
                      <w:szCs w:val="16"/>
                    </w:rPr>
                    <w:t>zasadnicze dostosowanie systemu, integracje, testy</w:t>
                  </w:r>
                </w:p>
              </w:tc>
              <w:tc>
                <w:tcPr>
                  <w:tcW w:w="1258" w:type="dxa"/>
                </w:tcPr>
                <w:p w14:paraId="7030AD06" w14:textId="77777777" w:rsidR="003E43A2" w:rsidRPr="0071061B" w:rsidRDefault="003E43A2" w:rsidP="003E43A2">
                  <w:pPr>
                    <w:rPr>
                      <w:sz w:val="16"/>
                      <w:szCs w:val="16"/>
                    </w:rPr>
                  </w:pPr>
                  <w:r w:rsidRPr="0071061B">
                    <w:rPr>
                      <w:sz w:val="16"/>
                      <w:szCs w:val="16"/>
                    </w:rPr>
                    <w:t>0,180</w:t>
                  </w:r>
                </w:p>
              </w:tc>
            </w:tr>
            <w:tr w:rsidR="003E43A2" w:rsidRPr="0071061B" w14:paraId="43FA5C42" w14:textId="77777777" w:rsidTr="0071061B">
              <w:tc>
                <w:tcPr>
                  <w:tcW w:w="874" w:type="dxa"/>
                </w:tcPr>
                <w:p w14:paraId="153D66CE" w14:textId="77777777" w:rsidR="003E43A2" w:rsidRPr="0071061B" w:rsidRDefault="003E43A2" w:rsidP="003E43A2">
                  <w:pPr>
                    <w:rPr>
                      <w:sz w:val="16"/>
                      <w:szCs w:val="16"/>
                    </w:rPr>
                  </w:pPr>
                  <w:r w:rsidRPr="0071061B">
                    <w:rPr>
                      <w:sz w:val="16"/>
                      <w:szCs w:val="16"/>
                    </w:rPr>
                    <w:t>2028</w:t>
                  </w:r>
                </w:p>
              </w:tc>
              <w:tc>
                <w:tcPr>
                  <w:tcW w:w="2835" w:type="dxa"/>
                </w:tcPr>
                <w:p w14:paraId="6F9DBA02" w14:textId="77777777" w:rsidR="003E43A2" w:rsidRPr="0071061B" w:rsidRDefault="003E43A2" w:rsidP="003E43A2">
                  <w:pPr>
                    <w:rPr>
                      <w:sz w:val="16"/>
                      <w:szCs w:val="16"/>
                    </w:rPr>
                  </w:pPr>
                  <w:r w:rsidRPr="0071061B">
                    <w:rPr>
                      <w:sz w:val="16"/>
                      <w:szCs w:val="16"/>
                    </w:rPr>
                    <w:t>wdrożenie produkcyjne, stabilizacja</w:t>
                  </w:r>
                </w:p>
              </w:tc>
              <w:tc>
                <w:tcPr>
                  <w:tcW w:w="1258" w:type="dxa"/>
                </w:tcPr>
                <w:p w14:paraId="10F5E261" w14:textId="77777777" w:rsidR="003E43A2" w:rsidRPr="0071061B" w:rsidRDefault="003E43A2" w:rsidP="003E43A2">
                  <w:pPr>
                    <w:rPr>
                      <w:sz w:val="16"/>
                      <w:szCs w:val="16"/>
                    </w:rPr>
                  </w:pPr>
                  <w:r w:rsidRPr="0071061B">
                    <w:rPr>
                      <w:sz w:val="16"/>
                      <w:szCs w:val="16"/>
                    </w:rPr>
                    <w:t>0,100</w:t>
                  </w:r>
                </w:p>
              </w:tc>
            </w:tr>
            <w:tr w:rsidR="003E43A2" w:rsidRPr="0071061B" w14:paraId="1D79DC47" w14:textId="77777777" w:rsidTr="0071061B">
              <w:tc>
                <w:tcPr>
                  <w:tcW w:w="874" w:type="dxa"/>
                </w:tcPr>
                <w:p w14:paraId="76B23294" w14:textId="77777777" w:rsidR="003E43A2" w:rsidRPr="0071061B" w:rsidRDefault="003E43A2" w:rsidP="003E43A2">
                  <w:pPr>
                    <w:rPr>
                      <w:sz w:val="16"/>
                      <w:szCs w:val="16"/>
                    </w:rPr>
                  </w:pPr>
                  <w:r w:rsidRPr="0071061B">
                    <w:rPr>
                      <w:sz w:val="16"/>
                      <w:szCs w:val="16"/>
                    </w:rPr>
                    <w:t>2029</w:t>
                  </w:r>
                </w:p>
              </w:tc>
              <w:tc>
                <w:tcPr>
                  <w:tcW w:w="2835" w:type="dxa"/>
                </w:tcPr>
                <w:p w14:paraId="2D4B5978" w14:textId="77777777" w:rsidR="003E43A2" w:rsidRPr="0071061B" w:rsidRDefault="003E43A2" w:rsidP="003E43A2">
                  <w:pPr>
                    <w:rPr>
                      <w:sz w:val="16"/>
                      <w:szCs w:val="16"/>
                    </w:rPr>
                  </w:pPr>
                  <w:r w:rsidRPr="0071061B">
                    <w:rPr>
                      <w:sz w:val="16"/>
                      <w:szCs w:val="16"/>
                    </w:rPr>
                    <w:t xml:space="preserve">utrzymanie i drobne modyfikacje </w:t>
                  </w:r>
                </w:p>
              </w:tc>
              <w:tc>
                <w:tcPr>
                  <w:tcW w:w="1258" w:type="dxa"/>
                </w:tcPr>
                <w:p w14:paraId="3EB41441" w14:textId="77777777" w:rsidR="003E43A2" w:rsidRPr="0071061B" w:rsidRDefault="003E43A2" w:rsidP="003E43A2">
                  <w:pPr>
                    <w:rPr>
                      <w:sz w:val="16"/>
                      <w:szCs w:val="16"/>
                    </w:rPr>
                  </w:pPr>
                  <w:r w:rsidRPr="0071061B">
                    <w:rPr>
                      <w:sz w:val="16"/>
                      <w:szCs w:val="16"/>
                    </w:rPr>
                    <w:t>0,025</w:t>
                  </w:r>
                </w:p>
              </w:tc>
            </w:tr>
            <w:tr w:rsidR="003E43A2" w:rsidRPr="0071061B" w14:paraId="09856577" w14:textId="77777777" w:rsidTr="0071061B">
              <w:tc>
                <w:tcPr>
                  <w:tcW w:w="874" w:type="dxa"/>
                </w:tcPr>
                <w:p w14:paraId="67046163" w14:textId="77777777" w:rsidR="003E43A2" w:rsidRPr="0071061B" w:rsidRDefault="003E43A2" w:rsidP="003E43A2">
                  <w:pPr>
                    <w:rPr>
                      <w:sz w:val="16"/>
                      <w:szCs w:val="16"/>
                    </w:rPr>
                  </w:pPr>
                  <w:r w:rsidRPr="0071061B">
                    <w:rPr>
                      <w:sz w:val="16"/>
                      <w:szCs w:val="16"/>
                    </w:rPr>
                    <w:t>2030</w:t>
                  </w:r>
                </w:p>
              </w:tc>
              <w:tc>
                <w:tcPr>
                  <w:tcW w:w="2835" w:type="dxa"/>
                </w:tcPr>
                <w:p w14:paraId="2E190BC0" w14:textId="77777777" w:rsidR="003E43A2" w:rsidRPr="0071061B" w:rsidRDefault="003E43A2" w:rsidP="003E43A2">
                  <w:pPr>
                    <w:rPr>
                      <w:sz w:val="16"/>
                      <w:szCs w:val="16"/>
                    </w:rPr>
                  </w:pPr>
                  <w:r w:rsidRPr="0071061B">
                    <w:rPr>
                      <w:sz w:val="16"/>
                      <w:szCs w:val="16"/>
                    </w:rPr>
                    <w:t xml:space="preserve">utrzymanie </w:t>
                  </w:r>
                </w:p>
              </w:tc>
              <w:tc>
                <w:tcPr>
                  <w:tcW w:w="1258" w:type="dxa"/>
                </w:tcPr>
                <w:p w14:paraId="11E49719" w14:textId="77777777" w:rsidR="003E43A2" w:rsidRPr="0071061B" w:rsidRDefault="003E43A2" w:rsidP="003E43A2">
                  <w:pPr>
                    <w:rPr>
                      <w:sz w:val="16"/>
                      <w:szCs w:val="16"/>
                    </w:rPr>
                  </w:pPr>
                  <w:r w:rsidRPr="0071061B">
                    <w:rPr>
                      <w:sz w:val="16"/>
                      <w:szCs w:val="16"/>
                    </w:rPr>
                    <w:t>0,025</w:t>
                  </w:r>
                </w:p>
              </w:tc>
            </w:tr>
            <w:tr w:rsidR="003E43A2" w:rsidRPr="0071061B" w14:paraId="2C298828" w14:textId="77777777" w:rsidTr="0071061B">
              <w:tc>
                <w:tcPr>
                  <w:tcW w:w="874" w:type="dxa"/>
                </w:tcPr>
                <w:p w14:paraId="5D922F5D" w14:textId="77777777" w:rsidR="003E43A2" w:rsidRPr="0071061B" w:rsidRDefault="003E43A2" w:rsidP="003E43A2">
                  <w:pPr>
                    <w:rPr>
                      <w:sz w:val="16"/>
                      <w:szCs w:val="16"/>
                    </w:rPr>
                  </w:pPr>
                  <w:r w:rsidRPr="0071061B">
                    <w:rPr>
                      <w:sz w:val="16"/>
                      <w:szCs w:val="16"/>
                    </w:rPr>
                    <w:t>2031</w:t>
                  </w:r>
                </w:p>
              </w:tc>
              <w:tc>
                <w:tcPr>
                  <w:tcW w:w="2835" w:type="dxa"/>
                </w:tcPr>
                <w:p w14:paraId="4C2FF846" w14:textId="77777777" w:rsidR="003E43A2" w:rsidRPr="0071061B" w:rsidRDefault="003E43A2" w:rsidP="003E43A2">
                  <w:pPr>
                    <w:rPr>
                      <w:sz w:val="16"/>
                      <w:szCs w:val="16"/>
                    </w:rPr>
                  </w:pPr>
                  <w:r w:rsidRPr="0071061B">
                    <w:rPr>
                      <w:sz w:val="16"/>
                      <w:szCs w:val="16"/>
                    </w:rPr>
                    <w:t>utrzymanie i zmiany wynikające z interoperacyjności</w:t>
                  </w:r>
                </w:p>
              </w:tc>
              <w:tc>
                <w:tcPr>
                  <w:tcW w:w="1258" w:type="dxa"/>
                </w:tcPr>
                <w:p w14:paraId="67546813" w14:textId="77777777" w:rsidR="003E43A2" w:rsidRPr="0071061B" w:rsidRDefault="003E43A2" w:rsidP="003E43A2">
                  <w:pPr>
                    <w:rPr>
                      <w:sz w:val="16"/>
                      <w:szCs w:val="16"/>
                    </w:rPr>
                  </w:pPr>
                  <w:r w:rsidRPr="0071061B">
                    <w:rPr>
                      <w:sz w:val="16"/>
                      <w:szCs w:val="16"/>
                    </w:rPr>
                    <w:t>0,030</w:t>
                  </w:r>
                </w:p>
              </w:tc>
            </w:tr>
            <w:tr w:rsidR="003E43A2" w:rsidRPr="0071061B" w14:paraId="07CA8CDE" w14:textId="77777777" w:rsidTr="0071061B">
              <w:tc>
                <w:tcPr>
                  <w:tcW w:w="874" w:type="dxa"/>
                </w:tcPr>
                <w:p w14:paraId="5059258C" w14:textId="77777777" w:rsidR="003E43A2" w:rsidRPr="0071061B" w:rsidRDefault="003E43A2" w:rsidP="003E43A2">
                  <w:pPr>
                    <w:rPr>
                      <w:sz w:val="16"/>
                      <w:szCs w:val="16"/>
                    </w:rPr>
                  </w:pPr>
                  <w:r w:rsidRPr="0071061B">
                    <w:rPr>
                      <w:sz w:val="16"/>
                      <w:szCs w:val="16"/>
                    </w:rPr>
                    <w:t>2032</w:t>
                  </w:r>
                </w:p>
              </w:tc>
              <w:tc>
                <w:tcPr>
                  <w:tcW w:w="2835" w:type="dxa"/>
                </w:tcPr>
                <w:p w14:paraId="07023C7C" w14:textId="77777777" w:rsidR="003E43A2" w:rsidRPr="0071061B" w:rsidRDefault="003E43A2" w:rsidP="003E43A2">
                  <w:pPr>
                    <w:rPr>
                      <w:sz w:val="16"/>
                      <w:szCs w:val="16"/>
                    </w:rPr>
                  </w:pPr>
                  <w:r w:rsidRPr="0071061B">
                    <w:rPr>
                      <w:sz w:val="16"/>
                      <w:szCs w:val="16"/>
                    </w:rPr>
                    <w:t>utrzymanie</w:t>
                  </w:r>
                </w:p>
              </w:tc>
              <w:tc>
                <w:tcPr>
                  <w:tcW w:w="1258" w:type="dxa"/>
                </w:tcPr>
                <w:p w14:paraId="7BD7259A" w14:textId="77777777" w:rsidR="003E43A2" w:rsidRPr="0071061B" w:rsidRDefault="003E43A2" w:rsidP="003E43A2">
                  <w:pPr>
                    <w:rPr>
                      <w:sz w:val="16"/>
                      <w:szCs w:val="16"/>
                    </w:rPr>
                  </w:pPr>
                  <w:r w:rsidRPr="0071061B">
                    <w:rPr>
                      <w:sz w:val="16"/>
                      <w:szCs w:val="16"/>
                    </w:rPr>
                    <w:t>0,025</w:t>
                  </w:r>
                </w:p>
              </w:tc>
            </w:tr>
            <w:tr w:rsidR="003E43A2" w:rsidRPr="0071061B" w14:paraId="714C9FBF" w14:textId="77777777" w:rsidTr="0071061B">
              <w:tc>
                <w:tcPr>
                  <w:tcW w:w="874" w:type="dxa"/>
                </w:tcPr>
                <w:p w14:paraId="008AE74F" w14:textId="77777777" w:rsidR="003E43A2" w:rsidRPr="0071061B" w:rsidRDefault="003E43A2" w:rsidP="003E43A2">
                  <w:pPr>
                    <w:rPr>
                      <w:sz w:val="16"/>
                      <w:szCs w:val="16"/>
                    </w:rPr>
                  </w:pPr>
                  <w:r w:rsidRPr="0071061B">
                    <w:rPr>
                      <w:sz w:val="16"/>
                      <w:szCs w:val="16"/>
                    </w:rPr>
                    <w:t>2033</w:t>
                  </w:r>
                </w:p>
              </w:tc>
              <w:tc>
                <w:tcPr>
                  <w:tcW w:w="2835" w:type="dxa"/>
                </w:tcPr>
                <w:p w14:paraId="6BD88030" w14:textId="77777777" w:rsidR="003E43A2" w:rsidRPr="0071061B" w:rsidRDefault="003E43A2" w:rsidP="003E43A2">
                  <w:pPr>
                    <w:rPr>
                      <w:sz w:val="16"/>
                      <w:szCs w:val="16"/>
                    </w:rPr>
                  </w:pPr>
                  <w:r w:rsidRPr="0071061B">
                    <w:rPr>
                      <w:sz w:val="16"/>
                      <w:szCs w:val="16"/>
                    </w:rPr>
                    <w:t xml:space="preserve">utrzymanie </w:t>
                  </w:r>
                </w:p>
              </w:tc>
              <w:tc>
                <w:tcPr>
                  <w:tcW w:w="1258" w:type="dxa"/>
                </w:tcPr>
                <w:p w14:paraId="6BBA9E02" w14:textId="77777777" w:rsidR="003E43A2" w:rsidRPr="0071061B" w:rsidRDefault="003E43A2" w:rsidP="003E43A2">
                  <w:pPr>
                    <w:rPr>
                      <w:sz w:val="16"/>
                      <w:szCs w:val="16"/>
                    </w:rPr>
                  </w:pPr>
                  <w:r w:rsidRPr="0071061B">
                    <w:rPr>
                      <w:sz w:val="16"/>
                      <w:szCs w:val="16"/>
                    </w:rPr>
                    <w:t>0,025</w:t>
                  </w:r>
                </w:p>
              </w:tc>
            </w:tr>
            <w:tr w:rsidR="003E43A2" w:rsidRPr="0071061B" w14:paraId="716B80A1" w14:textId="77777777" w:rsidTr="0071061B">
              <w:tc>
                <w:tcPr>
                  <w:tcW w:w="874" w:type="dxa"/>
                </w:tcPr>
                <w:p w14:paraId="23994751" w14:textId="77777777" w:rsidR="003E43A2" w:rsidRPr="0071061B" w:rsidRDefault="003E43A2" w:rsidP="003E43A2">
                  <w:pPr>
                    <w:rPr>
                      <w:sz w:val="16"/>
                      <w:szCs w:val="16"/>
                    </w:rPr>
                  </w:pPr>
                  <w:r w:rsidRPr="0071061B">
                    <w:rPr>
                      <w:sz w:val="16"/>
                      <w:szCs w:val="16"/>
                    </w:rPr>
                    <w:t>2034</w:t>
                  </w:r>
                </w:p>
              </w:tc>
              <w:tc>
                <w:tcPr>
                  <w:tcW w:w="2835" w:type="dxa"/>
                </w:tcPr>
                <w:p w14:paraId="4A51BBAD" w14:textId="77777777" w:rsidR="003E43A2" w:rsidRPr="0071061B" w:rsidRDefault="003E43A2" w:rsidP="003E43A2">
                  <w:pPr>
                    <w:rPr>
                      <w:sz w:val="16"/>
                      <w:szCs w:val="16"/>
                    </w:rPr>
                  </w:pPr>
                  <w:r w:rsidRPr="0071061B">
                    <w:rPr>
                      <w:sz w:val="16"/>
                      <w:szCs w:val="16"/>
                    </w:rPr>
                    <w:t>utrzymanie/ rozwój</w:t>
                  </w:r>
                </w:p>
              </w:tc>
              <w:tc>
                <w:tcPr>
                  <w:tcW w:w="1258" w:type="dxa"/>
                </w:tcPr>
                <w:p w14:paraId="3C99C01A" w14:textId="77777777" w:rsidR="003E43A2" w:rsidRPr="0071061B" w:rsidRDefault="003E43A2" w:rsidP="003E43A2">
                  <w:pPr>
                    <w:rPr>
                      <w:sz w:val="16"/>
                      <w:szCs w:val="16"/>
                    </w:rPr>
                  </w:pPr>
                  <w:r w:rsidRPr="0071061B">
                    <w:rPr>
                      <w:sz w:val="16"/>
                      <w:szCs w:val="16"/>
                    </w:rPr>
                    <w:t>0,020</w:t>
                  </w:r>
                </w:p>
              </w:tc>
            </w:tr>
            <w:tr w:rsidR="003E43A2" w:rsidRPr="0071061B" w14:paraId="563CBCF0" w14:textId="77777777" w:rsidTr="0071061B">
              <w:tc>
                <w:tcPr>
                  <w:tcW w:w="874" w:type="dxa"/>
                </w:tcPr>
                <w:p w14:paraId="4432A2DD" w14:textId="77777777" w:rsidR="003E43A2" w:rsidRPr="0071061B" w:rsidRDefault="003E43A2" w:rsidP="003E43A2">
                  <w:pPr>
                    <w:rPr>
                      <w:b/>
                      <w:bCs/>
                      <w:sz w:val="16"/>
                      <w:szCs w:val="16"/>
                    </w:rPr>
                  </w:pPr>
                  <w:r w:rsidRPr="0071061B">
                    <w:rPr>
                      <w:b/>
                      <w:bCs/>
                      <w:sz w:val="16"/>
                      <w:szCs w:val="16"/>
                    </w:rPr>
                    <w:t>Łącznie</w:t>
                  </w:r>
                </w:p>
              </w:tc>
              <w:tc>
                <w:tcPr>
                  <w:tcW w:w="2835" w:type="dxa"/>
                </w:tcPr>
                <w:p w14:paraId="659ED438" w14:textId="77777777" w:rsidR="003E43A2" w:rsidRPr="0071061B" w:rsidRDefault="003E43A2" w:rsidP="003E43A2">
                  <w:pPr>
                    <w:rPr>
                      <w:sz w:val="16"/>
                      <w:szCs w:val="16"/>
                    </w:rPr>
                  </w:pPr>
                </w:p>
              </w:tc>
              <w:tc>
                <w:tcPr>
                  <w:tcW w:w="1258" w:type="dxa"/>
                </w:tcPr>
                <w:p w14:paraId="194063AE" w14:textId="77777777" w:rsidR="003E43A2" w:rsidRPr="0071061B" w:rsidRDefault="003E43A2" w:rsidP="003E43A2">
                  <w:pPr>
                    <w:rPr>
                      <w:b/>
                      <w:bCs/>
                      <w:sz w:val="16"/>
                      <w:szCs w:val="16"/>
                    </w:rPr>
                  </w:pPr>
                  <w:r w:rsidRPr="0071061B">
                    <w:rPr>
                      <w:b/>
                      <w:bCs/>
                      <w:sz w:val="16"/>
                      <w:szCs w:val="16"/>
                    </w:rPr>
                    <w:t>0,550</w:t>
                  </w:r>
                </w:p>
              </w:tc>
            </w:tr>
          </w:tbl>
          <w:p w14:paraId="73291BE6" w14:textId="77777777" w:rsidR="003E43A2" w:rsidRDefault="003E43A2" w:rsidP="003E43A2">
            <w:pPr>
              <w:cnfStyle w:val="000000100000" w:firstRow="0" w:lastRow="0" w:firstColumn="0" w:lastColumn="0" w:oddVBand="0" w:evenVBand="0" w:oddHBand="1" w:evenHBand="0" w:firstRowFirstColumn="0" w:firstRowLastColumn="0" w:lastRowFirstColumn="0" w:lastRowLastColumn="0"/>
            </w:pPr>
          </w:p>
          <w:p w14:paraId="77F13377" w14:textId="4060E283" w:rsidR="003E43A2" w:rsidRPr="004610F0"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c>
          <w:tcPr>
            <w:tcW w:w="3403" w:type="dxa"/>
            <w:gridSpan w:val="2"/>
          </w:tcPr>
          <w:p w14:paraId="09F271F6" w14:textId="77777777" w:rsidR="00A42C0B" w:rsidRDefault="00A42C0B" w:rsidP="00A42C0B">
            <w:pPr>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Wyjaśniono:</w:t>
            </w:r>
          </w:p>
          <w:p w14:paraId="22D6CABF" w14:textId="06C15575" w:rsidR="003E43A2" w:rsidRPr="00237C1B" w:rsidRDefault="00237C1B"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 xml:space="preserve">Komentarz: </w:t>
            </w:r>
            <w:r w:rsidR="003E43A2" w:rsidRPr="00B1317F">
              <w:rPr>
                <w:rFonts w:asciiTheme="minorHAnsi" w:hAnsiTheme="minorHAnsi" w:cstheme="minorHAnsi"/>
                <w:sz w:val="18"/>
                <w:szCs w:val="18"/>
              </w:rPr>
              <w:t>Zgodnie z ustaleniami, dostęp do danych z rejestru chorób zakaźnych</w:t>
            </w:r>
            <w:r w:rsidR="003E43A2">
              <w:rPr>
                <w:rFonts w:asciiTheme="minorHAnsi" w:hAnsiTheme="minorHAnsi" w:cstheme="minorHAnsi"/>
                <w:sz w:val="18"/>
                <w:szCs w:val="18"/>
              </w:rPr>
              <w:t xml:space="preserve"> dla SG w drodze teletransmisji danych</w:t>
            </w:r>
            <w:r w:rsidR="003E43A2" w:rsidRPr="00B1317F">
              <w:rPr>
                <w:rFonts w:asciiTheme="minorHAnsi" w:hAnsiTheme="minorHAnsi" w:cstheme="minorHAnsi"/>
                <w:sz w:val="18"/>
                <w:szCs w:val="18"/>
              </w:rPr>
              <w:t xml:space="preserve"> został uregulowany w ustawie z dnia 5 grudnia 2008 r. o zapobieganiu oraz zwalczaniu zakażeń i chorób zakaźnych u ludzi (uwaga Ministra Zdrowia). </w:t>
            </w:r>
            <w:r w:rsidR="003E43A2">
              <w:rPr>
                <w:rFonts w:asciiTheme="minorHAnsi" w:hAnsiTheme="minorHAnsi" w:cstheme="minorHAnsi"/>
                <w:sz w:val="18"/>
                <w:szCs w:val="18"/>
              </w:rPr>
              <w:t>Tym samym, dane te nie będą zasilały Krajowego Rejestru Cudzoziemców.</w:t>
            </w:r>
          </w:p>
          <w:p w14:paraId="252CD7DB" w14:textId="77777777"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2978B409" w14:textId="77777777" w:rsidR="004155E1" w:rsidRDefault="004155E1"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p>
          <w:p w14:paraId="21775541" w14:textId="3233C671" w:rsidR="009D1724" w:rsidRDefault="009D1724"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47152352" w14:textId="77777777" w:rsidR="00301C18" w:rsidRDefault="00301C18"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p w14:paraId="7B506306" w14:textId="35606640" w:rsidR="00301C18" w:rsidRPr="009D1724" w:rsidRDefault="0093611D" w:rsidP="0093611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 xml:space="preserve">Tym samym koszty wskazane przez </w:t>
            </w:r>
            <w:r w:rsidRPr="00FB6614">
              <w:rPr>
                <w:rFonts w:asciiTheme="minorHAnsi" w:hAnsiTheme="minorHAnsi" w:cstheme="minorHAnsi"/>
                <w:color w:val="000000" w:themeColor="text1"/>
                <w:sz w:val="18"/>
                <w:szCs w:val="18"/>
              </w:rPr>
              <w:t>NIZP PZH - PIB</w:t>
            </w:r>
            <w:r>
              <w:rPr>
                <w:rFonts w:asciiTheme="minorHAnsi" w:hAnsiTheme="minorHAnsi" w:cstheme="minorHAnsi"/>
                <w:sz w:val="18"/>
                <w:szCs w:val="18"/>
              </w:rPr>
              <w:t xml:space="preserve"> w załączniku 1, nie znajdują uzasadnienia aby umieścić je w limitach zwiększający</w:t>
            </w:r>
            <w:r w:rsidR="00A25F0C">
              <w:rPr>
                <w:rFonts w:asciiTheme="minorHAnsi" w:hAnsiTheme="minorHAnsi" w:cstheme="minorHAnsi"/>
                <w:sz w:val="18"/>
                <w:szCs w:val="18"/>
              </w:rPr>
              <w:t>ch</w:t>
            </w:r>
            <w:r>
              <w:rPr>
                <w:rFonts w:asciiTheme="minorHAnsi" w:hAnsiTheme="minorHAnsi" w:cstheme="minorHAnsi"/>
                <w:sz w:val="18"/>
                <w:szCs w:val="18"/>
              </w:rPr>
              <w:t xml:space="preserve"> budżet.</w:t>
            </w:r>
          </w:p>
        </w:tc>
        <w:tc>
          <w:tcPr>
            <w:tcW w:w="3482" w:type="dxa"/>
            <w:gridSpan w:val="2"/>
          </w:tcPr>
          <w:p w14:paraId="55F3D4B0" w14:textId="77777777" w:rsidR="003E43A2" w:rsidRPr="009B2533"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83764A" w:rsidRPr="009B2533" w14:paraId="0ECE4867"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71841F15" w14:textId="77777777" w:rsidR="003E43A2" w:rsidRPr="009B2533" w:rsidRDefault="003E43A2" w:rsidP="003E43A2">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74A955F2"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1F5325B8" w14:textId="1BEAE15D" w:rsidR="003E43A2" w:rsidRDefault="003E43A2" w:rsidP="003E43A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r>
              <w:rPr>
                <w:rFonts w:asciiTheme="minorHAnsi" w:hAnsiTheme="minorHAnsi" w:cstheme="minorHAnsi"/>
                <w:bCs/>
                <w:sz w:val="18"/>
                <w:szCs w:val="18"/>
              </w:rPr>
              <w:t>OSR</w:t>
            </w:r>
          </w:p>
        </w:tc>
        <w:tc>
          <w:tcPr>
            <w:tcW w:w="1136" w:type="dxa"/>
          </w:tcPr>
          <w:p w14:paraId="53DAC09C" w14:textId="00C22A61" w:rsidR="003E43A2" w:rsidRPr="000C702C"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FB6614">
              <w:rPr>
                <w:rFonts w:asciiTheme="minorHAnsi" w:hAnsiTheme="minorHAnsi" w:cstheme="minorHAnsi"/>
                <w:color w:val="000000" w:themeColor="text1"/>
                <w:sz w:val="18"/>
                <w:szCs w:val="18"/>
              </w:rPr>
              <w:t>NIZP PZH - PIB</w:t>
            </w:r>
          </w:p>
        </w:tc>
        <w:tc>
          <w:tcPr>
            <w:tcW w:w="4535" w:type="dxa"/>
          </w:tcPr>
          <w:p w14:paraId="7D509134"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B6614">
              <w:rPr>
                <w:rFonts w:asciiTheme="minorHAnsi" w:hAnsiTheme="minorHAnsi" w:cstheme="minorHAnsi"/>
                <w:sz w:val="18"/>
                <w:szCs w:val="18"/>
              </w:rPr>
              <w:t>Źródło finansowania</w:t>
            </w:r>
          </w:p>
          <w:p w14:paraId="163740A8"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651471A"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B05813">
              <w:rPr>
                <w:rFonts w:asciiTheme="minorHAnsi" w:hAnsiTheme="minorHAnsi" w:cstheme="minorHAnsi"/>
                <w:b/>
                <w:bCs/>
                <w:sz w:val="18"/>
                <w:szCs w:val="18"/>
              </w:rPr>
              <w:t>Uzasadnienie:</w:t>
            </w:r>
          </w:p>
          <w:p w14:paraId="57D4FCF7"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3C9C452C"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05813">
              <w:rPr>
                <w:rFonts w:asciiTheme="minorHAnsi" w:hAnsiTheme="minorHAnsi" w:cstheme="minorHAnsi"/>
                <w:sz w:val="18"/>
                <w:szCs w:val="18"/>
              </w:rPr>
              <w:t>Środki finansowe na realizację powyższych zadań systemowych nie zostały uwzględnione w planie finansowym NIZP PZH – PIB na rok 2026.</w:t>
            </w:r>
          </w:p>
          <w:p w14:paraId="43555975"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807D6BD"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B05813">
              <w:rPr>
                <w:rFonts w:asciiTheme="minorHAnsi" w:hAnsiTheme="minorHAnsi" w:cstheme="minorHAnsi"/>
                <w:b/>
                <w:bCs/>
                <w:sz w:val="18"/>
                <w:szCs w:val="18"/>
              </w:rPr>
              <w:t>Propozycja:</w:t>
            </w:r>
          </w:p>
          <w:p w14:paraId="74357F87"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0A1C066E" w14:textId="39939803" w:rsidR="003E43A2" w:rsidRPr="00B05813"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B05813">
              <w:rPr>
                <w:rFonts w:asciiTheme="minorHAnsi" w:hAnsiTheme="minorHAnsi" w:cstheme="minorHAnsi"/>
                <w:sz w:val="18"/>
                <w:szCs w:val="18"/>
              </w:rPr>
              <w:t xml:space="preserve">Wskazanie w OSR konieczności zapewnienia dodatkowego finansowania ze środków budżetu państwa na realizację zadań związanych z dostosowaniem i utrzymaniem systemu </w:t>
            </w:r>
            <w:proofErr w:type="spellStart"/>
            <w:r w:rsidRPr="00B05813">
              <w:rPr>
                <w:rFonts w:asciiTheme="minorHAnsi" w:hAnsiTheme="minorHAnsi" w:cstheme="minorHAnsi"/>
                <w:sz w:val="18"/>
                <w:szCs w:val="18"/>
              </w:rPr>
              <w:t>EpiBaza</w:t>
            </w:r>
            <w:proofErr w:type="spellEnd"/>
            <w:r w:rsidRPr="00B05813">
              <w:rPr>
                <w:rFonts w:asciiTheme="minorHAnsi" w:hAnsiTheme="minorHAnsi" w:cstheme="minorHAnsi"/>
                <w:sz w:val="18"/>
                <w:szCs w:val="18"/>
              </w:rPr>
              <w:t>.</w:t>
            </w:r>
          </w:p>
        </w:tc>
        <w:tc>
          <w:tcPr>
            <w:tcW w:w="3403" w:type="dxa"/>
            <w:gridSpan w:val="2"/>
          </w:tcPr>
          <w:p w14:paraId="16C8E89E" w14:textId="77777777" w:rsidR="00A42C0B" w:rsidRDefault="00A42C0B" w:rsidP="00A42C0B">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Wyjaśniono:</w:t>
            </w:r>
          </w:p>
          <w:p w14:paraId="6DB1C000" w14:textId="6DA3FF1F" w:rsidR="003E43A2" w:rsidRPr="00237C1B" w:rsidRDefault="00237C1B"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 xml:space="preserve">Komentarz: </w:t>
            </w:r>
            <w:r w:rsidR="003E43A2" w:rsidRPr="00B1317F">
              <w:rPr>
                <w:rFonts w:asciiTheme="minorHAnsi" w:hAnsiTheme="minorHAnsi" w:cstheme="minorHAnsi"/>
                <w:sz w:val="18"/>
                <w:szCs w:val="18"/>
              </w:rPr>
              <w:t>Zgodnie z ustaleniami, dostęp do danych z rejestru chorób zakaźnych</w:t>
            </w:r>
            <w:r w:rsidR="003E43A2">
              <w:rPr>
                <w:rFonts w:asciiTheme="minorHAnsi" w:hAnsiTheme="minorHAnsi" w:cstheme="minorHAnsi"/>
                <w:sz w:val="18"/>
                <w:szCs w:val="18"/>
              </w:rPr>
              <w:t xml:space="preserve"> dla SG w drodze teletransmisji danych</w:t>
            </w:r>
            <w:r w:rsidR="003E43A2" w:rsidRPr="00B1317F">
              <w:rPr>
                <w:rFonts w:asciiTheme="minorHAnsi" w:hAnsiTheme="minorHAnsi" w:cstheme="minorHAnsi"/>
                <w:sz w:val="18"/>
                <w:szCs w:val="18"/>
              </w:rPr>
              <w:t xml:space="preserve"> został uregulowany w ustawie z dnia 5 grudnia 2008 r. o zapobieganiu oraz zwalczaniu zakażeń i chorób zakaźnych u ludzi (uwaga Ministra Zdrowia). </w:t>
            </w:r>
            <w:r w:rsidR="003E43A2">
              <w:rPr>
                <w:rFonts w:asciiTheme="minorHAnsi" w:hAnsiTheme="minorHAnsi" w:cstheme="minorHAnsi"/>
                <w:sz w:val="18"/>
                <w:szCs w:val="18"/>
              </w:rPr>
              <w:t>Tym samym, dane te nie będą zasilały Krajowego Rejestru Cudzoziemców.</w:t>
            </w:r>
          </w:p>
          <w:p w14:paraId="571FA261"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880FA68" w14:textId="77777777" w:rsidR="00347347" w:rsidRDefault="00347347"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p>
          <w:p w14:paraId="65E9B4A4" w14:textId="3D8825E2" w:rsidR="009D1724" w:rsidRDefault="009D1724"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02F50B2" w14:textId="6A117B76" w:rsidR="00301C18" w:rsidRPr="009D1724" w:rsidRDefault="0093611D"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trike/>
                <w:sz w:val="18"/>
                <w:szCs w:val="18"/>
              </w:rPr>
            </w:pPr>
            <w:r>
              <w:rPr>
                <w:rFonts w:asciiTheme="minorHAnsi" w:hAnsiTheme="minorHAnsi" w:cstheme="minorHAnsi"/>
                <w:sz w:val="18"/>
                <w:szCs w:val="18"/>
              </w:rPr>
              <w:t xml:space="preserve">Tym samym koszty wskazane przez </w:t>
            </w:r>
            <w:r w:rsidRPr="00FB6614">
              <w:rPr>
                <w:rFonts w:asciiTheme="minorHAnsi" w:hAnsiTheme="minorHAnsi" w:cstheme="minorHAnsi"/>
                <w:color w:val="000000" w:themeColor="text1"/>
                <w:sz w:val="18"/>
                <w:szCs w:val="18"/>
              </w:rPr>
              <w:t>NIZP PZH - PIB</w:t>
            </w:r>
            <w:r>
              <w:rPr>
                <w:rFonts w:asciiTheme="minorHAnsi" w:hAnsiTheme="minorHAnsi" w:cstheme="minorHAnsi"/>
                <w:sz w:val="18"/>
                <w:szCs w:val="18"/>
              </w:rPr>
              <w:t xml:space="preserve"> w załączniku 1, nie znajdują uzasadnienia aby umieścić je w limitach zwiększający</w:t>
            </w:r>
            <w:r w:rsidR="00A25F0C">
              <w:rPr>
                <w:rFonts w:asciiTheme="minorHAnsi" w:hAnsiTheme="minorHAnsi" w:cstheme="minorHAnsi"/>
                <w:sz w:val="18"/>
                <w:szCs w:val="18"/>
              </w:rPr>
              <w:t>ch</w:t>
            </w:r>
            <w:r>
              <w:rPr>
                <w:rFonts w:asciiTheme="minorHAnsi" w:hAnsiTheme="minorHAnsi" w:cstheme="minorHAnsi"/>
                <w:sz w:val="18"/>
                <w:szCs w:val="18"/>
              </w:rPr>
              <w:t xml:space="preserve"> budżet.</w:t>
            </w:r>
          </w:p>
        </w:tc>
        <w:tc>
          <w:tcPr>
            <w:tcW w:w="3482" w:type="dxa"/>
            <w:gridSpan w:val="2"/>
          </w:tcPr>
          <w:p w14:paraId="6237B958" w14:textId="77777777" w:rsidR="003E43A2" w:rsidRPr="009B2533"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83764A" w:rsidRPr="009B2533" w14:paraId="582BB299" w14:textId="77777777" w:rsidTr="008C4785">
        <w:trPr>
          <w:gridAfter w:val="1"/>
          <w:cnfStyle w:val="000000100000" w:firstRow="0" w:lastRow="0" w:firstColumn="0" w:lastColumn="0" w:oddVBand="0" w:evenVBand="0" w:oddHBand="1" w:evenHBand="0" w:firstRowFirstColumn="0" w:firstRowLastColumn="0" w:lastRowFirstColumn="0" w:lastRowLastColumn="0"/>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1ABC4C52" w14:textId="77777777" w:rsidR="003E43A2" w:rsidRPr="009B2533" w:rsidRDefault="003E43A2" w:rsidP="003E43A2">
            <w:pPr>
              <w:pStyle w:val="Akapitzlist"/>
              <w:numPr>
                <w:ilvl w:val="0"/>
                <w:numId w:val="3"/>
              </w:numPr>
              <w:ind w:left="313"/>
              <w:jc w:val="both"/>
              <w:rPr>
                <w:rFonts w:asciiTheme="minorHAnsi" w:hAnsiTheme="minorHAnsi" w:cstheme="minorHAnsi"/>
                <w:bCs w:val="0"/>
                <w:vanish/>
                <w:sz w:val="18"/>
                <w:szCs w:val="18"/>
              </w:rPr>
            </w:pPr>
          </w:p>
        </w:tc>
        <w:tc>
          <w:tcPr>
            <w:tcW w:w="774" w:type="dxa"/>
          </w:tcPr>
          <w:p w14:paraId="44C8A268" w14:textId="77777777" w:rsidR="003E43A2" w:rsidRDefault="003E43A2" w:rsidP="003E43A2">
            <w:pPr>
              <w:jc w:val="both"/>
              <w:cnfStyle w:val="000000100000" w:firstRow="0" w:lastRow="0" w:firstColumn="0" w:lastColumn="0" w:oddVBand="0" w:evenVBand="0" w:oddHBand="1"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600B4798" w14:textId="05D59AE1" w:rsidR="003E43A2" w:rsidRDefault="003E43A2" w:rsidP="003E43A2">
            <w:pPr>
              <w:tabs>
                <w:tab w:val="left" w:pos="898"/>
              </w:tabs>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p>
        </w:tc>
        <w:tc>
          <w:tcPr>
            <w:tcW w:w="1136" w:type="dxa"/>
          </w:tcPr>
          <w:p w14:paraId="2BC68DED" w14:textId="1E0FE824" w:rsidR="003E43A2" w:rsidRPr="000C702C" w:rsidRDefault="00895909"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 xml:space="preserve">Wojewoda Kujawsko – Pomorski </w:t>
            </w:r>
          </w:p>
        </w:tc>
        <w:tc>
          <w:tcPr>
            <w:tcW w:w="4535" w:type="dxa"/>
          </w:tcPr>
          <w:p w14:paraId="7B3F92AA" w14:textId="4E9D73D6" w:rsidR="003E43A2" w:rsidRPr="004610F0" w:rsidRDefault="00347347"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Z</w:t>
            </w:r>
            <w:r w:rsidR="00895909" w:rsidRPr="00895909">
              <w:rPr>
                <w:rFonts w:asciiTheme="minorHAnsi" w:hAnsiTheme="minorHAnsi" w:cstheme="minorHAnsi"/>
                <w:sz w:val="18"/>
                <w:szCs w:val="18"/>
              </w:rPr>
              <w:t xml:space="preserve">wracam się z uprzejmą prośbą o rozważenie zagwarantowania w ustawie środków na utworzenie dodatkowego etatu w celu realizacji zadań wynikających z wdrożenia systemu ETIAS również dla Wojewody Kujawsko-Pomorskiego. Obecne zasoby kadrowe w Wydziale Spraw Cudzoziemców w kontekście planowanych zmian systemowych oraz wzmożonym ruchem cudzoziemców, który obserwujemy od września 2025 r. są niewystarczające </w:t>
            </w:r>
            <w:r w:rsidR="00895909" w:rsidRPr="00895909">
              <w:rPr>
                <w:rFonts w:asciiTheme="minorHAnsi" w:hAnsiTheme="minorHAnsi" w:cstheme="minorHAnsi"/>
                <w:sz w:val="18"/>
                <w:szCs w:val="18"/>
              </w:rPr>
              <w:lastRenderedPageBreak/>
              <w:t>do sprawnej i terminowej realizacji nowych zadań. Szczegółowe wyliczenia kosztów wynikających z utworzenia nowego etatu przedstawiam w załączniku.</w:t>
            </w:r>
          </w:p>
        </w:tc>
        <w:tc>
          <w:tcPr>
            <w:tcW w:w="3403" w:type="dxa"/>
            <w:gridSpan w:val="2"/>
          </w:tcPr>
          <w:p w14:paraId="31D85E77" w14:textId="1157EC40" w:rsidR="003E43A2" w:rsidRDefault="00301C18" w:rsidP="000702F7">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lastRenderedPageBreak/>
              <w:t>Wyjaśniono:</w:t>
            </w:r>
          </w:p>
          <w:p w14:paraId="5C831B7F" w14:textId="79E13CFC" w:rsidR="00301C18" w:rsidRPr="00301C18" w:rsidRDefault="00301C18" w:rsidP="000702F7">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359D0">
              <w:rPr>
                <w:rFonts w:asciiTheme="minorHAnsi" w:hAnsiTheme="minorHAnsi" w:cstheme="minorHAnsi"/>
                <w:bCs/>
                <w:sz w:val="18"/>
                <w:szCs w:val="18"/>
              </w:rPr>
              <w:t>Zgodnie z informacjami otrzymanymi od MFIG</w:t>
            </w:r>
            <w:r w:rsidR="000702F7">
              <w:rPr>
                <w:rFonts w:asciiTheme="minorHAnsi" w:hAnsiTheme="minorHAnsi" w:cstheme="minorHAnsi"/>
                <w:bCs/>
                <w:sz w:val="18"/>
                <w:szCs w:val="18"/>
              </w:rPr>
              <w:t>,</w:t>
            </w:r>
            <w:r w:rsidRPr="003359D0">
              <w:rPr>
                <w:rFonts w:asciiTheme="minorHAnsi" w:hAnsiTheme="minorHAnsi" w:cstheme="minorHAnsi"/>
                <w:bCs/>
                <w:sz w:val="18"/>
                <w:szCs w:val="18"/>
              </w:rPr>
              <w:t xml:space="preserve"> </w:t>
            </w:r>
            <w:r>
              <w:rPr>
                <w:rFonts w:asciiTheme="minorHAnsi" w:hAnsiTheme="minorHAnsi" w:cstheme="minorHAnsi"/>
                <w:bCs/>
                <w:sz w:val="18"/>
                <w:szCs w:val="18"/>
              </w:rPr>
              <w:t>p</w:t>
            </w:r>
            <w:r w:rsidRPr="00301C18">
              <w:rPr>
                <w:rFonts w:asciiTheme="minorHAnsi" w:hAnsiTheme="minorHAnsi" w:cstheme="minorHAnsi"/>
                <w:bCs/>
                <w:sz w:val="18"/>
                <w:szCs w:val="18"/>
              </w:rPr>
              <w:t>rzedstawione w OSR informacje nie uzasadniają zwiększenia liczby etatów</w:t>
            </w:r>
          </w:p>
          <w:p w14:paraId="6141E4F1" w14:textId="2B221383" w:rsidR="000702F7" w:rsidRDefault="00301C18" w:rsidP="000702F7">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01C18">
              <w:rPr>
                <w:rFonts w:asciiTheme="minorHAnsi" w:hAnsiTheme="minorHAnsi" w:cstheme="minorHAnsi"/>
                <w:bCs/>
                <w:sz w:val="18"/>
                <w:szCs w:val="18"/>
              </w:rPr>
              <w:t>w urzędach wojewódzkich.</w:t>
            </w:r>
          </w:p>
          <w:p w14:paraId="2CC2B2DA" w14:textId="3D181DF4" w:rsidR="00301C18" w:rsidRPr="00301C18" w:rsidRDefault="00301C1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01C18">
              <w:rPr>
                <w:rFonts w:asciiTheme="minorHAnsi" w:hAnsiTheme="minorHAnsi" w:cstheme="minorHAnsi"/>
                <w:bCs/>
                <w:sz w:val="18"/>
                <w:szCs w:val="18"/>
              </w:rPr>
              <w:t>Wnioskowanie o nowe etaty powinno mieć</w:t>
            </w:r>
          </w:p>
          <w:p w14:paraId="44541542" w14:textId="77777777" w:rsidR="00301C18" w:rsidRPr="00301C18" w:rsidRDefault="00301C1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01C18">
              <w:rPr>
                <w:rFonts w:asciiTheme="minorHAnsi" w:hAnsiTheme="minorHAnsi" w:cstheme="minorHAnsi"/>
                <w:bCs/>
                <w:sz w:val="18"/>
                <w:szCs w:val="18"/>
              </w:rPr>
              <w:t>miejsce dopiero w przypadku możliwie pełnej obsady obecnie posiadanych</w:t>
            </w:r>
          </w:p>
          <w:p w14:paraId="68C06A6D" w14:textId="77777777" w:rsidR="00301C18" w:rsidRPr="00301C18" w:rsidRDefault="00301C1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01C18">
              <w:rPr>
                <w:rFonts w:asciiTheme="minorHAnsi" w:hAnsiTheme="minorHAnsi" w:cstheme="minorHAnsi"/>
                <w:bCs/>
                <w:sz w:val="18"/>
                <w:szCs w:val="18"/>
              </w:rPr>
              <w:lastRenderedPageBreak/>
              <w:t>etatów i znaczącego wzrostu ilości zadań.</w:t>
            </w:r>
          </w:p>
          <w:p w14:paraId="50EA6E3B" w14:textId="7A05525D" w:rsidR="00301C18" w:rsidRPr="003359D0" w:rsidRDefault="00301C1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8"/>
              </w:rPr>
            </w:pPr>
            <w:r w:rsidRPr="00301C18">
              <w:rPr>
                <w:rFonts w:asciiTheme="minorHAnsi" w:hAnsiTheme="minorHAnsi" w:cstheme="minorHAnsi"/>
                <w:bCs/>
                <w:sz w:val="18"/>
                <w:szCs w:val="18"/>
              </w:rPr>
              <w:t>W konsekwencji powyższego</w:t>
            </w:r>
            <w:r w:rsidR="003359D0">
              <w:rPr>
                <w:rFonts w:asciiTheme="minorHAnsi" w:hAnsiTheme="minorHAnsi" w:cstheme="minorHAnsi"/>
                <w:bCs/>
                <w:sz w:val="18"/>
                <w:szCs w:val="18"/>
              </w:rPr>
              <w:t>, zgodnie z uwagą MFIG,</w:t>
            </w:r>
            <w:r w:rsidRPr="00301C18">
              <w:rPr>
                <w:rFonts w:asciiTheme="minorHAnsi" w:hAnsiTheme="minorHAnsi" w:cstheme="minorHAnsi"/>
                <w:bCs/>
                <w:sz w:val="18"/>
                <w:szCs w:val="18"/>
              </w:rPr>
              <w:t xml:space="preserve"> </w:t>
            </w:r>
            <w:r w:rsidR="000702F7">
              <w:rPr>
                <w:rFonts w:asciiTheme="minorHAnsi" w:hAnsiTheme="minorHAnsi" w:cstheme="minorHAnsi"/>
                <w:bCs/>
                <w:sz w:val="18"/>
                <w:szCs w:val="18"/>
              </w:rPr>
              <w:t>usunięto</w:t>
            </w:r>
            <w:r w:rsidRPr="00301C18">
              <w:rPr>
                <w:rFonts w:asciiTheme="minorHAnsi" w:hAnsiTheme="minorHAnsi" w:cstheme="minorHAnsi"/>
                <w:bCs/>
                <w:sz w:val="18"/>
                <w:szCs w:val="18"/>
              </w:rPr>
              <w:t xml:space="preserve"> z projektu ustawy art. 64-73,</w:t>
            </w:r>
            <w:r w:rsidR="000702F7">
              <w:rPr>
                <w:rFonts w:asciiTheme="minorHAnsi" w:hAnsiTheme="minorHAnsi" w:cstheme="minorHAnsi"/>
                <w:bCs/>
                <w:sz w:val="18"/>
                <w:szCs w:val="18"/>
              </w:rPr>
              <w:t xml:space="preserve"> </w:t>
            </w:r>
            <w:r w:rsidRPr="00301C18">
              <w:rPr>
                <w:rFonts w:asciiTheme="minorHAnsi" w:hAnsiTheme="minorHAnsi" w:cstheme="minorHAnsi"/>
                <w:bCs/>
                <w:sz w:val="18"/>
                <w:szCs w:val="18"/>
              </w:rPr>
              <w:t>które określają maksymalny limit wydatków budżetu państwa dla</w:t>
            </w:r>
            <w:r w:rsidR="000702F7">
              <w:rPr>
                <w:rFonts w:asciiTheme="minorHAnsi" w:hAnsiTheme="minorHAnsi" w:cstheme="minorHAnsi"/>
                <w:bCs/>
                <w:sz w:val="18"/>
                <w:szCs w:val="18"/>
              </w:rPr>
              <w:t xml:space="preserve"> </w:t>
            </w:r>
            <w:r w:rsidRPr="00301C18">
              <w:rPr>
                <w:rFonts w:asciiTheme="minorHAnsi" w:hAnsiTheme="minorHAnsi" w:cstheme="minorHAnsi"/>
                <w:bCs/>
                <w:sz w:val="18"/>
                <w:szCs w:val="18"/>
              </w:rPr>
              <w:t>poszczególnych wojewodów</w:t>
            </w:r>
            <w:r w:rsidR="000702F7">
              <w:rPr>
                <w:rFonts w:asciiTheme="minorHAnsi" w:hAnsiTheme="minorHAnsi" w:cstheme="minorHAnsi"/>
                <w:bCs/>
                <w:sz w:val="18"/>
                <w:szCs w:val="18"/>
              </w:rPr>
              <w:t>.</w:t>
            </w:r>
          </w:p>
        </w:tc>
        <w:tc>
          <w:tcPr>
            <w:tcW w:w="3482" w:type="dxa"/>
            <w:gridSpan w:val="2"/>
          </w:tcPr>
          <w:p w14:paraId="4C93AB9E" w14:textId="77777777" w:rsidR="003E43A2" w:rsidRPr="009B2533" w:rsidRDefault="003E43A2" w:rsidP="003E43A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p>
        </w:tc>
      </w:tr>
      <w:tr w:rsidR="0083764A" w:rsidRPr="009B2533" w14:paraId="5BFF9A1A" w14:textId="77777777" w:rsidTr="008C4785">
        <w:trPr>
          <w:gridAfter w:val="1"/>
          <w:wAfter w:w="45" w:type="dxa"/>
          <w:trHeight w:val="453"/>
          <w:hidden/>
        </w:trPr>
        <w:tc>
          <w:tcPr>
            <w:cnfStyle w:val="001000000000" w:firstRow="0" w:lastRow="0" w:firstColumn="1" w:lastColumn="0" w:oddVBand="0" w:evenVBand="0" w:oddHBand="0" w:evenHBand="0" w:firstRowFirstColumn="0" w:firstRowLastColumn="0" w:lastRowFirstColumn="0" w:lastRowLastColumn="0"/>
            <w:tcW w:w="351" w:type="dxa"/>
          </w:tcPr>
          <w:p w14:paraId="17D6E56F" w14:textId="77777777" w:rsidR="003E43A2" w:rsidRPr="009B2533" w:rsidRDefault="003E43A2" w:rsidP="003E43A2">
            <w:pPr>
              <w:pStyle w:val="Akapitzlist"/>
              <w:numPr>
                <w:ilvl w:val="0"/>
                <w:numId w:val="3"/>
              </w:numPr>
              <w:ind w:left="313"/>
              <w:jc w:val="both"/>
              <w:rPr>
                <w:rFonts w:asciiTheme="minorHAnsi" w:hAnsiTheme="minorHAnsi" w:cstheme="minorHAnsi"/>
                <w:bCs w:val="0"/>
                <w:vanish/>
                <w:sz w:val="18"/>
                <w:szCs w:val="18"/>
              </w:rPr>
            </w:pPr>
            <w:bookmarkStart w:id="3" w:name="_GoBack" w:colFirst="0" w:colLast="0"/>
          </w:p>
        </w:tc>
        <w:tc>
          <w:tcPr>
            <w:tcW w:w="774" w:type="dxa"/>
          </w:tcPr>
          <w:p w14:paraId="2A2C82E8" w14:textId="77777777" w:rsidR="003E43A2" w:rsidRDefault="003E43A2" w:rsidP="003E43A2">
            <w:pPr>
              <w:jc w:val="both"/>
              <w:cnfStyle w:val="000000000000" w:firstRow="0" w:lastRow="0" w:firstColumn="0" w:lastColumn="0" w:oddVBand="0" w:evenVBand="0" w:oddHBand="0" w:evenHBand="0" w:firstRowFirstColumn="0" w:firstRowLastColumn="0" w:lastRowFirstColumn="0" w:lastRowLastColumn="0"/>
              <w:rPr>
                <w:rStyle w:val="Ppogrubienie"/>
                <w:rFonts w:asciiTheme="minorHAnsi" w:hAnsiTheme="minorHAnsi" w:cstheme="minorHAnsi"/>
                <w:b w:val="0"/>
                <w:sz w:val="18"/>
                <w:szCs w:val="18"/>
              </w:rPr>
            </w:pPr>
          </w:p>
        </w:tc>
        <w:tc>
          <w:tcPr>
            <w:tcW w:w="2128" w:type="dxa"/>
          </w:tcPr>
          <w:p w14:paraId="08A6BEE0" w14:textId="7A3744D6" w:rsidR="00114D71" w:rsidRDefault="00114D71" w:rsidP="003E43A2">
            <w:pPr>
              <w:tabs>
                <w:tab w:val="left" w:pos="898"/>
              </w:tabs>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18"/>
                <w:szCs w:val="18"/>
              </w:rPr>
            </w:pPr>
          </w:p>
          <w:p w14:paraId="1B1E7D2E"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C6E03EA"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3300DD1"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64C8B1EF"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5212EF4"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3855FE9"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E8330AF"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254F02A5" w14:textId="77777777" w:rsidR="00114D71" w:rsidRPr="00114D71" w:rsidRDefault="00114D71"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067B0C56" w14:textId="77777777" w:rsidR="003E43A2" w:rsidRPr="00114D71" w:rsidRDefault="003E43A2" w:rsidP="00114D7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c>
          <w:tcPr>
            <w:tcW w:w="1136" w:type="dxa"/>
          </w:tcPr>
          <w:p w14:paraId="7FF53A83" w14:textId="5C779A97" w:rsidR="003E43A2" w:rsidRPr="000C702C" w:rsidRDefault="00895909"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 xml:space="preserve">Wojewoda Lubuski </w:t>
            </w:r>
          </w:p>
        </w:tc>
        <w:tc>
          <w:tcPr>
            <w:tcW w:w="4535" w:type="dxa"/>
          </w:tcPr>
          <w:p w14:paraId="33F72412" w14:textId="77777777" w:rsidR="00895909" w:rsidRPr="00895909" w:rsidRDefault="00895909" w:rsidP="0089590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895909">
              <w:rPr>
                <w:rFonts w:asciiTheme="minorHAnsi" w:hAnsiTheme="minorHAnsi" w:cstheme="minorHAnsi"/>
                <w:sz w:val="18"/>
                <w:szCs w:val="18"/>
              </w:rPr>
              <w:t>W OSR nie ujęto konieczności zwiększenia zasobu kadrowego Wojewody Lubuskiego w zakresie zadań wskazanych w ustawie. Obecne zasoby kadrowe nie są wystarczające do zabezpieczenia terminowego wykonywania zadań związanych z projektowaną ustawą, dlatego proponuję zwiększenie zasobu kadrowego o 1 etat dedykowany do Oddziału Cudzoziemców. Zatrudniona osoba będzie miała za zadanie m.in. weryfikację danych przetwarzanych w ETIAS oraz współpracę z innymi służbami migracyjnymi. Roczny koszt utrzymania etatu kształtuje się na poziomie 107 tys. rocznie, przy wynagrodzeniu 6000 zł brutto miesięcznie. Dodatkowo konieczne będzie utworzenie jednego dodatkowego stanowiska pracy. Koszty rzeczowe powinny kształtować się na poziomie 20 tysięcy zł, a składać się na nie będą meble, sprzęt komputerowy oraz oprogramowanie. Wymianę sprzętu, ze względu na konieczność zapewnienia bezpieczeństwa danych, proponuje się po 7 latach użytkowania.</w:t>
            </w:r>
          </w:p>
          <w:p w14:paraId="2B2F94FE" w14:textId="77777777" w:rsidR="00895909" w:rsidRPr="00895909" w:rsidRDefault="00895909" w:rsidP="0089590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7DD2BB0F" w14:textId="5B738E91" w:rsidR="003E43A2" w:rsidRPr="004610F0" w:rsidRDefault="00895909" w:rsidP="0089590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895909">
              <w:rPr>
                <w:rFonts w:asciiTheme="minorHAnsi" w:hAnsiTheme="minorHAnsi" w:cstheme="minorHAnsi"/>
                <w:sz w:val="18"/>
                <w:szCs w:val="18"/>
              </w:rPr>
              <w:t>Mając na uwadze, iż w przekazanym projekcie ustawy oraz OSR do niej ujęto pozostałych wojewodów w zakresie zwiększenia etatowego zasadnym wydaje się uwzględnienie powyższej zmiany.</w:t>
            </w:r>
          </w:p>
        </w:tc>
        <w:tc>
          <w:tcPr>
            <w:tcW w:w="3403" w:type="dxa"/>
            <w:gridSpan w:val="2"/>
          </w:tcPr>
          <w:p w14:paraId="55507DF4" w14:textId="77777777" w:rsidR="00301C18" w:rsidRDefault="00301C18" w:rsidP="00301C1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Pr>
                <w:rFonts w:asciiTheme="minorHAnsi" w:hAnsiTheme="minorHAnsi" w:cstheme="minorHAnsi"/>
                <w:b/>
                <w:bCs/>
                <w:sz w:val="18"/>
                <w:szCs w:val="18"/>
              </w:rPr>
              <w:t>Wyjaśniono:</w:t>
            </w:r>
          </w:p>
          <w:p w14:paraId="6BE852ED" w14:textId="77777777" w:rsidR="000702F7" w:rsidRPr="000702F7"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02F7">
              <w:rPr>
                <w:rFonts w:asciiTheme="minorHAnsi" w:hAnsiTheme="minorHAnsi" w:cstheme="minorHAnsi"/>
                <w:sz w:val="18"/>
                <w:szCs w:val="18"/>
              </w:rPr>
              <w:t>Zgodnie z informacjami otrzymanymi od MFIG, przedstawione w OSR informacje nie uzasadniają zwiększenia liczby etatów</w:t>
            </w:r>
          </w:p>
          <w:p w14:paraId="4AC243E2" w14:textId="77777777" w:rsidR="000702F7" w:rsidRPr="000702F7"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02F7">
              <w:rPr>
                <w:rFonts w:asciiTheme="minorHAnsi" w:hAnsiTheme="minorHAnsi" w:cstheme="minorHAnsi"/>
                <w:sz w:val="18"/>
                <w:szCs w:val="18"/>
              </w:rPr>
              <w:t>w urzędach wojewódzkich.</w:t>
            </w:r>
          </w:p>
          <w:p w14:paraId="19B323A0" w14:textId="77777777" w:rsidR="000702F7" w:rsidRPr="000702F7"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02F7">
              <w:rPr>
                <w:rFonts w:asciiTheme="minorHAnsi" w:hAnsiTheme="minorHAnsi" w:cstheme="minorHAnsi"/>
                <w:sz w:val="18"/>
                <w:szCs w:val="18"/>
              </w:rPr>
              <w:t>Wnioskowanie o nowe etaty powinno mieć</w:t>
            </w:r>
          </w:p>
          <w:p w14:paraId="086A6188" w14:textId="77777777" w:rsidR="000702F7" w:rsidRPr="000702F7"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02F7">
              <w:rPr>
                <w:rFonts w:asciiTheme="minorHAnsi" w:hAnsiTheme="minorHAnsi" w:cstheme="minorHAnsi"/>
                <w:sz w:val="18"/>
                <w:szCs w:val="18"/>
              </w:rPr>
              <w:t>miejsce dopiero w przypadku możliwie pełnej obsady obecnie posiadanych</w:t>
            </w:r>
          </w:p>
          <w:p w14:paraId="742C5EEB" w14:textId="77777777" w:rsidR="000702F7" w:rsidRPr="000702F7"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02F7">
              <w:rPr>
                <w:rFonts w:asciiTheme="minorHAnsi" w:hAnsiTheme="minorHAnsi" w:cstheme="minorHAnsi"/>
                <w:sz w:val="18"/>
                <w:szCs w:val="18"/>
              </w:rPr>
              <w:t>etatów i znaczącego wzrostu ilości zadań.</w:t>
            </w:r>
          </w:p>
          <w:p w14:paraId="185F17E0" w14:textId="5CA01711" w:rsidR="003E43A2" w:rsidRPr="00237C1B" w:rsidRDefault="000702F7" w:rsidP="000702F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rPr>
            </w:pPr>
            <w:r w:rsidRPr="000702F7">
              <w:rPr>
                <w:rFonts w:asciiTheme="minorHAnsi" w:hAnsiTheme="minorHAnsi" w:cstheme="minorHAnsi"/>
                <w:sz w:val="18"/>
                <w:szCs w:val="18"/>
              </w:rPr>
              <w:t>W konsekwencji powyższego</w:t>
            </w:r>
            <w:r w:rsidR="003359D0">
              <w:rPr>
                <w:rFonts w:asciiTheme="minorHAnsi" w:hAnsiTheme="minorHAnsi" w:cstheme="minorHAnsi"/>
                <w:sz w:val="18"/>
                <w:szCs w:val="18"/>
              </w:rPr>
              <w:t>,</w:t>
            </w:r>
            <w:r w:rsidR="003359D0">
              <w:rPr>
                <w:rFonts w:asciiTheme="minorHAnsi" w:hAnsiTheme="minorHAnsi" w:cstheme="minorHAnsi"/>
                <w:bCs/>
                <w:sz w:val="18"/>
                <w:szCs w:val="18"/>
              </w:rPr>
              <w:t xml:space="preserve"> zgodnie z uwagą MFIG,</w:t>
            </w:r>
            <w:r w:rsidRPr="000702F7">
              <w:rPr>
                <w:rFonts w:asciiTheme="minorHAnsi" w:hAnsiTheme="minorHAnsi" w:cstheme="minorHAnsi"/>
                <w:sz w:val="18"/>
                <w:szCs w:val="18"/>
              </w:rPr>
              <w:t xml:space="preserve"> usunięto z projektu ustawy art. 64-73, które określają maksymalny limit wydatków budżetu państwa dla poszczególnych wojewodów.</w:t>
            </w:r>
          </w:p>
        </w:tc>
        <w:tc>
          <w:tcPr>
            <w:tcW w:w="3482" w:type="dxa"/>
            <w:gridSpan w:val="2"/>
          </w:tcPr>
          <w:p w14:paraId="1323B5BC" w14:textId="77777777" w:rsidR="003E43A2" w:rsidRPr="009B2533" w:rsidRDefault="003E43A2" w:rsidP="003E43A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bookmarkEnd w:id="3"/>
    </w:tbl>
    <w:p w14:paraId="7BE2E5E1" w14:textId="6E6A2C6D" w:rsidR="001573A3" w:rsidRPr="00114D71" w:rsidRDefault="001573A3" w:rsidP="00114D71">
      <w:pPr>
        <w:tabs>
          <w:tab w:val="left" w:pos="4282"/>
        </w:tabs>
      </w:pPr>
    </w:p>
    <w:sectPr w:rsidR="001573A3" w:rsidRPr="00114D71" w:rsidSect="00861AB1">
      <w:headerReference w:type="default" r:id="rId8"/>
      <w:footerReference w:type="default" r:id="rId9"/>
      <w:pgSz w:w="16838" w:h="11906" w:orient="landscape"/>
      <w:pgMar w:top="567" w:right="567" w:bottom="567" w:left="567" w:header="709"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70B9A" w14:textId="77777777" w:rsidR="00194BE0" w:rsidRDefault="00194BE0" w:rsidP="002D0BE9">
      <w:pPr>
        <w:spacing w:after="0" w:line="240" w:lineRule="auto"/>
      </w:pPr>
      <w:r>
        <w:separator/>
      </w:r>
    </w:p>
  </w:endnote>
  <w:endnote w:type="continuationSeparator" w:id="0">
    <w:p w14:paraId="7B12B2E5" w14:textId="77777777" w:rsidR="00194BE0" w:rsidRDefault="00194BE0" w:rsidP="002D0BE9">
      <w:pPr>
        <w:spacing w:after="0" w:line="240" w:lineRule="auto"/>
      </w:pPr>
      <w:r>
        <w:continuationSeparator/>
      </w:r>
    </w:p>
  </w:endnote>
  <w:endnote w:type="continuationNotice" w:id="1">
    <w:p w14:paraId="3F3ED9DE" w14:textId="77777777" w:rsidR="00194BE0" w:rsidRDefault="00194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8044131"/>
      <w:docPartObj>
        <w:docPartGallery w:val="Page Numbers (Bottom of Page)"/>
        <w:docPartUnique/>
      </w:docPartObj>
    </w:sdtPr>
    <w:sdtEndPr/>
    <w:sdtContent>
      <w:p w14:paraId="68DF5D14" w14:textId="0A63B3F4" w:rsidR="007F4E90" w:rsidRDefault="007F4E90" w:rsidP="00114D71">
        <w:pPr>
          <w:pStyle w:val="Stopka"/>
          <w:jc w:val="center"/>
        </w:pPr>
        <w:r>
          <w:fldChar w:fldCharType="begin"/>
        </w:r>
        <w:r>
          <w:instrText>PAGE   \* MERGEFORMAT</w:instrText>
        </w:r>
        <w:r>
          <w:fldChar w:fldCharType="separate"/>
        </w:r>
        <w:r w:rsidR="00114D71">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F6BAB" w14:textId="77777777" w:rsidR="00194BE0" w:rsidRDefault="00194BE0" w:rsidP="002D0BE9">
      <w:pPr>
        <w:spacing w:after="0" w:line="240" w:lineRule="auto"/>
      </w:pPr>
      <w:r>
        <w:separator/>
      </w:r>
    </w:p>
  </w:footnote>
  <w:footnote w:type="continuationSeparator" w:id="0">
    <w:p w14:paraId="5C2111A9" w14:textId="77777777" w:rsidR="00194BE0" w:rsidRDefault="00194BE0" w:rsidP="002D0BE9">
      <w:pPr>
        <w:spacing w:after="0" w:line="240" w:lineRule="auto"/>
      </w:pPr>
      <w:r>
        <w:continuationSeparator/>
      </w:r>
    </w:p>
  </w:footnote>
  <w:footnote w:type="continuationNotice" w:id="1">
    <w:p w14:paraId="10FA6369" w14:textId="77777777" w:rsidR="00194BE0" w:rsidRDefault="00194BE0">
      <w:pPr>
        <w:spacing w:after="0" w:line="240" w:lineRule="auto"/>
      </w:pPr>
    </w:p>
  </w:footnote>
  <w:footnote w:id="2">
    <w:p w14:paraId="143AB8C2" w14:textId="29081EDE" w:rsidR="007F4E90" w:rsidRDefault="007F4E90">
      <w:pPr>
        <w:pStyle w:val="Tekstprzypisudolnego"/>
        <w:rPr>
          <w:sz w:val="16"/>
          <w:szCs w:val="16"/>
        </w:rPr>
      </w:pPr>
      <w:r>
        <w:rPr>
          <w:rStyle w:val="Odwoanieprzypisudolnego"/>
        </w:rPr>
        <w:footnoteRef/>
      </w:r>
      <w:r>
        <w:t xml:space="preserve"> </w:t>
      </w:r>
      <w:r w:rsidRPr="005B48D4">
        <w:rPr>
          <w:sz w:val="16"/>
          <w:szCs w:val="16"/>
        </w:rPr>
        <w:t xml:space="preserve">Rozporządzenie Rady (UE) 2022/922 z dnia 9 czerwca 2022 r. w sprawie ustanowienia i funkcjonowania mechanizmu oceny i monitorowania w celu weryfikacji stosowania dorobku </w:t>
      </w:r>
      <w:proofErr w:type="spellStart"/>
      <w:r w:rsidRPr="005B48D4">
        <w:rPr>
          <w:sz w:val="16"/>
          <w:szCs w:val="16"/>
        </w:rPr>
        <w:t>Schengen</w:t>
      </w:r>
      <w:proofErr w:type="spellEnd"/>
      <w:r w:rsidRPr="005B48D4">
        <w:rPr>
          <w:sz w:val="16"/>
          <w:szCs w:val="16"/>
        </w:rPr>
        <w:t xml:space="preserve"> oraz w sprawie uchylenia rozporządzenia (UE) nr 1053/2013.</w:t>
      </w:r>
    </w:p>
    <w:p w14:paraId="3794E5FE" w14:textId="77777777" w:rsidR="007F4E90" w:rsidRPr="005B48D4" w:rsidRDefault="007F4E90">
      <w:pPr>
        <w:pStyle w:val="Tekstprzypisudolnego"/>
        <w:rPr>
          <w:sz w:val="16"/>
          <w:szCs w:val="16"/>
          <w:lang w:val="pl-PL"/>
        </w:rPr>
      </w:pPr>
    </w:p>
  </w:footnote>
  <w:footnote w:id="3">
    <w:p w14:paraId="7234DCA4" w14:textId="099E63C4" w:rsidR="007F4E90" w:rsidRPr="005B48D4" w:rsidRDefault="007F4E90">
      <w:pPr>
        <w:pStyle w:val="Tekstprzypisudolnego"/>
        <w:rPr>
          <w:lang w:val="pl-PL"/>
        </w:rPr>
      </w:pPr>
      <w:r>
        <w:rPr>
          <w:rStyle w:val="Odwoanieprzypisudolnego"/>
        </w:rPr>
        <w:footnoteRef/>
      </w:r>
      <w:r>
        <w:t xml:space="preserve"> </w:t>
      </w:r>
      <w:r w:rsidRPr="005B48D4">
        <w:rPr>
          <w:sz w:val="16"/>
          <w:szCs w:val="16"/>
        </w:rPr>
        <w:t xml:space="preserve">Ustawa z dnia 24 sierpnia 2007 r. o udziale Rzeczypospolitej Polskiej w Systemie Informacyjnym </w:t>
      </w:r>
      <w:proofErr w:type="spellStart"/>
      <w:r w:rsidRPr="005B48D4">
        <w:rPr>
          <w:sz w:val="16"/>
          <w:szCs w:val="16"/>
        </w:rPr>
        <w:t>Schengen</w:t>
      </w:r>
      <w:proofErr w:type="spellEnd"/>
      <w:r w:rsidRPr="005B48D4">
        <w:rPr>
          <w:sz w:val="16"/>
          <w:szCs w:val="16"/>
        </w:rPr>
        <w:t xml:space="preserve"> oraz Wizowym Systemie Informacyjnym (Dz. U</w:t>
      </w:r>
      <w:r w:rsidR="00884447">
        <w:rPr>
          <w:sz w:val="16"/>
          <w:szCs w:val="16"/>
        </w:rPr>
        <w:t>.</w:t>
      </w:r>
      <w:r w:rsidRPr="005B48D4">
        <w:rPr>
          <w:sz w:val="16"/>
          <w:szCs w:val="16"/>
        </w:rPr>
        <w:t xml:space="preserve"> z 2023</w:t>
      </w:r>
      <w:r w:rsidR="00884447">
        <w:rPr>
          <w:sz w:val="16"/>
          <w:szCs w:val="16"/>
        </w:rPr>
        <w:t xml:space="preserve"> r. poz. 1355, </w:t>
      </w:r>
      <w:r w:rsidRPr="005B48D4">
        <w:rPr>
          <w:sz w:val="16"/>
          <w:szCs w:val="16"/>
        </w:rPr>
        <w:t>z</w:t>
      </w:r>
      <w:r w:rsidR="00884447">
        <w:rPr>
          <w:sz w:val="16"/>
          <w:szCs w:val="16"/>
        </w:rPr>
        <w:t xml:space="preserve"> </w:t>
      </w:r>
      <w:proofErr w:type="spellStart"/>
      <w:r w:rsidR="00884447">
        <w:rPr>
          <w:sz w:val="16"/>
          <w:szCs w:val="16"/>
        </w:rPr>
        <w:t>późn</w:t>
      </w:r>
      <w:proofErr w:type="spellEnd"/>
      <w:r w:rsidR="00884447">
        <w:rPr>
          <w:sz w:val="16"/>
          <w:szCs w:val="16"/>
        </w:rPr>
        <w:t>.</w:t>
      </w:r>
      <w:r w:rsidRPr="005B48D4">
        <w:rPr>
          <w:sz w:val="16"/>
          <w:szCs w:val="16"/>
        </w:rPr>
        <w:t xml:space="preserve"> zm.).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B42F3" w14:textId="3396D9B0" w:rsidR="00B825B9" w:rsidRDefault="00114D71">
    <w:pPr>
      <w:pStyle w:val="Nagwek"/>
    </w:pPr>
    <w:r>
      <w:t>Załącznik nr 2 do Raportu z konsultacji publicznych i opiniowania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8473C"/>
    <w:multiLevelType w:val="hybridMultilevel"/>
    <w:tmpl w:val="DF5EAFA0"/>
    <w:lvl w:ilvl="0" w:tplc="1804AA4A">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227771"/>
    <w:multiLevelType w:val="hybridMultilevel"/>
    <w:tmpl w:val="09D81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8720F5"/>
    <w:multiLevelType w:val="hybridMultilevel"/>
    <w:tmpl w:val="13F88C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8B161D"/>
    <w:multiLevelType w:val="hybridMultilevel"/>
    <w:tmpl w:val="5EE85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5A3228"/>
    <w:multiLevelType w:val="hybridMultilevel"/>
    <w:tmpl w:val="2ED864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BB569E"/>
    <w:multiLevelType w:val="hybridMultilevel"/>
    <w:tmpl w:val="44168C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C82D2A"/>
    <w:multiLevelType w:val="hybridMultilevel"/>
    <w:tmpl w:val="0624CC40"/>
    <w:lvl w:ilvl="0" w:tplc="BB006422">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400685"/>
    <w:multiLevelType w:val="hybridMultilevel"/>
    <w:tmpl w:val="8676C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D05BE6"/>
    <w:multiLevelType w:val="hybridMultilevel"/>
    <w:tmpl w:val="4454B2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50323D"/>
    <w:multiLevelType w:val="hybridMultilevel"/>
    <w:tmpl w:val="4316100C"/>
    <w:lvl w:ilvl="0" w:tplc="6EEE31FE">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90228D6"/>
    <w:multiLevelType w:val="hybridMultilevel"/>
    <w:tmpl w:val="A3FC6978"/>
    <w:lvl w:ilvl="0" w:tplc="5108034E">
      <w:start w:val="1"/>
      <w:numFmt w:val="decimal"/>
      <w:lvlText w:val="%1)"/>
      <w:lvlJc w:val="left"/>
      <w:pPr>
        <w:ind w:left="64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BB32B6"/>
    <w:multiLevelType w:val="hybridMultilevel"/>
    <w:tmpl w:val="9F68E51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7F11372"/>
    <w:multiLevelType w:val="hybridMultilevel"/>
    <w:tmpl w:val="B0E82CB0"/>
    <w:lvl w:ilvl="0" w:tplc="050CFE6A">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5F00584C"/>
    <w:multiLevelType w:val="hybridMultilevel"/>
    <w:tmpl w:val="5532E87E"/>
    <w:lvl w:ilvl="0" w:tplc="CEC2780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3807A38"/>
    <w:multiLevelType w:val="hybridMultilevel"/>
    <w:tmpl w:val="18E2F0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293B0C"/>
    <w:multiLevelType w:val="hybridMultilevel"/>
    <w:tmpl w:val="3256920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B724099"/>
    <w:multiLevelType w:val="hybridMultilevel"/>
    <w:tmpl w:val="A178E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E68495C"/>
    <w:multiLevelType w:val="hybridMultilevel"/>
    <w:tmpl w:val="8AA8F7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DB081C"/>
    <w:multiLevelType w:val="hybridMultilevel"/>
    <w:tmpl w:val="DC7C0F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4EB3130"/>
    <w:multiLevelType w:val="hybridMultilevel"/>
    <w:tmpl w:val="1DBC38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4104DD"/>
    <w:multiLevelType w:val="hybridMultilevel"/>
    <w:tmpl w:val="09D81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1"/>
  </w:num>
  <w:num w:numId="3">
    <w:abstractNumId w:val="20"/>
  </w:num>
  <w:num w:numId="4">
    <w:abstractNumId w:val="10"/>
  </w:num>
  <w:num w:numId="5">
    <w:abstractNumId w:val="5"/>
  </w:num>
  <w:num w:numId="6">
    <w:abstractNumId w:val="18"/>
  </w:num>
  <w:num w:numId="7">
    <w:abstractNumId w:val="0"/>
  </w:num>
  <w:num w:numId="8">
    <w:abstractNumId w:val="19"/>
  </w:num>
  <w:num w:numId="9">
    <w:abstractNumId w:val="7"/>
  </w:num>
  <w:num w:numId="10">
    <w:abstractNumId w:val="9"/>
  </w:num>
  <w:num w:numId="11">
    <w:abstractNumId w:val="17"/>
  </w:num>
  <w:num w:numId="12">
    <w:abstractNumId w:val="2"/>
  </w:num>
  <w:num w:numId="13">
    <w:abstractNumId w:val="4"/>
  </w:num>
  <w:num w:numId="14">
    <w:abstractNumId w:val="16"/>
  </w:num>
  <w:num w:numId="15">
    <w:abstractNumId w:val="8"/>
  </w:num>
  <w:num w:numId="16">
    <w:abstractNumId w:val="3"/>
  </w:num>
  <w:num w:numId="17">
    <w:abstractNumId w:val="14"/>
  </w:num>
  <w:num w:numId="18">
    <w:abstractNumId w:val="15"/>
  </w:num>
  <w:num w:numId="19">
    <w:abstractNumId w:val="13"/>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87"/>
    <w:rsid w:val="0000104B"/>
    <w:rsid w:val="0000673A"/>
    <w:rsid w:val="00006785"/>
    <w:rsid w:val="00007F52"/>
    <w:rsid w:val="00013627"/>
    <w:rsid w:val="00013FB9"/>
    <w:rsid w:val="000144AF"/>
    <w:rsid w:val="000223B5"/>
    <w:rsid w:val="000235C8"/>
    <w:rsid w:val="00023EA5"/>
    <w:rsid w:val="000241D7"/>
    <w:rsid w:val="00025781"/>
    <w:rsid w:val="00025F55"/>
    <w:rsid w:val="00026F19"/>
    <w:rsid w:val="0002785E"/>
    <w:rsid w:val="00030351"/>
    <w:rsid w:val="00031CF5"/>
    <w:rsid w:val="0003324D"/>
    <w:rsid w:val="00033CB9"/>
    <w:rsid w:val="00036EF5"/>
    <w:rsid w:val="0003746E"/>
    <w:rsid w:val="00037CE1"/>
    <w:rsid w:val="000424E2"/>
    <w:rsid w:val="00044813"/>
    <w:rsid w:val="00045A55"/>
    <w:rsid w:val="00047FD1"/>
    <w:rsid w:val="00050B92"/>
    <w:rsid w:val="00051C63"/>
    <w:rsid w:val="00051E00"/>
    <w:rsid w:val="0005368C"/>
    <w:rsid w:val="00054D6C"/>
    <w:rsid w:val="00055D6E"/>
    <w:rsid w:val="00056387"/>
    <w:rsid w:val="00057B81"/>
    <w:rsid w:val="0006072F"/>
    <w:rsid w:val="00064061"/>
    <w:rsid w:val="00066C35"/>
    <w:rsid w:val="000702F7"/>
    <w:rsid w:val="0007164F"/>
    <w:rsid w:val="000717AF"/>
    <w:rsid w:val="0007269A"/>
    <w:rsid w:val="000729F3"/>
    <w:rsid w:val="00072F2E"/>
    <w:rsid w:val="000736C3"/>
    <w:rsid w:val="00073F97"/>
    <w:rsid w:val="000757F5"/>
    <w:rsid w:val="0007580F"/>
    <w:rsid w:val="00076A52"/>
    <w:rsid w:val="00080B11"/>
    <w:rsid w:val="0008152F"/>
    <w:rsid w:val="00084FC4"/>
    <w:rsid w:val="0008570D"/>
    <w:rsid w:val="000879EA"/>
    <w:rsid w:val="00087B2E"/>
    <w:rsid w:val="000912CA"/>
    <w:rsid w:val="0009391A"/>
    <w:rsid w:val="00094390"/>
    <w:rsid w:val="000957A4"/>
    <w:rsid w:val="00096EAC"/>
    <w:rsid w:val="00097B34"/>
    <w:rsid w:val="00097C6F"/>
    <w:rsid w:val="000A0014"/>
    <w:rsid w:val="000A02FD"/>
    <w:rsid w:val="000A05FC"/>
    <w:rsid w:val="000A12C9"/>
    <w:rsid w:val="000A5A4F"/>
    <w:rsid w:val="000A6248"/>
    <w:rsid w:val="000A668E"/>
    <w:rsid w:val="000A7549"/>
    <w:rsid w:val="000A7F5D"/>
    <w:rsid w:val="000B07C5"/>
    <w:rsid w:val="000B0D55"/>
    <w:rsid w:val="000B1B5D"/>
    <w:rsid w:val="000B2DD8"/>
    <w:rsid w:val="000B4621"/>
    <w:rsid w:val="000B7EBD"/>
    <w:rsid w:val="000C0161"/>
    <w:rsid w:val="000C0229"/>
    <w:rsid w:val="000C1263"/>
    <w:rsid w:val="000C2AC2"/>
    <w:rsid w:val="000C36E6"/>
    <w:rsid w:val="000C38A0"/>
    <w:rsid w:val="000C3A78"/>
    <w:rsid w:val="000C460B"/>
    <w:rsid w:val="000C6910"/>
    <w:rsid w:val="000C7012"/>
    <w:rsid w:val="000C702C"/>
    <w:rsid w:val="000D058D"/>
    <w:rsid w:val="000D25CC"/>
    <w:rsid w:val="000D2FA7"/>
    <w:rsid w:val="000D34E3"/>
    <w:rsid w:val="000D3725"/>
    <w:rsid w:val="000D7668"/>
    <w:rsid w:val="000E13AB"/>
    <w:rsid w:val="000E229C"/>
    <w:rsid w:val="000E327F"/>
    <w:rsid w:val="000E39C2"/>
    <w:rsid w:val="000E45CA"/>
    <w:rsid w:val="000E4635"/>
    <w:rsid w:val="000E52C5"/>
    <w:rsid w:val="000E5DE3"/>
    <w:rsid w:val="000E65E9"/>
    <w:rsid w:val="000E68D6"/>
    <w:rsid w:val="000E6E96"/>
    <w:rsid w:val="000E7CC2"/>
    <w:rsid w:val="000F12F0"/>
    <w:rsid w:val="000F29D2"/>
    <w:rsid w:val="000F324A"/>
    <w:rsid w:val="000F3900"/>
    <w:rsid w:val="000F5502"/>
    <w:rsid w:val="000F614C"/>
    <w:rsid w:val="000F76C0"/>
    <w:rsid w:val="000F7B07"/>
    <w:rsid w:val="00101B44"/>
    <w:rsid w:val="00102806"/>
    <w:rsid w:val="001041F8"/>
    <w:rsid w:val="00105850"/>
    <w:rsid w:val="00106A75"/>
    <w:rsid w:val="00106DBD"/>
    <w:rsid w:val="00107035"/>
    <w:rsid w:val="0010763E"/>
    <w:rsid w:val="00107DDD"/>
    <w:rsid w:val="00110619"/>
    <w:rsid w:val="00110E79"/>
    <w:rsid w:val="0011126B"/>
    <w:rsid w:val="00112218"/>
    <w:rsid w:val="00114D71"/>
    <w:rsid w:val="00114DC1"/>
    <w:rsid w:val="00116050"/>
    <w:rsid w:val="00116ED1"/>
    <w:rsid w:val="00117E72"/>
    <w:rsid w:val="00126050"/>
    <w:rsid w:val="00130F53"/>
    <w:rsid w:val="00131A8D"/>
    <w:rsid w:val="001324F2"/>
    <w:rsid w:val="001330B8"/>
    <w:rsid w:val="0013329E"/>
    <w:rsid w:val="00134913"/>
    <w:rsid w:val="00134B6B"/>
    <w:rsid w:val="00136F49"/>
    <w:rsid w:val="00136FB9"/>
    <w:rsid w:val="00137412"/>
    <w:rsid w:val="00137D0E"/>
    <w:rsid w:val="00140704"/>
    <w:rsid w:val="00141592"/>
    <w:rsid w:val="00142BF2"/>
    <w:rsid w:val="0014312A"/>
    <w:rsid w:val="001437FD"/>
    <w:rsid w:val="001469B4"/>
    <w:rsid w:val="00150D03"/>
    <w:rsid w:val="00153A88"/>
    <w:rsid w:val="001540A4"/>
    <w:rsid w:val="00156753"/>
    <w:rsid w:val="00156EE8"/>
    <w:rsid w:val="00156F93"/>
    <w:rsid w:val="001573A3"/>
    <w:rsid w:val="0016101E"/>
    <w:rsid w:val="00161FE4"/>
    <w:rsid w:val="00162CC1"/>
    <w:rsid w:val="0016506F"/>
    <w:rsid w:val="001659D5"/>
    <w:rsid w:val="00166C07"/>
    <w:rsid w:val="00170A89"/>
    <w:rsid w:val="00172BAF"/>
    <w:rsid w:val="001828F9"/>
    <w:rsid w:val="001839C1"/>
    <w:rsid w:val="00184CD6"/>
    <w:rsid w:val="00187FAF"/>
    <w:rsid w:val="00190177"/>
    <w:rsid w:val="00190E65"/>
    <w:rsid w:val="001928FC"/>
    <w:rsid w:val="00193B52"/>
    <w:rsid w:val="00194BE0"/>
    <w:rsid w:val="00194E5A"/>
    <w:rsid w:val="0019653C"/>
    <w:rsid w:val="00197974"/>
    <w:rsid w:val="001A01FA"/>
    <w:rsid w:val="001A0CCE"/>
    <w:rsid w:val="001A165B"/>
    <w:rsid w:val="001A20FB"/>
    <w:rsid w:val="001A3C6D"/>
    <w:rsid w:val="001A485A"/>
    <w:rsid w:val="001A5F0C"/>
    <w:rsid w:val="001A7B49"/>
    <w:rsid w:val="001A7E2A"/>
    <w:rsid w:val="001B126A"/>
    <w:rsid w:val="001B30FD"/>
    <w:rsid w:val="001B60A2"/>
    <w:rsid w:val="001C084E"/>
    <w:rsid w:val="001C0B61"/>
    <w:rsid w:val="001C206C"/>
    <w:rsid w:val="001C3B41"/>
    <w:rsid w:val="001C559A"/>
    <w:rsid w:val="001C6362"/>
    <w:rsid w:val="001D0462"/>
    <w:rsid w:val="001D1038"/>
    <w:rsid w:val="001D5313"/>
    <w:rsid w:val="001E04DC"/>
    <w:rsid w:val="001E0C0E"/>
    <w:rsid w:val="001E1EE3"/>
    <w:rsid w:val="001E2B2C"/>
    <w:rsid w:val="001E3080"/>
    <w:rsid w:val="001E762B"/>
    <w:rsid w:val="001E7864"/>
    <w:rsid w:val="001F02DE"/>
    <w:rsid w:val="001F2DE0"/>
    <w:rsid w:val="001F3067"/>
    <w:rsid w:val="001F4D7F"/>
    <w:rsid w:val="001F7342"/>
    <w:rsid w:val="001F79DB"/>
    <w:rsid w:val="00200115"/>
    <w:rsid w:val="00202D22"/>
    <w:rsid w:val="002033E0"/>
    <w:rsid w:val="0020409B"/>
    <w:rsid w:val="002058EC"/>
    <w:rsid w:val="002059B8"/>
    <w:rsid w:val="0020681E"/>
    <w:rsid w:val="00207348"/>
    <w:rsid w:val="00210582"/>
    <w:rsid w:val="00210AB5"/>
    <w:rsid w:val="0021347A"/>
    <w:rsid w:val="00216C02"/>
    <w:rsid w:val="0022478B"/>
    <w:rsid w:val="00225A1F"/>
    <w:rsid w:val="00225FF5"/>
    <w:rsid w:val="00235C8D"/>
    <w:rsid w:val="00235FD5"/>
    <w:rsid w:val="00237C1B"/>
    <w:rsid w:val="00241EC3"/>
    <w:rsid w:val="0024545F"/>
    <w:rsid w:val="00245AD2"/>
    <w:rsid w:val="00246914"/>
    <w:rsid w:val="002476C5"/>
    <w:rsid w:val="002532CB"/>
    <w:rsid w:val="002538AB"/>
    <w:rsid w:val="00254181"/>
    <w:rsid w:val="00261414"/>
    <w:rsid w:val="002640E4"/>
    <w:rsid w:val="0026611B"/>
    <w:rsid w:val="00266D14"/>
    <w:rsid w:val="00270908"/>
    <w:rsid w:val="0027104D"/>
    <w:rsid w:val="00271FE3"/>
    <w:rsid w:val="00272B94"/>
    <w:rsid w:val="00273FD0"/>
    <w:rsid w:val="002741C6"/>
    <w:rsid w:val="00275339"/>
    <w:rsid w:val="00275CD8"/>
    <w:rsid w:val="00284F8B"/>
    <w:rsid w:val="002861C4"/>
    <w:rsid w:val="00290FF7"/>
    <w:rsid w:val="002933CA"/>
    <w:rsid w:val="00294B23"/>
    <w:rsid w:val="00294E34"/>
    <w:rsid w:val="00297B06"/>
    <w:rsid w:val="002A0C00"/>
    <w:rsid w:val="002A1A96"/>
    <w:rsid w:val="002A5CB3"/>
    <w:rsid w:val="002A5E40"/>
    <w:rsid w:val="002A604C"/>
    <w:rsid w:val="002A6228"/>
    <w:rsid w:val="002A64B8"/>
    <w:rsid w:val="002B3CB0"/>
    <w:rsid w:val="002B4B89"/>
    <w:rsid w:val="002B6609"/>
    <w:rsid w:val="002B6651"/>
    <w:rsid w:val="002C0469"/>
    <w:rsid w:val="002C0E64"/>
    <w:rsid w:val="002C1B42"/>
    <w:rsid w:val="002C3FEB"/>
    <w:rsid w:val="002C4684"/>
    <w:rsid w:val="002C55EF"/>
    <w:rsid w:val="002C5D17"/>
    <w:rsid w:val="002C786C"/>
    <w:rsid w:val="002D0BE9"/>
    <w:rsid w:val="002D163A"/>
    <w:rsid w:val="002D19C0"/>
    <w:rsid w:val="002D415A"/>
    <w:rsid w:val="002D44E2"/>
    <w:rsid w:val="002D7C98"/>
    <w:rsid w:val="002E284F"/>
    <w:rsid w:val="002E341D"/>
    <w:rsid w:val="002E3B6D"/>
    <w:rsid w:val="002F1F1E"/>
    <w:rsid w:val="002F260B"/>
    <w:rsid w:val="002F474D"/>
    <w:rsid w:val="00300B4F"/>
    <w:rsid w:val="00301C18"/>
    <w:rsid w:val="003045B8"/>
    <w:rsid w:val="00304CBE"/>
    <w:rsid w:val="00305576"/>
    <w:rsid w:val="00305FB5"/>
    <w:rsid w:val="003060C4"/>
    <w:rsid w:val="003069B7"/>
    <w:rsid w:val="00312124"/>
    <w:rsid w:val="003144B0"/>
    <w:rsid w:val="003175A0"/>
    <w:rsid w:val="00317954"/>
    <w:rsid w:val="00317ED4"/>
    <w:rsid w:val="003209B4"/>
    <w:rsid w:val="00321C57"/>
    <w:rsid w:val="0032458E"/>
    <w:rsid w:val="003248FC"/>
    <w:rsid w:val="00327676"/>
    <w:rsid w:val="00334B41"/>
    <w:rsid w:val="003359D0"/>
    <w:rsid w:val="00335DFF"/>
    <w:rsid w:val="0034473B"/>
    <w:rsid w:val="00344819"/>
    <w:rsid w:val="00345110"/>
    <w:rsid w:val="003471B6"/>
    <w:rsid w:val="00347347"/>
    <w:rsid w:val="00351B38"/>
    <w:rsid w:val="0035335E"/>
    <w:rsid w:val="00355AA0"/>
    <w:rsid w:val="00357877"/>
    <w:rsid w:val="00357DAE"/>
    <w:rsid w:val="0036188B"/>
    <w:rsid w:val="00361F5D"/>
    <w:rsid w:val="00363F47"/>
    <w:rsid w:val="00365049"/>
    <w:rsid w:val="00365C06"/>
    <w:rsid w:val="003661F5"/>
    <w:rsid w:val="00366293"/>
    <w:rsid w:val="00370149"/>
    <w:rsid w:val="00370188"/>
    <w:rsid w:val="003706A7"/>
    <w:rsid w:val="00371C13"/>
    <w:rsid w:val="003738C5"/>
    <w:rsid w:val="00373F42"/>
    <w:rsid w:val="00374DEA"/>
    <w:rsid w:val="003757EB"/>
    <w:rsid w:val="00377F42"/>
    <w:rsid w:val="00377FA0"/>
    <w:rsid w:val="0038436C"/>
    <w:rsid w:val="00384512"/>
    <w:rsid w:val="00384942"/>
    <w:rsid w:val="0038526B"/>
    <w:rsid w:val="003859F1"/>
    <w:rsid w:val="00385A20"/>
    <w:rsid w:val="0038777D"/>
    <w:rsid w:val="003910E8"/>
    <w:rsid w:val="00391496"/>
    <w:rsid w:val="003973BE"/>
    <w:rsid w:val="003A0EFD"/>
    <w:rsid w:val="003A18F1"/>
    <w:rsid w:val="003A36D8"/>
    <w:rsid w:val="003A3963"/>
    <w:rsid w:val="003A7817"/>
    <w:rsid w:val="003B0CBE"/>
    <w:rsid w:val="003B251C"/>
    <w:rsid w:val="003B2674"/>
    <w:rsid w:val="003B26CB"/>
    <w:rsid w:val="003B2B51"/>
    <w:rsid w:val="003B358E"/>
    <w:rsid w:val="003B457A"/>
    <w:rsid w:val="003B5A67"/>
    <w:rsid w:val="003B681A"/>
    <w:rsid w:val="003C0758"/>
    <w:rsid w:val="003C133E"/>
    <w:rsid w:val="003C29B0"/>
    <w:rsid w:val="003C34C9"/>
    <w:rsid w:val="003C5B1B"/>
    <w:rsid w:val="003C5F88"/>
    <w:rsid w:val="003C6652"/>
    <w:rsid w:val="003C6A93"/>
    <w:rsid w:val="003D0A2B"/>
    <w:rsid w:val="003D0F4A"/>
    <w:rsid w:val="003D10E1"/>
    <w:rsid w:val="003D21F8"/>
    <w:rsid w:val="003D4812"/>
    <w:rsid w:val="003D4910"/>
    <w:rsid w:val="003D4E14"/>
    <w:rsid w:val="003D66F0"/>
    <w:rsid w:val="003E0E92"/>
    <w:rsid w:val="003E176F"/>
    <w:rsid w:val="003E2095"/>
    <w:rsid w:val="003E221C"/>
    <w:rsid w:val="003E231C"/>
    <w:rsid w:val="003E3C75"/>
    <w:rsid w:val="003E43A2"/>
    <w:rsid w:val="003E44B5"/>
    <w:rsid w:val="003E4E7F"/>
    <w:rsid w:val="003E69E7"/>
    <w:rsid w:val="003F19E8"/>
    <w:rsid w:val="003F1CA1"/>
    <w:rsid w:val="003F3182"/>
    <w:rsid w:val="003F37DA"/>
    <w:rsid w:val="003F3DEB"/>
    <w:rsid w:val="003F4390"/>
    <w:rsid w:val="003F590A"/>
    <w:rsid w:val="003F6FBA"/>
    <w:rsid w:val="003F708B"/>
    <w:rsid w:val="00400423"/>
    <w:rsid w:val="00401676"/>
    <w:rsid w:val="00401B9A"/>
    <w:rsid w:val="00402404"/>
    <w:rsid w:val="00404AE5"/>
    <w:rsid w:val="00406315"/>
    <w:rsid w:val="0040684C"/>
    <w:rsid w:val="00406EA6"/>
    <w:rsid w:val="00410E82"/>
    <w:rsid w:val="004142A5"/>
    <w:rsid w:val="0041449D"/>
    <w:rsid w:val="004146B3"/>
    <w:rsid w:val="004155E1"/>
    <w:rsid w:val="0041581B"/>
    <w:rsid w:val="00417B58"/>
    <w:rsid w:val="00421E0A"/>
    <w:rsid w:val="004221E8"/>
    <w:rsid w:val="004231CE"/>
    <w:rsid w:val="00423E7B"/>
    <w:rsid w:val="00424C63"/>
    <w:rsid w:val="0042596B"/>
    <w:rsid w:val="00426548"/>
    <w:rsid w:val="004271B8"/>
    <w:rsid w:val="00430153"/>
    <w:rsid w:val="00432083"/>
    <w:rsid w:val="00435340"/>
    <w:rsid w:val="00435C67"/>
    <w:rsid w:val="004403D9"/>
    <w:rsid w:val="0044054F"/>
    <w:rsid w:val="004423A2"/>
    <w:rsid w:val="00445AFA"/>
    <w:rsid w:val="00446554"/>
    <w:rsid w:val="004469B6"/>
    <w:rsid w:val="00446EC7"/>
    <w:rsid w:val="00447188"/>
    <w:rsid w:val="00453B0D"/>
    <w:rsid w:val="00456905"/>
    <w:rsid w:val="004610F0"/>
    <w:rsid w:val="004620C9"/>
    <w:rsid w:val="00464F45"/>
    <w:rsid w:val="00465482"/>
    <w:rsid w:val="00466F62"/>
    <w:rsid w:val="00467BD8"/>
    <w:rsid w:val="00470058"/>
    <w:rsid w:val="00473C90"/>
    <w:rsid w:val="0048570E"/>
    <w:rsid w:val="00485AE5"/>
    <w:rsid w:val="00486268"/>
    <w:rsid w:val="004866EC"/>
    <w:rsid w:val="004872E3"/>
    <w:rsid w:val="00490246"/>
    <w:rsid w:val="00490D95"/>
    <w:rsid w:val="004910F4"/>
    <w:rsid w:val="00493CEC"/>
    <w:rsid w:val="0049632A"/>
    <w:rsid w:val="0049709F"/>
    <w:rsid w:val="004A0974"/>
    <w:rsid w:val="004A0CF5"/>
    <w:rsid w:val="004A56CE"/>
    <w:rsid w:val="004A7567"/>
    <w:rsid w:val="004A779A"/>
    <w:rsid w:val="004A7F16"/>
    <w:rsid w:val="004B0FDC"/>
    <w:rsid w:val="004B157C"/>
    <w:rsid w:val="004B26D8"/>
    <w:rsid w:val="004B4575"/>
    <w:rsid w:val="004B458F"/>
    <w:rsid w:val="004B58A2"/>
    <w:rsid w:val="004C028F"/>
    <w:rsid w:val="004C067E"/>
    <w:rsid w:val="004C11A3"/>
    <w:rsid w:val="004C155C"/>
    <w:rsid w:val="004C18CE"/>
    <w:rsid w:val="004C1D28"/>
    <w:rsid w:val="004C2EAB"/>
    <w:rsid w:val="004C30D9"/>
    <w:rsid w:val="004C33F3"/>
    <w:rsid w:val="004C54B5"/>
    <w:rsid w:val="004C6CD9"/>
    <w:rsid w:val="004D09D9"/>
    <w:rsid w:val="004D14EF"/>
    <w:rsid w:val="004D19EA"/>
    <w:rsid w:val="004D3946"/>
    <w:rsid w:val="004D675D"/>
    <w:rsid w:val="004D77A3"/>
    <w:rsid w:val="004E0024"/>
    <w:rsid w:val="004E0F0E"/>
    <w:rsid w:val="004E22FA"/>
    <w:rsid w:val="004E31F7"/>
    <w:rsid w:val="004E4351"/>
    <w:rsid w:val="004E43D5"/>
    <w:rsid w:val="004E675F"/>
    <w:rsid w:val="004E7C1D"/>
    <w:rsid w:val="004E7D27"/>
    <w:rsid w:val="004E7D9E"/>
    <w:rsid w:val="004F264F"/>
    <w:rsid w:val="004F2706"/>
    <w:rsid w:val="004F2D9C"/>
    <w:rsid w:val="004F3575"/>
    <w:rsid w:val="004F4814"/>
    <w:rsid w:val="004F5923"/>
    <w:rsid w:val="004F6967"/>
    <w:rsid w:val="005001E8"/>
    <w:rsid w:val="005009DB"/>
    <w:rsid w:val="00501E01"/>
    <w:rsid w:val="00502D2A"/>
    <w:rsid w:val="005038DE"/>
    <w:rsid w:val="00504138"/>
    <w:rsid w:val="005057F6"/>
    <w:rsid w:val="00506327"/>
    <w:rsid w:val="005069A3"/>
    <w:rsid w:val="00507C42"/>
    <w:rsid w:val="00507E5E"/>
    <w:rsid w:val="005100D7"/>
    <w:rsid w:val="00512C6A"/>
    <w:rsid w:val="00523B47"/>
    <w:rsid w:val="00525256"/>
    <w:rsid w:val="00527937"/>
    <w:rsid w:val="00530DC9"/>
    <w:rsid w:val="00532C27"/>
    <w:rsid w:val="00536C71"/>
    <w:rsid w:val="00537F5C"/>
    <w:rsid w:val="00542216"/>
    <w:rsid w:val="00543FD0"/>
    <w:rsid w:val="00546A4C"/>
    <w:rsid w:val="00547210"/>
    <w:rsid w:val="005564FB"/>
    <w:rsid w:val="0055690F"/>
    <w:rsid w:val="00557120"/>
    <w:rsid w:val="00560492"/>
    <w:rsid w:val="00560E4F"/>
    <w:rsid w:val="0056508D"/>
    <w:rsid w:val="00565C26"/>
    <w:rsid w:val="00565D10"/>
    <w:rsid w:val="00565DCB"/>
    <w:rsid w:val="00566BD7"/>
    <w:rsid w:val="00571118"/>
    <w:rsid w:val="0057182C"/>
    <w:rsid w:val="0057342C"/>
    <w:rsid w:val="00573E54"/>
    <w:rsid w:val="00574080"/>
    <w:rsid w:val="00576F5E"/>
    <w:rsid w:val="00580864"/>
    <w:rsid w:val="00580E34"/>
    <w:rsid w:val="00581228"/>
    <w:rsid w:val="00581C5E"/>
    <w:rsid w:val="00583BBD"/>
    <w:rsid w:val="00584D90"/>
    <w:rsid w:val="005859C0"/>
    <w:rsid w:val="00586E86"/>
    <w:rsid w:val="00587FB1"/>
    <w:rsid w:val="005915E7"/>
    <w:rsid w:val="005920F7"/>
    <w:rsid w:val="00595CC0"/>
    <w:rsid w:val="005A0230"/>
    <w:rsid w:val="005A0E94"/>
    <w:rsid w:val="005A2A98"/>
    <w:rsid w:val="005A5234"/>
    <w:rsid w:val="005A54B7"/>
    <w:rsid w:val="005B0E79"/>
    <w:rsid w:val="005B14E6"/>
    <w:rsid w:val="005B27E8"/>
    <w:rsid w:val="005B48D4"/>
    <w:rsid w:val="005B57A3"/>
    <w:rsid w:val="005B6D80"/>
    <w:rsid w:val="005B7144"/>
    <w:rsid w:val="005B72DE"/>
    <w:rsid w:val="005B74BD"/>
    <w:rsid w:val="005B76AB"/>
    <w:rsid w:val="005B7DCE"/>
    <w:rsid w:val="005C08DF"/>
    <w:rsid w:val="005C2011"/>
    <w:rsid w:val="005C2817"/>
    <w:rsid w:val="005C28EE"/>
    <w:rsid w:val="005C3BEA"/>
    <w:rsid w:val="005C69E8"/>
    <w:rsid w:val="005C7C32"/>
    <w:rsid w:val="005D0E8D"/>
    <w:rsid w:val="005D2A8A"/>
    <w:rsid w:val="005D3784"/>
    <w:rsid w:val="005D59CB"/>
    <w:rsid w:val="005D6E21"/>
    <w:rsid w:val="005D72D7"/>
    <w:rsid w:val="005D74FD"/>
    <w:rsid w:val="005D7A30"/>
    <w:rsid w:val="005E03B9"/>
    <w:rsid w:val="005E0E3B"/>
    <w:rsid w:val="005E4256"/>
    <w:rsid w:val="005E63EA"/>
    <w:rsid w:val="005E6B36"/>
    <w:rsid w:val="005F211A"/>
    <w:rsid w:val="005F22FD"/>
    <w:rsid w:val="005F2C58"/>
    <w:rsid w:val="005F4197"/>
    <w:rsid w:val="005F426B"/>
    <w:rsid w:val="005F49B7"/>
    <w:rsid w:val="005F57C9"/>
    <w:rsid w:val="005F65F1"/>
    <w:rsid w:val="005F6D86"/>
    <w:rsid w:val="005F756A"/>
    <w:rsid w:val="005F7B2E"/>
    <w:rsid w:val="005F7F0A"/>
    <w:rsid w:val="0060007F"/>
    <w:rsid w:val="00600C7C"/>
    <w:rsid w:val="00601825"/>
    <w:rsid w:val="00603D10"/>
    <w:rsid w:val="00613AB7"/>
    <w:rsid w:val="0061404D"/>
    <w:rsid w:val="00614163"/>
    <w:rsid w:val="00620E25"/>
    <w:rsid w:val="006219E3"/>
    <w:rsid w:val="00621A76"/>
    <w:rsid w:val="0063098A"/>
    <w:rsid w:val="00636A8C"/>
    <w:rsid w:val="00636F1C"/>
    <w:rsid w:val="00641ABE"/>
    <w:rsid w:val="00643001"/>
    <w:rsid w:val="00643038"/>
    <w:rsid w:val="006464D3"/>
    <w:rsid w:val="00646F26"/>
    <w:rsid w:val="00647D47"/>
    <w:rsid w:val="00650DAA"/>
    <w:rsid w:val="00651912"/>
    <w:rsid w:val="00651D47"/>
    <w:rsid w:val="0065420A"/>
    <w:rsid w:val="00654DED"/>
    <w:rsid w:val="006557F2"/>
    <w:rsid w:val="00655C4C"/>
    <w:rsid w:val="00660031"/>
    <w:rsid w:val="0066009A"/>
    <w:rsid w:val="0066024E"/>
    <w:rsid w:val="0066088C"/>
    <w:rsid w:val="00664149"/>
    <w:rsid w:val="006645DA"/>
    <w:rsid w:val="006646FC"/>
    <w:rsid w:val="00666964"/>
    <w:rsid w:val="006716FC"/>
    <w:rsid w:val="00675530"/>
    <w:rsid w:val="00676118"/>
    <w:rsid w:val="00676242"/>
    <w:rsid w:val="0067701F"/>
    <w:rsid w:val="00677A88"/>
    <w:rsid w:val="006808A9"/>
    <w:rsid w:val="00681C09"/>
    <w:rsid w:val="00682EBF"/>
    <w:rsid w:val="00683779"/>
    <w:rsid w:val="00685E97"/>
    <w:rsid w:val="00687AA4"/>
    <w:rsid w:val="006914E5"/>
    <w:rsid w:val="00691DDB"/>
    <w:rsid w:val="006930CF"/>
    <w:rsid w:val="0069457E"/>
    <w:rsid w:val="006956E8"/>
    <w:rsid w:val="00695D2D"/>
    <w:rsid w:val="0069672E"/>
    <w:rsid w:val="0069680B"/>
    <w:rsid w:val="006A09D9"/>
    <w:rsid w:val="006A16AA"/>
    <w:rsid w:val="006A5C31"/>
    <w:rsid w:val="006A71FF"/>
    <w:rsid w:val="006A7C3F"/>
    <w:rsid w:val="006B0F59"/>
    <w:rsid w:val="006B5700"/>
    <w:rsid w:val="006B690F"/>
    <w:rsid w:val="006B6940"/>
    <w:rsid w:val="006C002D"/>
    <w:rsid w:val="006C0F18"/>
    <w:rsid w:val="006C17CD"/>
    <w:rsid w:val="006C1F56"/>
    <w:rsid w:val="006C6167"/>
    <w:rsid w:val="006C6703"/>
    <w:rsid w:val="006C6F9E"/>
    <w:rsid w:val="006D4552"/>
    <w:rsid w:val="006D7B97"/>
    <w:rsid w:val="006E004B"/>
    <w:rsid w:val="006E0067"/>
    <w:rsid w:val="006E0805"/>
    <w:rsid w:val="006E0AD5"/>
    <w:rsid w:val="006E2E58"/>
    <w:rsid w:val="006E4594"/>
    <w:rsid w:val="006E4C08"/>
    <w:rsid w:val="006E55A0"/>
    <w:rsid w:val="006E68CF"/>
    <w:rsid w:val="006E6AA8"/>
    <w:rsid w:val="006E708E"/>
    <w:rsid w:val="006E714A"/>
    <w:rsid w:val="006F0034"/>
    <w:rsid w:val="006F0431"/>
    <w:rsid w:val="006F12C0"/>
    <w:rsid w:val="006F1793"/>
    <w:rsid w:val="006F1D00"/>
    <w:rsid w:val="006F38B1"/>
    <w:rsid w:val="006F420C"/>
    <w:rsid w:val="006F491C"/>
    <w:rsid w:val="006F5372"/>
    <w:rsid w:val="006F6B89"/>
    <w:rsid w:val="0070069F"/>
    <w:rsid w:val="00704145"/>
    <w:rsid w:val="0070646F"/>
    <w:rsid w:val="00706A3E"/>
    <w:rsid w:val="00707550"/>
    <w:rsid w:val="00707943"/>
    <w:rsid w:val="0071061B"/>
    <w:rsid w:val="007116F0"/>
    <w:rsid w:val="00711BDD"/>
    <w:rsid w:val="00712D65"/>
    <w:rsid w:val="007142C2"/>
    <w:rsid w:val="0071697C"/>
    <w:rsid w:val="00717ED7"/>
    <w:rsid w:val="007213CC"/>
    <w:rsid w:val="00722D93"/>
    <w:rsid w:val="007249F0"/>
    <w:rsid w:val="00725E0B"/>
    <w:rsid w:val="00727A3B"/>
    <w:rsid w:val="00727C12"/>
    <w:rsid w:val="00727EA2"/>
    <w:rsid w:val="0073119E"/>
    <w:rsid w:val="00732896"/>
    <w:rsid w:val="0073389F"/>
    <w:rsid w:val="007352AD"/>
    <w:rsid w:val="007359FE"/>
    <w:rsid w:val="00735C05"/>
    <w:rsid w:val="0073635C"/>
    <w:rsid w:val="00736BCB"/>
    <w:rsid w:val="0073706B"/>
    <w:rsid w:val="007371C1"/>
    <w:rsid w:val="007374EA"/>
    <w:rsid w:val="00742823"/>
    <w:rsid w:val="0074652A"/>
    <w:rsid w:val="00746FE8"/>
    <w:rsid w:val="00747CFA"/>
    <w:rsid w:val="00747D86"/>
    <w:rsid w:val="00753B71"/>
    <w:rsid w:val="00753ECE"/>
    <w:rsid w:val="00753FF8"/>
    <w:rsid w:val="007546D8"/>
    <w:rsid w:val="00754E0B"/>
    <w:rsid w:val="00754EF1"/>
    <w:rsid w:val="00755199"/>
    <w:rsid w:val="00755B74"/>
    <w:rsid w:val="007576CE"/>
    <w:rsid w:val="0076116C"/>
    <w:rsid w:val="00761641"/>
    <w:rsid w:val="007619E3"/>
    <w:rsid w:val="00762A6A"/>
    <w:rsid w:val="007663AA"/>
    <w:rsid w:val="00770F97"/>
    <w:rsid w:val="00772EB7"/>
    <w:rsid w:val="00772FBA"/>
    <w:rsid w:val="00773024"/>
    <w:rsid w:val="00774E09"/>
    <w:rsid w:val="00774F3A"/>
    <w:rsid w:val="007750EE"/>
    <w:rsid w:val="007757FA"/>
    <w:rsid w:val="007828FE"/>
    <w:rsid w:val="0078530C"/>
    <w:rsid w:val="00786913"/>
    <w:rsid w:val="00786F75"/>
    <w:rsid w:val="007870B4"/>
    <w:rsid w:val="0078764C"/>
    <w:rsid w:val="00790C66"/>
    <w:rsid w:val="0079260A"/>
    <w:rsid w:val="00793131"/>
    <w:rsid w:val="00794021"/>
    <w:rsid w:val="007A0E15"/>
    <w:rsid w:val="007A164C"/>
    <w:rsid w:val="007A5A60"/>
    <w:rsid w:val="007B11AB"/>
    <w:rsid w:val="007B1960"/>
    <w:rsid w:val="007B199A"/>
    <w:rsid w:val="007B1E5B"/>
    <w:rsid w:val="007B1F50"/>
    <w:rsid w:val="007B29F6"/>
    <w:rsid w:val="007B4030"/>
    <w:rsid w:val="007B57A2"/>
    <w:rsid w:val="007B598A"/>
    <w:rsid w:val="007B6945"/>
    <w:rsid w:val="007B7D87"/>
    <w:rsid w:val="007C0D05"/>
    <w:rsid w:val="007C1686"/>
    <w:rsid w:val="007C1B99"/>
    <w:rsid w:val="007C2103"/>
    <w:rsid w:val="007C37DA"/>
    <w:rsid w:val="007C3A2A"/>
    <w:rsid w:val="007C3BA8"/>
    <w:rsid w:val="007C3DFB"/>
    <w:rsid w:val="007C57F3"/>
    <w:rsid w:val="007C753E"/>
    <w:rsid w:val="007D2A35"/>
    <w:rsid w:val="007D2FBF"/>
    <w:rsid w:val="007D47D5"/>
    <w:rsid w:val="007D65DA"/>
    <w:rsid w:val="007D6DFE"/>
    <w:rsid w:val="007E53A8"/>
    <w:rsid w:val="007F1B9C"/>
    <w:rsid w:val="007F3526"/>
    <w:rsid w:val="007F4E90"/>
    <w:rsid w:val="007F5285"/>
    <w:rsid w:val="007F55AA"/>
    <w:rsid w:val="007F5E7B"/>
    <w:rsid w:val="007F5E83"/>
    <w:rsid w:val="007F6F32"/>
    <w:rsid w:val="007F7285"/>
    <w:rsid w:val="007F7A05"/>
    <w:rsid w:val="007F7F1F"/>
    <w:rsid w:val="00800265"/>
    <w:rsid w:val="0080108C"/>
    <w:rsid w:val="00801152"/>
    <w:rsid w:val="008107AB"/>
    <w:rsid w:val="00810968"/>
    <w:rsid w:val="00810CDE"/>
    <w:rsid w:val="00811A68"/>
    <w:rsid w:val="00814232"/>
    <w:rsid w:val="00815454"/>
    <w:rsid w:val="00815E23"/>
    <w:rsid w:val="00816DBB"/>
    <w:rsid w:val="00820553"/>
    <w:rsid w:val="00821B67"/>
    <w:rsid w:val="00821F5B"/>
    <w:rsid w:val="00822EDA"/>
    <w:rsid w:val="0082308D"/>
    <w:rsid w:val="00824996"/>
    <w:rsid w:val="00830C9F"/>
    <w:rsid w:val="00832177"/>
    <w:rsid w:val="00833E90"/>
    <w:rsid w:val="008375DA"/>
    <w:rsid w:val="0083764A"/>
    <w:rsid w:val="008419BB"/>
    <w:rsid w:val="0084202C"/>
    <w:rsid w:val="00843251"/>
    <w:rsid w:val="00845383"/>
    <w:rsid w:val="00845DE0"/>
    <w:rsid w:val="00846F96"/>
    <w:rsid w:val="00850773"/>
    <w:rsid w:val="00852461"/>
    <w:rsid w:val="00852772"/>
    <w:rsid w:val="008533F6"/>
    <w:rsid w:val="008547DA"/>
    <w:rsid w:val="00854C11"/>
    <w:rsid w:val="0085555D"/>
    <w:rsid w:val="00855B36"/>
    <w:rsid w:val="0085641E"/>
    <w:rsid w:val="00857CEF"/>
    <w:rsid w:val="008619B9"/>
    <w:rsid w:val="00861AB1"/>
    <w:rsid w:val="008622C9"/>
    <w:rsid w:val="00862A53"/>
    <w:rsid w:val="00865A95"/>
    <w:rsid w:val="008706B0"/>
    <w:rsid w:val="00870A2B"/>
    <w:rsid w:val="00871A1D"/>
    <w:rsid w:val="00872154"/>
    <w:rsid w:val="0087447A"/>
    <w:rsid w:val="008747DD"/>
    <w:rsid w:val="00874AF5"/>
    <w:rsid w:val="00874BFB"/>
    <w:rsid w:val="0087533F"/>
    <w:rsid w:val="00877D22"/>
    <w:rsid w:val="00882E3D"/>
    <w:rsid w:val="0088365B"/>
    <w:rsid w:val="00884447"/>
    <w:rsid w:val="008906FB"/>
    <w:rsid w:val="00892EB9"/>
    <w:rsid w:val="00892F81"/>
    <w:rsid w:val="0089333E"/>
    <w:rsid w:val="0089461A"/>
    <w:rsid w:val="00895901"/>
    <w:rsid w:val="00895909"/>
    <w:rsid w:val="0089696D"/>
    <w:rsid w:val="00896DCA"/>
    <w:rsid w:val="0089791E"/>
    <w:rsid w:val="008A35C2"/>
    <w:rsid w:val="008A37FB"/>
    <w:rsid w:val="008A587C"/>
    <w:rsid w:val="008A5B96"/>
    <w:rsid w:val="008A6800"/>
    <w:rsid w:val="008A75FC"/>
    <w:rsid w:val="008A7827"/>
    <w:rsid w:val="008B254E"/>
    <w:rsid w:val="008B45E2"/>
    <w:rsid w:val="008C1270"/>
    <w:rsid w:val="008C4197"/>
    <w:rsid w:val="008C4785"/>
    <w:rsid w:val="008C689E"/>
    <w:rsid w:val="008C7043"/>
    <w:rsid w:val="008C7DDE"/>
    <w:rsid w:val="008D25C3"/>
    <w:rsid w:val="008D343D"/>
    <w:rsid w:val="008D496E"/>
    <w:rsid w:val="008D531D"/>
    <w:rsid w:val="008D5592"/>
    <w:rsid w:val="008D67BB"/>
    <w:rsid w:val="008E15A3"/>
    <w:rsid w:val="008E312C"/>
    <w:rsid w:val="008E3C38"/>
    <w:rsid w:val="008E5219"/>
    <w:rsid w:val="008E5C7C"/>
    <w:rsid w:val="008E5CE3"/>
    <w:rsid w:val="008E6EAD"/>
    <w:rsid w:val="008E71B8"/>
    <w:rsid w:val="008E7A3B"/>
    <w:rsid w:val="008F1D3B"/>
    <w:rsid w:val="008F29D9"/>
    <w:rsid w:val="008F3265"/>
    <w:rsid w:val="008F4036"/>
    <w:rsid w:val="008F55E2"/>
    <w:rsid w:val="00905413"/>
    <w:rsid w:val="0090708F"/>
    <w:rsid w:val="00910712"/>
    <w:rsid w:val="009114FA"/>
    <w:rsid w:val="0091185E"/>
    <w:rsid w:val="00913049"/>
    <w:rsid w:val="00914C1C"/>
    <w:rsid w:val="00915344"/>
    <w:rsid w:val="00915BFF"/>
    <w:rsid w:val="00915D1C"/>
    <w:rsid w:val="00920A07"/>
    <w:rsid w:val="0092334F"/>
    <w:rsid w:val="009242DA"/>
    <w:rsid w:val="00924642"/>
    <w:rsid w:val="00924AB2"/>
    <w:rsid w:val="00926A52"/>
    <w:rsid w:val="00927C77"/>
    <w:rsid w:val="00930015"/>
    <w:rsid w:val="009313D6"/>
    <w:rsid w:val="00931FC4"/>
    <w:rsid w:val="009326A4"/>
    <w:rsid w:val="00932EB0"/>
    <w:rsid w:val="00933236"/>
    <w:rsid w:val="009334DD"/>
    <w:rsid w:val="00933CB5"/>
    <w:rsid w:val="0093530C"/>
    <w:rsid w:val="00935BA2"/>
    <w:rsid w:val="0093611D"/>
    <w:rsid w:val="009365B5"/>
    <w:rsid w:val="00937FB8"/>
    <w:rsid w:val="00941198"/>
    <w:rsid w:val="00942C33"/>
    <w:rsid w:val="0095146A"/>
    <w:rsid w:val="00954F2A"/>
    <w:rsid w:val="00956799"/>
    <w:rsid w:val="00957E5F"/>
    <w:rsid w:val="0096001B"/>
    <w:rsid w:val="00960201"/>
    <w:rsid w:val="00960762"/>
    <w:rsid w:val="0096086D"/>
    <w:rsid w:val="009609D3"/>
    <w:rsid w:val="00960EC6"/>
    <w:rsid w:val="009639A7"/>
    <w:rsid w:val="009642C4"/>
    <w:rsid w:val="00964916"/>
    <w:rsid w:val="00965983"/>
    <w:rsid w:val="00971378"/>
    <w:rsid w:val="0097145A"/>
    <w:rsid w:val="00971978"/>
    <w:rsid w:val="00971B41"/>
    <w:rsid w:val="009736D1"/>
    <w:rsid w:val="0097387E"/>
    <w:rsid w:val="00973D32"/>
    <w:rsid w:val="00974993"/>
    <w:rsid w:val="00974C05"/>
    <w:rsid w:val="00976186"/>
    <w:rsid w:val="009766AB"/>
    <w:rsid w:val="00976935"/>
    <w:rsid w:val="00976F35"/>
    <w:rsid w:val="00977819"/>
    <w:rsid w:val="0098215D"/>
    <w:rsid w:val="00985E12"/>
    <w:rsid w:val="00986B0E"/>
    <w:rsid w:val="00991451"/>
    <w:rsid w:val="009A0EF0"/>
    <w:rsid w:val="009A1C9B"/>
    <w:rsid w:val="009A5508"/>
    <w:rsid w:val="009A581C"/>
    <w:rsid w:val="009A6B14"/>
    <w:rsid w:val="009B17C0"/>
    <w:rsid w:val="009B2533"/>
    <w:rsid w:val="009B2BAB"/>
    <w:rsid w:val="009B582C"/>
    <w:rsid w:val="009C117D"/>
    <w:rsid w:val="009C2BE9"/>
    <w:rsid w:val="009C3DF7"/>
    <w:rsid w:val="009C6882"/>
    <w:rsid w:val="009C789F"/>
    <w:rsid w:val="009D0ABB"/>
    <w:rsid w:val="009D1724"/>
    <w:rsid w:val="009D2933"/>
    <w:rsid w:val="009D2E9D"/>
    <w:rsid w:val="009D4A88"/>
    <w:rsid w:val="009D5CE8"/>
    <w:rsid w:val="009D5E0B"/>
    <w:rsid w:val="009D751D"/>
    <w:rsid w:val="009E100F"/>
    <w:rsid w:val="009E13AE"/>
    <w:rsid w:val="009E162B"/>
    <w:rsid w:val="009E1E6B"/>
    <w:rsid w:val="009E3B1A"/>
    <w:rsid w:val="009E4698"/>
    <w:rsid w:val="009E4F00"/>
    <w:rsid w:val="009E53D4"/>
    <w:rsid w:val="009E6382"/>
    <w:rsid w:val="009E755D"/>
    <w:rsid w:val="009F09FA"/>
    <w:rsid w:val="009F2368"/>
    <w:rsid w:val="009F28FE"/>
    <w:rsid w:val="009F3CFB"/>
    <w:rsid w:val="009F4A5A"/>
    <w:rsid w:val="009F5E53"/>
    <w:rsid w:val="00A00529"/>
    <w:rsid w:val="00A00AF0"/>
    <w:rsid w:val="00A033A9"/>
    <w:rsid w:val="00A0345D"/>
    <w:rsid w:val="00A0466F"/>
    <w:rsid w:val="00A057C2"/>
    <w:rsid w:val="00A1211D"/>
    <w:rsid w:val="00A12303"/>
    <w:rsid w:val="00A133EF"/>
    <w:rsid w:val="00A14D26"/>
    <w:rsid w:val="00A15831"/>
    <w:rsid w:val="00A15836"/>
    <w:rsid w:val="00A158B1"/>
    <w:rsid w:val="00A1610D"/>
    <w:rsid w:val="00A166BE"/>
    <w:rsid w:val="00A17F25"/>
    <w:rsid w:val="00A252CE"/>
    <w:rsid w:val="00A2555F"/>
    <w:rsid w:val="00A25AAC"/>
    <w:rsid w:val="00A25BFB"/>
    <w:rsid w:val="00A25F0C"/>
    <w:rsid w:val="00A2674C"/>
    <w:rsid w:val="00A2764B"/>
    <w:rsid w:val="00A314A0"/>
    <w:rsid w:val="00A32E52"/>
    <w:rsid w:val="00A33AE7"/>
    <w:rsid w:val="00A33AF6"/>
    <w:rsid w:val="00A3467E"/>
    <w:rsid w:val="00A3609B"/>
    <w:rsid w:val="00A3776F"/>
    <w:rsid w:val="00A378CC"/>
    <w:rsid w:val="00A40433"/>
    <w:rsid w:val="00A40735"/>
    <w:rsid w:val="00A408DE"/>
    <w:rsid w:val="00A424BE"/>
    <w:rsid w:val="00A428AE"/>
    <w:rsid w:val="00A42C0B"/>
    <w:rsid w:val="00A42DE7"/>
    <w:rsid w:val="00A42DFC"/>
    <w:rsid w:val="00A440BF"/>
    <w:rsid w:val="00A475A8"/>
    <w:rsid w:val="00A5126B"/>
    <w:rsid w:val="00A52C4A"/>
    <w:rsid w:val="00A54ADA"/>
    <w:rsid w:val="00A605BE"/>
    <w:rsid w:val="00A6088D"/>
    <w:rsid w:val="00A60EA7"/>
    <w:rsid w:val="00A6152B"/>
    <w:rsid w:val="00A621AA"/>
    <w:rsid w:val="00A63893"/>
    <w:rsid w:val="00A66A07"/>
    <w:rsid w:val="00A66BD7"/>
    <w:rsid w:val="00A66C37"/>
    <w:rsid w:val="00A6733E"/>
    <w:rsid w:val="00A70636"/>
    <w:rsid w:val="00A736FC"/>
    <w:rsid w:val="00A745E5"/>
    <w:rsid w:val="00A757E4"/>
    <w:rsid w:val="00A76756"/>
    <w:rsid w:val="00A7719D"/>
    <w:rsid w:val="00A778AA"/>
    <w:rsid w:val="00A77C15"/>
    <w:rsid w:val="00A81FF5"/>
    <w:rsid w:val="00A82AD6"/>
    <w:rsid w:val="00A83B70"/>
    <w:rsid w:val="00A852BF"/>
    <w:rsid w:val="00A94053"/>
    <w:rsid w:val="00A95311"/>
    <w:rsid w:val="00A95BB8"/>
    <w:rsid w:val="00A9620F"/>
    <w:rsid w:val="00A966D6"/>
    <w:rsid w:val="00A969F7"/>
    <w:rsid w:val="00A96D15"/>
    <w:rsid w:val="00A97336"/>
    <w:rsid w:val="00AA16D5"/>
    <w:rsid w:val="00AA3C7E"/>
    <w:rsid w:val="00AA4110"/>
    <w:rsid w:val="00AA4CAD"/>
    <w:rsid w:val="00AA55B6"/>
    <w:rsid w:val="00AA5AEB"/>
    <w:rsid w:val="00AA60D1"/>
    <w:rsid w:val="00AA7E81"/>
    <w:rsid w:val="00AB0950"/>
    <w:rsid w:val="00AB1912"/>
    <w:rsid w:val="00AB259D"/>
    <w:rsid w:val="00AB290B"/>
    <w:rsid w:val="00AB5166"/>
    <w:rsid w:val="00AB51AE"/>
    <w:rsid w:val="00AB620A"/>
    <w:rsid w:val="00AC1070"/>
    <w:rsid w:val="00AC13F4"/>
    <w:rsid w:val="00AC170B"/>
    <w:rsid w:val="00AC1C32"/>
    <w:rsid w:val="00AC3041"/>
    <w:rsid w:val="00AC5927"/>
    <w:rsid w:val="00AC6C77"/>
    <w:rsid w:val="00AC6DA9"/>
    <w:rsid w:val="00AC7684"/>
    <w:rsid w:val="00AD09B1"/>
    <w:rsid w:val="00AD0B0A"/>
    <w:rsid w:val="00AD219C"/>
    <w:rsid w:val="00AE4010"/>
    <w:rsid w:val="00AE4065"/>
    <w:rsid w:val="00AE40E3"/>
    <w:rsid w:val="00AE7638"/>
    <w:rsid w:val="00AE7F98"/>
    <w:rsid w:val="00AF2641"/>
    <w:rsid w:val="00AF2774"/>
    <w:rsid w:val="00AF33CF"/>
    <w:rsid w:val="00AF772C"/>
    <w:rsid w:val="00B00AEC"/>
    <w:rsid w:val="00B0303C"/>
    <w:rsid w:val="00B046CF"/>
    <w:rsid w:val="00B05813"/>
    <w:rsid w:val="00B076DA"/>
    <w:rsid w:val="00B07C79"/>
    <w:rsid w:val="00B11B26"/>
    <w:rsid w:val="00B12486"/>
    <w:rsid w:val="00B12F9C"/>
    <w:rsid w:val="00B1317F"/>
    <w:rsid w:val="00B14B5E"/>
    <w:rsid w:val="00B165BF"/>
    <w:rsid w:val="00B1728C"/>
    <w:rsid w:val="00B17336"/>
    <w:rsid w:val="00B200F8"/>
    <w:rsid w:val="00B2026C"/>
    <w:rsid w:val="00B2049C"/>
    <w:rsid w:val="00B2072E"/>
    <w:rsid w:val="00B20D5D"/>
    <w:rsid w:val="00B218CA"/>
    <w:rsid w:val="00B22C04"/>
    <w:rsid w:val="00B22D72"/>
    <w:rsid w:val="00B240F9"/>
    <w:rsid w:val="00B26787"/>
    <w:rsid w:val="00B26B70"/>
    <w:rsid w:val="00B330BC"/>
    <w:rsid w:val="00B34817"/>
    <w:rsid w:val="00B367F8"/>
    <w:rsid w:val="00B36834"/>
    <w:rsid w:val="00B41B01"/>
    <w:rsid w:val="00B41CAC"/>
    <w:rsid w:val="00B41D10"/>
    <w:rsid w:val="00B41E5A"/>
    <w:rsid w:val="00B42D75"/>
    <w:rsid w:val="00B438B8"/>
    <w:rsid w:val="00B43D4B"/>
    <w:rsid w:val="00B44EF3"/>
    <w:rsid w:val="00B46C12"/>
    <w:rsid w:val="00B471E7"/>
    <w:rsid w:val="00B50DC2"/>
    <w:rsid w:val="00B53809"/>
    <w:rsid w:val="00B53864"/>
    <w:rsid w:val="00B5514E"/>
    <w:rsid w:val="00B554BD"/>
    <w:rsid w:val="00B569C4"/>
    <w:rsid w:val="00B604D2"/>
    <w:rsid w:val="00B62353"/>
    <w:rsid w:val="00B62C82"/>
    <w:rsid w:val="00B631CB"/>
    <w:rsid w:val="00B64254"/>
    <w:rsid w:val="00B646AD"/>
    <w:rsid w:val="00B64F40"/>
    <w:rsid w:val="00B70A8A"/>
    <w:rsid w:val="00B70FF4"/>
    <w:rsid w:val="00B72CCE"/>
    <w:rsid w:val="00B7532C"/>
    <w:rsid w:val="00B75A21"/>
    <w:rsid w:val="00B76B69"/>
    <w:rsid w:val="00B80E75"/>
    <w:rsid w:val="00B81D8E"/>
    <w:rsid w:val="00B82597"/>
    <w:rsid w:val="00B825B9"/>
    <w:rsid w:val="00B84F41"/>
    <w:rsid w:val="00B90186"/>
    <w:rsid w:val="00B9235E"/>
    <w:rsid w:val="00B926A6"/>
    <w:rsid w:val="00B93439"/>
    <w:rsid w:val="00B9412E"/>
    <w:rsid w:val="00B95FB2"/>
    <w:rsid w:val="00B96F02"/>
    <w:rsid w:val="00BA0C48"/>
    <w:rsid w:val="00BA1C04"/>
    <w:rsid w:val="00BA3B08"/>
    <w:rsid w:val="00BA41CB"/>
    <w:rsid w:val="00BA441C"/>
    <w:rsid w:val="00BA6096"/>
    <w:rsid w:val="00BA7469"/>
    <w:rsid w:val="00BB513B"/>
    <w:rsid w:val="00BB5445"/>
    <w:rsid w:val="00BC0EA0"/>
    <w:rsid w:val="00BC345B"/>
    <w:rsid w:val="00BC348D"/>
    <w:rsid w:val="00BC644F"/>
    <w:rsid w:val="00BC7376"/>
    <w:rsid w:val="00BD04A1"/>
    <w:rsid w:val="00BD153F"/>
    <w:rsid w:val="00BD2562"/>
    <w:rsid w:val="00BD49BB"/>
    <w:rsid w:val="00BD5157"/>
    <w:rsid w:val="00BD6BE1"/>
    <w:rsid w:val="00BE1769"/>
    <w:rsid w:val="00BE2B1D"/>
    <w:rsid w:val="00BE33A0"/>
    <w:rsid w:val="00BF08A9"/>
    <w:rsid w:val="00BF0E43"/>
    <w:rsid w:val="00BF1A18"/>
    <w:rsid w:val="00BF1DDF"/>
    <w:rsid w:val="00BF281B"/>
    <w:rsid w:val="00BF4C5D"/>
    <w:rsid w:val="00BF508D"/>
    <w:rsid w:val="00BF5AB4"/>
    <w:rsid w:val="00BF5DBD"/>
    <w:rsid w:val="00BF6571"/>
    <w:rsid w:val="00BF6740"/>
    <w:rsid w:val="00C0143F"/>
    <w:rsid w:val="00C03729"/>
    <w:rsid w:val="00C04DE5"/>
    <w:rsid w:val="00C06BE9"/>
    <w:rsid w:val="00C10E3D"/>
    <w:rsid w:val="00C11C31"/>
    <w:rsid w:val="00C120FB"/>
    <w:rsid w:val="00C12848"/>
    <w:rsid w:val="00C135E5"/>
    <w:rsid w:val="00C13E69"/>
    <w:rsid w:val="00C1792A"/>
    <w:rsid w:val="00C21088"/>
    <w:rsid w:val="00C211BB"/>
    <w:rsid w:val="00C22940"/>
    <w:rsid w:val="00C23214"/>
    <w:rsid w:val="00C239C2"/>
    <w:rsid w:val="00C241DE"/>
    <w:rsid w:val="00C245CF"/>
    <w:rsid w:val="00C24D71"/>
    <w:rsid w:val="00C25C62"/>
    <w:rsid w:val="00C25F71"/>
    <w:rsid w:val="00C26B65"/>
    <w:rsid w:val="00C27AEC"/>
    <w:rsid w:val="00C32252"/>
    <w:rsid w:val="00C322D0"/>
    <w:rsid w:val="00C32CB0"/>
    <w:rsid w:val="00C337C4"/>
    <w:rsid w:val="00C3451E"/>
    <w:rsid w:val="00C3555C"/>
    <w:rsid w:val="00C355A3"/>
    <w:rsid w:val="00C370CD"/>
    <w:rsid w:val="00C40517"/>
    <w:rsid w:val="00C4407E"/>
    <w:rsid w:val="00C45141"/>
    <w:rsid w:val="00C45A87"/>
    <w:rsid w:val="00C46EB8"/>
    <w:rsid w:val="00C50EBF"/>
    <w:rsid w:val="00C517DF"/>
    <w:rsid w:val="00C53FE0"/>
    <w:rsid w:val="00C57A05"/>
    <w:rsid w:val="00C618C3"/>
    <w:rsid w:val="00C6337C"/>
    <w:rsid w:val="00C66149"/>
    <w:rsid w:val="00C7000E"/>
    <w:rsid w:val="00C70547"/>
    <w:rsid w:val="00C70D86"/>
    <w:rsid w:val="00C71662"/>
    <w:rsid w:val="00C76536"/>
    <w:rsid w:val="00C76749"/>
    <w:rsid w:val="00C767BA"/>
    <w:rsid w:val="00C772E7"/>
    <w:rsid w:val="00C778B8"/>
    <w:rsid w:val="00C80887"/>
    <w:rsid w:val="00C820A5"/>
    <w:rsid w:val="00C83274"/>
    <w:rsid w:val="00C853D4"/>
    <w:rsid w:val="00C860EA"/>
    <w:rsid w:val="00C9045A"/>
    <w:rsid w:val="00C936AE"/>
    <w:rsid w:val="00C93B57"/>
    <w:rsid w:val="00C9401A"/>
    <w:rsid w:val="00C95015"/>
    <w:rsid w:val="00C95DE9"/>
    <w:rsid w:val="00C97D52"/>
    <w:rsid w:val="00CA0A60"/>
    <w:rsid w:val="00CA19D4"/>
    <w:rsid w:val="00CA1BC0"/>
    <w:rsid w:val="00CA1E9D"/>
    <w:rsid w:val="00CA2AD2"/>
    <w:rsid w:val="00CA5DDF"/>
    <w:rsid w:val="00CA5EEE"/>
    <w:rsid w:val="00CA6A27"/>
    <w:rsid w:val="00CA6A55"/>
    <w:rsid w:val="00CA6C89"/>
    <w:rsid w:val="00CA77C2"/>
    <w:rsid w:val="00CB086F"/>
    <w:rsid w:val="00CB0983"/>
    <w:rsid w:val="00CB166D"/>
    <w:rsid w:val="00CB368F"/>
    <w:rsid w:val="00CB51B4"/>
    <w:rsid w:val="00CB55D6"/>
    <w:rsid w:val="00CC09E4"/>
    <w:rsid w:val="00CC1753"/>
    <w:rsid w:val="00CC2296"/>
    <w:rsid w:val="00CC4AF2"/>
    <w:rsid w:val="00CC5687"/>
    <w:rsid w:val="00CC5CC0"/>
    <w:rsid w:val="00CC6010"/>
    <w:rsid w:val="00CC73BF"/>
    <w:rsid w:val="00CD1DCB"/>
    <w:rsid w:val="00CD4D56"/>
    <w:rsid w:val="00CD53FF"/>
    <w:rsid w:val="00CD5CF6"/>
    <w:rsid w:val="00CE0352"/>
    <w:rsid w:val="00CE035F"/>
    <w:rsid w:val="00CE1C7E"/>
    <w:rsid w:val="00CE1E12"/>
    <w:rsid w:val="00CE2F3F"/>
    <w:rsid w:val="00CE3C3C"/>
    <w:rsid w:val="00CE64E9"/>
    <w:rsid w:val="00CE73FB"/>
    <w:rsid w:val="00CE7C02"/>
    <w:rsid w:val="00CF0BB0"/>
    <w:rsid w:val="00CF0BD2"/>
    <w:rsid w:val="00CF197C"/>
    <w:rsid w:val="00CF22F1"/>
    <w:rsid w:val="00CF259B"/>
    <w:rsid w:val="00CF2BBE"/>
    <w:rsid w:val="00CF2CB2"/>
    <w:rsid w:val="00CF49FE"/>
    <w:rsid w:val="00CF6645"/>
    <w:rsid w:val="00CF691D"/>
    <w:rsid w:val="00CF7EAC"/>
    <w:rsid w:val="00D019D1"/>
    <w:rsid w:val="00D02043"/>
    <w:rsid w:val="00D02721"/>
    <w:rsid w:val="00D03686"/>
    <w:rsid w:val="00D03FF3"/>
    <w:rsid w:val="00D042EB"/>
    <w:rsid w:val="00D04425"/>
    <w:rsid w:val="00D045E3"/>
    <w:rsid w:val="00D04FF8"/>
    <w:rsid w:val="00D060DF"/>
    <w:rsid w:val="00D066EE"/>
    <w:rsid w:val="00D06FDA"/>
    <w:rsid w:val="00D108ED"/>
    <w:rsid w:val="00D109D4"/>
    <w:rsid w:val="00D11E9D"/>
    <w:rsid w:val="00D11F2E"/>
    <w:rsid w:val="00D12CD4"/>
    <w:rsid w:val="00D12EC5"/>
    <w:rsid w:val="00D141B7"/>
    <w:rsid w:val="00D145C5"/>
    <w:rsid w:val="00D14A09"/>
    <w:rsid w:val="00D15278"/>
    <w:rsid w:val="00D161D7"/>
    <w:rsid w:val="00D17EB2"/>
    <w:rsid w:val="00D257E3"/>
    <w:rsid w:val="00D259A0"/>
    <w:rsid w:val="00D260BB"/>
    <w:rsid w:val="00D306C6"/>
    <w:rsid w:val="00D30FFC"/>
    <w:rsid w:val="00D31942"/>
    <w:rsid w:val="00D31B84"/>
    <w:rsid w:val="00D327FC"/>
    <w:rsid w:val="00D40801"/>
    <w:rsid w:val="00D42F5A"/>
    <w:rsid w:val="00D43072"/>
    <w:rsid w:val="00D433DF"/>
    <w:rsid w:val="00D45A1C"/>
    <w:rsid w:val="00D463C2"/>
    <w:rsid w:val="00D46718"/>
    <w:rsid w:val="00D46B57"/>
    <w:rsid w:val="00D50026"/>
    <w:rsid w:val="00D503BB"/>
    <w:rsid w:val="00D50B4E"/>
    <w:rsid w:val="00D51739"/>
    <w:rsid w:val="00D54CAA"/>
    <w:rsid w:val="00D5586C"/>
    <w:rsid w:val="00D57FFE"/>
    <w:rsid w:val="00D63D88"/>
    <w:rsid w:val="00D65429"/>
    <w:rsid w:val="00D65EE5"/>
    <w:rsid w:val="00D6602D"/>
    <w:rsid w:val="00D674A4"/>
    <w:rsid w:val="00D701DF"/>
    <w:rsid w:val="00D71D25"/>
    <w:rsid w:val="00D71DEA"/>
    <w:rsid w:val="00D75BB7"/>
    <w:rsid w:val="00D80285"/>
    <w:rsid w:val="00D803D0"/>
    <w:rsid w:val="00D82A0B"/>
    <w:rsid w:val="00D83AC0"/>
    <w:rsid w:val="00D85871"/>
    <w:rsid w:val="00D85BA4"/>
    <w:rsid w:val="00D86BD9"/>
    <w:rsid w:val="00D87231"/>
    <w:rsid w:val="00D905E7"/>
    <w:rsid w:val="00D91091"/>
    <w:rsid w:val="00D91551"/>
    <w:rsid w:val="00D92C29"/>
    <w:rsid w:val="00D945BF"/>
    <w:rsid w:val="00D94B54"/>
    <w:rsid w:val="00D94F9B"/>
    <w:rsid w:val="00D95808"/>
    <w:rsid w:val="00D966AE"/>
    <w:rsid w:val="00D97600"/>
    <w:rsid w:val="00DA0140"/>
    <w:rsid w:val="00DA0327"/>
    <w:rsid w:val="00DA11E3"/>
    <w:rsid w:val="00DA5D5A"/>
    <w:rsid w:val="00DA7431"/>
    <w:rsid w:val="00DA7956"/>
    <w:rsid w:val="00DB05DD"/>
    <w:rsid w:val="00DB2AB0"/>
    <w:rsid w:val="00DB3586"/>
    <w:rsid w:val="00DB39EE"/>
    <w:rsid w:val="00DB4DB2"/>
    <w:rsid w:val="00DB5A90"/>
    <w:rsid w:val="00DB7436"/>
    <w:rsid w:val="00DC329C"/>
    <w:rsid w:val="00DC428E"/>
    <w:rsid w:val="00DC4CA5"/>
    <w:rsid w:val="00DC6DF3"/>
    <w:rsid w:val="00DD36C3"/>
    <w:rsid w:val="00DD49C7"/>
    <w:rsid w:val="00DD49FA"/>
    <w:rsid w:val="00DD6A6E"/>
    <w:rsid w:val="00DD786B"/>
    <w:rsid w:val="00DE018F"/>
    <w:rsid w:val="00DE0538"/>
    <w:rsid w:val="00DE25CC"/>
    <w:rsid w:val="00DE2FD2"/>
    <w:rsid w:val="00DE3667"/>
    <w:rsid w:val="00DE3780"/>
    <w:rsid w:val="00DE44C7"/>
    <w:rsid w:val="00DE70F0"/>
    <w:rsid w:val="00DE7A6E"/>
    <w:rsid w:val="00DF13A6"/>
    <w:rsid w:val="00DF1E12"/>
    <w:rsid w:val="00DF2822"/>
    <w:rsid w:val="00DF4583"/>
    <w:rsid w:val="00DF4C48"/>
    <w:rsid w:val="00E00083"/>
    <w:rsid w:val="00E02311"/>
    <w:rsid w:val="00E027BA"/>
    <w:rsid w:val="00E05626"/>
    <w:rsid w:val="00E0777D"/>
    <w:rsid w:val="00E10ED1"/>
    <w:rsid w:val="00E11764"/>
    <w:rsid w:val="00E1188B"/>
    <w:rsid w:val="00E11FA8"/>
    <w:rsid w:val="00E12F60"/>
    <w:rsid w:val="00E12FE0"/>
    <w:rsid w:val="00E14889"/>
    <w:rsid w:val="00E14FC1"/>
    <w:rsid w:val="00E15547"/>
    <w:rsid w:val="00E17385"/>
    <w:rsid w:val="00E17EB5"/>
    <w:rsid w:val="00E207F8"/>
    <w:rsid w:val="00E213EA"/>
    <w:rsid w:val="00E22606"/>
    <w:rsid w:val="00E23FE7"/>
    <w:rsid w:val="00E252B6"/>
    <w:rsid w:val="00E2605A"/>
    <w:rsid w:val="00E26D0F"/>
    <w:rsid w:val="00E302EA"/>
    <w:rsid w:val="00E31482"/>
    <w:rsid w:val="00E3158C"/>
    <w:rsid w:val="00E32B1D"/>
    <w:rsid w:val="00E3345B"/>
    <w:rsid w:val="00E34DA8"/>
    <w:rsid w:val="00E34F96"/>
    <w:rsid w:val="00E41181"/>
    <w:rsid w:val="00E419E4"/>
    <w:rsid w:val="00E42747"/>
    <w:rsid w:val="00E43BB9"/>
    <w:rsid w:val="00E44CEF"/>
    <w:rsid w:val="00E4525A"/>
    <w:rsid w:val="00E45AB9"/>
    <w:rsid w:val="00E45BE8"/>
    <w:rsid w:val="00E4786D"/>
    <w:rsid w:val="00E50732"/>
    <w:rsid w:val="00E507D8"/>
    <w:rsid w:val="00E521BF"/>
    <w:rsid w:val="00E536C4"/>
    <w:rsid w:val="00E53D43"/>
    <w:rsid w:val="00E55EF0"/>
    <w:rsid w:val="00E561DB"/>
    <w:rsid w:val="00E602A6"/>
    <w:rsid w:val="00E607E1"/>
    <w:rsid w:val="00E62C11"/>
    <w:rsid w:val="00E6348C"/>
    <w:rsid w:val="00E63D55"/>
    <w:rsid w:val="00E73638"/>
    <w:rsid w:val="00E74392"/>
    <w:rsid w:val="00E7480C"/>
    <w:rsid w:val="00E74825"/>
    <w:rsid w:val="00E749D6"/>
    <w:rsid w:val="00E76A13"/>
    <w:rsid w:val="00E80831"/>
    <w:rsid w:val="00E80EB3"/>
    <w:rsid w:val="00E81798"/>
    <w:rsid w:val="00E846C7"/>
    <w:rsid w:val="00E847A2"/>
    <w:rsid w:val="00E86B13"/>
    <w:rsid w:val="00E87ED5"/>
    <w:rsid w:val="00E90A96"/>
    <w:rsid w:val="00E91E8E"/>
    <w:rsid w:val="00E920C1"/>
    <w:rsid w:val="00E92F15"/>
    <w:rsid w:val="00E947C7"/>
    <w:rsid w:val="00E961C0"/>
    <w:rsid w:val="00E96BB2"/>
    <w:rsid w:val="00E97081"/>
    <w:rsid w:val="00E9709E"/>
    <w:rsid w:val="00E973E9"/>
    <w:rsid w:val="00E97F6D"/>
    <w:rsid w:val="00EA0275"/>
    <w:rsid w:val="00EA0F3F"/>
    <w:rsid w:val="00EA34DB"/>
    <w:rsid w:val="00EA42B2"/>
    <w:rsid w:val="00EA556A"/>
    <w:rsid w:val="00EA6A3B"/>
    <w:rsid w:val="00EA6F3E"/>
    <w:rsid w:val="00EB2264"/>
    <w:rsid w:val="00EB31EE"/>
    <w:rsid w:val="00EB4688"/>
    <w:rsid w:val="00EB5F75"/>
    <w:rsid w:val="00EB6122"/>
    <w:rsid w:val="00EB689A"/>
    <w:rsid w:val="00EB7BED"/>
    <w:rsid w:val="00EC0B23"/>
    <w:rsid w:val="00EC0E4A"/>
    <w:rsid w:val="00EC0FCD"/>
    <w:rsid w:val="00EC1B75"/>
    <w:rsid w:val="00EC1CC0"/>
    <w:rsid w:val="00EC2E16"/>
    <w:rsid w:val="00ED014E"/>
    <w:rsid w:val="00ED022B"/>
    <w:rsid w:val="00ED1838"/>
    <w:rsid w:val="00ED2414"/>
    <w:rsid w:val="00ED2F3F"/>
    <w:rsid w:val="00ED3455"/>
    <w:rsid w:val="00ED4CAA"/>
    <w:rsid w:val="00ED7FD3"/>
    <w:rsid w:val="00EE2309"/>
    <w:rsid w:val="00EE3ED5"/>
    <w:rsid w:val="00EE5723"/>
    <w:rsid w:val="00EF1358"/>
    <w:rsid w:val="00EF2641"/>
    <w:rsid w:val="00EF4F06"/>
    <w:rsid w:val="00F021C2"/>
    <w:rsid w:val="00F0370B"/>
    <w:rsid w:val="00F03D22"/>
    <w:rsid w:val="00F054A5"/>
    <w:rsid w:val="00F07441"/>
    <w:rsid w:val="00F07B62"/>
    <w:rsid w:val="00F10CD0"/>
    <w:rsid w:val="00F10EB7"/>
    <w:rsid w:val="00F13294"/>
    <w:rsid w:val="00F13BF2"/>
    <w:rsid w:val="00F15618"/>
    <w:rsid w:val="00F165F5"/>
    <w:rsid w:val="00F16CAC"/>
    <w:rsid w:val="00F31849"/>
    <w:rsid w:val="00F32408"/>
    <w:rsid w:val="00F33405"/>
    <w:rsid w:val="00F34C80"/>
    <w:rsid w:val="00F34EC6"/>
    <w:rsid w:val="00F358C7"/>
    <w:rsid w:val="00F35A82"/>
    <w:rsid w:val="00F35D4D"/>
    <w:rsid w:val="00F42109"/>
    <w:rsid w:val="00F4225C"/>
    <w:rsid w:val="00F502CA"/>
    <w:rsid w:val="00F5036E"/>
    <w:rsid w:val="00F530C8"/>
    <w:rsid w:val="00F53BFD"/>
    <w:rsid w:val="00F54D22"/>
    <w:rsid w:val="00F5617B"/>
    <w:rsid w:val="00F5714F"/>
    <w:rsid w:val="00F610E8"/>
    <w:rsid w:val="00F61F47"/>
    <w:rsid w:val="00F62EDD"/>
    <w:rsid w:val="00F63160"/>
    <w:rsid w:val="00F65746"/>
    <w:rsid w:val="00F6642A"/>
    <w:rsid w:val="00F6687A"/>
    <w:rsid w:val="00F67653"/>
    <w:rsid w:val="00F67F1A"/>
    <w:rsid w:val="00F70F37"/>
    <w:rsid w:val="00F71E1F"/>
    <w:rsid w:val="00F71F4B"/>
    <w:rsid w:val="00F73878"/>
    <w:rsid w:val="00F73E52"/>
    <w:rsid w:val="00F75351"/>
    <w:rsid w:val="00F75D23"/>
    <w:rsid w:val="00F8023D"/>
    <w:rsid w:val="00F802E6"/>
    <w:rsid w:val="00F84EB3"/>
    <w:rsid w:val="00F8537A"/>
    <w:rsid w:val="00F86E8D"/>
    <w:rsid w:val="00F87C6D"/>
    <w:rsid w:val="00F9135B"/>
    <w:rsid w:val="00F93396"/>
    <w:rsid w:val="00F969A7"/>
    <w:rsid w:val="00F9718B"/>
    <w:rsid w:val="00FA128A"/>
    <w:rsid w:val="00FA1A88"/>
    <w:rsid w:val="00FA1D8D"/>
    <w:rsid w:val="00FA2BBD"/>
    <w:rsid w:val="00FA2DF2"/>
    <w:rsid w:val="00FA4490"/>
    <w:rsid w:val="00FA4FCD"/>
    <w:rsid w:val="00FA60F6"/>
    <w:rsid w:val="00FA7161"/>
    <w:rsid w:val="00FB1AE3"/>
    <w:rsid w:val="00FB28D1"/>
    <w:rsid w:val="00FB28FF"/>
    <w:rsid w:val="00FB3743"/>
    <w:rsid w:val="00FB3E2E"/>
    <w:rsid w:val="00FB44D8"/>
    <w:rsid w:val="00FB4815"/>
    <w:rsid w:val="00FB6614"/>
    <w:rsid w:val="00FB6A03"/>
    <w:rsid w:val="00FB6E42"/>
    <w:rsid w:val="00FC0862"/>
    <w:rsid w:val="00FC146B"/>
    <w:rsid w:val="00FC1DC7"/>
    <w:rsid w:val="00FC431D"/>
    <w:rsid w:val="00FC4B98"/>
    <w:rsid w:val="00FC615F"/>
    <w:rsid w:val="00FC61DF"/>
    <w:rsid w:val="00FC67C2"/>
    <w:rsid w:val="00FC757E"/>
    <w:rsid w:val="00FC7694"/>
    <w:rsid w:val="00FD1B0F"/>
    <w:rsid w:val="00FD254C"/>
    <w:rsid w:val="00FD357B"/>
    <w:rsid w:val="00FD3CD4"/>
    <w:rsid w:val="00FD4223"/>
    <w:rsid w:val="00FD52CE"/>
    <w:rsid w:val="00FD5873"/>
    <w:rsid w:val="00FD608D"/>
    <w:rsid w:val="00FD6B6C"/>
    <w:rsid w:val="00FE0D56"/>
    <w:rsid w:val="00FE1BBF"/>
    <w:rsid w:val="00FE2488"/>
    <w:rsid w:val="00FE2CF2"/>
    <w:rsid w:val="00FE3679"/>
    <w:rsid w:val="00FE670B"/>
    <w:rsid w:val="00FF0474"/>
    <w:rsid w:val="00FF6260"/>
    <w:rsid w:val="00FF7E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79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ato" w:eastAsiaTheme="minorHAnsi" w:hAnsi="Lato"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C689E"/>
  </w:style>
  <w:style w:type="paragraph" w:styleId="Nagwek2">
    <w:name w:val="heading 2"/>
    <w:basedOn w:val="Normalny"/>
    <w:next w:val="Normalny"/>
    <w:link w:val="Nagwek2Znak"/>
    <w:uiPriority w:val="9"/>
    <w:semiHidden/>
    <w:unhideWhenUsed/>
    <w:qFormat/>
    <w:rsid w:val="00B368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1610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CC56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CC5687"/>
    <w:pPr>
      <w:ind w:left="720"/>
      <w:contextualSpacing/>
    </w:pPr>
  </w:style>
  <w:style w:type="table" w:styleId="Zwykatabela1">
    <w:name w:val="Plain Table 1"/>
    <w:basedOn w:val="Standardowy"/>
    <w:uiPriority w:val="41"/>
    <w:rsid w:val="00A969F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BDD6EE" w:themeFill="accent1" w:themeFillTint="66"/>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atkatabelijasna">
    <w:name w:val="Grid Table Light"/>
    <w:basedOn w:val="Standardowy"/>
    <w:uiPriority w:val="40"/>
    <w:rsid w:val="00A969F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listy4akcent5">
    <w:name w:val="List Table 4 Accent 5"/>
    <w:basedOn w:val="Standardowy"/>
    <w:uiPriority w:val="49"/>
    <w:rsid w:val="00A969F7"/>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Ppogrubienie">
    <w:name w:val="_P_ – pogrubienie"/>
    <w:basedOn w:val="Domylnaczcionkaakapitu"/>
    <w:uiPriority w:val="1"/>
    <w:qFormat/>
    <w:rsid w:val="00007F52"/>
    <w:rPr>
      <w:b/>
    </w:rPr>
  </w:style>
  <w:style w:type="paragraph" w:styleId="Tekstkomentarza">
    <w:name w:val="annotation text"/>
    <w:basedOn w:val="Normalny"/>
    <w:link w:val="TekstkomentarzaZnak"/>
    <w:uiPriority w:val="99"/>
    <w:unhideWhenUsed/>
    <w:qFormat/>
    <w:rsid w:val="00007F52"/>
    <w:pPr>
      <w:widowControl w:val="0"/>
      <w:autoSpaceDE w:val="0"/>
      <w:autoSpaceDN w:val="0"/>
      <w:adjustRightInd w:val="0"/>
      <w:spacing w:after="0" w:line="40" w:lineRule="atLeast"/>
      <w:jc w:val="both"/>
    </w:pPr>
    <w:rPr>
      <w:rFonts w:ascii="Helvetica" w:eastAsia="Times New Roman" w:hAnsi="Helvetica" w:cs="Helvetica"/>
      <w:color w:val="000000"/>
      <w:sz w:val="20"/>
      <w:szCs w:val="20"/>
      <w:lang w:eastAsia="pl-PL"/>
    </w:rPr>
  </w:style>
  <w:style w:type="character" w:customStyle="1" w:styleId="TekstkomentarzaZnak">
    <w:name w:val="Tekst komentarza Znak"/>
    <w:basedOn w:val="Domylnaczcionkaakapitu"/>
    <w:link w:val="Tekstkomentarza"/>
    <w:uiPriority w:val="99"/>
    <w:qFormat/>
    <w:rsid w:val="00007F52"/>
    <w:rPr>
      <w:rFonts w:ascii="Helvetica" w:eastAsia="Times New Roman" w:hAnsi="Helvetica" w:cs="Helvetica"/>
      <w:color w:val="000000"/>
      <w:sz w:val="20"/>
      <w:szCs w:val="20"/>
      <w:lang w:eastAsia="pl-PL"/>
    </w:rPr>
  </w:style>
  <w:style w:type="paragraph" w:customStyle="1" w:styleId="USTustnpkodeksu">
    <w:name w:val="UST(§) – ust. (§ np. kodeksu)"/>
    <w:basedOn w:val="Normalny"/>
    <w:uiPriority w:val="12"/>
    <w:qFormat/>
    <w:rsid w:val="009F3CFB"/>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character" w:styleId="Odwoaniedokomentarza">
    <w:name w:val="annotation reference"/>
    <w:basedOn w:val="Domylnaczcionkaakapitu"/>
    <w:uiPriority w:val="99"/>
    <w:semiHidden/>
    <w:unhideWhenUsed/>
    <w:rsid w:val="00AB5166"/>
    <w:rPr>
      <w:sz w:val="16"/>
      <w:szCs w:val="16"/>
    </w:rPr>
  </w:style>
  <w:style w:type="paragraph" w:customStyle="1" w:styleId="Default">
    <w:name w:val="Default"/>
    <w:rsid w:val="00C245CF"/>
    <w:pPr>
      <w:autoSpaceDE w:val="0"/>
      <w:autoSpaceDN w:val="0"/>
      <w:adjustRightInd w:val="0"/>
      <w:spacing w:after="0" w:line="240" w:lineRule="auto"/>
    </w:pPr>
    <w:rPr>
      <w:rFonts w:cs="Lato"/>
      <w:color w:val="000000"/>
      <w:sz w:val="24"/>
      <w:szCs w:val="24"/>
    </w:rPr>
  </w:style>
  <w:style w:type="paragraph" w:styleId="Tekstdymka">
    <w:name w:val="Balloon Text"/>
    <w:basedOn w:val="Normalny"/>
    <w:link w:val="TekstdymkaZnak"/>
    <w:uiPriority w:val="99"/>
    <w:semiHidden/>
    <w:unhideWhenUsed/>
    <w:rsid w:val="00EA6F3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F3E"/>
    <w:rPr>
      <w:rFonts w:ascii="Segoe UI" w:hAnsi="Segoe UI" w:cs="Segoe UI"/>
      <w:sz w:val="18"/>
      <w:szCs w:val="18"/>
    </w:rPr>
  </w:style>
  <w:style w:type="table" w:styleId="Tabelalisty4akcent1">
    <w:name w:val="List Table 4 Accent 1"/>
    <w:basedOn w:val="Standardowy"/>
    <w:uiPriority w:val="49"/>
    <w:rsid w:val="0069680B"/>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listy4akcent4">
    <w:name w:val="List Table 4 Accent 4"/>
    <w:basedOn w:val="Standardowy"/>
    <w:uiPriority w:val="49"/>
    <w:rsid w:val="007B29F6"/>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listy3akcent4">
    <w:name w:val="List Table 3 Accent 4"/>
    <w:basedOn w:val="Standardowy"/>
    <w:uiPriority w:val="48"/>
    <w:rsid w:val="007249F0"/>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styleId="Hipercze">
    <w:name w:val="Hyperlink"/>
    <w:basedOn w:val="Domylnaczcionkaakapitu"/>
    <w:uiPriority w:val="99"/>
    <w:unhideWhenUsed/>
    <w:rsid w:val="001E04DC"/>
    <w:rPr>
      <w:color w:val="0563C1" w:themeColor="hyperlink"/>
      <w:u w:val="single"/>
    </w:rPr>
  </w:style>
  <w:style w:type="paragraph" w:styleId="Tekstpodstawowy">
    <w:name w:val="Body Text"/>
    <w:basedOn w:val="Normalny"/>
    <w:link w:val="TekstpodstawowyZnak"/>
    <w:uiPriority w:val="99"/>
    <w:unhideWhenUsed/>
    <w:rsid w:val="00664149"/>
    <w:pPr>
      <w:spacing w:after="120"/>
    </w:pPr>
  </w:style>
  <w:style w:type="character" w:customStyle="1" w:styleId="TekstpodstawowyZnak">
    <w:name w:val="Tekst podstawowy Znak"/>
    <w:basedOn w:val="Domylnaczcionkaakapitu"/>
    <w:link w:val="Tekstpodstawowy"/>
    <w:uiPriority w:val="99"/>
    <w:rsid w:val="00664149"/>
  </w:style>
  <w:style w:type="paragraph" w:styleId="Tematkomentarza">
    <w:name w:val="annotation subject"/>
    <w:basedOn w:val="Tekstkomentarza"/>
    <w:next w:val="Tekstkomentarza"/>
    <w:link w:val="TematkomentarzaZnak"/>
    <w:uiPriority w:val="99"/>
    <w:semiHidden/>
    <w:unhideWhenUsed/>
    <w:rsid w:val="00B43D4B"/>
    <w:pPr>
      <w:widowControl/>
      <w:autoSpaceDE/>
      <w:autoSpaceDN/>
      <w:adjustRightInd/>
      <w:spacing w:after="160" w:line="240" w:lineRule="auto"/>
      <w:jc w:val="left"/>
    </w:pPr>
    <w:rPr>
      <w:rFonts w:ascii="Lato" w:eastAsiaTheme="minorHAnsi" w:hAnsi="Lato" w:cstheme="minorBidi"/>
      <w:b/>
      <w:bCs/>
      <w:color w:val="auto"/>
      <w:lang w:eastAsia="en-US"/>
    </w:rPr>
  </w:style>
  <w:style w:type="character" w:customStyle="1" w:styleId="TematkomentarzaZnak">
    <w:name w:val="Temat komentarza Znak"/>
    <w:basedOn w:val="TekstkomentarzaZnak"/>
    <w:link w:val="Tematkomentarza"/>
    <w:uiPriority w:val="99"/>
    <w:semiHidden/>
    <w:rsid w:val="00B43D4B"/>
    <w:rPr>
      <w:rFonts w:ascii="Helvetica" w:eastAsia="Times New Roman" w:hAnsi="Helvetica" w:cs="Helvetica"/>
      <w:b/>
      <w:bCs/>
      <w:color w:val="000000"/>
      <w:sz w:val="20"/>
      <w:szCs w:val="20"/>
      <w:lang w:eastAsia="pl-PL"/>
    </w:rPr>
  </w:style>
  <w:style w:type="paragraph" w:customStyle="1" w:styleId="TYTDZPRZEDMprzedmiotregulacjitytuulubdziau">
    <w:name w:val="TYT(DZ)_PRZEDM – przedmiot regulacji tytułu lub działu"/>
    <w:next w:val="Normalny"/>
    <w:uiPriority w:val="9"/>
    <w:qFormat/>
    <w:rsid w:val="004A7567"/>
    <w:pPr>
      <w:keepNext/>
      <w:suppressAutoHyphens/>
      <w:spacing w:before="120" w:after="0" w:line="360" w:lineRule="auto"/>
      <w:jc w:val="center"/>
    </w:pPr>
    <w:rPr>
      <w:rFonts w:ascii="Times" w:eastAsia="Times New Roman" w:hAnsi="Times" w:cs="Times New Roman"/>
      <w:b/>
      <w:sz w:val="24"/>
      <w:szCs w:val="26"/>
      <w:lang w:eastAsia="pl-PL"/>
    </w:rPr>
  </w:style>
  <w:style w:type="paragraph" w:customStyle="1" w:styleId="ARTartustawynprozporzdzenia">
    <w:name w:val="ART(§) – art. ustawy (§ np. rozporządzenia)"/>
    <w:uiPriority w:val="11"/>
    <w:qFormat/>
    <w:rsid w:val="00FD3CD4"/>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PKTpunkt">
    <w:name w:val="PKT – punkt"/>
    <w:uiPriority w:val="13"/>
    <w:qFormat/>
    <w:rsid w:val="00FD3CD4"/>
    <w:pPr>
      <w:spacing w:after="0" w:line="360" w:lineRule="auto"/>
      <w:ind w:left="510" w:hanging="510"/>
      <w:jc w:val="both"/>
    </w:pPr>
    <w:rPr>
      <w:rFonts w:ascii="Times" w:eastAsiaTheme="minorEastAsia" w:hAnsi="Times" w:cs="Arial"/>
      <w:bCs/>
      <w:sz w:val="24"/>
      <w:szCs w:val="20"/>
      <w:lang w:eastAsia="pl-PL"/>
    </w:rPr>
  </w:style>
  <w:style w:type="table" w:styleId="Tabelalisty4akcent6">
    <w:name w:val="List Table 4 Accent 6"/>
    <w:basedOn w:val="Standardowy"/>
    <w:uiPriority w:val="49"/>
    <w:rsid w:val="00C337C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Odwoanieprzypisudolnego">
    <w:name w:val="footnote reference"/>
    <w:uiPriority w:val="99"/>
    <w:semiHidden/>
    <w:rsid w:val="00D045E3"/>
    <w:rPr>
      <w:rFonts w:cs="Times New Roman"/>
      <w:vertAlign w:val="superscript"/>
    </w:rPr>
  </w:style>
  <w:style w:type="character" w:customStyle="1" w:styleId="IGindeksgrny">
    <w:name w:val="_IG_ – indeks górny"/>
    <w:basedOn w:val="Domylnaczcionkaakapitu"/>
    <w:uiPriority w:val="2"/>
    <w:qFormat/>
    <w:rsid w:val="00D045E3"/>
    <w:rPr>
      <w:b w:val="0"/>
      <w:i w:val="0"/>
      <w:vanish w:val="0"/>
      <w:spacing w:val="0"/>
      <w:vertAlign w:val="superscript"/>
    </w:rPr>
  </w:style>
  <w:style w:type="character" w:customStyle="1" w:styleId="IDindeksdolny">
    <w:name w:val="_ID_ – indeks dolny"/>
    <w:basedOn w:val="Domylnaczcionkaakapitu"/>
    <w:uiPriority w:val="3"/>
    <w:qFormat/>
    <w:rsid w:val="00D045E3"/>
    <w:rPr>
      <w:b w:val="0"/>
      <w:i w:val="0"/>
      <w:vanish w:val="0"/>
      <w:spacing w:val="0"/>
      <w:vertAlign w:val="subscript"/>
    </w:rPr>
  </w:style>
  <w:style w:type="character" w:customStyle="1" w:styleId="Teksttreci">
    <w:name w:val="Tekst treści_"/>
    <w:basedOn w:val="Domylnaczcionkaakapitu"/>
    <w:qFormat/>
    <w:rsid w:val="00E302EA"/>
    <w:rPr>
      <w:b w:val="0"/>
      <w:bCs w:val="0"/>
      <w:i w:val="0"/>
      <w:iCs w:val="0"/>
      <w:caps w:val="0"/>
      <w:smallCaps w:val="0"/>
      <w:strike w:val="0"/>
      <w:dstrike w:val="0"/>
      <w:u w:val="none"/>
    </w:rPr>
  </w:style>
  <w:style w:type="character" w:customStyle="1" w:styleId="TeksttreciPogrubienie">
    <w:name w:val="Tekst treści + Pogrubienie"/>
    <w:basedOn w:val="Teksttreci"/>
    <w:qFormat/>
    <w:rsid w:val="00E302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pl"/>
    </w:rPr>
  </w:style>
  <w:style w:type="paragraph" w:styleId="Nagwek">
    <w:name w:val="header"/>
    <w:basedOn w:val="Normalny"/>
    <w:link w:val="NagwekZnak"/>
    <w:uiPriority w:val="99"/>
    <w:unhideWhenUsed/>
    <w:rsid w:val="002D0B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0BE9"/>
  </w:style>
  <w:style w:type="paragraph" w:styleId="Stopka">
    <w:name w:val="footer"/>
    <w:basedOn w:val="Normalny"/>
    <w:link w:val="StopkaZnak"/>
    <w:uiPriority w:val="99"/>
    <w:unhideWhenUsed/>
    <w:rsid w:val="002D0B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0BE9"/>
  </w:style>
  <w:style w:type="paragraph" w:styleId="Tekstprzypisudolnego">
    <w:name w:val="footnote text"/>
    <w:basedOn w:val="Normalny"/>
    <w:link w:val="TekstprzypisudolnegoZnak"/>
    <w:rsid w:val="004C11A3"/>
    <w:pPr>
      <w:spacing w:after="0" w:line="240" w:lineRule="auto"/>
    </w:pPr>
    <w:rPr>
      <w:rFonts w:ascii="Times New Roman" w:eastAsia="Times New Roman" w:hAnsi="Times New Roman" w:cs="Times New Roman"/>
      <w:color w:val="000000"/>
      <w:sz w:val="24"/>
      <w:szCs w:val="24"/>
      <w:lang w:val="pl" w:eastAsia="pl-PL"/>
    </w:rPr>
  </w:style>
  <w:style w:type="character" w:customStyle="1" w:styleId="TekstprzypisudolnegoZnak">
    <w:name w:val="Tekst przypisu dolnego Znak"/>
    <w:basedOn w:val="Domylnaczcionkaakapitu"/>
    <w:link w:val="Tekstprzypisudolnego"/>
    <w:rsid w:val="004C11A3"/>
    <w:rPr>
      <w:rFonts w:ascii="Times New Roman" w:eastAsia="Times New Roman" w:hAnsi="Times New Roman" w:cs="Times New Roman"/>
      <w:color w:val="000000"/>
      <w:sz w:val="24"/>
      <w:szCs w:val="24"/>
      <w:lang w:val="pl" w:eastAsia="pl-PL"/>
    </w:rPr>
  </w:style>
  <w:style w:type="character" w:customStyle="1" w:styleId="xteksttreci4">
    <w:name w:val="x_teksttreci4"/>
    <w:basedOn w:val="Domylnaczcionkaakapitu"/>
    <w:rsid w:val="004C11A3"/>
  </w:style>
  <w:style w:type="character" w:customStyle="1" w:styleId="AkapitzlistZnak">
    <w:name w:val="Akapit z listą Znak"/>
    <w:basedOn w:val="Domylnaczcionkaakapitu"/>
    <w:link w:val="Akapitzlist"/>
    <w:uiPriority w:val="34"/>
    <w:rsid w:val="005A0E94"/>
  </w:style>
  <w:style w:type="paragraph" w:styleId="Tekstprzypisukocowego">
    <w:name w:val="endnote text"/>
    <w:basedOn w:val="Normalny"/>
    <w:link w:val="TekstprzypisukocowegoZnak"/>
    <w:uiPriority w:val="99"/>
    <w:semiHidden/>
    <w:unhideWhenUsed/>
    <w:rsid w:val="009B2B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B2BAB"/>
    <w:rPr>
      <w:sz w:val="20"/>
      <w:szCs w:val="20"/>
    </w:rPr>
  </w:style>
  <w:style w:type="character" w:styleId="Odwoanieprzypisukocowego">
    <w:name w:val="endnote reference"/>
    <w:basedOn w:val="Domylnaczcionkaakapitu"/>
    <w:uiPriority w:val="99"/>
    <w:semiHidden/>
    <w:unhideWhenUsed/>
    <w:rsid w:val="009B2BAB"/>
    <w:rPr>
      <w:vertAlign w:val="superscript"/>
    </w:rPr>
  </w:style>
  <w:style w:type="paragraph" w:customStyle="1" w:styleId="Teksttreci0">
    <w:name w:val="Tekst treści"/>
    <w:basedOn w:val="Normalny"/>
    <w:qFormat/>
    <w:rsid w:val="00084FC4"/>
    <w:pPr>
      <w:shd w:val="clear" w:color="auto" w:fill="FFFFFF"/>
      <w:spacing w:after="0" w:line="240" w:lineRule="auto"/>
      <w:ind w:hanging="500"/>
    </w:pPr>
    <w:rPr>
      <w:rFonts w:ascii="Times New Roman" w:eastAsia="Times New Roman" w:hAnsi="Times New Roman" w:cs="Times New Roman"/>
      <w:color w:val="000000"/>
      <w:sz w:val="24"/>
      <w:szCs w:val="24"/>
      <w:lang w:val="pl" w:eastAsia="pl-PL"/>
    </w:rPr>
  </w:style>
  <w:style w:type="paragraph" w:styleId="NormalnyWeb">
    <w:name w:val="Normal (Web)"/>
    <w:basedOn w:val="Normalny"/>
    <w:uiPriority w:val="99"/>
    <w:unhideWhenUsed/>
    <w:rsid w:val="008A37F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C12848"/>
    <w:pPr>
      <w:spacing w:after="0" w:line="240" w:lineRule="auto"/>
    </w:pPr>
  </w:style>
  <w:style w:type="character" w:customStyle="1" w:styleId="Nagwek3Znak">
    <w:name w:val="Nagłówek 3 Znak"/>
    <w:basedOn w:val="Domylnaczcionkaakapitu"/>
    <w:link w:val="Nagwek3"/>
    <w:uiPriority w:val="9"/>
    <w:semiHidden/>
    <w:rsid w:val="0016101E"/>
    <w:rPr>
      <w:rFonts w:asciiTheme="majorHAnsi" w:eastAsiaTheme="majorEastAsia" w:hAnsiTheme="majorHAnsi" w:cstheme="majorBidi"/>
      <w:color w:val="1F4D78" w:themeColor="accent1" w:themeShade="7F"/>
      <w:sz w:val="24"/>
      <w:szCs w:val="24"/>
    </w:rPr>
  </w:style>
  <w:style w:type="character" w:customStyle="1" w:styleId="Nierozpoznanawzmianka1">
    <w:name w:val="Nierozpoznana wzmianka1"/>
    <w:basedOn w:val="Domylnaczcionkaakapitu"/>
    <w:uiPriority w:val="99"/>
    <w:semiHidden/>
    <w:unhideWhenUsed/>
    <w:rsid w:val="003B2B51"/>
    <w:rPr>
      <w:color w:val="605E5C"/>
      <w:shd w:val="clear" w:color="auto" w:fill="E1DFDD"/>
    </w:rPr>
  </w:style>
  <w:style w:type="paragraph" w:customStyle="1" w:styleId="xmsonormal">
    <w:name w:val="x_msonormal"/>
    <w:basedOn w:val="Normalny"/>
    <w:rsid w:val="009242D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semiHidden/>
    <w:rsid w:val="00B36834"/>
    <w:rPr>
      <w:rFonts w:asciiTheme="majorHAnsi" w:eastAsiaTheme="majorEastAsia" w:hAnsiTheme="majorHAnsi" w:cstheme="majorBidi"/>
      <w:color w:val="2E74B5" w:themeColor="accent1" w:themeShade="BF"/>
      <w:sz w:val="26"/>
      <w:szCs w:val="26"/>
    </w:rPr>
  </w:style>
  <w:style w:type="character" w:styleId="Pogrubienie">
    <w:name w:val="Strong"/>
    <w:basedOn w:val="Domylnaczcionkaakapitu"/>
    <w:uiPriority w:val="22"/>
    <w:qFormat/>
    <w:rsid w:val="00B36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0300">
      <w:bodyDiv w:val="1"/>
      <w:marLeft w:val="0"/>
      <w:marRight w:val="0"/>
      <w:marTop w:val="0"/>
      <w:marBottom w:val="0"/>
      <w:divBdr>
        <w:top w:val="none" w:sz="0" w:space="0" w:color="auto"/>
        <w:left w:val="none" w:sz="0" w:space="0" w:color="auto"/>
        <w:bottom w:val="none" w:sz="0" w:space="0" w:color="auto"/>
        <w:right w:val="none" w:sz="0" w:space="0" w:color="auto"/>
      </w:divBdr>
    </w:div>
    <w:div w:id="103767325">
      <w:bodyDiv w:val="1"/>
      <w:marLeft w:val="0"/>
      <w:marRight w:val="0"/>
      <w:marTop w:val="0"/>
      <w:marBottom w:val="0"/>
      <w:divBdr>
        <w:top w:val="none" w:sz="0" w:space="0" w:color="auto"/>
        <w:left w:val="none" w:sz="0" w:space="0" w:color="auto"/>
        <w:bottom w:val="none" w:sz="0" w:space="0" w:color="auto"/>
        <w:right w:val="none" w:sz="0" w:space="0" w:color="auto"/>
      </w:divBdr>
    </w:div>
    <w:div w:id="121579642">
      <w:bodyDiv w:val="1"/>
      <w:marLeft w:val="0"/>
      <w:marRight w:val="0"/>
      <w:marTop w:val="0"/>
      <w:marBottom w:val="0"/>
      <w:divBdr>
        <w:top w:val="none" w:sz="0" w:space="0" w:color="auto"/>
        <w:left w:val="none" w:sz="0" w:space="0" w:color="auto"/>
        <w:bottom w:val="none" w:sz="0" w:space="0" w:color="auto"/>
        <w:right w:val="none" w:sz="0" w:space="0" w:color="auto"/>
      </w:divBdr>
    </w:div>
    <w:div w:id="124810960">
      <w:bodyDiv w:val="1"/>
      <w:marLeft w:val="0"/>
      <w:marRight w:val="0"/>
      <w:marTop w:val="0"/>
      <w:marBottom w:val="0"/>
      <w:divBdr>
        <w:top w:val="none" w:sz="0" w:space="0" w:color="auto"/>
        <w:left w:val="none" w:sz="0" w:space="0" w:color="auto"/>
        <w:bottom w:val="none" w:sz="0" w:space="0" w:color="auto"/>
        <w:right w:val="none" w:sz="0" w:space="0" w:color="auto"/>
      </w:divBdr>
    </w:div>
    <w:div w:id="172887277">
      <w:bodyDiv w:val="1"/>
      <w:marLeft w:val="0"/>
      <w:marRight w:val="0"/>
      <w:marTop w:val="0"/>
      <w:marBottom w:val="0"/>
      <w:divBdr>
        <w:top w:val="none" w:sz="0" w:space="0" w:color="auto"/>
        <w:left w:val="none" w:sz="0" w:space="0" w:color="auto"/>
        <w:bottom w:val="none" w:sz="0" w:space="0" w:color="auto"/>
        <w:right w:val="none" w:sz="0" w:space="0" w:color="auto"/>
      </w:divBdr>
    </w:div>
    <w:div w:id="182936914">
      <w:bodyDiv w:val="1"/>
      <w:marLeft w:val="0"/>
      <w:marRight w:val="0"/>
      <w:marTop w:val="0"/>
      <w:marBottom w:val="0"/>
      <w:divBdr>
        <w:top w:val="none" w:sz="0" w:space="0" w:color="auto"/>
        <w:left w:val="none" w:sz="0" w:space="0" w:color="auto"/>
        <w:bottom w:val="none" w:sz="0" w:space="0" w:color="auto"/>
        <w:right w:val="none" w:sz="0" w:space="0" w:color="auto"/>
      </w:divBdr>
    </w:div>
    <w:div w:id="191117408">
      <w:bodyDiv w:val="1"/>
      <w:marLeft w:val="0"/>
      <w:marRight w:val="0"/>
      <w:marTop w:val="0"/>
      <w:marBottom w:val="0"/>
      <w:divBdr>
        <w:top w:val="none" w:sz="0" w:space="0" w:color="auto"/>
        <w:left w:val="none" w:sz="0" w:space="0" w:color="auto"/>
        <w:bottom w:val="none" w:sz="0" w:space="0" w:color="auto"/>
        <w:right w:val="none" w:sz="0" w:space="0" w:color="auto"/>
      </w:divBdr>
    </w:div>
    <w:div w:id="201791607">
      <w:bodyDiv w:val="1"/>
      <w:marLeft w:val="0"/>
      <w:marRight w:val="0"/>
      <w:marTop w:val="0"/>
      <w:marBottom w:val="0"/>
      <w:divBdr>
        <w:top w:val="none" w:sz="0" w:space="0" w:color="auto"/>
        <w:left w:val="none" w:sz="0" w:space="0" w:color="auto"/>
        <w:bottom w:val="none" w:sz="0" w:space="0" w:color="auto"/>
        <w:right w:val="none" w:sz="0" w:space="0" w:color="auto"/>
      </w:divBdr>
    </w:div>
    <w:div w:id="235819629">
      <w:bodyDiv w:val="1"/>
      <w:marLeft w:val="0"/>
      <w:marRight w:val="0"/>
      <w:marTop w:val="0"/>
      <w:marBottom w:val="0"/>
      <w:divBdr>
        <w:top w:val="none" w:sz="0" w:space="0" w:color="auto"/>
        <w:left w:val="none" w:sz="0" w:space="0" w:color="auto"/>
        <w:bottom w:val="none" w:sz="0" w:space="0" w:color="auto"/>
        <w:right w:val="none" w:sz="0" w:space="0" w:color="auto"/>
      </w:divBdr>
    </w:div>
    <w:div w:id="241065550">
      <w:bodyDiv w:val="1"/>
      <w:marLeft w:val="0"/>
      <w:marRight w:val="0"/>
      <w:marTop w:val="0"/>
      <w:marBottom w:val="0"/>
      <w:divBdr>
        <w:top w:val="none" w:sz="0" w:space="0" w:color="auto"/>
        <w:left w:val="none" w:sz="0" w:space="0" w:color="auto"/>
        <w:bottom w:val="none" w:sz="0" w:space="0" w:color="auto"/>
        <w:right w:val="none" w:sz="0" w:space="0" w:color="auto"/>
      </w:divBdr>
    </w:div>
    <w:div w:id="242108452">
      <w:bodyDiv w:val="1"/>
      <w:marLeft w:val="0"/>
      <w:marRight w:val="0"/>
      <w:marTop w:val="0"/>
      <w:marBottom w:val="0"/>
      <w:divBdr>
        <w:top w:val="none" w:sz="0" w:space="0" w:color="auto"/>
        <w:left w:val="none" w:sz="0" w:space="0" w:color="auto"/>
        <w:bottom w:val="none" w:sz="0" w:space="0" w:color="auto"/>
        <w:right w:val="none" w:sz="0" w:space="0" w:color="auto"/>
      </w:divBdr>
    </w:div>
    <w:div w:id="245916386">
      <w:bodyDiv w:val="1"/>
      <w:marLeft w:val="0"/>
      <w:marRight w:val="0"/>
      <w:marTop w:val="0"/>
      <w:marBottom w:val="0"/>
      <w:divBdr>
        <w:top w:val="none" w:sz="0" w:space="0" w:color="auto"/>
        <w:left w:val="none" w:sz="0" w:space="0" w:color="auto"/>
        <w:bottom w:val="none" w:sz="0" w:space="0" w:color="auto"/>
        <w:right w:val="none" w:sz="0" w:space="0" w:color="auto"/>
      </w:divBdr>
    </w:div>
    <w:div w:id="268200823">
      <w:bodyDiv w:val="1"/>
      <w:marLeft w:val="0"/>
      <w:marRight w:val="0"/>
      <w:marTop w:val="0"/>
      <w:marBottom w:val="0"/>
      <w:divBdr>
        <w:top w:val="none" w:sz="0" w:space="0" w:color="auto"/>
        <w:left w:val="none" w:sz="0" w:space="0" w:color="auto"/>
        <w:bottom w:val="none" w:sz="0" w:space="0" w:color="auto"/>
        <w:right w:val="none" w:sz="0" w:space="0" w:color="auto"/>
      </w:divBdr>
    </w:div>
    <w:div w:id="317004947">
      <w:bodyDiv w:val="1"/>
      <w:marLeft w:val="0"/>
      <w:marRight w:val="0"/>
      <w:marTop w:val="0"/>
      <w:marBottom w:val="0"/>
      <w:divBdr>
        <w:top w:val="none" w:sz="0" w:space="0" w:color="auto"/>
        <w:left w:val="none" w:sz="0" w:space="0" w:color="auto"/>
        <w:bottom w:val="none" w:sz="0" w:space="0" w:color="auto"/>
        <w:right w:val="none" w:sz="0" w:space="0" w:color="auto"/>
      </w:divBdr>
    </w:div>
    <w:div w:id="350375590">
      <w:bodyDiv w:val="1"/>
      <w:marLeft w:val="0"/>
      <w:marRight w:val="0"/>
      <w:marTop w:val="0"/>
      <w:marBottom w:val="0"/>
      <w:divBdr>
        <w:top w:val="none" w:sz="0" w:space="0" w:color="auto"/>
        <w:left w:val="none" w:sz="0" w:space="0" w:color="auto"/>
        <w:bottom w:val="none" w:sz="0" w:space="0" w:color="auto"/>
        <w:right w:val="none" w:sz="0" w:space="0" w:color="auto"/>
      </w:divBdr>
    </w:div>
    <w:div w:id="359628339">
      <w:bodyDiv w:val="1"/>
      <w:marLeft w:val="0"/>
      <w:marRight w:val="0"/>
      <w:marTop w:val="0"/>
      <w:marBottom w:val="0"/>
      <w:divBdr>
        <w:top w:val="none" w:sz="0" w:space="0" w:color="auto"/>
        <w:left w:val="none" w:sz="0" w:space="0" w:color="auto"/>
        <w:bottom w:val="none" w:sz="0" w:space="0" w:color="auto"/>
        <w:right w:val="none" w:sz="0" w:space="0" w:color="auto"/>
      </w:divBdr>
    </w:div>
    <w:div w:id="363529425">
      <w:bodyDiv w:val="1"/>
      <w:marLeft w:val="0"/>
      <w:marRight w:val="0"/>
      <w:marTop w:val="0"/>
      <w:marBottom w:val="0"/>
      <w:divBdr>
        <w:top w:val="none" w:sz="0" w:space="0" w:color="auto"/>
        <w:left w:val="none" w:sz="0" w:space="0" w:color="auto"/>
        <w:bottom w:val="none" w:sz="0" w:space="0" w:color="auto"/>
        <w:right w:val="none" w:sz="0" w:space="0" w:color="auto"/>
      </w:divBdr>
    </w:div>
    <w:div w:id="379673346">
      <w:bodyDiv w:val="1"/>
      <w:marLeft w:val="0"/>
      <w:marRight w:val="0"/>
      <w:marTop w:val="0"/>
      <w:marBottom w:val="0"/>
      <w:divBdr>
        <w:top w:val="none" w:sz="0" w:space="0" w:color="auto"/>
        <w:left w:val="none" w:sz="0" w:space="0" w:color="auto"/>
        <w:bottom w:val="none" w:sz="0" w:space="0" w:color="auto"/>
        <w:right w:val="none" w:sz="0" w:space="0" w:color="auto"/>
      </w:divBdr>
    </w:div>
    <w:div w:id="409353249">
      <w:bodyDiv w:val="1"/>
      <w:marLeft w:val="0"/>
      <w:marRight w:val="0"/>
      <w:marTop w:val="0"/>
      <w:marBottom w:val="0"/>
      <w:divBdr>
        <w:top w:val="none" w:sz="0" w:space="0" w:color="auto"/>
        <w:left w:val="none" w:sz="0" w:space="0" w:color="auto"/>
        <w:bottom w:val="none" w:sz="0" w:space="0" w:color="auto"/>
        <w:right w:val="none" w:sz="0" w:space="0" w:color="auto"/>
      </w:divBdr>
    </w:div>
    <w:div w:id="418332351">
      <w:bodyDiv w:val="1"/>
      <w:marLeft w:val="0"/>
      <w:marRight w:val="0"/>
      <w:marTop w:val="0"/>
      <w:marBottom w:val="0"/>
      <w:divBdr>
        <w:top w:val="none" w:sz="0" w:space="0" w:color="auto"/>
        <w:left w:val="none" w:sz="0" w:space="0" w:color="auto"/>
        <w:bottom w:val="none" w:sz="0" w:space="0" w:color="auto"/>
        <w:right w:val="none" w:sz="0" w:space="0" w:color="auto"/>
      </w:divBdr>
    </w:div>
    <w:div w:id="420415295">
      <w:bodyDiv w:val="1"/>
      <w:marLeft w:val="0"/>
      <w:marRight w:val="0"/>
      <w:marTop w:val="0"/>
      <w:marBottom w:val="0"/>
      <w:divBdr>
        <w:top w:val="none" w:sz="0" w:space="0" w:color="auto"/>
        <w:left w:val="none" w:sz="0" w:space="0" w:color="auto"/>
        <w:bottom w:val="none" w:sz="0" w:space="0" w:color="auto"/>
        <w:right w:val="none" w:sz="0" w:space="0" w:color="auto"/>
      </w:divBdr>
    </w:div>
    <w:div w:id="438835251">
      <w:bodyDiv w:val="1"/>
      <w:marLeft w:val="0"/>
      <w:marRight w:val="0"/>
      <w:marTop w:val="0"/>
      <w:marBottom w:val="0"/>
      <w:divBdr>
        <w:top w:val="none" w:sz="0" w:space="0" w:color="auto"/>
        <w:left w:val="none" w:sz="0" w:space="0" w:color="auto"/>
        <w:bottom w:val="none" w:sz="0" w:space="0" w:color="auto"/>
        <w:right w:val="none" w:sz="0" w:space="0" w:color="auto"/>
      </w:divBdr>
    </w:div>
    <w:div w:id="449396241">
      <w:bodyDiv w:val="1"/>
      <w:marLeft w:val="0"/>
      <w:marRight w:val="0"/>
      <w:marTop w:val="0"/>
      <w:marBottom w:val="0"/>
      <w:divBdr>
        <w:top w:val="none" w:sz="0" w:space="0" w:color="auto"/>
        <w:left w:val="none" w:sz="0" w:space="0" w:color="auto"/>
        <w:bottom w:val="none" w:sz="0" w:space="0" w:color="auto"/>
        <w:right w:val="none" w:sz="0" w:space="0" w:color="auto"/>
      </w:divBdr>
    </w:div>
    <w:div w:id="485168565">
      <w:bodyDiv w:val="1"/>
      <w:marLeft w:val="0"/>
      <w:marRight w:val="0"/>
      <w:marTop w:val="0"/>
      <w:marBottom w:val="0"/>
      <w:divBdr>
        <w:top w:val="none" w:sz="0" w:space="0" w:color="auto"/>
        <w:left w:val="none" w:sz="0" w:space="0" w:color="auto"/>
        <w:bottom w:val="none" w:sz="0" w:space="0" w:color="auto"/>
        <w:right w:val="none" w:sz="0" w:space="0" w:color="auto"/>
      </w:divBdr>
    </w:div>
    <w:div w:id="485322593">
      <w:bodyDiv w:val="1"/>
      <w:marLeft w:val="0"/>
      <w:marRight w:val="0"/>
      <w:marTop w:val="0"/>
      <w:marBottom w:val="0"/>
      <w:divBdr>
        <w:top w:val="none" w:sz="0" w:space="0" w:color="auto"/>
        <w:left w:val="none" w:sz="0" w:space="0" w:color="auto"/>
        <w:bottom w:val="none" w:sz="0" w:space="0" w:color="auto"/>
        <w:right w:val="none" w:sz="0" w:space="0" w:color="auto"/>
      </w:divBdr>
    </w:div>
    <w:div w:id="495925109">
      <w:bodyDiv w:val="1"/>
      <w:marLeft w:val="0"/>
      <w:marRight w:val="0"/>
      <w:marTop w:val="0"/>
      <w:marBottom w:val="0"/>
      <w:divBdr>
        <w:top w:val="none" w:sz="0" w:space="0" w:color="auto"/>
        <w:left w:val="none" w:sz="0" w:space="0" w:color="auto"/>
        <w:bottom w:val="none" w:sz="0" w:space="0" w:color="auto"/>
        <w:right w:val="none" w:sz="0" w:space="0" w:color="auto"/>
      </w:divBdr>
    </w:div>
    <w:div w:id="550506476">
      <w:bodyDiv w:val="1"/>
      <w:marLeft w:val="0"/>
      <w:marRight w:val="0"/>
      <w:marTop w:val="0"/>
      <w:marBottom w:val="0"/>
      <w:divBdr>
        <w:top w:val="none" w:sz="0" w:space="0" w:color="auto"/>
        <w:left w:val="none" w:sz="0" w:space="0" w:color="auto"/>
        <w:bottom w:val="none" w:sz="0" w:space="0" w:color="auto"/>
        <w:right w:val="none" w:sz="0" w:space="0" w:color="auto"/>
      </w:divBdr>
    </w:div>
    <w:div w:id="625157368">
      <w:bodyDiv w:val="1"/>
      <w:marLeft w:val="0"/>
      <w:marRight w:val="0"/>
      <w:marTop w:val="0"/>
      <w:marBottom w:val="0"/>
      <w:divBdr>
        <w:top w:val="none" w:sz="0" w:space="0" w:color="auto"/>
        <w:left w:val="none" w:sz="0" w:space="0" w:color="auto"/>
        <w:bottom w:val="none" w:sz="0" w:space="0" w:color="auto"/>
        <w:right w:val="none" w:sz="0" w:space="0" w:color="auto"/>
      </w:divBdr>
    </w:div>
    <w:div w:id="651447058">
      <w:bodyDiv w:val="1"/>
      <w:marLeft w:val="0"/>
      <w:marRight w:val="0"/>
      <w:marTop w:val="0"/>
      <w:marBottom w:val="0"/>
      <w:divBdr>
        <w:top w:val="none" w:sz="0" w:space="0" w:color="auto"/>
        <w:left w:val="none" w:sz="0" w:space="0" w:color="auto"/>
        <w:bottom w:val="none" w:sz="0" w:space="0" w:color="auto"/>
        <w:right w:val="none" w:sz="0" w:space="0" w:color="auto"/>
      </w:divBdr>
    </w:div>
    <w:div w:id="707678263">
      <w:bodyDiv w:val="1"/>
      <w:marLeft w:val="0"/>
      <w:marRight w:val="0"/>
      <w:marTop w:val="0"/>
      <w:marBottom w:val="0"/>
      <w:divBdr>
        <w:top w:val="none" w:sz="0" w:space="0" w:color="auto"/>
        <w:left w:val="none" w:sz="0" w:space="0" w:color="auto"/>
        <w:bottom w:val="none" w:sz="0" w:space="0" w:color="auto"/>
        <w:right w:val="none" w:sz="0" w:space="0" w:color="auto"/>
      </w:divBdr>
    </w:div>
    <w:div w:id="717709024">
      <w:bodyDiv w:val="1"/>
      <w:marLeft w:val="0"/>
      <w:marRight w:val="0"/>
      <w:marTop w:val="0"/>
      <w:marBottom w:val="0"/>
      <w:divBdr>
        <w:top w:val="none" w:sz="0" w:space="0" w:color="auto"/>
        <w:left w:val="none" w:sz="0" w:space="0" w:color="auto"/>
        <w:bottom w:val="none" w:sz="0" w:space="0" w:color="auto"/>
        <w:right w:val="none" w:sz="0" w:space="0" w:color="auto"/>
      </w:divBdr>
    </w:div>
    <w:div w:id="718866003">
      <w:bodyDiv w:val="1"/>
      <w:marLeft w:val="0"/>
      <w:marRight w:val="0"/>
      <w:marTop w:val="0"/>
      <w:marBottom w:val="0"/>
      <w:divBdr>
        <w:top w:val="none" w:sz="0" w:space="0" w:color="auto"/>
        <w:left w:val="none" w:sz="0" w:space="0" w:color="auto"/>
        <w:bottom w:val="none" w:sz="0" w:space="0" w:color="auto"/>
        <w:right w:val="none" w:sz="0" w:space="0" w:color="auto"/>
      </w:divBdr>
      <w:divsChild>
        <w:div w:id="50546193">
          <w:marLeft w:val="0"/>
          <w:marRight w:val="0"/>
          <w:marTop w:val="0"/>
          <w:marBottom w:val="0"/>
          <w:divBdr>
            <w:top w:val="none" w:sz="0" w:space="0" w:color="auto"/>
            <w:left w:val="none" w:sz="0" w:space="0" w:color="auto"/>
            <w:bottom w:val="none" w:sz="0" w:space="0" w:color="auto"/>
            <w:right w:val="none" w:sz="0" w:space="0" w:color="auto"/>
          </w:divBdr>
        </w:div>
        <w:div w:id="104468999">
          <w:marLeft w:val="0"/>
          <w:marRight w:val="0"/>
          <w:marTop w:val="0"/>
          <w:marBottom w:val="0"/>
          <w:divBdr>
            <w:top w:val="none" w:sz="0" w:space="0" w:color="auto"/>
            <w:left w:val="none" w:sz="0" w:space="0" w:color="auto"/>
            <w:bottom w:val="none" w:sz="0" w:space="0" w:color="auto"/>
            <w:right w:val="none" w:sz="0" w:space="0" w:color="auto"/>
          </w:divBdr>
        </w:div>
      </w:divsChild>
    </w:div>
    <w:div w:id="744760267">
      <w:bodyDiv w:val="1"/>
      <w:marLeft w:val="0"/>
      <w:marRight w:val="0"/>
      <w:marTop w:val="0"/>
      <w:marBottom w:val="0"/>
      <w:divBdr>
        <w:top w:val="none" w:sz="0" w:space="0" w:color="auto"/>
        <w:left w:val="none" w:sz="0" w:space="0" w:color="auto"/>
        <w:bottom w:val="none" w:sz="0" w:space="0" w:color="auto"/>
        <w:right w:val="none" w:sz="0" w:space="0" w:color="auto"/>
      </w:divBdr>
    </w:div>
    <w:div w:id="749741790">
      <w:bodyDiv w:val="1"/>
      <w:marLeft w:val="0"/>
      <w:marRight w:val="0"/>
      <w:marTop w:val="0"/>
      <w:marBottom w:val="0"/>
      <w:divBdr>
        <w:top w:val="none" w:sz="0" w:space="0" w:color="auto"/>
        <w:left w:val="none" w:sz="0" w:space="0" w:color="auto"/>
        <w:bottom w:val="none" w:sz="0" w:space="0" w:color="auto"/>
        <w:right w:val="none" w:sz="0" w:space="0" w:color="auto"/>
      </w:divBdr>
    </w:div>
    <w:div w:id="791707220">
      <w:bodyDiv w:val="1"/>
      <w:marLeft w:val="0"/>
      <w:marRight w:val="0"/>
      <w:marTop w:val="0"/>
      <w:marBottom w:val="0"/>
      <w:divBdr>
        <w:top w:val="none" w:sz="0" w:space="0" w:color="auto"/>
        <w:left w:val="none" w:sz="0" w:space="0" w:color="auto"/>
        <w:bottom w:val="none" w:sz="0" w:space="0" w:color="auto"/>
        <w:right w:val="none" w:sz="0" w:space="0" w:color="auto"/>
      </w:divBdr>
    </w:div>
    <w:div w:id="795179002">
      <w:bodyDiv w:val="1"/>
      <w:marLeft w:val="0"/>
      <w:marRight w:val="0"/>
      <w:marTop w:val="0"/>
      <w:marBottom w:val="0"/>
      <w:divBdr>
        <w:top w:val="none" w:sz="0" w:space="0" w:color="auto"/>
        <w:left w:val="none" w:sz="0" w:space="0" w:color="auto"/>
        <w:bottom w:val="none" w:sz="0" w:space="0" w:color="auto"/>
        <w:right w:val="none" w:sz="0" w:space="0" w:color="auto"/>
      </w:divBdr>
    </w:div>
    <w:div w:id="796218055">
      <w:bodyDiv w:val="1"/>
      <w:marLeft w:val="0"/>
      <w:marRight w:val="0"/>
      <w:marTop w:val="0"/>
      <w:marBottom w:val="0"/>
      <w:divBdr>
        <w:top w:val="none" w:sz="0" w:space="0" w:color="auto"/>
        <w:left w:val="none" w:sz="0" w:space="0" w:color="auto"/>
        <w:bottom w:val="none" w:sz="0" w:space="0" w:color="auto"/>
        <w:right w:val="none" w:sz="0" w:space="0" w:color="auto"/>
      </w:divBdr>
    </w:div>
    <w:div w:id="841967895">
      <w:bodyDiv w:val="1"/>
      <w:marLeft w:val="0"/>
      <w:marRight w:val="0"/>
      <w:marTop w:val="0"/>
      <w:marBottom w:val="0"/>
      <w:divBdr>
        <w:top w:val="none" w:sz="0" w:space="0" w:color="auto"/>
        <w:left w:val="none" w:sz="0" w:space="0" w:color="auto"/>
        <w:bottom w:val="none" w:sz="0" w:space="0" w:color="auto"/>
        <w:right w:val="none" w:sz="0" w:space="0" w:color="auto"/>
      </w:divBdr>
    </w:div>
    <w:div w:id="852259775">
      <w:bodyDiv w:val="1"/>
      <w:marLeft w:val="0"/>
      <w:marRight w:val="0"/>
      <w:marTop w:val="0"/>
      <w:marBottom w:val="0"/>
      <w:divBdr>
        <w:top w:val="none" w:sz="0" w:space="0" w:color="auto"/>
        <w:left w:val="none" w:sz="0" w:space="0" w:color="auto"/>
        <w:bottom w:val="none" w:sz="0" w:space="0" w:color="auto"/>
        <w:right w:val="none" w:sz="0" w:space="0" w:color="auto"/>
      </w:divBdr>
    </w:div>
    <w:div w:id="862744609">
      <w:bodyDiv w:val="1"/>
      <w:marLeft w:val="0"/>
      <w:marRight w:val="0"/>
      <w:marTop w:val="0"/>
      <w:marBottom w:val="0"/>
      <w:divBdr>
        <w:top w:val="none" w:sz="0" w:space="0" w:color="auto"/>
        <w:left w:val="none" w:sz="0" w:space="0" w:color="auto"/>
        <w:bottom w:val="none" w:sz="0" w:space="0" w:color="auto"/>
        <w:right w:val="none" w:sz="0" w:space="0" w:color="auto"/>
      </w:divBdr>
    </w:div>
    <w:div w:id="892616806">
      <w:bodyDiv w:val="1"/>
      <w:marLeft w:val="0"/>
      <w:marRight w:val="0"/>
      <w:marTop w:val="0"/>
      <w:marBottom w:val="0"/>
      <w:divBdr>
        <w:top w:val="none" w:sz="0" w:space="0" w:color="auto"/>
        <w:left w:val="none" w:sz="0" w:space="0" w:color="auto"/>
        <w:bottom w:val="none" w:sz="0" w:space="0" w:color="auto"/>
        <w:right w:val="none" w:sz="0" w:space="0" w:color="auto"/>
      </w:divBdr>
    </w:div>
    <w:div w:id="935673123">
      <w:bodyDiv w:val="1"/>
      <w:marLeft w:val="0"/>
      <w:marRight w:val="0"/>
      <w:marTop w:val="0"/>
      <w:marBottom w:val="0"/>
      <w:divBdr>
        <w:top w:val="none" w:sz="0" w:space="0" w:color="auto"/>
        <w:left w:val="none" w:sz="0" w:space="0" w:color="auto"/>
        <w:bottom w:val="none" w:sz="0" w:space="0" w:color="auto"/>
        <w:right w:val="none" w:sz="0" w:space="0" w:color="auto"/>
      </w:divBdr>
    </w:div>
    <w:div w:id="949236174">
      <w:bodyDiv w:val="1"/>
      <w:marLeft w:val="0"/>
      <w:marRight w:val="0"/>
      <w:marTop w:val="0"/>
      <w:marBottom w:val="0"/>
      <w:divBdr>
        <w:top w:val="none" w:sz="0" w:space="0" w:color="auto"/>
        <w:left w:val="none" w:sz="0" w:space="0" w:color="auto"/>
        <w:bottom w:val="none" w:sz="0" w:space="0" w:color="auto"/>
        <w:right w:val="none" w:sz="0" w:space="0" w:color="auto"/>
      </w:divBdr>
    </w:div>
    <w:div w:id="981153509">
      <w:bodyDiv w:val="1"/>
      <w:marLeft w:val="0"/>
      <w:marRight w:val="0"/>
      <w:marTop w:val="0"/>
      <w:marBottom w:val="0"/>
      <w:divBdr>
        <w:top w:val="none" w:sz="0" w:space="0" w:color="auto"/>
        <w:left w:val="none" w:sz="0" w:space="0" w:color="auto"/>
        <w:bottom w:val="none" w:sz="0" w:space="0" w:color="auto"/>
        <w:right w:val="none" w:sz="0" w:space="0" w:color="auto"/>
      </w:divBdr>
    </w:div>
    <w:div w:id="985865527">
      <w:bodyDiv w:val="1"/>
      <w:marLeft w:val="0"/>
      <w:marRight w:val="0"/>
      <w:marTop w:val="0"/>
      <w:marBottom w:val="0"/>
      <w:divBdr>
        <w:top w:val="none" w:sz="0" w:space="0" w:color="auto"/>
        <w:left w:val="none" w:sz="0" w:space="0" w:color="auto"/>
        <w:bottom w:val="none" w:sz="0" w:space="0" w:color="auto"/>
        <w:right w:val="none" w:sz="0" w:space="0" w:color="auto"/>
      </w:divBdr>
    </w:div>
    <w:div w:id="1003506914">
      <w:bodyDiv w:val="1"/>
      <w:marLeft w:val="0"/>
      <w:marRight w:val="0"/>
      <w:marTop w:val="0"/>
      <w:marBottom w:val="0"/>
      <w:divBdr>
        <w:top w:val="none" w:sz="0" w:space="0" w:color="auto"/>
        <w:left w:val="none" w:sz="0" w:space="0" w:color="auto"/>
        <w:bottom w:val="none" w:sz="0" w:space="0" w:color="auto"/>
        <w:right w:val="none" w:sz="0" w:space="0" w:color="auto"/>
      </w:divBdr>
    </w:div>
    <w:div w:id="1068773057">
      <w:bodyDiv w:val="1"/>
      <w:marLeft w:val="0"/>
      <w:marRight w:val="0"/>
      <w:marTop w:val="0"/>
      <w:marBottom w:val="0"/>
      <w:divBdr>
        <w:top w:val="none" w:sz="0" w:space="0" w:color="auto"/>
        <w:left w:val="none" w:sz="0" w:space="0" w:color="auto"/>
        <w:bottom w:val="none" w:sz="0" w:space="0" w:color="auto"/>
        <w:right w:val="none" w:sz="0" w:space="0" w:color="auto"/>
      </w:divBdr>
    </w:div>
    <w:div w:id="1072578090">
      <w:bodyDiv w:val="1"/>
      <w:marLeft w:val="0"/>
      <w:marRight w:val="0"/>
      <w:marTop w:val="0"/>
      <w:marBottom w:val="0"/>
      <w:divBdr>
        <w:top w:val="none" w:sz="0" w:space="0" w:color="auto"/>
        <w:left w:val="none" w:sz="0" w:space="0" w:color="auto"/>
        <w:bottom w:val="none" w:sz="0" w:space="0" w:color="auto"/>
        <w:right w:val="none" w:sz="0" w:space="0" w:color="auto"/>
      </w:divBdr>
    </w:div>
    <w:div w:id="1076171867">
      <w:bodyDiv w:val="1"/>
      <w:marLeft w:val="0"/>
      <w:marRight w:val="0"/>
      <w:marTop w:val="0"/>
      <w:marBottom w:val="0"/>
      <w:divBdr>
        <w:top w:val="none" w:sz="0" w:space="0" w:color="auto"/>
        <w:left w:val="none" w:sz="0" w:space="0" w:color="auto"/>
        <w:bottom w:val="none" w:sz="0" w:space="0" w:color="auto"/>
        <w:right w:val="none" w:sz="0" w:space="0" w:color="auto"/>
      </w:divBdr>
    </w:div>
    <w:div w:id="1082071421">
      <w:bodyDiv w:val="1"/>
      <w:marLeft w:val="0"/>
      <w:marRight w:val="0"/>
      <w:marTop w:val="0"/>
      <w:marBottom w:val="0"/>
      <w:divBdr>
        <w:top w:val="none" w:sz="0" w:space="0" w:color="auto"/>
        <w:left w:val="none" w:sz="0" w:space="0" w:color="auto"/>
        <w:bottom w:val="none" w:sz="0" w:space="0" w:color="auto"/>
        <w:right w:val="none" w:sz="0" w:space="0" w:color="auto"/>
      </w:divBdr>
    </w:div>
    <w:div w:id="1180660595">
      <w:bodyDiv w:val="1"/>
      <w:marLeft w:val="0"/>
      <w:marRight w:val="0"/>
      <w:marTop w:val="0"/>
      <w:marBottom w:val="0"/>
      <w:divBdr>
        <w:top w:val="none" w:sz="0" w:space="0" w:color="auto"/>
        <w:left w:val="none" w:sz="0" w:space="0" w:color="auto"/>
        <w:bottom w:val="none" w:sz="0" w:space="0" w:color="auto"/>
        <w:right w:val="none" w:sz="0" w:space="0" w:color="auto"/>
      </w:divBdr>
    </w:div>
    <w:div w:id="1225605895">
      <w:bodyDiv w:val="1"/>
      <w:marLeft w:val="0"/>
      <w:marRight w:val="0"/>
      <w:marTop w:val="0"/>
      <w:marBottom w:val="0"/>
      <w:divBdr>
        <w:top w:val="none" w:sz="0" w:space="0" w:color="auto"/>
        <w:left w:val="none" w:sz="0" w:space="0" w:color="auto"/>
        <w:bottom w:val="none" w:sz="0" w:space="0" w:color="auto"/>
        <w:right w:val="none" w:sz="0" w:space="0" w:color="auto"/>
      </w:divBdr>
    </w:div>
    <w:div w:id="1234199792">
      <w:bodyDiv w:val="1"/>
      <w:marLeft w:val="0"/>
      <w:marRight w:val="0"/>
      <w:marTop w:val="0"/>
      <w:marBottom w:val="0"/>
      <w:divBdr>
        <w:top w:val="none" w:sz="0" w:space="0" w:color="auto"/>
        <w:left w:val="none" w:sz="0" w:space="0" w:color="auto"/>
        <w:bottom w:val="none" w:sz="0" w:space="0" w:color="auto"/>
        <w:right w:val="none" w:sz="0" w:space="0" w:color="auto"/>
      </w:divBdr>
    </w:div>
    <w:div w:id="1240208969">
      <w:bodyDiv w:val="1"/>
      <w:marLeft w:val="0"/>
      <w:marRight w:val="0"/>
      <w:marTop w:val="0"/>
      <w:marBottom w:val="0"/>
      <w:divBdr>
        <w:top w:val="none" w:sz="0" w:space="0" w:color="auto"/>
        <w:left w:val="none" w:sz="0" w:space="0" w:color="auto"/>
        <w:bottom w:val="none" w:sz="0" w:space="0" w:color="auto"/>
        <w:right w:val="none" w:sz="0" w:space="0" w:color="auto"/>
      </w:divBdr>
    </w:div>
    <w:div w:id="1254556477">
      <w:bodyDiv w:val="1"/>
      <w:marLeft w:val="0"/>
      <w:marRight w:val="0"/>
      <w:marTop w:val="0"/>
      <w:marBottom w:val="0"/>
      <w:divBdr>
        <w:top w:val="none" w:sz="0" w:space="0" w:color="auto"/>
        <w:left w:val="none" w:sz="0" w:space="0" w:color="auto"/>
        <w:bottom w:val="none" w:sz="0" w:space="0" w:color="auto"/>
        <w:right w:val="none" w:sz="0" w:space="0" w:color="auto"/>
      </w:divBdr>
    </w:div>
    <w:div w:id="1288656970">
      <w:bodyDiv w:val="1"/>
      <w:marLeft w:val="0"/>
      <w:marRight w:val="0"/>
      <w:marTop w:val="0"/>
      <w:marBottom w:val="0"/>
      <w:divBdr>
        <w:top w:val="none" w:sz="0" w:space="0" w:color="auto"/>
        <w:left w:val="none" w:sz="0" w:space="0" w:color="auto"/>
        <w:bottom w:val="none" w:sz="0" w:space="0" w:color="auto"/>
        <w:right w:val="none" w:sz="0" w:space="0" w:color="auto"/>
      </w:divBdr>
    </w:div>
    <w:div w:id="1313943793">
      <w:bodyDiv w:val="1"/>
      <w:marLeft w:val="0"/>
      <w:marRight w:val="0"/>
      <w:marTop w:val="0"/>
      <w:marBottom w:val="0"/>
      <w:divBdr>
        <w:top w:val="none" w:sz="0" w:space="0" w:color="auto"/>
        <w:left w:val="none" w:sz="0" w:space="0" w:color="auto"/>
        <w:bottom w:val="none" w:sz="0" w:space="0" w:color="auto"/>
        <w:right w:val="none" w:sz="0" w:space="0" w:color="auto"/>
      </w:divBdr>
    </w:div>
    <w:div w:id="1314985645">
      <w:bodyDiv w:val="1"/>
      <w:marLeft w:val="0"/>
      <w:marRight w:val="0"/>
      <w:marTop w:val="0"/>
      <w:marBottom w:val="0"/>
      <w:divBdr>
        <w:top w:val="none" w:sz="0" w:space="0" w:color="auto"/>
        <w:left w:val="none" w:sz="0" w:space="0" w:color="auto"/>
        <w:bottom w:val="none" w:sz="0" w:space="0" w:color="auto"/>
        <w:right w:val="none" w:sz="0" w:space="0" w:color="auto"/>
      </w:divBdr>
    </w:div>
    <w:div w:id="1320845135">
      <w:bodyDiv w:val="1"/>
      <w:marLeft w:val="0"/>
      <w:marRight w:val="0"/>
      <w:marTop w:val="0"/>
      <w:marBottom w:val="0"/>
      <w:divBdr>
        <w:top w:val="none" w:sz="0" w:space="0" w:color="auto"/>
        <w:left w:val="none" w:sz="0" w:space="0" w:color="auto"/>
        <w:bottom w:val="none" w:sz="0" w:space="0" w:color="auto"/>
        <w:right w:val="none" w:sz="0" w:space="0" w:color="auto"/>
      </w:divBdr>
    </w:div>
    <w:div w:id="1432579999">
      <w:bodyDiv w:val="1"/>
      <w:marLeft w:val="0"/>
      <w:marRight w:val="0"/>
      <w:marTop w:val="0"/>
      <w:marBottom w:val="0"/>
      <w:divBdr>
        <w:top w:val="none" w:sz="0" w:space="0" w:color="auto"/>
        <w:left w:val="none" w:sz="0" w:space="0" w:color="auto"/>
        <w:bottom w:val="none" w:sz="0" w:space="0" w:color="auto"/>
        <w:right w:val="none" w:sz="0" w:space="0" w:color="auto"/>
      </w:divBdr>
    </w:div>
    <w:div w:id="1470395051">
      <w:bodyDiv w:val="1"/>
      <w:marLeft w:val="0"/>
      <w:marRight w:val="0"/>
      <w:marTop w:val="0"/>
      <w:marBottom w:val="0"/>
      <w:divBdr>
        <w:top w:val="none" w:sz="0" w:space="0" w:color="auto"/>
        <w:left w:val="none" w:sz="0" w:space="0" w:color="auto"/>
        <w:bottom w:val="none" w:sz="0" w:space="0" w:color="auto"/>
        <w:right w:val="none" w:sz="0" w:space="0" w:color="auto"/>
      </w:divBdr>
    </w:div>
    <w:div w:id="1474056644">
      <w:bodyDiv w:val="1"/>
      <w:marLeft w:val="0"/>
      <w:marRight w:val="0"/>
      <w:marTop w:val="0"/>
      <w:marBottom w:val="0"/>
      <w:divBdr>
        <w:top w:val="none" w:sz="0" w:space="0" w:color="auto"/>
        <w:left w:val="none" w:sz="0" w:space="0" w:color="auto"/>
        <w:bottom w:val="none" w:sz="0" w:space="0" w:color="auto"/>
        <w:right w:val="none" w:sz="0" w:space="0" w:color="auto"/>
      </w:divBdr>
    </w:div>
    <w:div w:id="1533497210">
      <w:bodyDiv w:val="1"/>
      <w:marLeft w:val="0"/>
      <w:marRight w:val="0"/>
      <w:marTop w:val="0"/>
      <w:marBottom w:val="0"/>
      <w:divBdr>
        <w:top w:val="none" w:sz="0" w:space="0" w:color="auto"/>
        <w:left w:val="none" w:sz="0" w:space="0" w:color="auto"/>
        <w:bottom w:val="none" w:sz="0" w:space="0" w:color="auto"/>
        <w:right w:val="none" w:sz="0" w:space="0" w:color="auto"/>
      </w:divBdr>
    </w:div>
    <w:div w:id="1565217485">
      <w:bodyDiv w:val="1"/>
      <w:marLeft w:val="0"/>
      <w:marRight w:val="0"/>
      <w:marTop w:val="0"/>
      <w:marBottom w:val="0"/>
      <w:divBdr>
        <w:top w:val="none" w:sz="0" w:space="0" w:color="auto"/>
        <w:left w:val="none" w:sz="0" w:space="0" w:color="auto"/>
        <w:bottom w:val="none" w:sz="0" w:space="0" w:color="auto"/>
        <w:right w:val="none" w:sz="0" w:space="0" w:color="auto"/>
      </w:divBdr>
    </w:div>
    <w:div w:id="1575580134">
      <w:bodyDiv w:val="1"/>
      <w:marLeft w:val="0"/>
      <w:marRight w:val="0"/>
      <w:marTop w:val="0"/>
      <w:marBottom w:val="0"/>
      <w:divBdr>
        <w:top w:val="none" w:sz="0" w:space="0" w:color="auto"/>
        <w:left w:val="none" w:sz="0" w:space="0" w:color="auto"/>
        <w:bottom w:val="none" w:sz="0" w:space="0" w:color="auto"/>
        <w:right w:val="none" w:sz="0" w:space="0" w:color="auto"/>
      </w:divBdr>
    </w:div>
    <w:div w:id="1579828639">
      <w:bodyDiv w:val="1"/>
      <w:marLeft w:val="0"/>
      <w:marRight w:val="0"/>
      <w:marTop w:val="0"/>
      <w:marBottom w:val="0"/>
      <w:divBdr>
        <w:top w:val="none" w:sz="0" w:space="0" w:color="auto"/>
        <w:left w:val="none" w:sz="0" w:space="0" w:color="auto"/>
        <w:bottom w:val="none" w:sz="0" w:space="0" w:color="auto"/>
        <w:right w:val="none" w:sz="0" w:space="0" w:color="auto"/>
      </w:divBdr>
    </w:div>
    <w:div w:id="1583904559">
      <w:bodyDiv w:val="1"/>
      <w:marLeft w:val="0"/>
      <w:marRight w:val="0"/>
      <w:marTop w:val="0"/>
      <w:marBottom w:val="0"/>
      <w:divBdr>
        <w:top w:val="none" w:sz="0" w:space="0" w:color="auto"/>
        <w:left w:val="none" w:sz="0" w:space="0" w:color="auto"/>
        <w:bottom w:val="none" w:sz="0" w:space="0" w:color="auto"/>
        <w:right w:val="none" w:sz="0" w:space="0" w:color="auto"/>
      </w:divBdr>
    </w:div>
    <w:div w:id="1595628058">
      <w:bodyDiv w:val="1"/>
      <w:marLeft w:val="0"/>
      <w:marRight w:val="0"/>
      <w:marTop w:val="0"/>
      <w:marBottom w:val="0"/>
      <w:divBdr>
        <w:top w:val="none" w:sz="0" w:space="0" w:color="auto"/>
        <w:left w:val="none" w:sz="0" w:space="0" w:color="auto"/>
        <w:bottom w:val="none" w:sz="0" w:space="0" w:color="auto"/>
        <w:right w:val="none" w:sz="0" w:space="0" w:color="auto"/>
      </w:divBdr>
    </w:div>
    <w:div w:id="1626737499">
      <w:bodyDiv w:val="1"/>
      <w:marLeft w:val="0"/>
      <w:marRight w:val="0"/>
      <w:marTop w:val="0"/>
      <w:marBottom w:val="0"/>
      <w:divBdr>
        <w:top w:val="none" w:sz="0" w:space="0" w:color="auto"/>
        <w:left w:val="none" w:sz="0" w:space="0" w:color="auto"/>
        <w:bottom w:val="none" w:sz="0" w:space="0" w:color="auto"/>
        <w:right w:val="none" w:sz="0" w:space="0" w:color="auto"/>
      </w:divBdr>
    </w:div>
    <w:div w:id="1654092979">
      <w:bodyDiv w:val="1"/>
      <w:marLeft w:val="0"/>
      <w:marRight w:val="0"/>
      <w:marTop w:val="0"/>
      <w:marBottom w:val="0"/>
      <w:divBdr>
        <w:top w:val="none" w:sz="0" w:space="0" w:color="auto"/>
        <w:left w:val="none" w:sz="0" w:space="0" w:color="auto"/>
        <w:bottom w:val="none" w:sz="0" w:space="0" w:color="auto"/>
        <w:right w:val="none" w:sz="0" w:space="0" w:color="auto"/>
      </w:divBdr>
    </w:div>
    <w:div w:id="1656566371">
      <w:bodyDiv w:val="1"/>
      <w:marLeft w:val="0"/>
      <w:marRight w:val="0"/>
      <w:marTop w:val="0"/>
      <w:marBottom w:val="0"/>
      <w:divBdr>
        <w:top w:val="none" w:sz="0" w:space="0" w:color="auto"/>
        <w:left w:val="none" w:sz="0" w:space="0" w:color="auto"/>
        <w:bottom w:val="none" w:sz="0" w:space="0" w:color="auto"/>
        <w:right w:val="none" w:sz="0" w:space="0" w:color="auto"/>
      </w:divBdr>
    </w:div>
    <w:div w:id="1668702778">
      <w:bodyDiv w:val="1"/>
      <w:marLeft w:val="0"/>
      <w:marRight w:val="0"/>
      <w:marTop w:val="0"/>
      <w:marBottom w:val="0"/>
      <w:divBdr>
        <w:top w:val="none" w:sz="0" w:space="0" w:color="auto"/>
        <w:left w:val="none" w:sz="0" w:space="0" w:color="auto"/>
        <w:bottom w:val="none" w:sz="0" w:space="0" w:color="auto"/>
        <w:right w:val="none" w:sz="0" w:space="0" w:color="auto"/>
      </w:divBdr>
    </w:div>
    <w:div w:id="1681349486">
      <w:bodyDiv w:val="1"/>
      <w:marLeft w:val="0"/>
      <w:marRight w:val="0"/>
      <w:marTop w:val="0"/>
      <w:marBottom w:val="0"/>
      <w:divBdr>
        <w:top w:val="none" w:sz="0" w:space="0" w:color="auto"/>
        <w:left w:val="none" w:sz="0" w:space="0" w:color="auto"/>
        <w:bottom w:val="none" w:sz="0" w:space="0" w:color="auto"/>
        <w:right w:val="none" w:sz="0" w:space="0" w:color="auto"/>
      </w:divBdr>
    </w:div>
    <w:div w:id="1681661598">
      <w:bodyDiv w:val="1"/>
      <w:marLeft w:val="0"/>
      <w:marRight w:val="0"/>
      <w:marTop w:val="0"/>
      <w:marBottom w:val="0"/>
      <w:divBdr>
        <w:top w:val="none" w:sz="0" w:space="0" w:color="auto"/>
        <w:left w:val="none" w:sz="0" w:space="0" w:color="auto"/>
        <w:bottom w:val="none" w:sz="0" w:space="0" w:color="auto"/>
        <w:right w:val="none" w:sz="0" w:space="0" w:color="auto"/>
      </w:divBdr>
    </w:div>
    <w:div w:id="1701003475">
      <w:bodyDiv w:val="1"/>
      <w:marLeft w:val="0"/>
      <w:marRight w:val="0"/>
      <w:marTop w:val="0"/>
      <w:marBottom w:val="0"/>
      <w:divBdr>
        <w:top w:val="none" w:sz="0" w:space="0" w:color="auto"/>
        <w:left w:val="none" w:sz="0" w:space="0" w:color="auto"/>
        <w:bottom w:val="none" w:sz="0" w:space="0" w:color="auto"/>
        <w:right w:val="none" w:sz="0" w:space="0" w:color="auto"/>
      </w:divBdr>
    </w:div>
    <w:div w:id="1722244370">
      <w:bodyDiv w:val="1"/>
      <w:marLeft w:val="0"/>
      <w:marRight w:val="0"/>
      <w:marTop w:val="0"/>
      <w:marBottom w:val="0"/>
      <w:divBdr>
        <w:top w:val="none" w:sz="0" w:space="0" w:color="auto"/>
        <w:left w:val="none" w:sz="0" w:space="0" w:color="auto"/>
        <w:bottom w:val="none" w:sz="0" w:space="0" w:color="auto"/>
        <w:right w:val="none" w:sz="0" w:space="0" w:color="auto"/>
      </w:divBdr>
    </w:div>
    <w:div w:id="1739477918">
      <w:bodyDiv w:val="1"/>
      <w:marLeft w:val="0"/>
      <w:marRight w:val="0"/>
      <w:marTop w:val="0"/>
      <w:marBottom w:val="0"/>
      <w:divBdr>
        <w:top w:val="none" w:sz="0" w:space="0" w:color="auto"/>
        <w:left w:val="none" w:sz="0" w:space="0" w:color="auto"/>
        <w:bottom w:val="none" w:sz="0" w:space="0" w:color="auto"/>
        <w:right w:val="none" w:sz="0" w:space="0" w:color="auto"/>
      </w:divBdr>
    </w:div>
    <w:div w:id="1751727775">
      <w:bodyDiv w:val="1"/>
      <w:marLeft w:val="0"/>
      <w:marRight w:val="0"/>
      <w:marTop w:val="0"/>
      <w:marBottom w:val="0"/>
      <w:divBdr>
        <w:top w:val="none" w:sz="0" w:space="0" w:color="auto"/>
        <w:left w:val="none" w:sz="0" w:space="0" w:color="auto"/>
        <w:bottom w:val="none" w:sz="0" w:space="0" w:color="auto"/>
        <w:right w:val="none" w:sz="0" w:space="0" w:color="auto"/>
      </w:divBdr>
    </w:div>
    <w:div w:id="1773436587">
      <w:bodyDiv w:val="1"/>
      <w:marLeft w:val="0"/>
      <w:marRight w:val="0"/>
      <w:marTop w:val="0"/>
      <w:marBottom w:val="0"/>
      <w:divBdr>
        <w:top w:val="none" w:sz="0" w:space="0" w:color="auto"/>
        <w:left w:val="none" w:sz="0" w:space="0" w:color="auto"/>
        <w:bottom w:val="none" w:sz="0" w:space="0" w:color="auto"/>
        <w:right w:val="none" w:sz="0" w:space="0" w:color="auto"/>
      </w:divBdr>
    </w:div>
    <w:div w:id="1777208501">
      <w:bodyDiv w:val="1"/>
      <w:marLeft w:val="0"/>
      <w:marRight w:val="0"/>
      <w:marTop w:val="0"/>
      <w:marBottom w:val="0"/>
      <w:divBdr>
        <w:top w:val="none" w:sz="0" w:space="0" w:color="auto"/>
        <w:left w:val="none" w:sz="0" w:space="0" w:color="auto"/>
        <w:bottom w:val="none" w:sz="0" w:space="0" w:color="auto"/>
        <w:right w:val="none" w:sz="0" w:space="0" w:color="auto"/>
      </w:divBdr>
    </w:div>
    <w:div w:id="1830362551">
      <w:bodyDiv w:val="1"/>
      <w:marLeft w:val="0"/>
      <w:marRight w:val="0"/>
      <w:marTop w:val="0"/>
      <w:marBottom w:val="0"/>
      <w:divBdr>
        <w:top w:val="none" w:sz="0" w:space="0" w:color="auto"/>
        <w:left w:val="none" w:sz="0" w:space="0" w:color="auto"/>
        <w:bottom w:val="none" w:sz="0" w:space="0" w:color="auto"/>
        <w:right w:val="none" w:sz="0" w:space="0" w:color="auto"/>
      </w:divBdr>
    </w:div>
    <w:div w:id="1862008923">
      <w:bodyDiv w:val="1"/>
      <w:marLeft w:val="0"/>
      <w:marRight w:val="0"/>
      <w:marTop w:val="0"/>
      <w:marBottom w:val="0"/>
      <w:divBdr>
        <w:top w:val="none" w:sz="0" w:space="0" w:color="auto"/>
        <w:left w:val="none" w:sz="0" w:space="0" w:color="auto"/>
        <w:bottom w:val="none" w:sz="0" w:space="0" w:color="auto"/>
        <w:right w:val="none" w:sz="0" w:space="0" w:color="auto"/>
      </w:divBdr>
    </w:div>
    <w:div w:id="1868061124">
      <w:bodyDiv w:val="1"/>
      <w:marLeft w:val="0"/>
      <w:marRight w:val="0"/>
      <w:marTop w:val="0"/>
      <w:marBottom w:val="0"/>
      <w:divBdr>
        <w:top w:val="none" w:sz="0" w:space="0" w:color="auto"/>
        <w:left w:val="none" w:sz="0" w:space="0" w:color="auto"/>
        <w:bottom w:val="none" w:sz="0" w:space="0" w:color="auto"/>
        <w:right w:val="none" w:sz="0" w:space="0" w:color="auto"/>
      </w:divBdr>
    </w:div>
    <w:div w:id="1870797102">
      <w:bodyDiv w:val="1"/>
      <w:marLeft w:val="0"/>
      <w:marRight w:val="0"/>
      <w:marTop w:val="0"/>
      <w:marBottom w:val="0"/>
      <w:divBdr>
        <w:top w:val="none" w:sz="0" w:space="0" w:color="auto"/>
        <w:left w:val="none" w:sz="0" w:space="0" w:color="auto"/>
        <w:bottom w:val="none" w:sz="0" w:space="0" w:color="auto"/>
        <w:right w:val="none" w:sz="0" w:space="0" w:color="auto"/>
      </w:divBdr>
    </w:div>
    <w:div w:id="1880584544">
      <w:bodyDiv w:val="1"/>
      <w:marLeft w:val="0"/>
      <w:marRight w:val="0"/>
      <w:marTop w:val="0"/>
      <w:marBottom w:val="0"/>
      <w:divBdr>
        <w:top w:val="none" w:sz="0" w:space="0" w:color="auto"/>
        <w:left w:val="none" w:sz="0" w:space="0" w:color="auto"/>
        <w:bottom w:val="none" w:sz="0" w:space="0" w:color="auto"/>
        <w:right w:val="none" w:sz="0" w:space="0" w:color="auto"/>
      </w:divBdr>
    </w:div>
    <w:div w:id="1930043270">
      <w:bodyDiv w:val="1"/>
      <w:marLeft w:val="0"/>
      <w:marRight w:val="0"/>
      <w:marTop w:val="0"/>
      <w:marBottom w:val="0"/>
      <w:divBdr>
        <w:top w:val="none" w:sz="0" w:space="0" w:color="auto"/>
        <w:left w:val="none" w:sz="0" w:space="0" w:color="auto"/>
        <w:bottom w:val="none" w:sz="0" w:space="0" w:color="auto"/>
        <w:right w:val="none" w:sz="0" w:space="0" w:color="auto"/>
      </w:divBdr>
    </w:div>
    <w:div w:id="1939025106">
      <w:bodyDiv w:val="1"/>
      <w:marLeft w:val="0"/>
      <w:marRight w:val="0"/>
      <w:marTop w:val="0"/>
      <w:marBottom w:val="0"/>
      <w:divBdr>
        <w:top w:val="none" w:sz="0" w:space="0" w:color="auto"/>
        <w:left w:val="none" w:sz="0" w:space="0" w:color="auto"/>
        <w:bottom w:val="none" w:sz="0" w:space="0" w:color="auto"/>
        <w:right w:val="none" w:sz="0" w:space="0" w:color="auto"/>
      </w:divBdr>
    </w:div>
    <w:div w:id="1941834405">
      <w:bodyDiv w:val="1"/>
      <w:marLeft w:val="0"/>
      <w:marRight w:val="0"/>
      <w:marTop w:val="0"/>
      <w:marBottom w:val="0"/>
      <w:divBdr>
        <w:top w:val="none" w:sz="0" w:space="0" w:color="auto"/>
        <w:left w:val="none" w:sz="0" w:space="0" w:color="auto"/>
        <w:bottom w:val="none" w:sz="0" w:space="0" w:color="auto"/>
        <w:right w:val="none" w:sz="0" w:space="0" w:color="auto"/>
      </w:divBdr>
    </w:div>
    <w:div w:id="1990088219">
      <w:bodyDiv w:val="1"/>
      <w:marLeft w:val="0"/>
      <w:marRight w:val="0"/>
      <w:marTop w:val="0"/>
      <w:marBottom w:val="0"/>
      <w:divBdr>
        <w:top w:val="none" w:sz="0" w:space="0" w:color="auto"/>
        <w:left w:val="none" w:sz="0" w:space="0" w:color="auto"/>
        <w:bottom w:val="none" w:sz="0" w:space="0" w:color="auto"/>
        <w:right w:val="none" w:sz="0" w:space="0" w:color="auto"/>
      </w:divBdr>
    </w:div>
    <w:div w:id="2001735740">
      <w:bodyDiv w:val="1"/>
      <w:marLeft w:val="0"/>
      <w:marRight w:val="0"/>
      <w:marTop w:val="0"/>
      <w:marBottom w:val="0"/>
      <w:divBdr>
        <w:top w:val="none" w:sz="0" w:space="0" w:color="auto"/>
        <w:left w:val="none" w:sz="0" w:space="0" w:color="auto"/>
        <w:bottom w:val="none" w:sz="0" w:space="0" w:color="auto"/>
        <w:right w:val="none" w:sz="0" w:space="0" w:color="auto"/>
      </w:divBdr>
    </w:div>
    <w:div w:id="2035376066">
      <w:bodyDiv w:val="1"/>
      <w:marLeft w:val="0"/>
      <w:marRight w:val="0"/>
      <w:marTop w:val="0"/>
      <w:marBottom w:val="0"/>
      <w:divBdr>
        <w:top w:val="none" w:sz="0" w:space="0" w:color="auto"/>
        <w:left w:val="none" w:sz="0" w:space="0" w:color="auto"/>
        <w:bottom w:val="none" w:sz="0" w:space="0" w:color="auto"/>
        <w:right w:val="none" w:sz="0" w:space="0" w:color="auto"/>
      </w:divBdr>
    </w:div>
    <w:div w:id="2054576256">
      <w:bodyDiv w:val="1"/>
      <w:marLeft w:val="0"/>
      <w:marRight w:val="0"/>
      <w:marTop w:val="0"/>
      <w:marBottom w:val="0"/>
      <w:divBdr>
        <w:top w:val="none" w:sz="0" w:space="0" w:color="auto"/>
        <w:left w:val="none" w:sz="0" w:space="0" w:color="auto"/>
        <w:bottom w:val="none" w:sz="0" w:space="0" w:color="auto"/>
        <w:right w:val="none" w:sz="0" w:space="0" w:color="auto"/>
      </w:divBdr>
    </w:div>
    <w:div w:id="2070573311">
      <w:bodyDiv w:val="1"/>
      <w:marLeft w:val="0"/>
      <w:marRight w:val="0"/>
      <w:marTop w:val="0"/>
      <w:marBottom w:val="0"/>
      <w:divBdr>
        <w:top w:val="none" w:sz="0" w:space="0" w:color="auto"/>
        <w:left w:val="none" w:sz="0" w:space="0" w:color="auto"/>
        <w:bottom w:val="none" w:sz="0" w:space="0" w:color="auto"/>
        <w:right w:val="none" w:sz="0" w:space="0" w:color="auto"/>
      </w:divBdr>
    </w:div>
    <w:div w:id="2077849206">
      <w:bodyDiv w:val="1"/>
      <w:marLeft w:val="0"/>
      <w:marRight w:val="0"/>
      <w:marTop w:val="0"/>
      <w:marBottom w:val="0"/>
      <w:divBdr>
        <w:top w:val="none" w:sz="0" w:space="0" w:color="auto"/>
        <w:left w:val="none" w:sz="0" w:space="0" w:color="auto"/>
        <w:bottom w:val="none" w:sz="0" w:space="0" w:color="auto"/>
        <w:right w:val="none" w:sz="0" w:space="0" w:color="auto"/>
      </w:divBdr>
    </w:div>
    <w:div w:id="2103794450">
      <w:bodyDiv w:val="1"/>
      <w:marLeft w:val="0"/>
      <w:marRight w:val="0"/>
      <w:marTop w:val="0"/>
      <w:marBottom w:val="0"/>
      <w:divBdr>
        <w:top w:val="none" w:sz="0" w:space="0" w:color="auto"/>
        <w:left w:val="none" w:sz="0" w:space="0" w:color="auto"/>
        <w:bottom w:val="none" w:sz="0" w:space="0" w:color="auto"/>
        <w:right w:val="none" w:sz="0" w:space="0" w:color="auto"/>
      </w:divBdr>
    </w:div>
    <w:div w:id="211624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8369F-EF73-4192-8CEE-3FE96E6C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7989</Words>
  <Characters>47934</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2026-04-09T11:03:00Z</dcterms:created>
  <dcterms:modified xsi:type="dcterms:W3CDTF">2026-04-10T14:26:00Z</dcterms:modified>
</cp:coreProperties>
</file>