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listy4akcent4"/>
        <w:tblW w:w="15854" w:type="dxa"/>
        <w:tblLayout w:type="fixed"/>
        <w:tblLook w:val="04A0" w:firstRow="1" w:lastRow="0" w:firstColumn="1" w:lastColumn="0" w:noHBand="0" w:noVBand="1"/>
      </w:tblPr>
      <w:tblGrid>
        <w:gridCol w:w="355"/>
        <w:gridCol w:w="771"/>
        <w:gridCol w:w="1846"/>
        <w:gridCol w:w="1276"/>
        <w:gridCol w:w="4678"/>
        <w:gridCol w:w="43"/>
        <w:gridCol w:w="3359"/>
        <w:gridCol w:w="43"/>
        <w:gridCol w:w="3438"/>
        <w:gridCol w:w="45"/>
      </w:tblGrid>
      <w:tr w:rsidR="000E65E9" w:rsidRPr="009B2533" w14:paraId="4AF21340" w14:textId="0EDE13D2" w:rsidTr="00BD256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854" w:type="dxa"/>
            <w:gridSpan w:val="10"/>
          </w:tcPr>
          <w:p w14:paraId="78AB1502" w14:textId="29D29209" w:rsidR="000E65E9" w:rsidRPr="009B2533" w:rsidRDefault="001848EA" w:rsidP="001848EA">
            <w:pPr>
              <w:jc w:val="center"/>
              <w:rPr>
                <w:rFonts w:asciiTheme="minorHAnsi" w:hAnsiTheme="minorHAnsi" w:cstheme="minorHAnsi"/>
                <w:sz w:val="18"/>
                <w:szCs w:val="18"/>
              </w:rPr>
            </w:pPr>
            <w:r>
              <w:rPr>
                <w:rFonts w:asciiTheme="minorHAnsi" w:hAnsiTheme="minorHAnsi" w:cstheme="minorHAnsi"/>
                <w:color w:val="auto"/>
                <w:sz w:val="18"/>
                <w:szCs w:val="18"/>
              </w:rPr>
              <w:t xml:space="preserve">Zestawienie uwag do </w:t>
            </w:r>
            <w:r w:rsidR="000E65E9" w:rsidRPr="009B2533">
              <w:rPr>
                <w:rFonts w:asciiTheme="minorHAnsi" w:hAnsiTheme="minorHAnsi" w:cstheme="minorHAnsi"/>
                <w:color w:val="auto"/>
                <w:sz w:val="18"/>
                <w:szCs w:val="18"/>
              </w:rPr>
              <w:t>projekt</w:t>
            </w:r>
            <w:r>
              <w:rPr>
                <w:rFonts w:asciiTheme="minorHAnsi" w:hAnsiTheme="minorHAnsi" w:cstheme="minorHAnsi"/>
                <w:color w:val="auto"/>
                <w:sz w:val="18"/>
                <w:szCs w:val="18"/>
              </w:rPr>
              <w:t>u</w:t>
            </w:r>
            <w:r w:rsidR="000E65E9" w:rsidRPr="009B2533">
              <w:rPr>
                <w:rFonts w:asciiTheme="minorHAnsi" w:hAnsiTheme="minorHAnsi" w:cstheme="minorHAnsi"/>
                <w:color w:val="auto"/>
                <w:sz w:val="18"/>
                <w:szCs w:val="18"/>
              </w:rPr>
              <w:t xml:space="preserve"> ustawy </w:t>
            </w:r>
            <w:r w:rsidR="000E65E9" w:rsidRPr="009B2533">
              <w:rPr>
                <w:rStyle w:val="Teksttreci"/>
                <w:rFonts w:asciiTheme="minorHAnsi" w:hAnsiTheme="minorHAnsi" w:cstheme="minorHAnsi"/>
                <w:color w:val="auto"/>
                <w:sz w:val="18"/>
                <w:szCs w:val="18"/>
              </w:rPr>
              <w:t xml:space="preserve">o udziale Rzeczypospolitej Polskiej w </w:t>
            </w:r>
            <w:bookmarkStart w:id="0" w:name="_Hlk153205259"/>
            <w:bookmarkStart w:id="1" w:name="_Hlk138149719"/>
            <w:r w:rsidR="000E65E9" w:rsidRPr="009B2533">
              <w:rPr>
                <w:rStyle w:val="Teksttreci"/>
                <w:rFonts w:asciiTheme="minorHAnsi" w:hAnsiTheme="minorHAnsi" w:cstheme="minorHAnsi"/>
                <w:color w:val="auto"/>
                <w:sz w:val="18"/>
                <w:szCs w:val="18"/>
              </w:rPr>
              <w:t xml:space="preserve">europejskim systemie informacji o podróży oraz zezwoleń na podróż </w:t>
            </w:r>
            <w:bookmarkEnd w:id="0"/>
            <w:r w:rsidR="000E65E9" w:rsidRPr="009B2533">
              <w:rPr>
                <w:rStyle w:val="Teksttreci"/>
                <w:rFonts w:asciiTheme="minorHAnsi" w:hAnsiTheme="minorHAnsi" w:cstheme="minorHAnsi"/>
                <w:color w:val="auto"/>
                <w:sz w:val="18"/>
                <w:szCs w:val="18"/>
              </w:rPr>
              <w:t>(ETIAS)</w:t>
            </w:r>
            <w:bookmarkEnd w:id="1"/>
            <w:r>
              <w:rPr>
                <w:rStyle w:val="Teksttreci"/>
                <w:rFonts w:asciiTheme="minorHAnsi" w:hAnsiTheme="minorHAnsi" w:cstheme="minorHAnsi"/>
                <w:color w:val="auto"/>
                <w:sz w:val="18"/>
                <w:szCs w:val="18"/>
              </w:rPr>
              <w:t xml:space="preserve"> </w:t>
            </w:r>
            <w:r w:rsidR="000E65E9" w:rsidRPr="009B2533">
              <w:rPr>
                <w:rFonts w:asciiTheme="minorHAnsi" w:hAnsiTheme="minorHAnsi" w:cstheme="minorHAnsi"/>
                <w:b w:val="0"/>
                <w:sz w:val="18"/>
                <w:szCs w:val="18"/>
              </w:rPr>
              <w:tab/>
            </w:r>
          </w:p>
        </w:tc>
      </w:tr>
      <w:tr w:rsidR="000E65E9" w:rsidRPr="009B2533" w14:paraId="519C5A23" w14:textId="5651F6FF" w:rsidTr="00BD2562">
        <w:trPr>
          <w:cnfStyle w:val="000000100000" w:firstRow="0" w:lastRow="0" w:firstColumn="0" w:lastColumn="0" w:oddVBand="0" w:evenVBand="0" w:oddHBand="1"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8969" w:type="dxa"/>
            <w:gridSpan w:val="6"/>
          </w:tcPr>
          <w:p w14:paraId="6693DD44" w14:textId="04CF9632" w:rsidR="000E65E9" w:rsidRPr="009B2533" w:rsidRDefault="001848EA" w:rsidP="0078530C">
            <w:pPr>
              <w:rPr>
                <w:rFonts w:asciiTheme="minorHAnsi" w:hAnsiTheme="minorHAnsi" w:cstheme="minorHAnsi"/>
                <w:sz w:val="18"/>
                <w:szCs w:val="18"/>
              </w:rPr>
            </w:pPr>
            <w:r>
              <w:rPr>
                <w:rFonts w:asciiTheme="minorHAnsi" w:hAnsiTheme="minorHAnsi" w:cstheme="minorHAnsi"/>
                <w:sz w:val="18"/>
                <w:szCs w:val="18"/>
              </w:rPr>
              <w:t>Opiniowanie i konsultacje publiczne</w:t>
            </w:r>
            <w:r w:rsidR="007C1686">
              <w:rPr>
                <w:rFonts w:asciiTheme="minorHAnsi" w:hAnsiTheme="minorHAnsi" w:cstheme="minorHAnsi"/>
                <w:sz w:val="18"/>
                <w:szCs w:val="18"/>
              </w:rPr>
              <w:t xml:space="preserve"> </w:t>
            </w:r>
            <w:r w:rsidR="00960201">
              <w:rPr>
                <w:rFonts w:asciiTheme="minorHAnsi" w:hAnsiTheme="minorHAnsi" w:cstheme="minorHAnsi"/>
                <w:sz w:val="18"/>
                <w:szCs w:val="18"/>
              </w:rPr>
              <w:t>(I</w:t>
            </w:r>
            <w:r w:rsidR="0036188B">
              <w:rPr>
                <w:rFonts w:asciiTheme="minorHAnsi" w:hAnsiTheme="minorHAnsi" w:cstheme="minorHAnsi"/>
                <w:sz w:val="18"/>
                <w:szCs w:val="18"/>
              </w:rPr>
              <w:t>-tura</w:t>
            </w:r>
            <w:r w:rsidR="00960201">
              <w:rPr>
                <w:rFonts w:asciiTheme="minorHAnsi" w:hAnsiTheme="minorHAnsi" w:cstheme="minorHAnsi"/>
                <w:sz w:val="18"/>
                <w:szCs w:val="18"/>
              </w:rPr>
              <w:t>)</w:t>
            </w:r>
          </w:p>
        </w:tc>
        <w:tc>
          <w:tcPr>
            <w:tcW w:w="3402" w:type="dxa"/>
            <w:gridSpan w:val="2"/>
          </w:tcPr>
          <w:p w14:paraId="143D4F8B" w14:textId="77777777" w:rsidR="000E65E9" w:rsidRPr="009B2533" w:rsidRDefault="000E65E9" w:rsidP="0078530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c>
          <w:tcPr>
            <w:tcW w:w="3483" w:type="dxa"/>
            <w:gridSpan w:val="2"/>
          </w:tcPr>
          <w:p w14:paraId="217D657D" w14:textId="77777777" w:rsidR="000E65E9" w:rsidRPr="009B2533" w:rsidRDefault="000E65E9" w:rsidP="0078530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r>
      <w:tr w:rsidR="000E65E9" w:rsidRPr="009B2533" w14:paraId="2F73E54C" w14:textId="62AB1F82" w:rsidTr="00787817">
        <w:trPr>
          <w:gridAfter w:val="1"/>
          <w:wAfter w:w="45" w:type="dxa"/>
          <w:trHeight w:val="385"/>
        </w:trPr>
        <w:tc>
          <w:tcPr>
            <w:cnfStyle w:val="001000000000" w:firstRow="0" w:lastRow="0" w:firstColumn="1" w:lastColumn="0" w:oddVBand="0" w:evenVBand="0" w:oddHBand="0" w:evenHBand="0" w:firstRowFirstColumn="0" w:firstRowLastColumn="0" w:lastRowFirstColumn="0" w:lastRowLastColumn="0"/>
            <w:tcW w:w="355" w:type="dxa"/>
          </w:tcPr>
          <w:p w14:paraId="43D966C6" w14:textId="77777777" w:rsidR="000E65E9" w:rsidRPr="009B2533" w:rsidRDefault="000E65E9" w:rsidP="002538AB">
            <w:pPr>
              <w:jc w:val="both"/>
              <w:rPr>
                <w:rFonts w:asciiTheme="minorHAnsi" w:hAnsiTheme="minorHAnsi" w:cstheme="minorHAnsi"/>
                <w:b w:val="0"/>
                <w:sz w:val="18"/>
                <w:szCs w:val="18"/>
              </w:rPr>
            </w:pPr>
            <w:r w:rsidRPr="009B2533">
              <w:rPr>
                <w:rFonts w:asciiTheme="minorHAnsi" w:hAnsiTheme="minorHAnsi" w:cstheme="minorHAnsi"/>
                <w:b w:val="0"/>
                <w:color w:val="000000" w:themeColor="text1"/>
                <w:sz w:val="18"/>
                <w:szCs w:val="18"/>
              </w:rPr>
              <w:t>L.p.</w:t>
            </w:r>
          </w:p>
        </w:tc>
        <w:tc>
          <w:tcPr>
            <w:tcW w:w="771" w:type="dxa"/>
          </w:tcPr>
          <w:p w14:paraId="0648A2AF" w14:textId="77777777" w:rsidR="000E65E9" w:rsidRPr="009B2533" w:rsidRDefault="000E65E9" w:rsidP="002538A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9B2533">
              <w:rPr>
                <w:rFonts w:asciiTheme="minorHAnsi" w:hAnsiTheme="minorHAnsi" w:cstheme="minorHAnsi"/>
                <w:color w:val="000000" w:themeColor="text1"/>
                <w:sz w:val="18"/>
                <w:szCs w:val="18"/>
              </w:rPr>
              <w:t>Jednostka redakcyjna, do której wnoszone są uwagi</w:t>
            </w:r>
          </w:p>
        </w:tc>
        <w:tc>
          <w:tcPr>
            <w:tcW w:w="1846" w:type="dxa"/>
          </w:tcPr>
          <w:p w14:paraId="2B95C481" w14:textId="77777777" w:rsidR="000E65E9" w:rsidRPr="009B2533" w:rsidRDefault="000E65E9" w:rsidP="002538A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9B2533">
              <w:rPr>
                <w:rFonts w:asciiTheme="minorHAnsi" w:hAnsiTheme="minorHAnsi" w:cstheme="minorHAnsi"/>
                <w:color w:val="000000" w:themeColor="text1"/>
                <w:sz w:val="18"/>
                <w:szCs w:val="18"/>
              </w:rPr>
              <w:t>Aktualna treść</w:t>
            </w:r>
          </w:p>
        </w:tc>
        <w:tc>
          <w:tcPr>
            <w:tcW w:w="1276" w:type="dxa"/>
          </w:tcPr>
          <w:p w14:paraId="2BA053CB" w14:textId="77777777" w:rsidR="000E65E9" w:rsidRPr="009B2533" w:rsidRDefault="000E65E9" w:rsidP="002538A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9B2533">
              <w:rPr>
                <w:rFonts w:asciiTheme="minorHAnsi" w:hAnsiTheme="minorHAnsi" w:cstheme="minorHAnsi"/>
                <w:color w:val="000000" w:themeColor="text1"/>
                <w:sz w:val="18"/>
                <w:szCs w:val="18"/>
              </w:rPr>
              <w:t>Podmiot wnoszący uwagi</w:t>
            </w:r>
          </w:p>
        </w:tc>
        <w:tc>
          <w:tcPr>
            <w:tcW w:w="4678" w:type="dxa"/>
          </w:tcPr>
          <w:p w14:paraId="377570C4" w14:textId="1FDEFD28" w:rsidR="000E65E9" w:rsidRPr="009B2533" w:rsidRDefault="000E65E9" w:rsidP="002538A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9B2533">
              <w:rPr>
                <w:rFonts w:asciiTheme="minorHAnsi" w:hAnsiTheme="minorHAnsi" w:cstheme="minorHAnsi"/>
                <w:color w:val="000000" w:themeColor="text1"/>
                <w:sz w:val="18"/>
                <w:szCs w:val="18"/>
              </w:rPr>
              <w:t>Treść uwagi</w:t>
            </w:r>
          </w:p>
        </w:tc>
        <w:tc>
          <w:tcPr>
            <w:tcW w:w="3402" w:type="dxa"/>
            <w:gridSpan w:val="2"/>
          </w:tcPr>
          <w:p w14:paraId="0C780AC0" w14:textId="56E4ACC7" w:rsidR="000E65E9" w:rsidRPr="009B2533" w:rsidRDefault="000E65E9" w:rsidP="002538A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9B2533">
              <w:rPr>
                <w:rFonts w:asciiTheme="minorHAnsi" w:hAnsiTheme="minorHAnsi" w:cstheme="minorHAnsi"/>
                <w:color w:val="000000" w:themeColor="text1"/>
                <w:sz w:val="18"/>
                <w:szCs w:val="18"/>
              </w:rPr>
              <w:t>Odniesienie do uwagi (uwzględniona/nieuwzględniona/komentarz)</w:t>
            </w:r>
          </w:p>
        </w:tc>
        <w:tc>
          <w:tcPr>
            <w:tcW w:w="3481" w:type="dxa"/>
            <w:gridSpan w:val="2"/>
          </w:tcPr>
          <w:p w14:paraId="59E4B9C8" w14:textId="354074F8" w:rsidR="000E65E9" w:rsidRPr="009B2533" w:rsidRDefault="000E65E9" w:rsidP="002538A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9B2533">
              <w:rPr>
                <w:rFonts w:asciiTheme="minorHAnsi" w:hAnsiTheme="minorHAnsi" w:cstheme="minorHAnsi"/>
                <w:color w:val="000000" w:themeColor="text1"/>
                <w:sz w:val="18"/>
                <w:szCs w:val="18"/>
              </w:rPr>
              <w:t>Propozycja wyjściowa zmiany zapisu/pozostawienie aktualnej treści</w:t>
            </w:r>
          </w:p>
        </w:tc>
      </w:tr>
      <w:tr w:rsidR="000E65E9" w:rsidRPr="009B2533" w14:paraId="07F711DD" w14:textId="36B81BA7" w:rsidTr="00787817">
        <w:trPr>
          <w:gridAfter w:val="1"/>
          <w:cnfStyle w:val="000000100000" w:firstRow="0" w:lastRow="0" w:firstColumn="0" w:lastColumn="0" w:oddVBand="0" w:evenVBand="0" w:oddHBand="1" w:evenHBand="0" w:firstRowFirstColumn="0" w:firstRowLastColumn="0" w:lastRowFirstColumn="0" w:lastRowLastColumn="0"/>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52010F2F" w14:textId="77777777" w:rsidR="000E65E9" w:rsidRPr="009B2533" w:rsidRDefault="000E65E9" w:rsidP="00304CBE">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0DB05345" w14:textId="173B57E8" w:rsidR="000E65E9" w:rsidRPr="009B2533" w:rsidRDefault="00FC7694" w:rsidP="00304CBE">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Art. 2 pkt 13</w:t>
            </w:r>
          </w:p>
        </w:tc>
        <w:tc>
          <w:tcPr>
            <w:tcW w:w="1846" w:type="dxa"/>
          </w:tcPr>
          <w:p w14:paraId="3C016A25" w14:textId="77777777" w:rsidR="000E65E9" w:rsidRDefault="00FC7694" w:rsidP="00304CBE">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Pr>
                <w:rStyle w:val="Ppogrubienie"/>
                <w:rFonts w:asciiTheme="minorHAnsi" w:hAnsiTheme="minorHAnsi" w:cstheme="minorHAnsi"/>
                <w:b w:val="0"/>
                <w:sz w:val="18"/>
                <w:szCs w:val="18"/>
              </w:rPr>
              <w:t xml:space="preserve">Art. 2 pkt 13 </w:t>
            </w:r>
            <w:r w:rsidRPr="00FC7694">
              <w:rPr>
                <w:rFonts w:asciiTheme="minorHAnsi" w:hAnsiTheme="minorHAnsi" w:cstheme="minorHAnsi"/>
                <w:color w:val="000000"/>
                <w:sz w:val="18"/>
                <w:szCs w:val="18"/>
              </w:rPr>
              <w:t>Ilekroć w ustawie jest mowa o:</w:t>
            </w:r>
          </w:p>
          <w:p w14:paraId="407745B3" w14:textId="292D73FF" w:rsidR="00FC7694" w:rsidRPr="00FC7694" w:rsidRDefault="00FC7694" w:rsidP="00304CBE">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lang w:val="pl"/>
              </w:rPr>
            </w:pPr>
            <w:r>
              <w:rPr>
                <w:rFonts w:asciiTheme="minorHAnsi" w:hAnsiTheme="minorHAnsi" w:cstheme="minorHAnsi"/>
                <w:color w:val="000000"/>
                <w:sz w:val="18"/>
                <w:szCs w:val="18"/>
              </w:rPr>
              <w:t xml:space="preserve">13) </w:t>
            </w:r>
            <w:r w:rsidRPr="00FC7694">
              <w:rPr>
                <w:rFonts w:asciiTheme="minorHAnsi" w:hAnsiTheme="minorHAnsi" w:cstheme="minorHAnsi"/>
                <w:color w:val="000000"/>
                <w:sz w:val="18"/>
                <w:szCs w:val="18"/>
              </w:rPr>
              <w:t>jednostce operacyjnej – rozumie się przez to jednostkę, o której mowa w art. 50 ust. 3 rozporządzenia 2018/1240, wyznaczoną przez organ, o którym mowa art. 4 ust. 1, działającą w jego strukturze;</w:t>
            </w:r>
          </w:p>
        </w:tc>
        <w:tc>
          <w:tcPr>
            <w:tcW w:w="1276" w:type="dxa"/>
          </w:tcPr>
          <w:p w14:paraId="451E64B7" w14:textId="77777777" w:rsidR="000E65E9" w:rsidRDefault="00FC7694" w:rsidP="00304C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Prezes</w:t>
            </w:r>
          </w:p>
          <w:p w14:paraId="3AB9B061" w14:textId="4990FC21" w:rsidR="00FC7694" w:rsidRPr="00CC73BF" w:rsidRDefault="00FC7694" w:rsidP="00304C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Urzędu Ochrony Danych Osobowych</w:t>
            </w:r>
          </w:p>
        </w:tc>
        <w:tc>
          <w:tcPr>
            <w:tcW w:w="4678" w:type="dxa"/>
          </w:tcPr>
          <w:p w14:paraId="3AF6E0B2" w14:textId="63FFA3E1" w:rsidR="00FC7694" w:rsidRPr="00FC7694" w:rsidRDefault="00FC7694" w:rsidP="00355AA0">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FC7694">
              <w:rPr>
                <w:rStyle w:val="Ppogrubienie"/>
                <w:rFonts w:asciiTheme="minorHAnsi" w:hAnsiTheme="minorHAnsi" w:cstheme="minorHAnsi"/>
                <w:b w:val="0"/>
                <w:sz w:val="18"/>
                <w:szCs w:val="18"/>
              </w:rPr>
              <w:t xml:space="preserve">Art. 2 pkt 13 </w:t>
            </w:r>
            <w:r w:rsidRPr="00FC7694">
              <w:rPr>
                <w:rFonts w:asciiTheme="minorHAnsi" w:eastAsia="Times New Roman" w:hAnsiTheme="minorHAnsi" w:cstheme="minorHAnsi"/>
                <w:color w:val="000000"/>
                <w:sz w:val="18"/>
                <w:szCs w:val="18"/>
                <w:lang w:eastAsia="pl-PL"/>
              </w:rPr>
              <w:t>projektu ustawy zawiera definicję jednostki operacyjnej. Zgodnie z opiniowanym przepisem projektu ustawy przez jednostkę operacyjną rozumie się jednostkę, o której mowa w art. 50 ust. 3 rozporządzenia Parlamentu Europejskiego i Rady 2018/12404, wyznaczoną przez organ, o którym mowa w art. 4 ust. 15 projektu ustawy, działającą w jego strukturze.</w:t>
            </w:r>
          </w:p>
          <w:p w14:paraId="2C16F26B" w14:textId="77777777" w:rsidR="00FC7694" w:rsidRPr="00FC7694" w:rsidRDefault="00FC7694" w:rsidP="00355AA0">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FC7694">
              <w:rPr>
                <w:rFonts w:asciiTheme="minorHAnsi" w:eastAsia="Times New Roman" w:hAnsiTheme="minorHAnsi" w:cstheme="minorHAnsi"/>
                <w:color w:val="000000"/>
                <w:sz w:val="18"/>
                <w:szCs w:val="18"/>
                <w:lang w:eastAsia="pl-PL"/>
              </w:rPr>
              <w:t>W ocenie Prezesa UODO prawodawca winien doprecyzować w projekcie ustawy, iż jednostka operacyjna nie oznacza „odbiorcy”, którego definicja została zawarta w rozporządzeniu 2016/679, dyrektywie Parlamentu Europejskiego i Rady (UE) 2016/6806 oraz art. 4 pkt 7 ustawy o ochronie danych osobowych przetwarzanych w związku z zapobieganiem i zwalczaniem przestępczości.</w:t>
            </w:r>
          </w:p>
          <w:p w14:paraId="277F3E12" w14:textId="77777777" w:rsidR="00FC7694" w:rsidRPr="00FC7694" w:rsidRDefault="00FC7694" w:rsidP="00355AA0">
            <w:pPr>
              <w:pStyle w:val="NormalnyWeb"/>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C7694">
              <w:rPr>
                <w:rFonts w:asciiTheme="minorHAnsi" w:hAnsiTheme="minorHAnsi" w:cstheme="minorHAnsi"/>
                <w:color w:val="000000"/>
                <w:sz w:val="18"/>
                <w:szCs w:val="18"/>
              </w:rPr>
              <w:t xml:space="preserve">Rozporządzenie 2018/1240 określa warunki, na jakich wyznaczone organy państw członkowskich mogą przeglądać dane przechowywane w systemie centralnym ETIAS do celów zapobiegania przestępstwom terrorystycznym lub innym poważnym przestępstwom objętym zakresem ich kompetencji, wykrywania tych przestępstw i prowadzenia postępowań przygotowawczych w ich sprawie (art. 1 ust. 2 rozporządzenia 2018/1240). Procedura i warunki dostępu do systemu centralnego ETIAS do celów ochrony porządku publicznego wskazane zostały w rozdziale X rozporządzenia 2018/1240. Zgodnie z art. 50 ust. 1 tego rozporządzenia: „Państwa członkowskie wyznaczają organy, które są uprawnione do występowania o możliwość przeglądania danych zapisanych w systemie centralnym ETIAS w celu zapobiegania przestępstwom terrorystycznym lub innym poważnym przestępstwom, ich wykrywania lub prowadzenia postępowań przygotowawczych w ich sprawie”. Jak już mowa była wyżej każde państwo członkowskie na szczeblu krajowym prowadzi wykaz takich jednostek operacyjnych </w:t>
            </w:r>
            <w:r w:rsidRPr="00FC7694">
              <w:rPr>
                <w:rFonts w:asciiTheme="minorHAnsi" w:hAnsiTheme="minorHAnsi" w:cstheme="minorHAnsi"/>
                <w:color w:val="000000"/>
                <w:sz w:val="18"/>
                <w:szCs w:val="18"/>
              </w:rPr>
              <w:lastRenderedPageBreak/>
              <w:t>(art. 50 ust. 3 rozporządzenia 2018/1240). Wskazać należy, że prawodawca unijny identycznie zdefiniował pojęcie odbiorcy na gruncie dwóch aktów, zarówno w dyrektywie 2016/680 (art. 3 pkt 10), jak i w rozporządzeniu 2016/679 (art. 4 pkt 9), oraz określił cechy podmiotu, który odbiorcą nie jest. Organy państw członkowskich należy wykluczyć z kategorii odbiorców w rozumieniu art. 4 pkt 9 rozporządzenia 2016/679 oraz art. 3 pkt 10 dyrektywy 2016/680 z uwagi na kumulatywne spełnienie trzech przesłanek wyłączenia wskazanych w zdaniach drugich ww. przepisów.</w:t>
            </w:r>
          </w:p>
          <w:p w14:paraId="577D0B69" w14:textId="77777777" w:rsidR="00FC7694" w:rsidRPr="00FC7694" w:rsidRDefault="00FC7694" w:rsidP="00355AA0">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FC7694">
              <w:rPr>
                <w:rFonts w:asciiTheme="minorHAnsi" w:eastAsia="Times New Roman" w:hAnsiTheme="minorHAnsi" w:cstheme="minorHAnsi"/>
                <w:color w:val="000000"/>
                <w:sz w:val="18"/>
                <w:szCs w:val="18"/>
                <w:lang w:eastAsia="pl-PL"/>
              </w:rPr>
              <w:t>Po pierwsze – bez wątpienia prawodawca unijny nadaje im status organów publicznych, po drugie – mogą otrzymywać dane w ramach konkretnego postępowania, po trzecie – prowadzą to postępowanie zgodnie z prawem Unii lub prawem państwa członkowskiego.</w:t>
            </w:r>
          </w:p>
          <w:p w14:paraId="732B90EF" w14:textId="77777777" w:rsidR="00FC7694" w:rsidRPr="00FC7694" w:rsidRDefault="00FC7694" w:rsidP="00355AA0">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FC7694">
              <w:rPr>
                <w:rFonts w:asciiTheme="minorHAnsi" w:eastAsia="Times New Roman" w:hAnsiTheme="minorHAnsi" w:cstheme="minorHAnsi"/>
                <w:color w:val="000000"/>
                <w:sz w:val="18"/>
                <w:szCs w:val="18"/>
                <w:lang w:eastAsia="pl-PL"/>
              </w:rPr>
              <w:t>Organom państw członkowskich zgodnie procedurą i warunkami dostępu do danych wskazanych w art. 52 rozporządzenia 2018/1240 dane nie są ujawniane, zgodnie ze sformułowaniem zawartym w art. 4 pkt 9 zdanie pierwsze rozporządzenia 2016/679 oraz art. 3 pkt 10 zdanie pierwsze dyrektywy 2016/680, lecz dane te mogą przetwarzać w związku z zadaniami wynikającymi z przepisów prawa w zakresie realizacji ustawowych zadań związanych z bezpieczeństwem publicznym i zwalczaniem przestępczości.</w:t>
            </w:r>
          </w:p>
          <w:p w14:paraId="69642033" w14:textId="77777777" w:rsidR="00FC7694" w:rsidRPr="00FC7694" w:rsidRDefault="00FC7694" w:rsidP="00355AA0">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FC7694">
              <w:rPr>
                <w:rFonts w:asciiTheme="minorHAnsi" w:eastAsia="Times New Roman" w:hAnsiTheme="minorHAnsi" w:cstheme="minorHAnsi"/>
                <w:color w:val="000000"/>
                <w:sz w:val="18"/>
                <w:szCs w:val="18"/>
                <w:lang w:eastAsia="pl-PL"/>
              </w:rPr>
              <w:t>Prawodawca unijny stanowiąc w rozporządzeniu 2018/1240 o warunkach dostępu wyraźnie wskazał cel tego przetwarzania (dostępu), tj.: zapobieganie przestępstwom terrorystycznym lub innym poważnym przestępstwom, ich wykrywanie lub prowadzenie w ich sprawie postępowań przygotowawczych.</w:t>
            </w:r>
          </w:p>
          <w:p w14:paraId="6AFB53F8" w14:textId="77777777" w:rsidR="00FC7694" w:rsidRPr="00FC7694" w:rsidRDefault="00FC7694" w:rsidP="00355AA0">
            <w:pPr>
              <w:pStyle w:val="NormalnyWeb"/>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C7694">
              <w:rPr>
                <w:rFonts w:asciiTheme="minorHAnsi" w:hAnsiTheme="minorHAnsi" w:cstheme="minorHAnsi"/>
                <w:color w:val="000000"/>
                <w:sz w:val="18"/>
                <w:szCs w:val="18"/>
              </w:rPr>
              <w:t>Zgodnie z treścią przywołanych przepisów dostęp do danych odbywa się zatem w ramach konkretnych postępowań z zachowaniem procedur prawnych, jeśli ich przeglądanie jest w danej sprawie niezbędne i proporcjonalne, gdy istnieją dowody na to, że przeglądanie tych danych przyczyni się do zapobiegania przedmiotowym przestępstwom, ich wykrywania lub prowadzenia w ich sprawie postępowań przygotowawczych, w szczególności jeżeli zachodzi uzasadnione podejrzenie, że osoba</w:t>
            </w:r>
            <w:r>
              <w:rPr>
                <w:rFonts w:asciiTheme="minorHAnsi" w:hAnsiTheme="minorHAnsi" w:cstheme="minorHAnsi"/>
                <w:color w:val="000000"/>
                <w:sz w:val="18"/>
                <w:szCs w:val="18"/>
              </w:rPr>
              <w:t xml:space="preserve"> </w:t>
            </w:r>
            <w:r w:rsidRPr="00FC7694">
              <w:rPr>
                <w:rFonts w:asciiTheme="minorHAnsi" w:hAnsiTheme="minorHAnsi" w:cstheme="minorHAnsi"/>
                <w:color w:val="000000"/>
                <w:sz w:val="18"/>
                <w:szCs w:val="18"/>
              </w:rPr>
              <w:t xml:space="preserve">podejrzana o popełnienie przestępstwa terrorystycznego lub innego poważnego przestępstwa, jego sprawca lub ofiara należą do jednej z </w:t>
            </w:r>
            <w:r w:rsidRPr="00FC7694">
              <w:rPr>
                <w:rFonts w:asciiTheme="minorHAnsi" w:hAnsiTheme="minorHAnsi" w:cstheme="minorHAnsi"/>
                <w:color w:val="000000"/>
                <w:sz w:val="18"/>
                <w:szCs w:val="18"/>
              </w:rPr>
              <w:lastRenderedPageBreak/>
              <w:t>kategorii osób podróżujących objętych rozporządzeniem 2018/1240 [art. 52 ust. 1 lit. a), b), c) rozporządzenia 2018/1240].</w:t>
            </w:r>
          </w:p>
          <w:p w14:paraId="00B0569A" w14:textId="35992621" w:rsidR="007C1686" w:rsidRPr="00162CC1" w:rsidRDefault="00FC7694" w:rsidP="00162CC1">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FC7694">
              <w:rPr>
                <w:rFonts w:asciiTheme="minorHAnsi" w:eastAsia="Times New Roman" w:hAnsiTheme="minorHAnsi" w:cstheme="minorHAnsi"/>
                <w:color w:val="000000"/>
                <w:sz w:val="18"/>
                <w:szCs w:val="18"/>
                <w:lang w:eastAsia="pl-PL"/>
              </w:rPr>
              <w:t>Mając na uwadze powyższe organ publiczny działając w ramach ustawowego upoważnienia oraz konkretnego postępowania zgodnie z prawem Unii lub prawem państwa członkowskiego wyłączony jest z definicji odbiorcy na gruncie rozporządzenia 2016/679 i dyrektywy 2016/680.</w:t>
            </w:r>
          </w:p>
        </w:tc>
        <w:tc>
          <w:tcPr>
            <w:tcW w:w="3402" w:type="dxa"/>
            <w:gridSpan w:val="2"/>
          </w:tcPr>
          <w:p w14:paraId="16C2981D" w14:textId="77777777" w:rsidR="004F2D9C" w:rsidRDefault="006464D3" w:rsidP="00355AA0">
            <w:pPr>
              <w:tabs>
                <w:tab w:val="center" w:pos="16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lastRenderedPageBreak/>
              <w:t>K</w:t>
            </w:r>
            <w:r w:rsidR="007B199A" w:rsidRPr="006464D3">
              <w:rPr>
                <w:rFonts w:asciiTheme="minorHAnsi" w:hAnsiTheme="minorHAnsi" w:cstheme="minorHAnsi"/>
                <w:b/>
                <w:bCs/>
                <w:sz w:val="18"/>
                <w:szCs w:val="18"/>
              </w:rPr>
              <w:t>omentarz</w:t>
            </w:r>
          </w:p>
          <w:p w14:paraId="26B589D2" w14:textId="1F4A7D69" w:rsidR="004A56CE" w:rsidRDefault="0098215D" w:rsidP="0098215D">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val="pl" w:eastAsia="pl-PL"/>
              </w:rPr>
            </w:pPr>
            <w:r>
              <w:rPr>
                <w:rFonts w:asciiTheme="minorHAnsi" w:eastAsia="Times New Roman" w:hAnsiTheme="minorHAnsi" w:cstheme="minorHAnsi"/>
                <w:color w:val="000000"/>
                <w:sz w:val="18"/>
                <w:szCs w:val="18"/>
                <w:lang w:eastAsia="pl-PL"/>
              </w:rPr>
              <w:t xml:space="preserve">Z przedstawionych przez Prezesa UODO wyjaśnień dotyczących określenia </w:t>
            </w:r>
            <w:r w:rsidRPr="0098215D">
              <w:rPr>
                <w:rFonts w:asciiTheme="minorHAnsi" w:eastAsia="Times New Roman" w:hAnsiTheme="minorHAnsi" w:cstheme="minorHAnsi"/>
                <w:color w:val="000000"/>
                <w:sz w:val="18"/>
                <w:szCs w:val="18"/>
                <w:lang w:eastAsia="pl-PL"/>
              </w:rPr>
              <w:t>„odbiorcy”, którego definicja została zawarta w rozporządzeniu 2016/679, dyrektywie Parlamentu Europejskiego i Rady (UE) 2016/6806 oraz art. 4 pkt 7 ustawy o ochronie danych osobowych przetwarzanych w związku z zapobieganiem i zwalczaniem przestępczości</w:t>
            </w:r>
            <w:r>
              <w:rPr>
                <w:rFonts w:asciiTheme="minorHAnsi" w:eastAsia="Times New Roman" w:hAnsiTheme="minorHAnsi" w:cstheme="minorHAnsi"/>
                <w:color w:val="000000"/>
                <w:sz w:val="18"/>
                <w:szCs w:val="18"/>
                <w:lang w:eastAsia="pl-PL"/>
              </w:rPr>
              <w:t>, wynika</w:t>
            </w:r>
            <w:r w:rsidR="003706A7">
              <w:rPr>
                <w:rFonts w:asciiTheme="minorHAnsi" w:eastAsia="Times New Roman" w:hAnsiTheme="minorHAnsi" w:cstheme="minorHAnsi"/>
                <w:color w:val="000000"/>
                <w:sz w:val="18"/>
                <w:szCs w:val="18"/>
                <w:lang w:eastAsia="pl-PL"/>
              </w:rPr>
              <w:t xml:space="preserve"> że</w:t>
            </w:r>
            <w:r w:rsidRPr="0098215D">
              <w:rPr>
                <w:rFonts w:asciiTheme="minorHAnsi" w:eastAsia="Times New Roman" w:hAnsiTheme="minorHAnsi" w:cstheme="minorHAnsi"/>
                <w:color w:val="000000"/>
                <w:sz w:val="18"/>
                <w:szCs w:val="18"/>
                <w:lang w:eastAsia="pl-PL"/>
              </w:rPr>
              <w:t xml:space="preserve"> organ publiczny działając w ramach ustawowego upoważnienia oraz konkretnego postępowania zgodnie z prawem Unii lub prawem państwa członkowskiego wyłączony jest z definicji odbiorcy </w:t>
            </w:r>
            <w:r w:rsidR="003706A7">
              <w:rPr>
                <w:rFonts w:asciiTheme="minorHAnsi" w:eastAsia="Times New Roman" w:hAnsiTheme="minorHAnsi" w:cstheme="minorHAnsi"/>
                <w:color w:val="000000"/>
                <w:sz w:val="18"/>
                <w:szCs w:val="18"/>
                <w:lang w:eastAsia="pl-PL"/>
              </w:rPr>
              <w:t xml:space="preserve">na mocy przepisów </w:t>
            </w:r>
            <w:r w:rsidRPr="0098215D">
              <w:rPr>
                <w:rFonts w:asciiTheme="minorHAnsi" w:eastAsia="Times New Roman" w:hAnsiTheme="minorHAnsi" w:cstheme="minorHAnsi"/>
                <w:color w:val="000000"/>
                <w:sz w:val="18"/>
                <w:szCs w:val="18"/>
                <w:lang w:eastAsia="pl-PL"/>
              </w:rPr>
              <w:t>rozporządzenia 2016/679</w:t>
            </w:r>
            <w:r w:rsidR="003706A7">
              <w:rPr>
                <w:rFonts w:asciiTheme="minorHAnsi" w:eastAsia="Times New Roman" w:hAnsiTheme="minorHAnsi" w:cstheme="minorHAnsi"/>
                <w:color w:val="000000"/>
                <w:sz w:val="18"/>
                <w:szCs w:val="18"/>
                <w:lang w:eastAsia="pl-PL"/>
              </w:rPr>
              <w:t xml:space="preserve">, </w:t>
            </w:r>
            <w:r w:rsidRPr="0098215D">
              <w:rPr>
                <w:rFonts w:asciiTheme="minorHAnsi" w:eastAsia="Times New Roman" w:hAnsiTheme="minorHAnsi" w:cstheme="minorHAnsi"/>
                <w:color w:val="000000"/>
                <w:sz w:val="18"/>
                <w:szCs w:val="18"/>
                <w:lang w:eastAsia="pl-PL"/>
              </w:rPr>
              <w:t>dyrektywy 2016/680</w:t>
            </w:r>
            <w:r w:rsidR="003706A7">
              <w:rPr>
                <w:rFonts w:asciiTheme="minorHAnsi" w:eastAsia="Times New Roman" w:hAnsiTheme="minorHAnsi" w:cstheme="minorHAnsi"/>
                <w:color w:val="000000"/>
                <w:sz w:val="18"/>
                <w:szCs w:val="18"/>
                <w:lang w:eastAsia="pl-PL"/>
              </w:rPr>
              <w:t>, a w szczególności</w:t>
            </w:r>
            <w:r w:rsidR="003706A7" w:rsidRPr="003706A7">
              <w:rPr>
                <w:rFonts w:asciiTheme="minorHAnsi" w:eastAsia="Times New Roman" w:hAnsiTheme="minorHAnsi" w:cstheme="minorHAnsi"/>
                <w:color w:val="000000"/>
                <w:sz w:val="18"/>
                <w:szCs w:val="18"/>
                <w:lang w:eastAsia="pl-PL"/>
              </w:rPr>
              <w:t xml:space="preserve"> ustawy o ochronie danych osobowych przetwarzanych w związku z zapobieganiem i zwalczaniem przestępczości</w:t>
            </w:r>
            <w:r w:rsidRPr="0098215D">
              <w:rPr>
                <w:rFonts w:asciiTheme="minorHAnsi" w:eastAsia="Times New Roman" w:hAnsiTheme="minorHAnsi" w:cstheme="minorHAnsi"/>
                <w:color w:val="000000"/>
                <w:sz w:val="18"/>
                <w:szCs w:val="18"/>
                <w:lang w:eastAsia="pl-PL"/>
              </w:rPr>
              <w:t>.</w:t>
            </w:r>
            <w:r w:rsidR="003706A7">
              <w:rPr>
                <w:rFonts w:asciiTheme="minorHAnsi" w:eastAsia="Times New Roman" w:hAnsiTheme="minorHAnsi" w:cstheme="minorHAnsi"/>
                <w:color w:val="000000"/>
                <w:sz w:val="18"/>
                <w:szCs w:val="18"/>
                <w:lang w:eastAsia="pl-PL"/>
              </w:rPr>
              <w:t xml:space="preserve"> </w:t>
            </w:r>
            <w:r w:rsidR="00CF259B">
              <w:rPr>
                <w:rFonts w:asciiTheme="minorHAnsi" w:eastAsia="Times New Roman" w:hAnsiTheme="minorHAnsi" w:cstheme="minorHAnsi"/>
                <w:color w:val="000000"/>
                <w:sz w:val="18"/>
                <w:szCs w:val="18"/>
                <w:lang w:eastAsia="pl-PL"/>
              </w:rPr>
              <w:t>Zgodnie z art. 4 ust. 7 wskazanej ustawy przez „</w:t>
            </w:r>
            <w:r w:rsidR="00CF259B" w:rsidRPr="00CF259B">
              <w:rPr>
                <w:rFonts w:asciiTheme="minorHAnsi" w:eastAsia="Times New Roman" w:hAnsiTheme="minorHAnsi" w:cstheme="minorHAnsi"/>
                <w:color w:val="000000"/>
                <w:sz w:val="18"/>
                <w:szCs w:val="18"/>
                <w:lang w:eastAsia="pl-PL"/>
              </w:rPr>
              <w:t>odbiorc</w:t>
            </w:r>
            <w:r w:rsidR="00CF259B">
              <w:rPr>
                <w:rFonts w:asciiTheme="minorHAnsi" w:eastAsia="Times New Roman" w:hAnsiTheme="minorHAnsi" w:cstheme="minorHAnsi"/>
                <w:color w:val="000000"/>
                <w:sz w:val="18"/>
                <w:szCs w:val="18"/>
                <w:lang w:eastAsia="pl-PL"/>
              </w:rPr>
              <w:t xml:space="preserve">ę </w:t>
            </w:r>
            <w:r w:rsidR="00CF259B" w:rsidRPr="00CF259B">
              <w:rPr>
                <w:rFonts w:asciiTheme="minorHAnsi" w:eastAsia="Times New Roman" w:hAnsiTheme="minorHAnsi" w:cstheme="minorHAnsi"/>
                <w:color w:val="000000"/>
                <w:sz w:val="18"/>
                <w:szCs w:val="18"/>
                <w:lang w:eastAsia="pl-PL"/>
              </w:rPr>
              <w:t xml:space="preserve">rozumie się </w:t>
            </w:r>
            <w:r w:rsidR="00CF259B">
              <w:rPr>
                <w:rFonts w:asciiTheme="minorHAnsi" w:eastAsia="Times New Roman" w:hAnsiTheme="minorHAnsi" w:cstheme="minorHAnsi"/>
                <w:color w:val="000000"/>
                <w:sz w:val="18"/>
                <w:szCs w:val="18"/>
                <w:lang w:eastAsia="pl-PL"/>
              </w:rPr>
              <w:t>„</w:t>
            </w:r>
            <w:r w:rsidR="00CF259B" w:rsidRPr="00CF259B">
              <w:rPr>
                <w:rFonts w:asciiTheme="minorHAnsi" w:eastAsia="Times New Roman" w:hAnsiTheme="minorHAnsi" w:cstheme="minorHAnsi"/>
                <w:color w:val="000000"/>
                <w:sz w:val="18"/>
                <w:szCs w:val="18"/>
                <w:lang w:eastAsia="pl-PL"/>
              </w:rPr>
              <w:t xml:space="preserve">osobę fizyczną lub prawną, organ władzy publicznej, jednostkę organizacyjną lub inny podmiot, któremu ujawnia się dane osobowe, </w:t>
            </w:r>
            <w:r w:rsidR="00CF259B" w:rsidRPr="00CF259B">
              <w:rPr>
                <w:rFonts w:asciiTheme="minorHAnsi" w:eastAsia="Times New Roman" w:hAnsiTheme="minorHAnsi" w:cstheme="minorHAnsi"/>
                <w:color w:val="000000"/>
                <w:sz w:val="18"/>
                <w:szCs w:val="18"/>
                <w:u w:val="single"/>
                <w:lang w:eastAsia="pl-PL"/>
              </w:rPr>
              <w:t>z wyłączeniem organów administracji publicznej</w:t>
            </w:r>
            <w:r w:rsidR="00CF259B" w:rsidRPr="00CF259B">
              <w:rPr>
                <w:rFonts w:asciiTheme="minorHAnsi" w:eastAsia="Times New Roman" w:hAnsiTheme="minorHAnsi" w:cstheme="minorHAnsi"/>
                <w:color w:val="000000"/>
                <w:sz w:val="18"/>
                <w:szCs w:val="18"/>
                <w:lang w:eastAsia="pl-PL"/>
              </w:rPr>
              <w:t>, które mogą otrzymywać dane osobowe w ramach konkretnego postępowania zgodnie z prawem Unii Europejskiej lub prawem państwa członkowskiego Unii Europejskiej, a przetwarzanie tych danych jest zgodne z przepisami o ochronie danych mającymi zastosowanie do ich celów przetwarzania</w:t>
            </w:r>
            <w:r w:rsidR="00CF259B">
              <w:rPr>
                <w:rFonts w:asciiTheme="minorHAnsi" w:eastAsia="Times New Roman" w:hAnsiTheme="minorHAnsi" w:cstheme="minorHAnsi"/>
                <w:color w:val="000000"/>
                <w:sz w:val="18"/>
                <w:szCs w:val="18"/>
                <w:lang w:eastAsia="pl-PL"/>
              </w:rPr>
              <w:t xml:space="preserve">”. </w:t>
            </w:r>
            <w:r w:rsidR="00CF259B">
              <w:rPr>
                <w:rFonts w:asciiTheme="minorHAnsi" w:eastAsia="Times New Roman" w:hAnsiTheme="minorHAnsi" w:cstheme="minorHAnsi"/>
                <w:color w:val="000000"/>
                <w:sz w:val="18"/>
                <w:szCs w:val="18"/>
                <w:lang w:eastAsia="pl-PL"/>
              </w:rPr>
              <w:lastRenderedPageBreak/>
              <w:t xml:space="preserve">Natomiast  w art. 2 pkt 13 projektu ustawy o ETIAS określono, że </w:t>
            </w:r>
            <w:r w:rsidR="002E3B6D">
              <w:rPr>
                <w:rFonts w:asciiTheme="minorHAnsi" w:eastAsia="Times New Roman" w:hAnsiTheme="minorHAnsi" w:cstheme="minorHAnsi"/>
                <w:color w:val="000000"/>
                <w:sz w:val="18"/>
                <w:szCs w:val="18"/>
                <w:lang w:eastAsia="pl-PL"/>
              </w:rPr>
              <w:t>przez „jednostkę operacyjną” rozumie się „</w:t>
            </w:r>
            <w:r w:rsidR="002E3B6D" w:rsidRPr="002E3B6D">
              <w:rPr>
                <w:rFonts w:asciiTheme="minorHAnsi" w:eastAsia="Times New Roman" w:hAnsiTheme="minorHAnsi" w:cstheme="minorHAnsi"/>
                <w:color w:val="000000"/>
                <w:sz w:val="18"/>
                <w:szCs w:val="18"/>
                <w:lang w:val="pl" w:eastAsia="pl-PL"/>
              </w:rPr>
              <w:t>jednostkę, o której mowa w art. 50 ust. 3 rozporządzenia 2018/1240, wyznaczoną przez organ, o którym mowa art. 4 ust. 1, działającą w jego strukturze</w:t>
            </w:r>
            <w:r w:rsidR="002E3B6D">
              <w:rPr>
                <w:rFonts w:asciiTheme="minorHAnsi" w:eastAsia="Times New Roman" w:hAnsiTheme="minorHAnsi" w:cstheme="minorHAnsi"/>
                <w:color w:val="000000"/>
                <w:sz w:val="18"/>
                <w:szCs w:val="18"/>
                <w:lang w:val="pl" w:eastAsia="pl-PL"/>
              </w:rPr>
              <w:t>”. W związku z powyższym nie m</w:t>
            </w:r>
            <w:r w:rsidR="004A56CE">
              <w:rPr>
                <w:rFonts w:asciiTheme="minorHAnsi" w:eastAsia="Times New Roman" w:hAnsiTheme="minorHAnsi" w:cstheme="minorHAnsi"/>
                <w:color w:val="000000"/>
                <w:sz w:val="18"/>
                <w:szCs w:val="18"/>
                <w:lang w:val="pl" w:eastAsia="pl-PL"/>
              </w:rPr>
              <w:t>oże dojść do sytuacji</w:t>
            </w:r>
            <w:r w:rsidR="002E3B6D">
              <w:rPr>
                <w:rFonts w:asciiTheme="minorHAnsi" w:eastAsia="Times New Roman" w:hAnsiTheme="minorHAnsi" w:cstheme="minorHAnsi"/>
                <w:color w:val="000000"/>
                <w:sz w:val="18"/>
                <w:szCs w:val="18"/>
                <w:lang w:val="pl" w:eastAsia="pl-PL"/>
              </w:rPr>
              <w:t xml:space="preserve">, że jednostką operacyjną </w:t>
            </w:r>
            <w:r w:rsidR="004A56CE">
              <w:rPr>
                <w:rFonts w:asciiTheme="minorHAnsi" w:eastAsia="Times New Roman" w:hAnsiTheme="minorHAnsi" w:cstheme="minorHAnsi"/>
                <w:color w:val="000000"/>
                <w:sz w:val="18"/>
                <w:szCs w:val="18"/>
                <w:lang w:val="pl" w:eastAsia="pl-PL"/>
              </w:rPr>
              <w:t xml:space="preserve">w niniejszym przypadku </w:t>
            </w:r>
            <w:r w:rsidR="002E3B6D">
              <w:rPr>
                <w:rFonts w:asciiTheme="minorHAnsi" w:eastAsia="Times New Roman" w:hAnsiTheme="minorHAnsi" w:cstheme="minorHAnsi"/>
                <w:color w:val="000000"/>
                <w:sz w:val="18"/>
                <w:szCs w:val="18"/>
                <w:lang w:val="pl" w:eastAsia="pl-PL"/>
              </w:rPr>
              <w:t>może być podmiot spoza struktury organu. W tym miejscu należy wskazać, że będzie to np. konkretny pracownik lub funkcjonariusz, stanowisko pracy, wydział lub sekcja wyodrębnione w strukturze</w:t>
            </w:r>
            <w:r w:rsidR="004A56CE">
              <w:rPr>
                <w:rFonts w:asciiTheme="minorHAnsi" w:eastAsia="Times New Roman" w:hAnsiTheme="minorHAnsi" w:cstheme="minorHAnsi"/>
                <w:color w:val="000000"/>
                <w:sz w:val="18"/>
                <w:szCs w:val="18"/>
                <w:lang w:val="pl" w:eastAsia="pl-PL"/>
              </w:rPr>
              <w:t xml:space="preserve"> organizacyjnej</w:t>
            </w:r>
            <w:r w:rsidR="002E3B6D">
              <w:rPr>
                <w:rFonts w:asciiTheme="minorHAnsi" w:eastAsia="Times New Roman" w:hAnsiTheme="minorHAnsi" w:cstheme="minorHAnsi"/>
                <w:color w:val="000000"/>
                <w:sz w:val="18"/>
                <w:szCs w:val="18"/>
                <w:lang w:val="pl" w:eastAsia="pl-PL"/>
              </w:rPr>
              <w:t xml:space="preserve">. </w:t>
            </w:r>
            <w:r w:rsidR="002E3B6D" w:rsidRPr="004A56CE">
              <w:rPr>
                <w:rFonts w:asciiTheme="minorHAnsi" w:eastAsia="Times New Roman" w:hAnsiTheme="minorHAnsi" w:cstheme="minorHAnsi"/>
                <w:color w:val="000000"/>
                <w:sz w:val="18"/>
                <w:szCs w:val="18"/>
                <w:lang w:val="pl" w:eastAsia="pl-PL"/>
              </w:rPr>
              <w:t>Dlatego też</w:t>
            </w:r>
            <w:r w:rsidR="004A56CE">
              <w:rPr>
                <w:rFonts w:asciiTheme="minorHAnsi" w:eastAsia="Times New Roman" w:hAnsiTheme="minorHAnsi" w:cstheme="minorHAnsi"/>
                <w:b/>
                <w:color w:val="000000"/>
                <w:sz w:val="18"/>
                <w:szCs w:val="18"/>
                <w:lang w:val="pl" w:eastAsia="pl-PL"/>
              </w:rPr>
              <w:t xml:space="preserve">, </w:t>
            </w:r>
            <w:r w:rsidR="004A56CE">
              <w:rPr>
                <w:rFonts w:asciiTheme="minorHAnsi" w:eastAsia="Times New Roman" w:hAnsiTheme="minorHAnsi" w:cstheme="minorHAnsi"/>
                <w:color w:val="000000"/>
                <w:sz w:val="18"/>
                <w:szCs w:val="18"/>
                <w:lang w:val="pl" w:eastAsia="pl-PL"/>
              </w:rPr>
              <w:t>uwzględniając także ustalenia ze spotkania roboczego z przedstawicielami PUODO, stosowne informacje w tym zakresie zostały zawarte w uzasadnieniu.</w:t>
            </w:r>
          </w:p>
          <w:p w14:paraId="4A207FB2" w14:textId="5F4C3F62" w:rsidR="0098215D" w:rsidRDefault="004A56CE" w:rsidP="0098215D">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Pr>
                <w:rFonts w:asciiTheme="minorHAnsi" w:eastAsia="Times New Roman" w:hAnsiTheme="minorHAnsi" w:cstheme="minorHAnsi"/>
                <w:color w:val="000000"/>
                <w:sz w:val="18"/>
                <w:szCs w:val="18"/>
                <w:lang w:val="pl" w:eastAsia="pl-PL"/>
              </w:rPr>
              <w:t xml:space="preserve">Ponadto ewentualne doprecyzowanie przedmiotowej kwestii w </w:t>
            </w:r>
            <w:r w:rsidR="002E3B6D" w:rsidRPr="004A56CE">
              <w:rPr>
                <w:rFonts w:asciiTheme="minorHAnsi" w:eastAsia="Times New Roman" w:hAnsiTheme="minorHAnsi" w:cstheme="minorHAnsi"/>
                <w:color w:val="000000"/>
                <w:sz w:val="18"/>
                <w:szCs w:val="18"/>
                <w:lang w:val="pl" w:eastAsia="pl-PL"/>
              </w:rPr>
              <w:t xml:space="preserve">art. 2 </w:t>
            </w:r>
            <w:r w:rsidR="005C2817" w:rsidRPr="004A56CE">
              <w:rPr>
                <w:rFonts w:asciiTheme="minorHAnsi" w:eastAsia="Times New Roman" w:hAnsiTheme="minorHAnsi" w:cstheme="minorHAnsi"/>
                <w:color w:val="000000"/>
                <w:sz w:val="18"/>
                <w:szCs w:val="18"/>
                <w:lang w:val="pl" w:eastAsia="pl-PL"/>
              </w:rPr>
              <w:t>pkt 13 projektu</w:t>
            </w:r>
            <w:r w:rsidR="002A604C">
              <w:rPr>
                <w:rFonts w:asciiTheme="minorHAnsi" w:eastAsia="Times New Roman" w:hAnsiTheme="minorHAnsi" w:cstheme="minorHAnsi"/>
                <w:color w:val="000000"/>
                <w:sz w:val="18"/>
                <w:szCs w:val="18"/>
                <w:lang w:val="pl" w:eastAsia="pl-PL"/>
              </w:rPr>
              <w:t xml:space="preserve"> ustawy</w:t>
            </w:r>
            <w:r w:rsidR="005C2817" w:rsidRPr="004A56CE">
              <w:rPr>
                <w:rFonts w:asciiTheme="minorHAnsi" w:eastAsia="Times New Roman" w:hAnsiTheme="minorHAnsi" w:cstheme="minorHAnsi"/>
                <w:color w:val="000000"/>
                <w:sz w:val="18"/>
                <w:szCs w:val="18"/>
                <w:lang w:val="pl" w:eastAsia="pl-PL"/>
              </w:rPr>
              <w:t xml:space="preserve">, </w:t>
            </w:r>
            <w:r w:rsidRPr="004A56CE">
              <w:rPr>
                <w:rFonts w:asciiTheme="minorHAnsi" w:eastAsia="Times New Roman" w:hAnsiTheme="minorHAnsi" w:cstheme="minorHAnsi"/>
                <w:color w:val="000000"/>
                <w:sz w:val="18"/>
                <w:szCs w:val="18"/>
                <w:lang w:val="pl" w:eastAsia="pl-PL"/>
              </w:rPr>
              <w:t xml:space="preserve">mogłoby zostać ocenione jako </w:t>
            </w:r>
            <w:r w:rsidR="005C2817" w:rsidRPr="004A56CE">
              <w:rPr>
                <w:rFonts w:asciiTheme="minorHAnsi" w:eastAsia="Times New Roman" w:hAnsiTheme="minorHAnsi" w:cstheme="minorHAnsi"/>
                <w:color w:val="000000"/>
                <w:sz w:val="18"/>
                <w:szCs w:val="18"/>
                <w:lang w:val="pl" w:eastAsia="pl-PL"/>
              </w:rPr>
              <w:t>r</w:t>
            </w:r>
            <w:r w:rsidRPr="004A56CE">
              <w:rPr>
                <w:rFonts w:asciiTheme="minorHAnsi" w:eastAsia="Times New Roman" w:hAnsiTheme="minorHAnsi" w:cstheme="minorHAnsi"/>
                <w:color w:val="000000"/>
                <w:sz w:val="18"/>
                <w:szCs w:val="18"/>
                <w:lang w:val="pl" w:eastAsia="pl-PL"/>
              </w:rPr>
              <w:t>ozwiązanie mające</w:t>
            </w:r>
            <w:r w:rsidR="005C2817" w:rsidRPr="004A56CE">
              <w:rPr>
                <w:rFonts w:asciiTheme="minorHAnsi" w:eastAsia="Times New Roman" w:hAnsiTheme="minorHAnsi" w:cstheme="minorHAnsi"/>
                <w:color w:val="000000"/>
                <w:sz w:val="18"/>
                <w:szCs w:val="18"/>
                <w:lang w:val="pl" w:eastAsia="pl-PL"/>
              </w:rPr>
              <w:t xml:space="preserve"> walor informacyjny</w:t>
            </w:r>
            <w:r w:rsidRPr="004A56CE">
              <w:rPr>
                <w:rFonts w:asciiTheme="minorHAnsi" w:eastAsia="Times New Roman" w:hAnsiTheme="minorHAnsi" w:cstheme="minorHAnsi"/>
                <w:color w:val="000000"/>
                <w:sz w:val="18"/>
                <w:szCs w:val="18"/>
                <w:lang w:val="pl" w:eastAsia="pl-PL"/>
              </w:rPr>
              <w:t xml:space="preserve">, a </w:t>
            </w:r>
            <w:r w:rsidR="002A604C">
              <w:rPr>
                <w:rFonts w:asciiTheme="minorHAnsi" w:eastAsia="Times New Roman" w:hAnsiTheme="minorHAnsi" w:cstheme="minorHAnsi"/>
                <w:color w:val="000000"/>
                <w:sz w:val="18"/>
                <w:szCs w:val="18"/>
                <w:lang w:val="pl" w:eastAsia="pl-PL"/>
              </w:rPr>
              <w:t>dodatkowo</w:t>
            </w:r>
            <w:r w:rsidR="005C2817" w:rsidRPr="004A56CE">
              <w:rPr>
                <w:rFonts w:asciiTheme="minorHAnsi" w:eastAsia="Times New Roman" w:hAnsiTheme="minorHAnsi" w:cstheme="minorHAnsi"/>
                <w:color w:val="000000"/>
                <w:sz w:val="18"/>
                <w:szCs w:val="18"/>
                <w:lang w:val="pl" w:eastAsia="pl-PL"/>
              </w:rPr>
              <w:t xml:space="preserve"> mogłoby nasuwać wątpliwości interpretacyjne w kontekście użycia już </w:t>
            </w:r>
            <w:r w:rsidR="00A77C15" w:rsidRPr="004A56CE">
              <w:rPr>
                <w:rFonts w:asciiTheme="minorHAnsi" w:eastAsia="Times New Roman" w:hAnsiTheme="minorHAnsi" w:cstheme="minorHAnsi"/>
                <w:color w:val="000000"/>
                <w:sz w:val="18"/>
                <w:szCs w:val="18"/>
                <w:lang w:val="pl" w:eastAsia="pl-PL"/>
              </w:rPr>
              <w:t>wcześniej</w:t>
            </w:r>
            <w:r w:rsidR="005C2817" w:rsidRPr="004A56CE">
              <w:rPr>
                <w:rFonts w:asciiTheme="minorHAnsi" w:eastAsia="Times New Roman" w:hAnsiTheme="minorHAnsi" w:cstheme="minorHAnsi"/>
                <w:color w:val="000000"/>
                <w:sz w:val="18"/>
                <w:szCs w:val="18"/>
                <w:lang w:val="pl" w:eastAsia="pl-PL"/>
              </w:rPr>
              <w:t xml:space="preserve"> analogicznego określenia </w:t>
            </w:r>
            <w:r w:rsidRPr="004A56CE">
              <w:rPr>
                <w:rFonts w:asciiTheme="minorHAnsi" w:eastAsia="Times New Roman" w:hAnsiTheme="minorHAnsi" w:cstheme="minorHAnsi"/>
                <w:color w:val="000000"/>
                <w:sz w:val="18"/>
                <w:szCs w:val="18"/>
                <w:lang w:val="pl" w:eastAsia="pl-PL"/>
              </w:rPr>
              <w:t>„jednostka operacyjna”</w:t>
            </w:r>
            <w:r w:rsidR="005C2817" w:rsidRPr="004A56CE">
              <w:rPr>
                <w:rFonts w:asciiTheme="minorHAnsi" w:eastAsia="Times New Roman" w:hAnsiTheme="minorHAnsi" w:cstheme="minorHAnsi"/>
                <w:color w:val="000000"/>
                <w:sz w:val="18"/>
                <w:szCs w:val="18"/>
                <w:lang w:val="pl" w:eastAsia="pl-PL"/>
              </w:rPr>
              <w:t xml:space="preserve"> w ustawie o EES</w:t>
            </w:r>
            <w:r w:rsidR="003060C4">
              <w:rPr>
                <w:rFonts w:asciiTheme="minorHAnsi" w:eastAsia="Times New Roman" w:hAnsiTheme="minorHAnsi" w:cstheme="minorHAnsi"/>
                <w:color w:val="000000"/>
                <w:sz w:val="18"/>
                <w:szCs w:val="18"/>
                <w:lang w:val="pl" w:eastAsia="pl-PL"/>
              </w:rPr>
              <w:t xml:space="preserve"> (art. 2 pkt 8)</w:t>
            </w:r>
            <w:r w:rsidR="005C2817" w:rsidRPr="004A56CE">
              <w:rPr>
                <w:rFonts w:asciiTheme="minorHAnsi" w:eastAsia="Times New Roman" w:hAnsiTheme="minorHAnsi" w:cstheme="minorHAnsi"/>
                <w:color w:val="000000"/>
                <w:sz w:val="18"/>
                <w:szCs w:val="18"/>
                <w:lang w:val="pl" w:eastAsia="pl-PL"/>
              </w:rPr>
              <w:t>.</w:t>
            </w:r>
            <w:r w:rsidR="005C2817">
              <w:rPr>
                <w:rFonts w:asciiTheme="minorHAnsi" w:eastAsia="Times New Roman" w:hAnsiTheme="minorHAnsi" w:cstheme="minorHAnsi"/>
                <w:color w:val="000000"/>
                <w:sz w:val="18"/>
                <w:szCs w:val="18"/>
                <w:lang w:val="pl" w:eastAsia="pl-PL"/>
              </w:rPr>
              <w:t xml:space="preserve"> </w:t>
            </w:r>
          </w:p>
          <w:p w14:paraId="1A61B2E9" w14:textId="77777777" w:rsidR="00CF259B" w:rsidRDefault="00CF259B" w:rsidP="0098215D">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p>
          <w:p w14:paraId="7E852B58" w14:textId="0B75F4D7" w:rsidR="004F2D9C" w:rsidRPr="004F2D9C" w:rsidRDefault="004F2D9C" w:rsidP="00A77C15">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FF0000"/>
                <w:sz w:val="18"/>
                <w:szCs w:val="18"/>
              </w:rPr>
            </w:pPr>
          </w:p>
        </w:tc>
        <w:tc>
          <w:tcPr>
            <w:tcW w:w="3481" w:type="dxa"/>
            <w:gridSpan w:val="2"/>
          </w:tcPr>
          <w:p w14:paraId="5009A205" w14:textId="69FF6EF7" w:rsidR="000E65E9" w:rsidRPr="009B2533" w:rsidRDefault="00E4525A" w:rsidP="00B84F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lastRenderedPageBreak/>
              <w:t>U</w:t>
            </w:r>
            <w:r w:rsidR="00A621AA">
              <w:rPr>
                <w:rFonts w:asciiTheme="minorHAnsi" w:hAnsiTheme="minorHAnsi" w:cstheme="minorHAnsi"/>
                <w:sz w:val="18"/>
                <w:szCs w:val="18"/>
              </w:rPr>
              <w:t>względnion</w:t>
            </w:r>
            <w:r>
              <w:rPr>
                <w:rFonts w:asciiTheme="minorHAnsi" w:hAnsiTheme="minorHAnsi" w:cstheme="minorHAnsi"/>
                <w:sz w:val="18"/>
                <w:szCs w:val="18"/>
              </w:rPr>
              <w:t>o</w:t>
            </w:r>
            <w:r w:rsidR="00A621AA">
              <w:rPr>
                <w:rFonts w:asciiTheme="minorHAnsi" w:hAnsiTheme="minorHAnsi" w:cstheme="minorHAnsi"/>
                <w:sz w:val="18"/>
                <w:szCs w:val="18"/>
              </w:rPr>
              <w:t xml:space="preserve"> w uzasadnieniu</w:t>
            </w:r>
            <w:r>
              <w:rPr>
                <w:rFonts w:asciiTheme="minorHAnsi" w:hAnsiTheme="minorHAnsi" w:cstheme="minorHAnsi"/>
                <w:sz w:val="18"/>
                <w:szCs w:val="18"/>
              </w:rPr>
              <w:t>.</w:t>
            </w:r>
          </w:p>
        </w:tc>
      </w:tr>
      <w:tr w:rsidR="00D11E9D" w:rsidRPr="009B2533" w14:paraId="5EBC4C48" w14:textId="77777777" w:rsidTr="00787817">
        <w:trPr>
          <w:gridAfter w:val="1"/>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7ADD8D99" w14:textId="77777777" w:rsidR="00D11E9D" w:rsidRPr="009B2533" w:rsidRDefault="00D11E9D" w:rsidP="00304CBE">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208E1CAC" w14:textId="71E440C2" w:rsidR="00D11E9D" w:rsidRPr="009B2533" w:rsidRDefault="00F10EB7" w:rsidP="00304CBE">
            <w:pPr>
              <w:jc w:val="both"/>
              <w:cnfStyle w:val="000000000000" w:firstRow="0" w:lastRow="0" w:firstColumn="0" w:lastColumn="0" w:oddVBand="0" w:evenVBand="0" w:oddHBand="0"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Art. 36 ust. 19</w:t>
            </w:r>
          </w:p>
        </w:tc>
        <w:tc>
          <w:tcPr>
            <w:tcW w:w="1846" w:type="dxa"/>
          </w:tcPr>
          <w:p w14:paraId="06EEC73B" w14:textId="14DD9EA8" w:rsidR="00D11E9D" w:rsidRPr="00F10EB7" w:rsidRDefault="00F10EB7" w:rsidP="00D11E9D">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8"/>
                <w:szCs w:val="18"/>
              </w:rPr>
            </w:pPr>
            <w:r w:rsidRPr="00F10EB7">
              <w:rPr>
                <w:rFonts w:asciiTheme="minorHAnsi" w:hAnsiTheme="minorHAnsi" w:cstheme="minorHAnsi"/>
                <w:color w:val="000000"/>
                <w:sz w:val="18"/>
                <w:szCs w:val="18"/>
              </w:rPr>
              <w:t>Art. 36 ust. 4. Administratorem danych przetwarzanych w KSI ETIAS jest Komendant Główny Straży Granicznej</w:t>
            </w:r>
          </w:p>
        </w:tc>
        <w:tc>
          <w:tcPr>
            <w:tcW w:w="1276" w:type="dxa"/>
          </w:tcPr>
          <w:p w14:paraId="552EF7DE" w14:textId="77777777" w:rsidR="00580864" w:rsidRDefault="00580864" w:rsidP="0058086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Prezes</w:t>
            </w:r>
          </w:p>
          <w:p w14:paraId="115DE69F" w14:textId="05E7F211" w:rsidR="00D11E9D" w:rsidRPr="00CC73BF" w:rsidRDefault="00580864" w:rsidP="0058086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Urzędu Ochrony Danych Osobowych</w:t>
            </w:r>
          </w:p>
        </w:tc>
        <w:tc>
          <w:tcPr>
            <w:tcW w:w="4678" w:type="dxa"/>
          </w:tcPr>
          <w:p w14:paraId="5FCDB1C6" w14:textId="77777777" w:rsidR="00580864" w:rsidRPr="00580864" w:rsidRDefault="00580864" w:rsidP="00355AA0">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580864">
              <w:rPr>
                <w:rFonts w:asciiTheme="minorHAnsi" w:eastAsia="Times New Roman" w:hAnsiTheme="minorHAnsi" w:cstheme="minorHAnsi"/>
                <w:color w:val="000000"/>
                <w:sz w:val="18"/>
                <w:szCs w:val="18"/>
                <w:lang w:eastAsia="pl-PL"/>
              </w:rPr>
              <w:t>Artykuł 36 ust. 19 projektowanej ustawy stanowi: „Administratorem danych przetwarzanych w KSI ETIAS jest Komendant Główny Straży Granicznej”.</w:t>
            </w:r>
          </w:p>
          <w:p w14:paraId="7129DE28" w14:textId="77777777" w:rsidR="00580864" w:rsidRPr="00580864" w:rsidRDefault="00580864" w:rsidP="00355AA0">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580864">
              <w:rPr>
                <w:rFonts w:asciiTheme="minorHAnsi" w:eastAsia="Times New Roman" w:hAnsiTheme="minorHAnsi" w:cstheme="minorHAnsi"/>
                <w:color w:val="000000"/>
                <w:sz w:val="18"/>
                <w:szCs w:val="18"/>
                <w:lang w:eastAsia="pl-PL"/>
              </w:rPr>
              <w:t>Projektodawca nie wskazał jednak roli, obowiązków i zakresu odpowiedzialności organów upoważnionych do przetwarzania danych ETIAS, wskazanych w rozdziale 2 projektowanej ustawy, w kontekście art. 24 i art. 26 rozporządzenia 2016/679 oraz art. 19 i art. 21 dyrektywy 2016/680. Brak określenia roli podmiotów uprawnionych do szeroko rozumianego przetwarzania danych osobowych powoduje wątpliwość Prezesa UODO w zakresie realizacji obowiązku zgłaszania naruszeń ochrony danych osobowych, o którym mowa w art. 60 ust. 3 rozporządzenia 2018/1240. Powstaje bowiem pytanie, czy Komendant Główny Straży Granicznej – jako administrator – będzie zobowiązany do:</w:t>
            </w:r>
          </w:p>
          <w:p w14:paraId="24105A15" w14:textId="6B5B5C68" w:rsidR="00580864" w:rsidRPr="00580864" w:rsidRDefault="00580864" w:rsidP="00355AA0">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580864">
              <w:rPr>
                <w:rFonts w:asciiTheme="minorHAnsi" w:eastAsia="Times New Roman" w:hAnsiTheme="minorHAnsi" w:cstheme="minorHAnsi"/>
                <w:color w:val="000000"/>
                <w:sz w:val="18"/>
                <w:szCs w:val="18"/>
                <w:lang w:eastAsia="pl-PL"/>
              </w:rPr>
              <w:t>1. zgłaszania naruszeń w trybie art. 33 rozporządzenia 2016/679 lub art. 44 ustawy o ochronie danych osobowych przetwarzanych</w:t>
            </w:r>
            <w:r w:rsidR="007116F0">
              <w:rPr>
                <w:rFonts w:asciiTheme="minorHAnsi" w:eastAsia="Times New Roman" w:hAnsiTheme="minorHAnsi" w:cstheme="minorHAnsi"/>
                <w:color w:val="000000"/>
                <w:sz w:val="18"/>
                <w:szCs w:val="18"/>
                <w:lang w:eastAsia="pl-PL"/>
              </w:rPr>
              <w:t xml:space="preserve"> </w:t>
            </w:r>
            <w:r w:rsidRPr="00580864">
              <w:rPr>
                <w:rFonts w:asciiTheme="minorHAnsi" w:eastAsia="Times New Roman" w:hAnsiTheme="minorHAnsi" w:cstheme="minorHAnsi"/>
                <w:color w:val="000000"/>
                <w:sz w:val="18"/>
                <w:szCs w:val="18"/>
                <w:lang w:eastAsia="pl-PL"/>
              </w:rPr>
              <w:t>w związku z zapobieganiem i zwalczaniem przestępczości, które zobowiązują administratora bez zbędnej zwłoki, nie później niż w terminie 72 godzin po stwierdzeniu naruszenia, do jego zgłoszenia organowi nadzorczemu;</w:t>
            </w:r>
          </w:p>
          <w:p w14:paraId="225CA016" w14:textId="77777777" w:rsidR="00580864" w:rsidRPr="00580864" w:rsidRDefault="00580864" w:rsidP="00355AA0">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580864">
              <w:rPr>
                <w:rFonts w:asciiTheme="minorHAnsi" w:eastAsia="Times New Roman" w:hAnsiTheme="minorHAnsi" w:cstheme="minorHAnsi"/>
                <w:color w:val="000000"/>
                <w:sz w:val="18"/>
                <w:szCs w:val="18"/>
                <w:lang w:eastAsia="pl-PL"/>
              </w:rPr>
              <w:t xml:space="preserve">2. powiadamiania Komisji Europejskiej, agencji </w:t>
            </w:r>
            <w:proofErr w:type="spellStart"/>
            <w:r w:rsidRPr="00580864">
              <w:rPr>
                <w:rFonts w:asciiTheme="minorHAnsi" w:eastAsia="Times New Roman" w:hAnsiTheme="minorHAnsi" w:cstheme="minorHAnsi"/>
                <w:color w:val="000000"/>
                <w:sz w:val="18"/>
                <w:szCs w:val="18"/>
                <w:lang w:eastAsia="pl-PL"/>
              </w:rPr>
              <w:t>eu</w:t>
            </w:r>
            <w:proofErr w:type="spellEnd"/>
            <w:r w:rsidRPr="00580864">
              <w:rPr>
                <w:rFonts w:asciiTheme="minorHAnsi" w:eastAsia="Times New Roman" w:hAnsiTheme="minorHAnsi" w:cstheme="minorHAnsi"/>
                <w:color w:val="000000"/>
                <w:sz w:val="18"/>
                <w:szCs w:val="18"/>
                <w:lang w:eastAsia="pl-PL"/>
              </w:rPr>
              <w:t>-LISA oraz Europejskiego Inspektora Ochrony Danych – w odniesieniu do każdego zdarzenia po stronie użytkownika indywidualnego lub końcowego, które ma lub może mieć wpływ na bezpieczeństwo ETIAS i może skutkować uszkodzeniem lub utratą danych przechowywanych w systemie, ponosząc jednocześnie odpowiedzialność za jego wystąpienie.</w:t>
            </w:r>
          </w:p>
          <w:p w14:paraId="2DC6C40F" w14:textId="5D762161" w:rsidR="00580864" w:rsidRPr="00580864" w:rsidRDefault="00580864" w:rsidP="00355AA0">
            <w:pPr>
              <w:pStyle w:val="NormalnyWeb"/>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580864">
              <w:rPr>
                <w:rFonts w:asciiTheme="minorHAnsi" w:hAnsiTheme="minorHAnsi" w:cstheme="minorHAnsi"/>
                <w:color w:val="000000"/>
                <w:sz w:val="18"/>
                <w:szCs w:val="18"/>
              </w:rPr>
              <w:t xml:space="preserve">W tym miejscu należy zauważyć, iż ustawodawca polski na kanwie ustawy o udziale Rzeczypospolitej Polskiej w Systemie Informacyjnym </w:t>
            </w:r>
            <w:proofErr w:type="spellStart"/>
            <w:r w:rsidRPr="00580864">
              <w:rPr>
                <w:rFonts w:asciiTheme="minorHAnsi" w:hAnsiTheme="minorHAnsi" w:cstheme="minorHAnsi"/>
                <w:color w:val="000000"/>
                <w:sz w:val="18"/>
                <w:szCs w:val="18"/>
              </w:rPr>
              <w:t>Schengen</w:t>
            </w:r>
            <w:proofErr w:type="spellEnd"/>
            <w:r w:rsidRPr="00580864">
              <w:rPr>
                <w:rFonts w:asciiTheme="minorHAnsi" w:hAnsiTheme="minorHAnsi" w:cstheme="minorHAnsi"/>
                <w:color w:val="000000"/>
                <w:sz w:val="18"/>
                <w:szCs w:val="18"/>
              </w:rPr>
              <w:t xml:space="preserve"> oraz Wizowym Systemie </w:t>
            </w:r>
            <w:r w:rsidRPr="00580864">
              <w:rPr>
                <w:rFonts w:asciiTheme="minorHAnsi" w:hAnsiTheme="minorHAnsi" w:cstheme="minorHAnsi"/>
                <w:color w:val="000000"/>
                <w:sz w:val="18"/>
                <w:szCs w:val="18"/>
              </w:rPr>
              <w:lastRenderedPageBreak/>
              <w:t>Informacyjnym, podobnie jak w przypadku omawianego projektu, nie określił</w:t>
            </w:r>
            <w:r>
              <w:rPr>
                <w:rFonts w:asciiTheme="minorHAnsi" w:hAnsiTheme="minorHAnsi" w:cstheme="minorHAnsi"/>
                <w:color w:val="000000"/>
                <w:sz w:val="18"/>
                <w:szCs w:val="18"/>
              </w:rPr>
              <w:t xml:space="preserve"> </w:t>
            </w:r>
            <w:r w:rsidRPr="00580864">
              <w:rPr>
                <w:rFonts w:asciiTheme="minorHAnsi" w:hAnsiTheme="minorHAnsi" w:cstheme="minorHAnsi"/>
                <w:color w:val="000000"/>
                <w:sz w:val="18"/>
                <w:szCs w:val="18"/>
              </w:rPr>
              <w:t>roli i obowiązków podmiotów wskazanych do przetwarzania danych.</w:t>
            </w:r>
          </w:p>
          <w:p w14:paraId="3D5C4280" w14:textId="77777777" w:rsidR="00580864" w:rsidRPr="00580864" w:rsidRDefault="00580864" w:rsidP="00355AA0">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580864">
              <w:rPr>
                <w:rFonts w:asciiTheme="minorHAnsi" w:eastAsia="Times New Roman" w:hAnsiTheme="minorHAnsi" w:cstheme="minorHAnsi"/>
                <w:color w:val="000000"/>
                <w:sz w:val="18"/>
                <w:szCs w:val="18"/>
                <w:lang w:eastAsia="pl-PL"/>
              </w:rPr>
              <w:t xml:space="preserve">Zostało to zakwestionowane w drodze decyzji wykonawczej Komisji Europejskiej z 2024 r. (C(2024) 8110 </w:t>
            </w:r>
            <w:proofErr w:type="spellStart"/>
            <w:r w:rsidRPr="00580864">
              <w:rPr>
                <w:rFonts w:asciiTheme="minorHAnsi" w:eastAsia="Times New Roman" w:hAnsiTheme="minorHAnsi" w:cstheme="minorHAnsi"/>
                <w:color w:val="000000"/>
                <w:sz w:val="18"/>
                <w:szCs w:val="18"/>
                <w:lang w:eastAsia="pl-PL"/>
              </w:rPr>
              <w:t>final</w:t>
            </w:r>
            <w:proofErr w:type="spellEnd"/>
            <w:r w:rsidRPr="00580864">
              <w:rPr>
                <w:rFonts w:asciiTheme="minorHAnsi" w:eastAsia="Times New Roman" w:hAnsiTheme="minorHAnsi" w:cstheme="minorHAnsi"/>
                <w:color w:val="000000"/>
                <w:sz w:val="18"/>
                <w:szCs w:val="18"/>
                <w:lang w:eastAsia="pl-PL"/>
              </w:rPr>
              <w:t>). W zaleceniu nr 38 nałożono na Polskę obowiązek zapewnienia, aby role i obowiązki Centralnego Organu Technicznego KSI i właściwych organów w zakresie przetwarzania danych w SIS zostały jasno określone w przepisach prawa i w praktyce, zgodnie z wymogami rozporządzenia 2016/679 i dyrektywy 2016/680.</w:t>
            </w:r>
          </w:p>
          <w:p w14:paraId="5A65207A" w14:textId="7508D067" w:rsidR="00580864" w:rsidRPr="00580864" w:rsidRDefault="00580864" w:rsidP="00355AA0">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580864">
              <w:rPr>
                <w:rFonts w:asciiTheme="minorHAnsi" w:eastAsia="Times New Roman" w:hAnsiTheme="minorHAnsi" w:cstheme="minorHAnsi"/>
                <w:color w:val="000000"/>
                <w:sz w:val="18"/>
                <w:szCs w:val="18"/>
                <w:lang w:eastAsia="pl-PL"/>
              </w:rPr>
              <w:t>Koniecznym jest zatem doprecyzowanie tej kwestii w przypadku KSI ETIAS.</w:t>
            </w:r>
          </w:p>
        </w:tc>
        <w:tc>
          <w:tcPr>
            <w:tcW w:w="3402" w:type="dxa"/>
            <w:gridSpan w:val="2"/>
          </w:tcPr>
          <w:p w14:paraId="531DFD17" w14:textId="4DF54D63" w:rsidR="00D11E9D" w:rsidRDefault="000C38A0" w:rsidP="00B84F4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lastRenderedPageBreak/>
              <w:t>Komentarz:</w:t>
            </w:r>
          </w:p>
          <w:p w14:paraId="3ED69A4F" w14:textId="6797420C" w:rsidR="00102806" w:rsidRPr="000F29D2" w:rsidRDefault="00C50EBF" w:rsidP="00B84F4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0F29D2">
              <w:rPr>
                <w:rFonts w:asciiTheme="minorHAnsi" w:hAnsiTheme="minorHAnsi" w:cstheme="minorHAnsi"/>
                <w:bCs/>
                <w:sz w:val="18"/>
                <w:szCs w:val="18"/>
              </w:rPr>
              <w:t xml:space="preserve">Należy wyjaśnić, że </w:t>
            </w:r>
            <w:r w:rsidR="00102806" w:rsidRPr="000F29D2">
              <w:rPr>
                <w:rFonts w:asciiTheme="minorHAnsi" w:hAnsiTheme="minorHAnsi" w:cstheme="minorHAnsi"/>
                <w:bCs/>
                <w:sz w:val="18"/>
                <w:szCs w:val="18"/>
              </w:rPr>
              <w:t xml:space="preserve">celem art. 36 ust. 19 </w:t>
            </w:r>
            <w:r w:rsidR="005B27E8">
              <w:rPr>
                <w:rFonts w:asciiTheme="minorHAnsi" w:hAnsiTheme="minorHAnsi" w:cstheme="minorHAnsi"/>
                <w:bCs/>
                <w:sz w:val="18"/>
                <w:szCs w:val="18"/>
              </w:rPr>
              <w:t>jest</w:t>
            </w:r>
            <w:r w:rsidR="00102806" w:rsidRPr="000F29D2">
              <w:rPr>
                <w:rFonts w:asciiTheme="minorHAnsi" w:hAnsiTheme="minorHAnsi" w:cstheme="minorHAnsi"/>
                <w:bCs/>
                <w:sz w:val="18"/>
                <w:szCs w:val="18"/>
              </w:rPr>
              <w:t xml:space="preserve"> wskazanie administratora danych przetwarzanych w Krajowym Systemie Informatycznym do Spraw Systemu ETIAS, czyli systemie krajowym, w którym mogą być przetwarzane także dane i informacje z post</w:t>
            </w:r>
            <w:r w:rsidR="006F491C" w:rsidRPr="000F29D2">
              <w:rPr>
                <w:rFonts w:asciiTheme="minorHAnsi" w:hAnsiTheme="minorHAnsi" w:cstheme="minorHAnsi"/>
                <w:bCs/>
                <w:sz w:val="18"/>
                <w:szCs w:val="18"/>
              </w:rPr>
              <w:t>ę</w:t>
            </w:r>
            <w:r w:rsidR="00102806" w:rsidRPr="000F29D2">
              <w:rPr>
                <w:rFonts w:asciiTheme="minorHAnsi" w:hAnsiTheme="minorHAnsi" w:cstheme="minorHAnsi"/>
                <w:bCs/>
                <w:sz w:val="18"/>
                <w:szCs w:val="18"/>
              </w:rPr>
              <w:t>powania odwoławczego, a także np. wykazy osób up</w:t>
            </w:r>
            <w:r w:rsidR="006F491C" w:rsidRPr="000F29D2">
              <w:rPr>
                <w:rFonts w:asciiTheme="minorHAnsi" w:hAnsiTheme="minorHAnsi" w:cstheme="minorHAnsi"/>
                <w:bCs/>
                <w:sz w:val="18"/>
                <w:szCs w:val="18"/>
              </w:rPr>
              <w:t>rawnionych do dostępu do KSI ETIAS oraz</w:t>
            </w:r>
            <w:r w:rsidR="00102806" w:rsidRPr="000F29D2">
              <w:rPr>
                <w:rFonts w:asciiTheme="minorHAnsi" w:hAnsiTheme="minorHAnsi" w:cstheme="minorHAnsi"/>
                <w:bCs/>
                <w:sz w:val="18"/>
                <w:szCs w:val="18"/>
              </w:rPr>
              <w:t xml:space="preserve"> do przetwarzania danych </w:t>
            </w:r>
            <w:r w:rsidR="006F491C" w:rsidRPr="000F29D2">
              <w:rPr>
                <w:rFonts w:asciiTheme="minorHAnsi" w:hAnsiTheme="minorHAnsi" w:cstheme="minorHAnsi"/>
                <w:bCs/>
                <w:sz w:val="18"/>
                <w:szCs w:val="18"/>
              </w:rPr>
              <w:t xml:space="preserve">poprzez KSI </w:t>
            </w:r>
            <w:r w:rsidR="00102806" w:rsidRPr="000F29D2">
              <w:rPr>
                <w:rFonts w:asciiTheme="minorHAnsi" w:hAnsiTheme="minorHAnsi" w:cstheme="minorHAnsi"/>
                <w:bCs/>
                <w:sz w:val="18"/>
                <w:szCs w:val="18"/>
              </w:rPr>
              <w:t xml:space="preserve">ETIAS (dane krajowe). </w:t>
            </w:r>
          </w:p>
          <w:p w14:paraId="0C355309" w14:textId="6B2C6E37" w:rsidR="000C38A0" w:rsidRPr="000F29D2" w:rsidRDefault="00102806" w:rsidP="00B84F4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F29D2">
              <w:rPr>
                <w:rFonts w:asciiTheme="minorHAnsi" w:hAnsiTheme="minorHAnsi" w:cstheme="minorHAnsi"/>
                <w:bCs/>
                <w:sz w:val="18"/>
                <w:szCs w:val="18"/>
              </w:rPr>
              <w:t>W ocenie projektodawcy w odniesieniu do danych ETIAS niezbędne regulacje w tym zakresie zostały zamieszczone w rozporządzeniu 2018/1240</w:t>
            </w:r>
            <w:r w:rsidR="00AB0950" w:rsidRPr="000F29D2">
              <w:rPr>
                <w:rFonts w:asciiTheme="minorHAnsi" w:hAnsiTheme="minorHAnsi" w:cstheme="minorHAnsi"/>
                <w:bCs/>
                <w:sz w:val="18"/>
                <w:szCs w:val="18"/>
              </w:rPr>
              <w:t xml:space="preserve"> (w szczególności rozdział XI i XII)</w:t>
            </w:r>
            <w:r w:rsidRPr="000F29D2">
              <w:rPr>
                <w:rFonts w:asciiTheme="minorHAnsi" w:hAnsiTheme="minorHAnsi" w:cstheme="minorHAnsi"/>
                <w:bCs/>
                <w:sz w:val="18"/>
                <w:szCs w:val="18"/>
              </w:rPr>
              <w:t xml:space="preserve">. </w:t>
            </w:r>
            <w:r w:rsidR="00AB0950" w:rsidRPr="000F29D2">
              <w:rPr>
                <w:rFonts w:asciiTheme="minorHAnsi" w:hAnsiTheme="minorHAnsi" w:cstheme="minorHAnsi"/>
                <w:bCs/>
                <w:sz w:val="18"/>
                <w:szCs w:val="18"/>
              </w:rPr>
              <w:t>W art. 57 rozporządzenia 2018/1240 został</w:t>
            </w:r>
            <w:r w:rsidR="006F491C" w:rsidRPr="000F29D2">
              <w:rPr>
                <w:rFonts w:asciiTheme="minorHAnsi" w:hAnsiTheme="minorHAnsi" w:cstheme="minorHAnsi"/>
                <w:bCs/>
                <w:sz w:val="18"/>
                <w:szCs w:val="18"/>
              </w:rPr>
              <w:t xml:space="preserve"> określony administrator danych (w tym w ust. 2 jednostka krajowa ETIAS), zaś w art. 59 bezpieczeństwo przetwarzania ( w tym w ust. 3 obowiązki jednostki krajowej ETIAS). Jednocześnie w art. </w:t>
            </w:r>
            <w:r w:rsidR="00BA7469" w:rsidRPr="000F29D2">
              <w:rPr>
                <w:rFonts w:asciiTheme="minorHAnsi" w:hAnsiTheme="minorHAnsi" w:cstheme="minorHAnsi"/>
                <w:bCs/>
                <w:sz w:val="18"/>
                <w:szCs w:val="18"/>
              </w:rPr>
              <w:t>5 ust. 2 projektu ustawy określono, że Komendant Główny Straży Granicznej realizuje obowiązki oraz korzyst</w:t>
            </w:r>
            <w:r w:rsidR="005B27E8">
              <w:rPr>
                <w:rFonts w:asciiTheme="minorHAnsi" w:hAnsiTheme="minorHAnsi" w:cstheme="minorHAnsi"/>
                <w:bCs/>
                <w:sz w:val="18"/>
                <w:szCs w:val="18"/>
              </w:rPr>
              <w:t>a</w:t>
            </w:r>
            <w:r w:rsidR="00BA7469" w:rsidRPr="000F29D2">
              <w:rPr>
                <w:rFonts w:asciiTheme="minorHAnsi" w:hAnsiTheme="minorHAnsi" w:cstheme="minorHAnsi"/>
                <w:bCs/>
                <w:sz w:val="18"/>
                <w:szCs w:val="18"/>
              </w:rPr>
              <w:t xml:space="preserve"> z uprawnień </w:t>
            </w:r>
            <w:r w:rsidR="005B27E8">
              <w:rPr>
                <w:rFonts w:asciiTheme="minorHAnsi" w:hAnsiTheme="minorHAnsi" w:cstheme="minorHAnsi"/>
                <w:bCs/>
                <w:sz w:val="18"/>
                <w:szCs w:val="18"/>
              </w:rPr>
              <w:t>j</w:t>
            </w:r>
            <w:r w:rsidR="00BA7469" w:rsidRPr="000F29D2">
              <w:rPr>
                <w:rFonts w:asciiTheme="minorHAnsi" w:hAnsiTheme="minorHAnsi" w:cstheme="minorHAnsi"/>
                <w:bCs/>
                <w:sz w:val="18"/>
                <w:szCs w:val="18"/>
              </w:rPr>
              <w:t>ednostki krajowej ETIAS, zaś w ust. 3 np. pkt 6, 8 i 9 wprost wskazano zadania w zakresie związanym z przetwarzaniem danych. Podobne rozwiązania zawiera art. 6 ust. 2 projektu ustawy (por. w szczególności pkt 6, 12-14).</w:t>
            </w:r>
          </w:p>
          <w:p w14:paraId="7D5D8A7D" w14:textId="43D410FF" w:rsidR="00BA7469" w:rsidRPr="000F29D2" w:rsidRDefault="00BA7469" w:rsidP="00B84F4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0F29D2">
              <w:rPr>
                <w:rFonts w:asciiTheme="minorHAnsi" w:hAnsiTheme="minorHAnsi" w:cstheme="minorHAnsi"/>
                <w:bCs/>
                <w:sz w:val="18"/>
                <w:szCs w:val="18"/>
              </w:rPr>
              <w:t xml:space="preserve">Ponadto w zakresie ochrony danych w art. 56 </w:t>
            </w:r>
            <w:r w:rsidR="005B27E8" w:rsidRPr="005B27E8">
              <w:rPr>
                <w:rFonts w:asciiTheme="minorHAnsi" w:hAnsiTheme="minorHAnsi" w:cstheme="minorHAnsi"/>
                <w:bCs/>
                <w:sz w:val="18"/>
                <w:szCs w:val="18"/>
              </w:rPr>
              <w:t>rozporządzeniu 2018/1240</w:t>
            </w:r>
            <w:r w:rsidRPr="000F29D2">
              <w:rPr>
                <w:rFonts w:asciiTheme="minorHAnsi" w:hAnsiTheme="minorHAnsi" w:cstheme="minorHAnsi"/>
                <w:bCs/>
                <w:sz w:val="18"/>
                <w:szCs w:val="18"/>
              </w:rPr>
              <w:t xml:space="preserve"> wprost zostało określone, jakie przepisy dot. ochrony danych stosują  </w:t>
            </w:r>
            <w:r w:rsidR="00DA11E3" w:rsidRPr="000F29D2">
              <w:rPr>
                <w:rFonts w:asciiTheme="minorHAnsi" w:hAnsiTheme="minorHAnsi" w:cstheme="minorHAnsi"/>
                <w:bCs/>
                <w:sz w:val="18"/>
                <w:szCs w:val="18"/>
              </w:rPr>
              <w:t xml:space="preserve">wskazane </w:t>
            </w:r>
            <w:r w:rsidRPr="000F29D2">
              <w:rPr>
                <w:rFonts w:asciiTheme="minorHAnsi" w:hAnsiTheme="minorHAnsi" w:cstheme="minorHAnsi"/>
                <w:bCs/>
                <w:sz w:val="18"/>
                <w:szCs w:val="18"/>
              </w:rPr>
              <w:t>organy</w:t>
            </w:r>
            <w:r w:rsidR="00DA11E3" w:rsidRPr="000F29D2">
              <w:rPr>
                <w:rFonts w:asciiTheme="minorHAnsi" w:hAnsiTheme="minorHAnsi" w:cstheme="minorHAnsi"/>
                <w:bCs/>
                <w:sz w:val="18"/>
                <w:szCs w:val="18"/>
              </w:rPr>
              <w:t xml:space="preserve"> państw członkowskich. Są to, w zależności od celu przetwarzania, rozporządzenie (UE) 2016/679 (w tym jego art. 33) oraz </w:t>
            </w:r>
            <w:r w:rsidR="00DA11E3" w:rsidRPr="000F29D2">
              <w:rPr>
                <w:rFonts w:asciiTheme="minorHAnsi" w:hAnsiTheme="minorHAnsi" w:cstheme="minorHAnsi"/>
                <w:bCs/>
                <w:sz w:val="18"/>
                <w:szCs w:val="18"/>
              </w:rPr>
              <w:lastRenderedPageBreak/>
              <w:t xml:space="preserve">dyrektywa (UE) – w przypadku RP ustawa o ochronie danych osobowych przetwarzanych w związku z zapobieganiem i zwalczaniem przestępczości ( w tym jej art. 44). </w:t>
            </w:r>
          </w:p>
          <w:p w14:paraId="0FC0436B" w14:textId="4855A44D" w:rsidR="00B41E5A" w:rsidRPr="000F29D2" w:rsidRDefault="00B41E5A" w:rsidP="00B84F4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0F29D2">
              <w:rPr>
                <w:rFonts w:asciiTheme="minorHAnsi" w:hAnsiTheme="minorHAnsi" w:cstheme="minorHAnsi"/>
                <w:bCs/>
                <w:sz w:val="18"/>
                <w:szCs w:val="18"/>
              </w:rPr>
              <w:t xml:space="preserve">Dodatkowo należy podkreślić, że dane ETIAS mogą być wprowadzane lub usuwane (wpisy w pliku wniosku, lista ostrzegawcza ETIAS) tylko przez Komendanta Głównego Straży Granicznej, tym samym zdarzenia, które  mogą skutkować uszkodzeniem lub utratą danych </w:t>
            </w:r>
            <w:r w:rsidR="002C5D17" w:rsidRPr="000F29D2">
              <w:rPr>
                <w:rFonts w:asciiTheme="minorHAnsi" w:hAnsiTheme="minorHAnsi" w:cstheme="minorHAnsi"/>
                <w:bCs/>
                <w:sz w:val="18"/>
                <w:szCs w:val="18"/>
              </w:rPr>
              <w:t xml:space="preserve">ETIAS </w:t>
            </w:r>
            <w:r w:rsidRPr="000F29D2">
              <w:rPr>
                <w:rFonts w:asciiTheme="minorHAnsi" w:hAnsiTheme="minorHAnsi" w:cstheme="minorHAnsi"/>
                <w:bCs/>
                <w:sz w:val="18"/>
                <w:szCs w:val="18"/>
              </w:rPr>
              <w:t>przechowywanych w systemie, mogą dotyczyć tylko podmiotu ponoszącego jednocześnie odpowiedzialność za jego wystąpienie</w:t>
            </w:r>
            <w:r w:rsidR="002C5D17" w:rsidRPr="000F29D2">
              <w:rPr>
                <w:rFonts w:asciiTheme="minorHAnsi" w:hAnsiTheme="minorHAnsi" w:cstheme="minorHAnsi"/>
                <w:bCs/>
                <w:sz w:val="18"/>
                <w:szCs w:val="18"/>
              </w:rPr>
              <w:t xml:space="preserve">. </w:t>
            </w:r>
          </w:p>
          <w:p w14:paraId="5FE8EDDA" w14:textId="79BE9F16" w:rsidR="002C5D17" w:rsidRPr="000F29D2" w:rsidRDefault="002C5D17" w:rsidP="00B84F4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0F29D2">
              <w:rPr>
                <w:rFonts w:asciiTheme="minorHAnsi" w:hAnsiTheme="minorHAnsi" w:cstheme="minorHAnsi"/>
                <w:bCs/>
                <w:sz w:val="18"/>
                <w:szCs w:val="18"/>
              </w:rPr>
              <w:t>W pozostałym zakresie jednostka krajowa ETIAS oraz określone w projekcie ustawy służby graniczne  i organy migracyjne (por art. 56 ust. 2 rozporządzenia 2018/1240) oraz organy wyznaczone do celów art. 1 ust. 2 (por art. 56 ust. 3 rozporządzenia 2018/1240) ponoszą odpowiedzialność, a tym samym realizują zadania w zakresie bezpieczeństwa przetwarzanych dany na zasadach ogólnych.</w:t>
            </w:r>
          </w:p>
          <w:p w14:paraId="574D3777" w14:textId="2914D925" w:rsidR="002C5D17" w:rsidRPr="00AB290B" w:rsidRDefault="002C5D17" w:rsidP="00B84F4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B290B">
              <w:rPr>
                <w:rFonts w:asciiTheme="minorHAnsi" w:hAnsiTheme="minorHAnsi" w:cstheme="minorHAnsi"/>
                <w:sz w:val="18"/>
                <w:szCs w:val="18"/>
              </w:rPr>
              <w:t xml:space="preserve">Warto także </w:t>
            </w:r>
            <w:r w:rsidR="00AB290B" w:rsidRPr="00AB290B">
              <w:rPr>
                <w:rFonts w:asciiTheme="minorHAnsi" w:hAnsiTheme="minorHAnsi" w:cstheme="minorHAnsi"/>
                <w:bCs/>
                <w:sz w:val="18"/>
                <w:szCs w:val="18"/>
              </w:rPr>
              <w:t>podkreślić</w:t>
            </w:r>
            <w:r w:rsidRPr="00AB290B">
              <w:rPr>
                <w:rFonts w:asciiTheme="minorHAnsi" w:hAnsiTheme="minorHAnsi" w:cstheme="minorHAnsi"/>
                <w:sz w:val="18"/>
                <w:szCs w:val="18"/>
              </w:rPr>
              <w:t xml:space="preserve">, że w przypadku  </w:t>
            </w:r>
          </w:p>
          <w:p w14:paraId="0596A597" w14:textId="096D2D15" w:rsidR="007D47D5" w:rsidRPr="00AB290B" w:rsidRDefault="002C5D17" w:rsidP="00B84F4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B290B">
              <w:rPr>
                <w:rFonts w:asciiTheme="minorHAnsi" w:hAnsiTheme="minorHAnsi" w:cstheme="minorHAnsi"/>
                <w:sz w:val="18"/>
                <w:szCs w:val="18"/>
              </w:rPr>
              <w:t xml:space="preserve">rozporządzenia 2018/1240 ustawodawca europejski nie nałożył </w:t>
            </w:r>
            <w:r w:rsidR="00AB290B" w:rsidRPr="00AB290B">
              <w:rPr>
                <w:rFonts w:asciiTheme="minorHAnsi" w:hAnsiTheme="minorHAnsi" w:cstheme="minorHAnsi"/>
                <w:bCs/>
                <w:sz w:val="18"/>
                <w:szCs w:val="18"/>
              </w:rPr>
              <w:t xml:space="preserve">na państwa członkowskie UE </w:t>
            </w:r>
            <w:r w:rsidRPr="00AB290B">
              <w:rPr>
                <w:rFonts w:asciiTheme="minorHAnsi" w:hAnsiTheme="minorHAnsi" w:cstheme="minorHAnsi"/>
                <w:sz w:val="18"/>
                <w:szCs w:val="18"/>
              </w:rPr>
              <w:t xml:space="preserve">analogicznych obowiązków jak np. w art. </w:t>
            </w:r>
            <w:r w:rsidR="00AB290B" w:rsidRPr="00AB290B">
              <w:rPr>
                <w:rFonts w:asciiTheme="minorHAnsi" w:hAnsiTheme="minorHAnsi" w:cstheme="minorHAnsi"/>
                <w:bCs/>
                <w:sz w:val="18"/>
                <w:szCs w:val="18"/>
              </w:rPr>
              <w:t xml:space="preserve">39 ust. 1 rozporządzenia (UE) 2017/2226 ustanawiającego </w:t>
            </w:r>
            <w:r w:rsidRPr="00AB290B">
              <w:rPr>
                <w:rFonts w:asciiTheme="minorHAnsi" w:hAnsiTheme="minorHAnsi" w:cstheme="minorHAnsi"/>
                <w:bCs/>
                <w:sz w:val="18"/>
                <w:szCs w:val="18"/>
              </w:rPr>
              <w:t>EES</w:t>
            </w:r>
            <w:r w:rsidR="00E22606">
              <w:rPr>
                <w:rFonts w:asciiTheme="minorHAnsi" w:hAnsiTheme="minorHAnsi" w:cstheme="minorHAnsi"/>
                <w:bCs/>
                <w:sz w:val="18"/>
                <w:szCs w:val="18"/>
              </w:rPr>
              <w:t xml:space="preserve"> – „(…) </w:t>
            </w:r>
            <w:r w:rsidR="00E22606" w:rsidRPr="00E22606">
              <w:rPr>
                <w:rFonts w:asciiTheme="minorHAnsi" w:hAnsiTheme="minorHAnsi" w:cstheme="minorHAnsi"/>
                <w:bCs/>
                <w:sz w:val="18"/>
                <w:szCs w:val="18"/>
              </w:rPr>
              <w:t>każde państwo członkowskie wyznacza organ, który uznaje się za administratora zgodnie z</w:t>
            </w:r>
            <w:r w:rsidR="000E6E96">
              <w:rPr>
                <w:rFonts w:asciiTheme="minorHAnsi" w:hAnsiTheme="minorHAnsi" w:cstheme="minorHAnsi"/>
                <w:bCs/>
                <w:sz w:val="18"/>
                <w:szCs w:val="18"/>
              </w:rPr>
              <w:t xml:space="preserve"> art. 4 pkt 7 </w:t>
            </w:r>
            <w:r w:rsidR="00E22606" w:rsidRPr="00E22606">
              <w:rPr>
                <w:rFonts w:asciiTheme="minorHAnsi" w:hAnsiTheme="minorHAnsi" w:cstheme="minorHAnsi"/>
                <w:bCs/>
                <w:sz w:val="18"/>
                <w:szCs w:val="18"/>
              </w:rPr>
              <w:t>rozporządzenia (UE) 2016/679 i który ponosi główną odpowiedzialność za przetwarzanie danych przez to państwo członkowskie. Każde państwo członkowskie przekazuje Komisji dane kontaktowe tego organu.</w:t>
            </w:r>
            <w:r w:rsidR="00E22606">
              <w:rPr>
                <w:rFonts w:asciiTheme="minorHAnsi" w:hAnsiTheme="minorHAnsi" w:cstheme="minorHAnsi"/>
                <w:bCs/>
                <w:sz w:val="18"/>
                <w:szCs w:val="18"/>
              </w:rPr>
              <w:t>”</w:t>
            </w:r>
          </w:p>
          <w:p w14:paraId="749BC36E" w14:textId="0D0B67E6" w:rsidR="004F2D9C" w:rsidRPr="004F2D9C" w:rsidRDefault="004F2D9C" w:rsidP="00B84F4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F0000"/>
                <w:sz w:val="18"/>
                <w:szCs w:val="18"/>
              </w:rPr>
            </w:pPr>
          </w:p>
        </w:tc>
        <w:tc>
          <w:tcPr>
            <w:tcW w:w="3481" w:type="dxa"/>
            <w:gridSpan w:val="2"/>
          </w:tcPr>
          <w:p w14:paraId="16A54E5F" w14:textId="1E19763B" w:rsidR="00D11E9D" w:rsidRPr="00A166BE" w:rsidRDefault="00D11E9D" w:rsidP="00B84F4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18"/>
                <w:szCs w:val="18"/>
              </w:rPr>
            </w:pPr>
          </w:p>
        </w:tc>
      </w:tr>
      <w:tr w:rsidR="00D11E9D" w:rsidRPr="009B2533" w14:paraId="5848F189" w14:textId="77777777" w:rsidTr="00787817">
        <w:trPr>
          <w:gridAfter w:val="1"/>
          <w:cnfStyle w:val="000000100000" w:firstRow="0" w:lastRow="0" w:firstColumn="0" w:lastColumn="0" w:oddVBand="0" w:evenVBand="0" w:oddHBand="1" w:evenHBand="0" w:firstRowFirstColumn="0" w:firstRowLastColumn="0" w:lastRowFirstColumn="0" w:lastRowLastColumn="0"/>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3B6DBE8B" w14:textId="05F9BFFB" w:rsidR="00D11E9D" w:rsidRPr="009B2533" w:rsidRDefault="00D11E9D" w:rsidP="00304CBE">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7C33AF50" w14:textId="117BBA7A" w:rsidR="00D11E9D" w:rsidRPr="00D11E9D" w:rsidRDefault="00580864" w:rsidP="00304CBE">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 xml:space="preserve">Art. 37 ust. 1 </w:t>
            </w:r>
          </w:p>
        </w:tc>
        <w:tc>
          <w:tcPr>
            <w:tcW w:w="1846" w:type="dxa"/>
          </w:tcPr>
          <w:p w14:paraId="65D98194" w14:textId="2447A1D1" w:rsidR="00D11E9D" w:rsidRPr="00580864" w:rsidRDefault="00580864" w:rsidP="00D11E9D">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580864">
              <w:rPr>
                <w:rFonts w:asciiTheme="minorHAnsi" w:hAnsiTheme="minorHAnsi" w:cstheme="minorHAnsi"/>
                <w:color w:val="000000"/>
                <w:sz w:val="18"/>
                <w:szCs w:val="18"/>
              </w:rPr>
              <w:t xml:space="preserve">Art. 37. 1. Prezes Urzędu Ochrony Danych Osobowych jest organem nadzorczym w rozumieniu art. 66 </w:t>
            </w:r>
            <w:r w:rsidRPr="00580864">
              <w:rPr>
                <w:rFonts w:asciiTheme="minorHAnsi" w:hAnsiTheme="minorHAnsi" w:cstheme="minorHAnsi"/>
                <w:color w:val="000000"/>
                <w:sz w:val="18"/>
                <w:szCs w:val="18"/>
              </w:rPr>
              <w:lastRenderedPageBreak/>
              <w:t>rozporządzenia 2018/1240.</w:t>
            </w:r>
          </w:p>
        </w:tc>
        <w:tc>
          <w:tcPr>
            <w:tcW w:w="1276" w:type="dxa"/>
          </w:tcPr>
          <w:p w14:paraId="6095F0DE" w14:textId="77777777" w:rsidR="000D058D" w:rsidRDefault="000D058D" w:rsidP="000D058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lastRenderedPageBreak/>
              <w:t>Prezes</w:t>
            </w:r>
          </w:p>
          <w:p w14:paraId="644CEBCC" w14:textId="73465048" w:rsidR="00D11E9D" w:rsidRPr="00CC73BF" w:rsidRDefault="000D058D" w:rsidP="000D058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Urzędu Ochrony Danych Osobowych</w:t>
            </w:r>
          </w:p>
        </w:tc>
        <w:tc>
          <w:tcPr>
            <w:tcW w:w="4678" w:type="dxa"/>
          </w:tcPr>
          <w:p w14:paraId="24FB8141" w14:textId="4D68ED59" w:rsidR="00580864" w:rsidRDefault="00580864" w:rsidP="00355AA0">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580864">
              <w:rPr>
                <w:rFonts w:asciiTheme="minorHAnsi" w:eastAsia="Times New Roman" w:hAnsiTheme="minorHAnsi" w:cstheme="minorHAnsi"/>
                <w:color w:val="000000"/>
                <w:sz w:val="18"/>
                <w:szCs w:val="18"/>
                <w:lang w:eastAsia="pl-PL"/>
              </w:rPr>
              <w:t>Artykuł 37 ust. 1 projektowanej ustawy wskazuje Prezesa Urzędu Ochrony</w:t>
            </w:r>
            <w:r>
              <w:rPr>
                <w:rFonts w:asciiTheme="minorHAnsi" w:eastAsia="Times New Roman" w:hAnsiTheme="minorHAnsi" w:cstheme="minorHAnsi"/>
                <w:color w:val="000000"/>
                <w:sz w:val="18"/>
                <w:szCs w:val="18"/>
                <w:lang w:eastAsia="pl-PL"/>
              </w:rPr>
              <w:t xml:space="preserve"> </w:t>
            </w:r>
            <w:r w:rsidRPr="00580864">
              <w:rPr>
                <w:rFonts w:asciiTheme="minorHAnsi" w:eastAsia="Times New Roman" w:hAnsiTheme="minorHAnsi" w:cstheme="minorHAnsi"/>
                <w:color w:val="000000"/>
                <w:sz w:val="18"/>
                <w:szCs w:val="18"/>
                <w:lang w:eastAsia="pl-PL"/>
              </w:rPr>
              <w:t xml:space="preserve">Danych Osobowych jako organ nadzorczy w rozumieniu art. 66 rozporządzenia 2018/1240. Zgodnie z art. 66 ust. 2 wspominanego rozporządzenia: „Każde państwo członkowskie zapewnia stosowanie krajowych przepisów ustawowych, wykonawczych i administracyjnych przyjętych </w:t>
            </w:r>
            <w:r w:rsidRPr="00580864">
              <w:rPr>
                <w:rFonts w:asciiTheme="minorHAnsi" w:eastAsia="Times New Roman" w:hAnsiTheme="minorHAnsi" w:cstheme="minorHAnsi"/>
                <w:color w:val="000000"/>
                <w:sz w:val="18"/>
                <w:szCs w:val="18"/>
                <w:lang w:eastAsia="pl-PL"/>
              </w:rPr>
              <w:lastRenderedPageBreak/>
              <w:t>na mocy dyrektywy (UE) 2016/680 również w kwestiach związanych z dostępem do ETIAS przez organy krajowe tego państwa</w:t>
            </w:r>
            <w:r w:rsidR="007116F0">
              <w:rPr>
                <w:rFonts w:asciiTheme="minorHAnsi" w:eastAsia="Times New Roman" w:hAnsiTheme="minorHAnsi" w:cstheme="minorHAnsi"/>
                <w:color w:val="000000"/>
                <w:sz w:val="18"/>
                <w:szCs w:val="18"/>
                <w:lang w:eastAsia="pl-PL"/>
              </w:rPr>
              <w:t xml:space="preserve"> </w:t>
            </w:r>
            <w:r w:rsidRPr="00580864">
              <w:rPr>
                <w:rFonts w:asciiTheme="minorHAnsi" w:eastAsia="Times New Roman" w:hAnsiTheme="minorHAnsi" w:cstheme="minorHAnsi"/>
                <w:color w:val="000000"/>
                <w:sz w:val="18"/>
                <w:szCs w:val="18"/>
                <w:lang w:eastAsia="pl-PL"/>
              </w:rPr>
              <w:t>zgodnie z rozdziałem X niniejszego rozporządzenia, w tym w odniesieniu do praw osób, których danych dostęp ten dotyczy”.</w:t>
            </w:r>
          </w:p>
          <w:p w14:paraId="5C679030" w14:textId="13D9C8DD" w:rsidR="00580864" w:rsidRPr="00580864" w:rsidRDefault="00580864" w:rsidP="00355AA0">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580864">
              <w:rPr>
                <w:rFonts w:asciiTheme="minorHAnsi" w:eastAsia="Times New Roman" w:hAnsiTheme="minorHAnsi" w:cstheme="minorHAnsi"/>
                <w:color w:val="000000"/>
                <w:sz w:val="18"/>
                <w:szCs w:val="18"/>
                <w:lang w:eastAsia="pl-PL"/>
              </w:rPr>
              <w:t>Wskazać należy, że zgodnie z art. 3 pkt 1 ustawy o ochronie danych osobowych przetwarzanych w związku z zapobieganiem i zwalczaniem przestępczości: „Przepisów ustawy nie stosuje się do ochrony danych osobowych [</w:t>
            </w:r>
            <w:proofErr w:type="spellStart"/>
            <w:r w:rsidRPr="00580864">
              <w:rPr>
                <w:rFonts w:asciiTheme="minorHAnsi" w:eastAsia="Times New Roman" w:hAnsiTheme="minorHAnsi" w:cstheme="minorHAnsi"/>
                <w:color w:val="000000"/>
                <w:sz w:val="18"/>
                <w:szCs w:val="18"/>
                <w:lang w:eastAsia="pl-PL"/>
              </w:rPr>
              <w:t>podkr</w:t>
            </w:r>
            <w:proofErr w:type="spellEnd"/>
            <w:r w:rsidRPr="00580864">
              <w:rPr>
                <w:rFonts w:asciiTheme="minorHAnsi" w:eastAsia="Times New Roman" w:hAnsiTheme="minorHAnsi" w:cstheme="minorHAnsi"/>
                <w:color w:val="000000"/>
                <w:sz w:val="18"/>
                <w:szCs w:val="18"/>
                <w:lang w:eastAsia="pl-PL"/>
              </w:rPr>
              <w:t>. wł.]</w:t>
            </w:r>
          </w:p>
          <w:p w14:paraId="760C03B7" w14:textId="319077A0" w:rsidR="00580864" w:rsidRPr="00580864" w:rsidRDefault="00580864" w:rsidP="00355AA0">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580864">
              <w:rPr>
                <w:rFonts w:asciiTheme="minorHAnsi" w:eastAsia="Times New Roman" w:hAnsiTheme="minorHAnsi" w:cstheme="minorHAnsi"/>
                <w:color w:val="000000"/>
                <w:sz w:val="18"/>
                <w:szCs w:val="18"/>
                <w:lang w:eastAsia="pl-PL"/>
              </w:rPr>
              <w:t>1) znajdujących się w aktach spraw lub czynności lub urządzeniach ewidencyjnych, w tym tworzonych i przetwarzanych z wykorzystaniem technik informatycznych, prowadzonych na podstawie ustawy z dnia 6 czerwca 1997 r. - Kodeks karny wykonawczy (Dz. U. z 2023 r. poz. 127 oraz z 2022 r. poz. 2600), ustawy z dnia 6 czerwca 1997 r. - Kodeks postępowania karnego (Dz. U. z 2022 r. poz. 1375, 1855, 2582 i 2600 oraz z 2023 r. poz. 289 i 535), ustawy z dnia 10 września 1999 r. - Kodeks karny skarbowy (Dz. U. z 2023 r. poz. 654), ustawy z dnia 24 sierpnia 2001 r. - Kodeks postępowania w sprawach o wykroczenia (Dz. U. z 2022 r. poz. 1124), ustawy z dnia 22 listopada 2013 r. o postępowaniu wobec osób z zaburzeniami psychicznymi stwarzających zagrożenie życia, zdrowia lub wolności seksualnej innych osób (Dz. U. z</w:t>
            </w:r>
            <w:r>
              <w:rPr>
                <w:rFonts w:asciiTheme="minorHAnsi" w:eastAsia="Times New Roman" w:hAnsiTheme="minorHAnsi" w:cstheme="minorHAnsi"/>
                <w:color w:val="000000"/>
                <w:sz w:val="18"/>
                <w:szCs w:val="18"/>
                <w:lang w:eastAsia="pl-PL"/>
              </w:rPr>
              <w:t xml:space="preserve"> </w:t>
            </w:r>
            <w:r w:rsidRPr="00580864">
              <w:rPr>
                <w:rFonts w:asciiTheme="minorHAnsi" w:eastAsia="Times New Roman" w:hAnsiTheme="minorHAnsi" w:cstheme="minorHAnsi"/>
                <w:color w:val="000000"/>
                <w:sz w:val="18"/>
                <w:szCs w:val="18"/>
                <w:lang w:eastAsia="pl-PL"/>
              </w:rPr>
              <w:t xml:space="preserve">2022 r. poz. 1689), ustawy z dnia 28 stycznia 2016 r. - Prawo o prokuraturze (Dz. U. z </w:t>
            </w:r>
            <w:r w:rsidRPr="00580864">
              <w:rPr>
                <w:rFonts w:asciiTheme="minorHAnsi" w:hAnsiTheme="minorHAnsi" w:cstheme="minorHAnsi"/>
                <w:color w:val="000000"/>
                <w:sz w:val="18"/>
                <w:szCs w:val="18"/>
              </w:rPr>
              <w:t>2022 r. poz. 1247, 1259 i 2582 oraz z 2023 r. poz. 240), ustawy z dnia 9 czerwca 2022 r.</w:t>
            </w:r>
            <w:r>
              <w:rPr>
                <w:rFonts w:asciiTheme="minorHAnsi" w:eastAsia="Times New Roman" w:hAnsiTheme="minorHAnsi" w:cstheme="minorHAnsi"/>
                <w:color w:val="000000"/>
                <w:sz w:val="18"/>
                <w:szCs w:val="18"/>
                <w:lang w:eastAsia="pl-PL"/>
              </w:rPr>
              <w:t xml:space="preserve"> </w:t>
            </w:r>
            <w:r w:rsidRPr="00580864">
              <w:rPr>
                <w:rFonts w:asciiTheme="minorHAnsi" w:eastAsia="Times New Roman" w:hAnsiTheme="minorHAnsi" w:cstheme="minorHAnsi"/>
                <w:color w:val="000000"/>
                <w:sz w:val="18"/>
                <w:szCs w:val="18"/>
                <w:lang w:eastAsia="pl-PL"/>
              </w:rPr>
              <w:t>o wspieraniu i resocjalizacji nieletnich (Dz. U. poz. 1700 oraz z 2023 r. poz. 289)”.</w:t>
            </w:r>
          </w:p>
          <w:p w14:paraId="45F77DC3" w14:textId="77777777" w:rsidR="00580864" w:rsidRPr="00580864" w:rsidRDefault="00580864" w:rsidP="00355AA0">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580864">
              <w:rPr>
                <w:rFonts w:asciiTheme="minorHAnsi" w:eastAsia="Times New Roman" w:hAnsiTheme="minorHAnsi" w:cstheme="minorHAnsi"/>
                <w:color w:val="000000"/>
                <w:sz w:val="18"/>
                <w:szCs w:val="18"/>
                <w:lang w:eastAsia="pl-PL"/>
              </w:rPr>
              <w:t xml:space="preserve">Art. 3 pkt 1 przywołanej ustawy był przedmiotem wystąpień Prezesa Urzędu Ochrony Danych Osobowych mających na celu jego zmianę, albowiem zarówno przepis ten, jak i art. 1 pkt 3 tejże ustawy (kształtujący zakres przedmiotowy regulacji ustawy o ochronie danych osobowych przetwarzanych w związku z zapobieganiem i zwalczaniem przestępczości), wyłączają stosowanie gwarancji wynikających z praw podstawowych i wolności osób fizycznych, w szczególności prawa do ochrony danych osobowych. Przy obecnej konstrukcji przywoływanego art. 3 pkt 1 ustawy o ochronie danych osobowych przetwarzanych w związku z zapobieganiem i zwalczaniem przestępczości i braku przepisów szczególnych regulujących działalność podmiotów przetwarzających dane w ww. zasobach, dane </w:t>
            </w:r>
            <w:r w:rsidRPr="00580864">
              <w:rPr>
                <w:rFonts w:asciiTheme="minorHAnsi" w:eastAsia="Times New Roman" w:hAnsiTheme="minorHAnsi" w:cstheme="minorHAnsi"/>
                <w:color w:val="000000"/>
                <w:sz w:val="18"/>
                <w:szCs w:val="18"/>
                <w:lang w:eastAsia="pl-PL"/>
              </w:rPr>
              <w:lastRenderedPageBreak/>
              <w:t>osobowe pozostające w treści akt spraw (a także akt czynności lub urządzeniach ewidencyjnych,) w istocie nie podlegają żadnym przepisom gwarantującym ochronę danych osobowych.</w:t>
            </w:r>
          </w:p>
          <w:p w14:paraId="42A08C77" w14:textId="77777777" w:rsidR="00580864" w:rsidRPr="00580864" w:rsidRDefault="00580864" w:rsidP="00355AA0">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580864">
              <w:rPr>
                <w:rFonts w:asciiTheme="minorHAnsi" w:eastAsia="Times New Roman" w:hAnsiTheme="minorHAnsi" w:cstheme="minorHAnsi"/>
                <w:color w:val="000000"/>
                <w:sz w:val="18"/>
                <w:szCs w:val="18"/>
                <w:lang w:eastAsia="pl-PL"/>
              </w:rPr>
              <w:t>Wszakże w istniejącym stanie prawnym statuowanym przez art. 3 pkt 1 ustawy o ochronie danych osobowych przetwarzanych w związku z zapobieganiem i zwalczaniem przestępczości Prezes UODO nie jest organem właściwym w zakresie ochrony danych osobowych znajdujących się w aktach spraw lub czynności, czy też urządzeniach ewidencyjnych, jeżeli są one przetwarzane w celach, o których mowa w art. 1 pkt 1 tejże ustawy.</w:t>
            </w:r>
          </w:p>
          <w:p w14:paraId="70315433" w14:textId="77777777" w:rsidR="00580864" w:rsidRPr="00580864" w:rsidRDefault="00580864" w:rsidP="00355AA0">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580864">
              <w:rPr>
                <w:rFonts w:asciiTheme="minorHAnsi" w:eastAsia="Times New Roman" w:hAnsiTheme="minorHAnsi" w:cstheme="minorHAnsi"/>
                <w:color w:val="000000"/>
                <w:sz w:val="18"/>
                <w:szCs w:val="18"/>
                <w:lang w:eastAsia="pl-PL"/>
              </w:rPr>
              <w:t>Dodatkowy problem wiąże się z faktem, iż w odniesieniu do niektórych organów uprawnionych do przetwarzania danych ETIAS – tj. prokuratur i sądów – ustawodawca polski zdecydował, że organami nadzorczymi są – organy wskazane w art. 191a § 1 ustawy – Prawo o prokuraturze8 i organy określone w art. 175dd § 1 ustawy – Prawo o ustroju sądów powszechnych9.</w:t>
            </w:r>
          </w:p>
          <w:p w14:paraId="69661544" w14:textId="77777777" w:rsidR="00580864" w:rsidRPr="00580864" w:rsidRDefault="00580864" w:rsidP="00355AA0">
            <w:pPr>
              <w:pStyle w:val="NormalnyWeb"/>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580864">
              <w:rPr>
                <w:rFonts w:asciiTheme="minorHAnsi" w:hAnsiTheme="minorHAnsi" w:cstheme="minorHAnsi"/>
                <w:color w:val="000000"/>
                <w:sz w:val="18"/>
                <w:szCs w:val="18"/>
              </w:rPr>
              <w:t>Powstaje więc pytanie, jak pogodzić – statuowaną wprost w art. 66 ust. 1 rozporządzenia 2018/1240: „Każde państwo członkowskie zapewnia, by organ nadzorczy ustanowiony zgodnie z art. 51 ust. 1 rozporządzenia (UE) 2016/679 monitorował w sposób niezależny to, czy przetwarzanie danych osobowych zgodnie z niniejszym rozporządzeniem przez dane państwo członkowskie - w tym przesyłanie takich danych do i z ETIAS – jest zgodne z prawem” i powtórzoną w art. 37 ust. 1 projektu ustawy – kompetencję Prezesa Urzędu Ochrony Danych Osobowych do sprawowania funkcji organu nadzorczego w odniesieniu do przetwarzania danych osobowych w ramach systemu ETIAS z kompetencjami wskazanych wyżej organów z art. 191a § 1 ustawy – Prawo o prokuraturze i art. 175dd § 1 ustawy – Prawo o ustroju sądów powszechnych.</w:t>
            </w:r>
          </w:p>
          <w:p w14:paraId="75FED390" w14:textId="44B9FE25" w:rsidR="00580864" w:rsidRPr="00580864" w:rsidRDefault="00580864" w:rsidP="00355AA0">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580864">
              <w:rPr>
                <w:rFonts w:asciiTheme="minorHAnsi" w:eastAsia="Times New Roman" w:hAnsiTheme="minorHAnsi" w:cstheme="minorHAnsi"/>
                <w:color w:val="000000"/>
                <w:sz w:val="18"/>
                <w:szCs w:val="18"/>
                <w:lang w:eastAsia="pl-PL"/>
              </w:rPr>
              <w:t xml:space="preserve">Kwestia ta nie została poruszona w projekcie ustawy, a zatem nie można w oparciu o jego treść ustalić, czy na gruncie przetwarzania danych osobowych w ramach systemu ETIAS art. 37 ust. 1 projektu ustawy stanowi lex </w:t>
            </w:r>
            <w:proofErr w:type="spellStart"/>
            <w:r w:rsidRPr="00580864">
              <w:rPr>
                <w:rFonts w:asciiTheme="minorHAnsi" w:eastAsia="Times New Roman" w:hAnsiTheme="minorHAnsi" w:cstheme="minorHAnsi"/>
                <w:color w:val="000000"/>
                <w:sz w:val="18"/>
                <w:szCs w:val="18"/>
                <w:lang w:eastAsia="pl-PL"/>
              </w:rPr>
              <w:t>specialis</w:t>
            </w:r>
            <w:proofErr w:type="spellEnd"/>
            <w:r w:rsidRPr="00580864">
              <w:rPr>
                <w:rFonts w:asciiTheme="minorHAnsi" w:eastAsia="Times New Roman" w:hAnsiTheme="minorHAnsi" w:cstheme="minorHAnsi"/>
                <w:color w:val="000000"/>
                <w:sz w:val="18"/>
                <w:szCs w:val="18"/>
                <w:lang w:eastAsia="pl-PL"/>
              </w:rPr>
              <w:t xml:space="preserve"> wobec powołanych wyżej przepisów ustawy – Prawo o prokuraturze i ustawy – Prawo o ustroju sądów powszechnych, czy też zachodzi jakiś inny stosunek między tymi przepisami.</w:t>
            </w:r>
          </w:p>
        </w:tc>
        <w:tc>
          <w:tcPr>
            <w:tcW w:w="3402" w:type="dxa"/>
            <w:gridSpan w:val="2"/>
          </w:tcPr>
          <w:p w14:paraId="3BDE5828" w14:textId="77777777" w:rsidR="002933CA" w:rsidRPr="00A166BE" w:rsidRDefault="007D47D5" w:rsidP="00B84F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sidRPr="00A166BE">
              <w:rPr>
                <w:rFonts w:asciiTheme="minorHAnsi" w:hAnsiTheme="minorHAnsi" w:cstheme="minorHAnsi"/>
                <w:b/>
                <w:bCs/>
                <w:sz w:val="18"/>
                <w:szCs w:val="18"/>
              </w:rPr>
              <w:lastRenderedPageBreak/>
              <w:t xml:space="preserve">Nie uwzględniono </w:t>
            </w:r>
          </w:p>
          <w:p w14:paraId="7ADB3137" w14:textId="77777777" w:rsidR="00A166BE" w:rsidRDefault="00A166BE" w:rsidP="00B84F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4C072F14" w14:textId="36895909" w:rsidR="007D47D5" w:rsidRPr="00D11E9D" w:rsidRDefault="007D47D5" w:rsidP="00B84F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613AB7">
              <w:rPr>
                <w:rFonts w:asciiTheme="minorHAnsi" w:hAnsiTheme="minorHAnsi" w:cstheme="minorHAnsi"/>
                <w:sz w:val="18"/>
                <w:szCs w:val="18"/>
              </w:rPr>
              <w:t>Uwaga ogólna wykraczająca poza ramy ETIAS. Ponadto nie zaproponowano zmian w przepisach ogólnych dotyczących ochrony danych osobo</w:t>
            </w:r>
            <w:r w:rsidR="00A166BE" w:rsidRPr="00613AB7">
              <w:rPr>
                <w:rFonts w:asciiTheme="minorHAnsi" w:hAnsiTheme="minorHAnsi" w:cstheme="minorHAnsi"/>
                <w:sz w:val="18"/>
                <w:szCs w:val="18"/>
              </w:rPr>
              <w:t xml:space="preserve">wych. </w:t>
            </w:r>
          </w:p>
        </w:tc>
        <w:tc>
          <w:tcPr>
            <w:tcW w:w="3481" w:type="dxa"/>
            <w:gridSpan w:val="2"/>
          </w:tcPr>
          <w:p w14:paraId="4AA5DE2B" w14:textId="740D162E" w:rsidR="00D11E9D" w:rsidRPr="009B2533" w:rsidRDefault="00D11E9D" w:rsidP="003757E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r>
      <w:tr w:rsidR="00D11E9D" w:rsidRPr="009B2533" w14:paraId="5E5B821D" w14:textId="77777777" w:rsidTr="00787817">
        <w:trPr>
          <w:gridAfter w:val="1"/>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1EA6AF90" w14:textId="77777777" w:rsidR="00D11E9D" w:rsidRPr="009B2533" w:rsidRDefault="00D11E9D" w:rsidP="00304CBE">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7BA9E6B3" w14:textId="1FCF47A3" w:rsidR="00D11E9D" w:rsidRPr="00580864" w:rsidRDefault="00580864" w:rsidP="00304CBE">
            <w:pPr>
              <w:jc w:val="both"/>
              <w:cnfStyle w:val="000000000000" w:firstRow="0" w:lastRow="0" w:firstColumn="0" w:lastColumn="0" w:oddVBand="0" w:evenVBand="0" w:oddHBand="0" w:evenHBand="0" w:firstRowFirstColumn="0" w:firstRowLastColumn="0" w:lastRowFirstColumn="0" w:lastRowLastColumn="0"/>
              <w:rPr>
                <w:rStyle w:val="Ppogrubienie"/>
                <w:rFonts w:asciiTheme="minorHAnsi" w:hAnsiTheme="minorHAnsi" w:cstheme="minorHAnsi"/>
                <w:b w:val="0"/>
                <w:sz w:val="18"/>
                <w:szCs w:val="18"/>
              </w:rPr>
            </w:pPr>
            <w:r>
              <w:rPr>
                <w:rFonts w:asciiTheme="minorHAnsi" w:hAnsiTheme="minorHAnsi" w:cstheme="minorHAnsi"/>
                <w:color w:val="000000"/>
                <w:sz w:val="18"/>
                <w:szCs w:val="18"/>
              </w:rPr>
              <w:t>Art.</w:t>
            </w:r>
            <w:r w:rsidRPr="00580864">
              <w:rPr>
                <w:rFonts w:asciiTheme="minorHAnsi" w:hAnsiTheme="minorHAnsi" w:cstheme="minorHAnsi"/>
                <w:color w:val="000000"/>
                <w:sz w:val="18"/>
                <w:szCs w:val="18"/>
              </w:rPr>
              <w:t xml:space="preserve"> 37 ust. 2 pkt 2</w:t>
            </w:r>
          </w:p>
        </w:tc>
        <w:tc>
          <w:tcPr>
            <w:tcW w:w="1846" w:type="dxa"/>
          </w:tcPr>
          <w:p w14:paraId="3491CF5E" w14:textId="77777777" w:rsidR="000D058D" w:rsidRDefault="00580864" w:rsidP="00D43072">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0D058D">
              <w:rPr>
                <w:rFonts w:asciiTheme="minorHAnsi" w:hAnsiTheme="minorHAnsi" w:cstheme="minorHAnsi"/>
                <w:bCs/>
                <w:sz w:val="18"/>
                <w:szCs w:val="18"/>
              </w:rPr>
              <w:t>Art. 37</w:t>
            </w:r>
            <w:r w:rsidR="000D058D" w:rsidRPr="000D058D">
              <w:rPr>
                <w:rFonts w:asciiTheme="minorHAnsi" w:hAnsiTheme="minorHAnsi" w:cstheme="minorHAnsi"/>
                <w:bCs/>
                <w:sz w:val="18"/>
                <w:szCs w:val="18"/>
              </w:rPr>
              <w:t xml:space="preserve"> ust. 2 pkt </w:t>
            </w:r>
            <w:r w:rsidR="000D058D">
              <w:rPr>
                <w:rFonts w:asciiTheme="minorHAnsi" w:hAnsiTheme="minorHAnsi" w:cstheme="minorHAnsi"/>
                <w:bCs/>
                <w:sz w:val="18"/>
                <w:szCs w:val="18"/>
              </w:rPr>
              <w:t>2</w:t>
            </w:r>
          </w:p>
          <w:p w14:paraId="51FD677C" w14:textId="77777777" w:rsidR="000D058D" w:rsidRDefault="000D058D" w:rsidP="00D43072">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32F35B0B" w14:textId="117D5D79" w:rsidR="00D11E9D" w:rsidRDefault="000D058D" w:rsidP="00D43072">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Pr>
                <w:rFonts w:asciiTheme="minorHAnsi" w:hAnsiTheme="minorHAnsi" w:cstheme="minorHAnsi"/>
                <w:bCs/>
                <w:sz w:val="18"/>
                <w:szCs w:val="18"/>
              </w:rPr>
              <w:t xml:space="preserve">2. </w:t>
            </w:r>
            <w:r w:rsidRPr="000D058D">
              <w:rPr>
                <w:rFonts w:asciiTheme="minorHAnsi" w:hAnsiTheme="minorHAnsi" w:cstheme="minorHAnsi"/>
                <w:color w:val="000000"/>
                <w:sz w:val="18"/>
                <w:szCs w:val="18"/>
              </w:rPr>
              <w:t>Prezes Urzędu Ochrony Danych Osobowych w ramach sprawowanego nadzoru, o którym mowa w art. 66 rozporządzenia 2018/1240:</w:t>
            </w:r>
          </w:p>
          <w:p w14:paraId="25B48A9D" w14:textId="77777777" w:rsidR="000D058D" w:rsidRPr="000D058D" w:rsidRDefault="000D058D" w:rsidP="00D43072">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p>
          <w:p w14:paraId="4004547E" w14:textId="374A7FE0" w:rsidR="000D058D" w:rsidRPr="000D058D" w:rsidRDefault="000D058D" w:rsidP="00D43072">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0D058D">
              <w:rPr>
                <w:rFonts w:asciiTheme="minorHAnsi" w:hAnsiTheme="minorHAnsi" w:cstheme="minorHAnsi"/>
                <w:color w:val="000000"/>
                <w:sz w:val="18"/>
                <w:szCs w:val="18"/>
              </w:rPr>
              <w:t>2)zapewnia przeprowadzanie przynajmniej raz na trzy lata kontroli operacji przetwarzania danych w krajowej infrastrukturze granicznej, zgodnie z odpowiednimi międzynarodowymi standardami przeprowadzania kontroli;</w:t>
            </w:r>
          </w:p>
        </w:tc>
        <w:tc>
          <w:tcPr>
            <w:tcW w:w="1276" w:type="dxa"/>
          </w:tcPr>
          <w:p w14:paraId="6B82DFFA" w14:textId="77777777" w:rsidR="000D058D" w:rsidRDefault="000D058D" w:rsidP="000D058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Prezes</w:t>
            </w:r>
          </w:p>
          <w:p w14:paraId="012A3C2B" w14:textId="16D7638C" w:rsidR="00D11E9D" w:rsidRPr="00CC73BF" w:rsidRDefault="000D058D" w:rsidP="000D058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Urzędu Ochrony Danych Osobowych</w:t>
            </w:r>
          </w:p>
        </w:tc>
        <w:tc>
          <w:tcPr>
            <w:tcW w:w="4678" w:type="dxa"/>
          </w:tcPr>
          <w:p w14:paraId="7C3D3453" w14:textId="77777777" w:rsidR="000D058D" w:rsidRDefault="000D058D" w:rsidP="00355AA0">
            <w:pPr>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0D058D">
              <w:rPr>
                <w:rFonts w:asciiTheme="minorHAnsi" w:eastAsia="Times New Roman" w:hAnsiTheme="minorHAnsi" w:cstheme="minorHAnsi"/>
                <w:color w:val="000000"/>
                <w:sz w:val="18"/>
                <w:szCs w:val="18"/>
                <w:lang w:eastAsia="pl-PL"/>
              </w:rPr>
              <w:t>Artykuł 37 ust. 2 pkt 2 projektowanej ustawy powiela błędne tłumaczenie pojęć zawartych w art. 66 ust. 4 angielskiej wersji rozporządzenia 2018/1240. W wersji angielskiej użyto terminów „</w:t>
            </w:r>
            <w:proofErr w:type="spellStart"/>
            <w:r w:rsidRPr="000D058D">
              <w:rPr>
                <w:rFonts w:asciiTheme="minorHAnsi" w:eastAsia="Times New Roman" w:hAnsiTheme="minorHAnsi" w:cstheme="minorHAnsi"/>
                <w:color w:val="000000"/>
                <w:sz w:val="18"/>
                <w:szCs w:val="18"/>
                <w:lang w:eastAsia="pl-PL"/>
              </w:rPr>
              <w:t>audit</w:t>
            </w:r>
            <w:proofErr w:type="spellEnd"/>
            <w:r w:rsidRPr="000D058D">
              <w:rPr>
                <w:rFonts w:asciiTheme="minorHAnsi" w:eastAsia="Times New Roman" w:hAnsiTheme="minorHAnsi" w:cstheme="minorHAnsi"/>
                <w:color w:val="000000"/>
                <w:sz w:val="18"/>
                <w:szCs w:val="18"/>
                <w:lang w:eastAsia="pl-PL"/>
              </w:rPr>
              <w:t xml:space="preserve"> of the data </w:t>
            </w:r>
            <w:proofErr w:type="spellStart"/>
            <w:r w:rsidRPr="000D058D">
              <w:rPr>
                <w:rFonts w:asciiTheme="minorHAnsi" w:eastAsia="Times New Roman" w:hAnsiTheme="minorHAnsi" w:cstheme="minorHAnsi"/>
                <w:color w:val="000000"/>
                <w:sz w:val="18"/>
                <w:szCs w:val="18"/>
                <w:lang w:eastAsia="pl-PL"/>
              </w:rPr>
              <w:t>processing</w:t>
            </w:r>
            <w:proofErr w:type="spellEnd"/>
            <w:r w:rsidRPr="000D058D">
              <w:rPr>
                <w:rFonts w:asciiTheme="minorHAnsi" w:eastAsia="Times New Roman" w:hAnsiTheme="minorHAnsi" w:cstheme="minorHAnsi"/>
                <w:color w:val="000000"/>
                <w:sz w:val="18"/>
                <w:szCs w:val="18"/>
                <w:lang w:eastAsia="pl-PL"/>
              </w:rPr>
              <w:t xml:space="preserve"> </w:t>
            </w:r>
            <w:proofErr w:type="spellStart"/>
            <w:r w:rsidRPr="000D058D">
              <w:rPr>
                <w:rFonts w:asciiTheme="minorHAnsi" w:eastAsia="Times New Roman" w:hAnsiTheme="minorHAnsi" w:cstheme="minorHAnsi"/>
                <w:color w:val="000000"/>
                <w:sz w:val="18"/>
                <w:szCs w:val="18"/>
                <w:lang w:eastAsia="pl-PL"/>
              </w:rPr>
              <w:t>operations</w:t>
            </w:r>
            <w:proofErr w:type="spellEnd"/>
            <w:r w:rsidRPr="000D058D">
              <w:rPr>
                <w:rFonts w:asciiTheme="minorHAnsi" w:eastAsia="Times New Roman" w:hAnsiTheme="minorHAnsi" w:cstheme="minorHAnsi"/>
                <w:color w:val="000000"/>
                <w:sz w:val="18"/>
                <w:szCs w:val="18"/>
                <w:lang w:eastAsia="pl-PL"/>
              </w:rPr>
              <w:t>” oraz “</w:t>
            </w:r>
            <w:proofErr w:type="spellStart"/>
            <w:r w:rsidRPr="000D058D">
              <w:rPr>
                <w:rFonts w:asciiTheme="minorHAnsi" w:eastAsia="Times New Roman" w:hAnsiTheme="minorHAnsi" w:cstheme="minorHAnsi"/>
                <w:color w:val="000000"/>
                <w:sz w:val="18"/>
                <w:szCs w:val="18"/>
                <w:lang w:eastAsia="pl-PL"/>
              </w:rPr>
              <w:t>international</w:t>
            </w:r>
            <w:proofErr w:type="spellEnd"/>
            <w:r w:rsidRPr="000D058D">
              <w:rPr>
                <w:rFonts w:asciiTheme="minorHAnsi" w:eastAsia="Times New Roman" w:hAnsiTheme="minorHAnsi" w:cstheme="minorHAnsi"/>
                <w:color w:val="000000"/>
                <w:sz w:val="18"/>
                <w:szCs w:val="18"/>
                <w:lang w:eastAsia="pl-PL"/>
              </w:rPr>
              <w:t xml:space="preserve"> auditing </w:t>
            </w:r>
            <w:proofErr w:type="spellStart"/>
            <w:r w:rsidRPr="000D058D">
              <w:rPr>
                <w:rFonts w:asciiTheme="minorHAnsi" w:eastAsia="Times New Roman" w:hAnsiTheme="minorHAnsi" w:cstheme="minorHAnsi"/>
                <w:color w:val="000000"/>
                <w:sz w:val="18"/>
                <w:szCs w:val="18"/>
                <w:lang w:eastAsia="pl-PL"/>
              </w:rPr>
              <w:t>standards</w:t>
            </w:r>
            <w:proofErr w:type="spellEnd"/>
            <w:r w:rsidRPr="000D058D">
              <w:rPr>
                <w:rFonts w:asciiTheme="minorHAnsi" w:eastAsia="Times New Roman" w:hAnsiTheme="minorHAnsi" w:cstheme="minorHAnsi"/>
                <w:color w:val="000000"/>
                <w:sz w:val="18"/>
                <w:szCs w:val="18"/>
                <w:lang w:eastAsia="pl-PL"/>
              </w:rPr>
              <w:t>”, które w polskiej wersji rozporządzenia zostały przełożone jako „kontrola operacji przetwarzania danych” oraz „międzynarodowe standardy przeprowadzania kontroli”. Należy zauważyć, że pojęcie „międzynarodowe standardy przeprowadzania kontroli” nie funkcjonuje w obszarze standaryzacji i audytu, natomiast poprawnym odpowiednikiem “</w:t>
            </w:r>
            <w:proofErr w:type="spellStart"/>
            <w:r w:rsidRPr="000D058D">
              <w:rPr>
                <w:rFonts w:asciiTheme="minorHAnsi" w:eastAsia="Times New Roman" w:hAnsiTheme="minorHAnsi" w:cstheme="minorHAnsi"/>
                <w:color w:val="000000"/>
                <w:sz w:val="18"/>
                <w:szCs w:val="18"/>
                <w:lang w:eastAsia="pl-PL"/>
              </w:rPr>
              <w:t>international</w:t>
            </w:r>
            <w:proofErr w:type="spellEnd"/>
            <w:r w:rsidRPr="000D058D">
              <w:rPr>
                <w:rFonts w:asciiTheme="minorHAnsi" w:eastAsia="Times New Roman" w:hAnsiTheme="minorHAnsi" w:cstheme="minorHAnsi"/>
                <w:color w:val="000000"/>
                <w:sz w:val="18"/>
                <w:szCs w:val="18"/>
                <w:lang w:eastAsia="pl-PL"/>
              </w:rPr>
              <w:t xml:space="preserve"> auditing </w:t>
            </w:r>
            <w:proofErr w:type="spellStart"/>
            <w:r w:rsidRPr="000D058D">
              <w:rPr>
                <w:rFonts w:asciiTheme="minorHAnsi" w:eastAsia="Times New Roman" w:hAnsiTheme="minorHAnsi" w:cstheme="minorHAnsi"/>
                <w:color w:val="000000"/>
                <w:sz w:val="18"/>
                <w:szCs w:val="18"/>
                <w:lang w:eastAsia="pl-PL"/>
              </w:rPr>
              <w:t>standards</w:t>
            </w:r>
            <w:proofErr w:type="spellEnd"/>
            <w:r w:rsidRPr="000D058D">
              <w:rPr>
                <w:rFonts w:asciiTheme="minorHAnsi" w:eastAsia="Times New Roman" w:hAnsiTheme="minorHAnsi" w:cstheme="minorHAnsi"/>
                <w:color w:val="000000"/>
                <w:sz w:val="18"/>
                <w:szCs w:val="18"/>
                <w:lang w:eastAsia="pl-PL"/>
              </w:rPr>
              <w:t>” są „międzynarodowe standardy przeprowadzania audytu” (np. ISO 19011).</w:t>
            </w:r>
          </w:p>
          <w:p w14:paraId="35178802" w14:textId="31F5B52F" w:rsidR="000D058D" w:rsidRPr="000D058D" w:rsidRDefault="000D058D" w:rsidP="00355AA0">
            <w:pPr>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Pr>
                <w:rFonts w:asciiTheme="minorHAnsi" w:eastAsia="Times New Roman" w:hAnsiTheme="minorHAnsi" w:cstheme="minorHAnsi"/>
                <w:color w:val="000000"/>
                <w:sz w:val="18"/>
                <w:szCs w:val="18"/>
                <w:lang w:eastAsia="pl-PL"/>
              </w:rPr>
              <w:t xml:space="preserve">      </w:t>
            </w:r>
            <w:r w:rsidRPr="000D058D">
              <w:rPr>
                <w:rFonts w:asciiTheme="minorHAnsi" w:eastAsia="Times New Roman" w:hAnsiTheme="minorHAnsi" w:cstheme="minorHAnsi"/>
                <w:color w:val="000000"/>
                <w:sz w:val="18"/>
                <w:szCs w:val="18"/>
                <w:lang w:eastAsia="pl-PL"/>
              </w:rPr>
              <w:t>Niemniej, w ocenie Prezesa UODO w ogóle zbędnym jest powielanie w art. 37 ust. 2 pkt 2 projektu ustawy treści art. 66 ust. 4 rozporządzenia (UE) 2018/1240 dotyczącego zapewnienia przeprowadzenia kontroli co najmniej co trzy lata.</w:t>
            </w:r>
          </w:p>
          <w:p w14:paraId="62C975FD" w14:textId="65971029" w:rsidR="000D058D" w:rsidRPr="000D058D" w:rsidRDefault="000D058D" w:rsidP="00355AA0">
            <w:pPr>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Pr>
                <w:rFonts w:asciiTheme="minorHAnsi" w:eastAsia="Times New Roman" w:hAnsiTheme="minorHAnsi" w:cstheme="minorHAnsi"/>
                <w:color w:val="000000"/>
                <w:sz w:val="18"/>
                <w:szCs w:val="18"/>
                <w:lang w:eastAsia="pl-PL"/>
              </w:rPr>
              <w:t xml:space="preserve">      </w:t>
            </w:r>
            <w:r w:rsidRPr="000D058D">
              <w:rPr>
                <w:rFonts w:asciiTheme="minorHAnsi" w:eastAsia="Times New Roman" w:hAnsiTheme="minorHAnsi" w:cstheme="minorHAnsi"/>
                <w:color w:val="000000"/>
                <w:sz w:val="18"/>
                <w:szCs w:val="18"/>
                <w:lang w:eastAsia="pl-PL"/>
              </w:rPr>
              <w:t>Zamiast tego zasadnym byłoby wskazanie w tym przepisie, iż do kontroli przeprowadzanej przez Prezesa Urzędu Ochrony Danych Osobowych znajdują zastosowanie przepisy rozdziału 9 ustawy o ochronie danych osobowych w związku z art. 6 ustawy o ochronie danych osobowych przetwarzanych w związku z zapobieganiem i zwalczaniem przestępczości.</w:t>
            </w:r>
          </w:p>
          <w:p w14:paraId="4C5301A8" w14:textId="7FC53229" w:rsidR="00D11E9D" w:rsidRPr="000D058D" w:rsidRDefault="00D11E9D" w:rsidP="00D11E9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c>
          <w:tcPr>
            <w:tcW w:w="3402" w:type="dxa"/>
            <w:gridSpan w:val="2"/>
          </w:tcPr>
          <w:p w14:paraId="06EF9AFE" w14:textId="77777777" w:rsidR="00A166BE" w:rsidRDefault="00A166BE" w:rsidP="00A166BE">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7D47D5">
              <w:rPr>
                <w:rFonts w:asciiTheme="minorHAnsi" w:hAnsiTheme="minorHAnsi" w:cstheme="minorHAnsi"/>
                <w:b/>
                <w:bCs/>
                <w:sz w:val="18"/>
                <w:szCs w:val="18"/>
              </w:rPr>
              <w:t>Uwzględniono</w:t>
            </w:r>
          </w:p>
          <w:p w14:paraId="3119C962" w14:textId="77777777" w:rsidR="00A166BE" w:rsidRDefault="00A166BE" w:rsidP="00A166BE">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p>
          <w:p w14:paraId="2773612D" w14:textId="37049BC8" w:rsidR="00DB39EE" w:rsidRPr="00D43072" w:rsidRDefault="00613AB7" w:rsidP="00A166BE">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18"/>
                <w:szCs w:val="18"/>
              </w:rPr>
            </w:pPr>
            <w:r w:rsidRPr="00613AB7">
              <w:rPr>
                <w:rFonts w:asciiTheme="minorHAnsi" w:hAnsiTheme="minorHAnsi" w:cstheme="minorHAnsi"/>
                <w:sz w:val="18"/>
                <w:szCs w:val="18"/>
              </w:rPr>
              <w:t>Dodano ust. 3</w:t>
            </w:r>
            <w:r w:rsidR="00E7480C">
              <w:rPr>
                <w:rFonts w:asciiTheme="minorHAnsi" w:hAnsiTheme="minorHAnsi" w:cstheme="minorHAnsi"/>
                <w:sz w:val="18"/>
                <w:szCs w:val="18"/>
              </w:rPr>
              <w:t xml:space="preserve"> w art. 37</w:t>
            </w:r>
            <w:r w:rsidRPr="00613AB7">
              <w:rPr>
                <w:rFonts w:asciiTheme="minorHAnsi" w:hAnsiTheme="minorHAnsi" w:cstheme="minorHAnsi"/>
                <w:sz w:val="18"/>
                <w:szCs w:val="18"/>
              </w:rPr>
              <w:t xml:space="preserve"> projektu ustawy</w:t>
            </w:r>
            <w:r>
              <w:rPr>
                <w:rFonts w:asciiTheme="minorHAnsi" w:hAnsiTheme="minorHAnsi" w:cstheme="minorHAnsi"/>
                <w:sz w:val="18"/>
                <w:szCs w:val="18"/>
              </w:rPr>
              <w:t xml:space="preserve"> </w:t>
            </w:r>
            <w:r w:rsidR="00A7719D">
              <w:rPr>
                <w:rFonts w:asciiTheme="minorHAnsi" w:hAnsiTheme="minorHAnsi" w:cstheme="minorHAnsi"/>
                <w:sz w:val="18"/>
                <w:szCs w:val="18"/>
              </w:rPr>
              <w:t>oraz zmieniono brzmienie ust. 2</w:t>
            </w:r>
            <w:r w:rsidRPr="00613AB7">
              <w:rPr>
                <w:rFonts w:asciiTheme="minorHAnsi" w:hAnsiTheme="minorHAnsi" w:cstheme="minorHAnsi"/>
                <w:sz w:val="18"/>
                <w:szCs w:val="18"/>
              </w:rPr>
              <w:t>.</w:t>
            </w:r>
          </w:p>
        </w:tc>
        <w:tc>
          <w:tcPr>
            <w:tcW w:w="3481" w:type="dxa"/>
            <w:gridSpan w:val="2"/>
          </w:tcPr>
          <w:p w14:paraId="49B9EF38" w14:textId="5655085E" w:rsidR="00A7719D" w:rsidRDefault="00A7719D" w:rsidP="00A7719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Art. 37</w:t>
            </w:r>
          </w:p>
          <w:p w14:paraId="2E529BDF" w14:textId="54728DE2" w:rsidR="00A7719D" w:rsidRPr="00A7719D" w:rsidRDefault="00A7719D" w:rsidP="00A7719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7719D">
              <w:rPr>
                <w:rFonts w:asciiTheme="minorHAnsi" w:hAnsiTheme="minorHAnsi" w:cstheme="minorHAnsi"/>
                <w:sz w:val="18"/>
                <w:szCs w:val="18"/>
              </w:rPr>
              <w:t>2. Prezes Urzędu Ochrony Danych Osobowych w ramach sprawowanego nadzoru, o którym mowa w art. 66 rozporządzenia 2018/1240:</w:t>
            </w:r>
          </w:p>
          <w:p w14:paraId="638D3F06" w14:textId="0A3B99F0" w:rsidR="00A7719D" w:rsidRPr="00A7719D" w:rsidRDefault="00A7719D" w:rsidP="00A7719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7719D">
              <w:rPr>
                <w:rFonts w:asciiTheme="minorHAnsi" w:hAnsiTheme="minorHAnsi" w:cstheme="minorHAnsi"/>
                <w:sz w:val="18"/>
                <w:szCs w:val="18"/>
              </w:rPr>
              <w:t>1) monitoruje, czy przetwarzanie danych osobowych w KSI ETIAS odbywa się zgodnie z prawem;</w:t>
            </w:r>
          </w:p>
          <w:p w14:paraId="0C0172DC" w14:textId="606A76CF" w:rsidR="00A7719D" w:rsidRDefault="00A7719D" w:rsidP="00B84F4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2</w:t>
            </w:r>
            <w:r w:rsidRPr="00A7719D">
              <w:rPr>
                <w:rFonts w:asciiTheme="minorHAnsi" w:hAnsiTheme="minorHAnsi" w:cstheme="minorHAnsi"/>
                <w:sz w:val="18"/>
                <w:szCs w:val="18"/>
              </w:rPr>
              <w:t>) publikuje co roku, do dnia 31 marca, na stronie internetowej Urzędu informacje, o których mowa w art. 64 ust. 6 rozporządzenia 2018/1240 przekazywane przez Jednostkę Krajową ETIAS na temat liczby wniosków o sprostowanie, uzupełnienie, usunięcie lub ograniczenie przetwarzania danych, działań podjętych w ramach odpowiedzi na wnioski i liczby sprostowań, uzupełnień, usunięć i ograniczeń przetwarzania dokonanych w odpowiedzi na wnioski zainteresowanych osób.</w:t>
            </w:r>
          </w:p>
          <w:p w14:paraId="1063C3CE" w14:textId="5984BDCF" w:rsidR="00D11E9D" w:rsidRPr="009B2533" w:rsidRDefault="00613AB7" w:rsidP="00B84F4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 xml:space="preserve">3. </w:t>
            </w:r>
            <w:r w:rsidRPr="00613AB7">
              <w:rPr>
                <w:rFonts w:asciiTheme="minorHAnsi" w:hAnsiTheme="minorHAnsi" w:cstheme="minorHAnsi"/>
                <w:sz w:val="18"/>
                <w:szCs w:val="18"/>
              </w:rPr>
              <w:t>Do kontroli operacji przetwarzania danych</w:t>
            </w:r>
            <w:r w:rsidR="00A7719D">
              <w:rPr>
                <w:rFonts w:asciiTheme="minorHAnsi" w:hAnsiTheme="minorHAnsi" w:cstheme="minorHAnsi"/>
                <w:sz w:val="18"/>
                <w:szCs w:val="18"/>
              </w:rPr>
              <w:t xml:space="preserve"> </w:t>
            </w:r>
            <w:r w:rsidRPr="00613AB7">
              <w:rPr>
                <w:rFonts w:asciiTheme="minorHAnsi" w:hAnsiTheme="minorHAnsi" w:cstheme="minorHAnsi"/>
                <w:sz w:val="18"/>
                <w:szCs w:val="18"/>
              </w:rPr>
              <w:t xml:space="preserve">przez </w:t>
            </w:r>
            <w:r>
              <w:rPr>
                <w:rFonts w:asciiTheme="minorHAnsi" w:hAnsiTheme="minorHAnsi" w:cstheme="minorHAnsi"/>
                <w:sz w:val="18"/>
                <w:szCs w:val="18"/>
              </w:rPr>
              <w:t>J</w:t>
            </w:r>
            <w:r w:rsidRPr="00613AB7">
              <w:rPr>
                <w:rFonts w:asciiTheme="minorHAnsi" w:hAnsiTheme="minorHAnsi" w:cstheme="minorHAnsi"/>
                <w:sz w:val="18"/>
                <w:szCs w:val="18"/>
              </w:rPr>
              <w:t>ednostk</w:t>
            </w:r>
            <w:r>
              <w:rPr>
                <w:rFonts w:asciiTheme="minorHAnsi" w:hAnsiTheme="minorHAnsi" w:cstheme="minorHAnsi"/>
                <w:sz w:val="18"/>
                <w:szCs w:val="18"/>
              </w:rPr>
              <w:t>ę</w:t>
            </w:r>
            <w:r w:rsidRPr="00613AB7">
              <w:rPr>
                <w:rFonts w:asciiTheme="minorHAnsi" w:hAnsiTheme="minorHAnsi" w:cstheme="minorHAnsi"/>
                <w:sz w:val="18"/>
                <w:szCs w:val="18"/>
              </w:rPr>
              <w:t xml:space="preserve"> </w:t>
            </w:r>
            <w:r>
              <w:rPr>
                <w:rFonts w:asciiTheme="minorHAnsi" w:hAnsiTheme="minorHAnsi" w:cstheme="minorHAnsi"/>
                <w:sz w:val="18"/>
                <w:szCs w:val="18"/>
              </w:rPr>
              <w:t>K</w:t>
            </w:r>
            <w:r w:rsidRPr="00613AB7">
              <w:rPr>
                <w:rFonts w:asciiTheme="minorHAnsi" w:hAnsiTheme="minorHAnsi" w:cstheme="minorHAnsi"/>
                <w:sz w:val="18"/>
                <w:szCs w:val="18"/>
              </w:rPr>
              <w:t>rajow</w:t>
            </w:r>
            <w:r>
              <w:rPr>
                <w:rFonts w:asciiTheme="minorHAnsi" w:hAnsiTheme="minorHAnsi" w:cstheme="minorHAnsi"/>
                <w:sz w:val="18"/>
                <w:szCs w:val="18"/>
              </w:rPr>
              <w:t xml:space="preserve">ą </w:t>
            </w:r>
            <w:r w:rsidRPr="00613AB7">
              <w:rPr>
                <w:rFonts w:asciiTheme="minorHAnsi" w:hAnsiTheme="minorHAnsi" w:cstheme="minorHAnsi"/>
                <w:sz w:val="18"/>
                <w:szCs w:val="18"/>
              </w:rPr>
              <w:t>ETIAS</w:t>
            </w:r>
            <w:r w:rsidR="00A7719D">
              <w:rPr>
                <w:rFonts w:asciiTheme="minorHAnsi" w:hAnsiTheme="minorHAnsi" w:cstheme="minorHAnsi"/>
                <w:sz w:val="18"/>
                <w:szCs w:val="18"/>
              </w:rPr>
              <w:t>,</w:t>
            </w:r>
            <w:r w:rsidRPr="00613AB7">
              <w:rPr>
                <w:rFonts w:asciiTheme="minorHAnsi" w:hAnsiTheme="minorHAnsi" w:cstheme="minorHAnsi"/>
                <w:sz w:val="18"/>
                <w:szCs w:val="18"/>
              </w:rPr>
              <w:t xml:space="preserve"> </w:t>
            </w:r>
            <w:r w:rsidR="00A7719D" w:rsidRPr="00A7719D">
              <w:rPr>
                <w:rFonts w:asciiTheme="minorHAnsi" w:hAnsiTheme="minorHAnsi" w:cstheme="minorHAnsi"/>
                <w:sz w:val="18"/>
                <w:szCs w:val="18"/>
              </w:rPr>
              <w:t>o której mowa w art. 66 ust. 4</w:t>
            </w:r>
            <w:r w:rsidR="00A7719D">
              <w:rPr>
                <w:rFonts w:asciiTheme="minorHAnsi" w:hAnsiTheme="minorHAnsi" w:cstheme="minorHAnsi"/>
                <w:sz w:val="18"/>
                <w:szCs w:val="18"/>
              </w:rPr>
              <w:t xml:space="preserve"> rozporządzenia 2018/1240,</w:t>
            </w:r>
            <w:r w:rsidR="00A7719D" w:rsidRPr="00A7719D">
              <w:rPr>
                <w:rFonts w:asciiTheme="minorHAnsi" w:hAnsiTheme="minorHAnsi" w:cstheme="minorHAnsi"/>
                <w:sz w:val="18"/>
                <w:szCs w:val="18"/>
              </w:rPr>
              <w:t xml:space="preserve"> </w:t>
            </w:r>
            <w:r w:rsidRPr="00613AB7">
              <w:rPr>
                <w:rFonts w:asciiTheme="minorHAnsi" w:hAnsiTheme="minorHAnsi" w:cstheme="minorHAnsi"/>
                <w:sz w:val="18"/>
                <w:szCs w:val="18"/>
              </w:rPr>
              <w:t>stosuje się przepisy rozdziału 9 ustawy z dnia 10 maja 2018 r. o ochronie danych osobowych lub art. 6 ustawy z dnia 14 grudnia 2018 r. o ochronie danych osobowych przetwarzanych w związku z zapobieganiem i zwalczaniem przestępczości.</w:t>
            </w:r>
          </w:p>
        </w:tc>
      </w:tr>
      <w:tr w:rsidR="00DB39EE" w:rsidRPr="009B2533" w14:paraId="4E94C84B" w14:textId="77777777" w:rsidTr="00787817">
        <w:trPr>
          <w:gridAfter w:val="1"/>
          <w:cnfStyle w:val="000000100000" w:firstRow="0" w:lastRow="0" w:firstColumn="0" w:lastColumn="0" w:oddVBand="0" w:evenVBand="0" w:oddHBand="1" w:evenHBand="0" w:firstRowFirstColumn="0" w:firstRowLastColumn="0" w:lastRowFirstColumn="0" w:lastRowLastColumn="0"/>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0AEAEC6B" w14:textId="77777777" w:rsidR="00DB39EE" w:rsidRPr="009B2533" w:rsidRDefault="00DB39EE" w:rsidP="00304CBE">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717C78A5" w14:textId="25BB4A11" w:rsidR="00DB39EE" w:rsidRDefault="000D058D" w:rsidP="00304CBE">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Art. 37 ust. 2 pkt 3</w:t>
            </w:r>
          </w:p>
        </w:tc>
        <w:tc>
          <w:tcPr>
            <w:tcW w:w="1846" w:type="dxa"/>
          </w:tcPr>
          <w:p w14:paraId="7A77C494" w14:textId="6E2E72D4" w:rsidR="00E213EA" w:rsidRDefault="00E213EA" w:rsidP="00E213EA">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0D058D">
              <w:rPr>
                <w:rFonts w:asciiTheme="minorHAnsi" w:hAnsiTheme="minorHAnsi" w:cstheme="minorHAnsi"/>
                <w:bCs/>
                <w:sz w:val="18"/>
                <w:szCs w:val="18"/>
              </w:rPr>
              <w:t xml:space="preserve">Art. 37 ust. 2 pkt </w:t>
            </w:r>
            <w:r>
              <w:rPr>
                <w:rFonts w:asciiTheme="minorHAnsi" w:hAnsiTheme="minorHAnsi" w:cstheme="minorHAnsi"/>
                <w:bCs/>
                <w:sz w:val="18"/>
                <w:szCs w:val="18"/>
              </w:rPr>
              <w:t>3</w:t>
            </w:r>
          </w:p>
          <w:p w14:paraId="5FBD4DD0" w14:textId="77777777" w:rsidR="00E213EA" w:rsidRDefault="00E213EA" w:rsidP="00E213EA">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7C5EFBB3" w14:textId="77777777" w:rsidR="00E213EA" w:rsidRDefault="00E213EA" w:rsidP="00E213EA">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Pr>
                <w:rFonts w:asciiTheme="minorHAnsi" w:hAnsiTheme="minorHAnsi" w:cstheme="minorHAnsi"/>
                <w:bCs/>
                <w:sz w:val="18"/>
                <w:szCs w:val="18"/>
              </w:rPr>
              <w:t xml:space="preserve">2. </w:t>
            </w:r>
            <w:r w:rsidRPr="000D058D">
              <w:rPr>
                <w:rFonts w:asciiTheme="minorHAnsi" w:hAnsiTheme="minorHAnsi" w:cstheme="minorHAnsi"/>
                <w:color w:val="000000"/>
                <w:sz w:val="18"/>
                <w:szCs w:val="18"/>
              </w:rPr>
              <w:t>Prezes Urzędu Ochrony Danych Osobowych w ramach sprawowanego nadzoru, o którym mowa w art. 66 rozporządzenia 2018/1240:</w:t>
            </w:r>
          </w:p>
          <w:p w14:paraId="18353E64" w14:textId="77777777" w:rsidR="00E213EA" w:rsidRDefault="00E213EA" w:rsidP="00D43072">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p>
          <w:p w14:paraId="21B6DDCC" w14:textId="77777777" w:rsidR="00E213EA" w:rsidRDefault="00E213EA" w:rsidP="00D43072">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p>
          <w:p w14:paraId="60A2E4C1" w14:textId="77777777" w:rsidR="00DB39EE" w:rsidRDefault="00E213EA" w:rsidP="00D43072">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E213EA">
              <w:rPr>
                <w:rFonts w:asciiTheme="minorHAnsi" w:hAnsiTheme="minorHAnsi" w:cstheme="minorHAnsi"/>
                <w:color w:val="000000"/>
                <w:sz w:val="18"/>
                <w:szCs w:val="18"/>
              </w:rPr>
              <w:t xml:space="preserve">3) publikuje co roku informacje o liczbie wniosków o sprostowanie, uzupełnienie, </w:t>
            </w:r>
            <w:r w:rsidRPr="00E213EA">
              <w:rPr>
                <w:rFonts w:asciiTheme="minorHAnsi" w:hAnsiTheme="minorHAnsi" w:cstheme="minorHAnsi"/>
                <w:color w:val="000000"/>
                <w:sz w:val="18"/>
                <w:szCs w:val="18"/>
              </w:rPr>
              <w:lastRenderedPageBreak/>
              <w:t>usunięcie lub ograniczenie przetwarzania danych ETIAS.</w:t>
            </w:r>
          </w:p>
          <w:p w14:paraId="6D1F5CED" w14:textId="77777777" w:rsidR="00A7719D" w:rsidRDefault="00A7719D" w:rsidP="00D43072">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p>
          <w:p w14:paraId="49CE6C6C" w14:textId="77777777" w:rsidR="00A7719D" w:rsidRDefault="00A7719D" w:rsidP="00D43072">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Pr>
                <w:rFonts w:asciiTheme="minorHAnsi" w:hAnsiTheme="minorHAnsi" w:cstheme="minorHAnsi"/>
                <w:color w:val="000000"/>
                <w:sz w:val="18"/>
                <w:szCs w:val="18"/>
              </w:rPr>
              <w:t xml:space="preserve">Art. 38 ust. 10 </w:t>
            </w:r>
          </w:p>
          <w:p w14:paraId="4F2D3F7C" w14:textId="3AC0076E" w:rsidR="00A7719D" w:rsidRPr="00E213EA" w:rsidRDefault="00A7719D" w:rsidP="00D43072">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A7719D">
              <w:rPr>
                <w:rFonts w:asciiTheme="minorHAnsi" w:hAnsiTheme="minorHAnsi" w:cstheme="minorHAnsi"/>
                <w:bCs/>
                <w:sz w:val="18"/>
                <w:szCs w:val="18"/>
              </w:rPr>
              <w:t>10. Dostęp do rejestru, o którym mowa w ust. 8, przysługuje Prezesowi Urzędu Ochrony Danych Osobowych. Dostęp odbywa się w sposób elektroniczny.</w:t>
            </w:r>
          </w:p>
        </w:tc>
        <w:tc>
          <w:tcPr>
            <w:tcW w:w="1276" w:type="dxa"/>
          </w:tcPr>
          <w:p w14:paraId="2D6015E0" w14:textId="77777777" w:rsidR="00E213EA" w:rsidRDefault="00E213EA" w:rsidP="00E213E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lastRenderedPageBreak/>
              <w:t>Prezes</w:t>
            </w:r>
          </w:p>
          <w:p w14:paraId="15E96778" w14:textId="5A340D69" w:rsidR="00DB39EE" w:rsidRPr="00CC73BF" w:rsidRDefault="00E213EA" w:rsidP="00E213E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Urzędu Ochrony Danych Osobowych</w:t>
            </w:r>
          </w:p>
        </w:tc>
        <w:tc>
          <w:tcPr>
            <w:tcW w:w="4678" w:type="dxa"/>
          </w:tcPr>
          <w:p w14:paraId="36331DE4" w14:textId="6B74F5AF" w:rsidR="00DB39EE" w:rsidRPr="00E213EA" w:rsidRDefault="00E213EA" w:rsidP="00D11E9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213EA">
              <w:rPr>
                <w:rFonts w:asciiTheme="minorHAnsi" w:hAnsiTheme="minorHAnsi" w:cstheme="minorHAnsi"/>
                <w:color w:val="000000"/>
                <w:sz w:val="18"/>
                <w:szCs w:val="18"/>
              </w:rPr>
              <w:t>Artykuł 37 ust. 2 pkt 3 projektowanej ustawy zobowiązuje organ nadzorczy do publikowania co roku informacji o liczbie wniosków o sprostowanie, uzupełnienie, usunięcie lub ograniczenie przetwarzania danych ETIAS. Zasadnym jest doprecyzowanie trybu i terminu przekazywania tych danych przez Komendanta Głównego Straży Granicznej do Prezesa UODO.</w:t>
            </w:r>
          </w:p>
        </w:tc>
        <w:tc>
          <w:tcPr>
            <w:tcW w:w="3402" w:type="dxa"/>
            <w:gridSpan w:val="2"/>
          </w:tcPr>
          <w:p w14:paraId="36723B97" w14:textId="77777777" w:rsidR="00A166BE" w:rsidRDefault="00A166BE"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sidRPr="007D47D5">
              <w:rPr>
                <w:rFonts w:asciiTheme="minorHAnsi" w:hAnsiTheme="minorHAnsi" w:cstheme="minorHAnsi"/>
                <w:b/>
                <w:bCs/>
                <w:sz w:val="18"/>
                <w:szCs w:val="18"/>
              </w:rPr>
              <w:t>Uwzględniono</w:t>
            </w:r>
          </w:p>
          <w:p w14:paraId="6077908B" w14:textId="65F1048D" w:rsidR="00A7719D" w:rsidRDefault="00A7719D"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p>
          <w:p w14:paraId="6A48902D" w14:textId="3AA67E50" w:rsidR="00A7719D" w:rsidRPr="00A7719D" w:rsidRDefault="00A7719D"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A7719D">
              <w:rPr>
                <w:rFonts w:asciiTheme="minorHAnsi" w:hAnsiTheme="minorHAnsi" w:cstheme="minorHAnsi"/>
                <w:sz w:val="18"/>
                <w:szCs w:val="18"/>
              </w:rPr>
              <w:t xml:space="preserve">Dodano </w:t>
            </w:r>
            <w:r w:rsidR="00DA0140" w:rsidRPr="00A7719D">
              <w:rPr>
                <w:rFonts w:asciiTheme="minorHAnsi" w:hAnsiTheme="minorHAnsi" w:cstheme="minorHAnsi"/>
                <w:sz w:val="18"/>
                <w:szCs w:val="18"/>
              </w:rPr>
              <w:t>ust. 3</w:t>
            </w:r>
            <w:r w:rsidRPr="00A7719D">
              <w:rPr>
                <w:rFonts w:asciiTheme="minorHAnsi" w:hAnsiTheme="minorHAnsi" w:cstheme="minorHAnsi"/>
                <w:sz w:val="18"/>
                <w:szCs w:val="18"/>
              </w:rPr>
              <w:t xml:space="preserve"> w art. 37 oraz zmieniono brzmienie ust. 2.</w:t>
            </w:r>
            <w:r>
              <w:rPr>
                <w:rFonts w:asciiTheme="minorHAnsi" w:hAnsiTheme="minorHAnsi" w:cstheme="minorHAnsi"/>
                <w:sz w:val="18"/>
                <w:szCs w:val="18"/>
              </w:rPr>
              <w:t xml:space="preserve"> Ponadto</w:t>
            </w:r>
            <w:r w:rsidR="00DA0140">
              <w:rPr>
                <w:rFonts w:asciiTheme="minorHAnsi" w:hAnsiTheme="minorHAnsi" w:cstheme="minorHAnsi"/>
                <w:sz w:val="18"/>
                <w:szCs w:val="18"/>
              </w:rPr>
              <w:t>,</w:t>
            </w:r>
            <w:r>
              <w:rPr>
                <w:rFonts w:asciiTheme="minorHAnsi" w:hAnsiTheme="minorHAnsi" w:cstheme="minorHAnsi"/>
                <w:sz w:val="18"/>
                <w:szCs w:val="18"/>
              </w:rPr>
              <w:t xml:space="preserve"> zmieniono brzmienie art. 38 ust. 10 projektu ustawy.</w:t>
            </w:r>
          </w:p>
          <w:p w14:paraId="620E8F9D" w14:textId="1F1560C5" w:rsidR="00FC1DC7" w:rsidRPr="00B93439" w:rsidRDefault="00FC1DC7"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c>
          <w:tcPr>
            <w:tcW w:w="3481" w:type="dxa"/>
            <w:gridSpan w:val="2"/>
          </w:tcPr>
          <w:p w14:paraId="0A5D21A4" w14:textId="77777777" w:rsidR="00A7719D" w:rsidRPr="00A7719D" w:rsidRDefault="00A7719D" w:rsidP="00A7719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A7719D">
              <w:rPr>
                <w:rFonts w:asciiTheme="minorHAnsi" w:hAnsiTheme="minorHAnsi" w:cstheme="minorHAnsi"/>
                <w:sz w:val="18"/>
                <w:szCs w:val="18"/>
              </w:rPr>
              <w:t>Art. 37</w:t>
            </w:r>
          </w:p>
          <w:p w14:paraId="31E03572" w14:textId="77777777" w:rsidR="00A7719D" w:rsidRPr="00A7719D" w:rsidRDefault="00A7719D" w:rsidP="00A7719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A7719D">
              <w:rPr>
                <w:rFonts w:asciiTheme="minorHAnsi" w:hAnsiTheme="minorHAnsi" w:cstheme="minorHAnsi"/>
                <w:sz w:val="18"/>
                <w:szCs w:val="18"/>
              </w:rPr>
              <w:t>2. Prezes Urzędu Ochrony Danych Osobowych w ramach sprawowanego nadzoru, o którym mowa w art. 66 rozporządzenia 2018/1240:</w:t>
            </w:r>
          </w:p>
          <w:p w14:paraId="016F17FB" w14:textId="77777777" w:rsidR="00A7719D" w:rsidRPr="00A7719D" w:rsidRDefault="00A7719D" w:rsidP="00A7719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A7719D">
              <w:rPr>
                <w:rFonts w:asciiTheme="minorHAnsi" w:hAnsiTheme="minorHAnsi" w:cstheme="minorHAnsi"/>
                <w:sz w:val="18"/>
                <w:szCs w:val="18"/>
              </w:rPr>
              <w:t>1) monitoruje, czy przetwarzanie danych osobowych w KSI ETIAS odbywa się zgodnie z prawem;</w:t>
            </w:r>
          </w:p>
          <w:p w14:paraId="1DF7A930" w14:textId="77777777" w:rsidR="00A7719D" w:rsidRPr="00A7719D" w:rsidRDefault="00A7719D" w:rsidP="00A7719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A7719D">
              <w:rPr>
                <w:rFonts w:asciiTheme="minorHAnsi" w:hAnsiTheme="minorHAnsi" w:cstheme="minorHAnsi"/>
                <w:sz w:val="18"/>
                <w:szCs w:val="18"/>
              </w:rPr>
              <w:t xml:space="preserve">2) publikuje co roku, do dnia 31 marca, na stronie internetowej Urzędu informacje, o których mowa w art. 64 ust. 6 rozporządzenia 2018/1240 przekazywane przez Jednostkę Krajową ETIAS na temat liczby wniosków o sprostowanie, uzupełnienie, usunięcie lub ograniczenie przetwarzania danych, działań podjętych w ramach odpowiedzi na wnioski i liczby sprostowań, uzupełnień, usunięć i </w:t>
            </w:r>
            <w:r w:rsidRPr="00A7719D">
              <w:rPr>
                <w:rFonts w:asciiTheme="minorHAnsi" w:hAnsiTheme="minorHAnsi" w:cstheme="minorHAnsi"/>
                <w:sz w:val="18"/>
                <w:szCs w:val="18"/>
              </w:rPr>
              <w:lastRenderedPageBreak/>
              <w:t>ograniczeń przetwarzania dokonanych w odpowiedzi na wnioski zainteresowanych osób.</w:t>
            </w:r>
          </w:p>
          <w:p w14:paraId="674D8352" w14:textId="77777777" w:rsidR="00DB39EE" w:rsidRDefault="00A7719D" w:rsidP="00A7719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A7719D">
              <w:rPr>
                <w:rFonts w:asciiTheme="minorHAnsi" w:hAnsiTheme="minorHAnsi" w:cstheme="minorHAnsi"/>
                <w:sz w:val="18"/>
                <w:szCs w:val="18"/>
              </w:rPr>
              <w:t>3. Do kontroli operacji przetwarzania danych przez Jednostkę Krajową ETIAS, o której mowa w art. 66 ust. 4 rozporządzenia 2018/1240, stosuje się przepisy rozdziału 9 ustawy z dnia 10 maja 2018 r. o ochronie danych osobowych lub art. 6 ustawy z dnia 14 grudnia 2018 r. o ochronie danych osobowych przetwarzanych w związku z zapobieganiem i zwalczaniem przestępczości.</w:t>
            </w:r>
          </w:p>
          <w:p w14:paraId="41843EBB" w14:textId="77777777" w:rsidR="00A7719D" w:rsidRDefault="00A7719D" w:rsidP="00A7719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5A546450" w14:textId="77777777" w:rsidR="00A7719D" w:rsidRPr="00DE3780" w:rsidRDefault="00A7719D" w:rsidP="00A7719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sidRPr="00DE3780">
              <w:rPr>
                <w:rFonts w:asciiTheme="minorHAnsi" w:hAnsiTheme="minorHAnsi" w:cstheme="minorHAnsi"/>
                <w:b/>
                <w:bCs/>
                <w:sz w:val="18"/>
                <w:szCs w:val="18"/>
              </w:rPr>
              <w:t xml:space="preserve">Art. 38 </w:t>
            </w:r>
          </w:p>
          <w:p w14:paraId="63A8676E" w14:textId="11E70A77" w:rsidR="00A7719D" w:rsidRPr="00A166BE" w:rsidRDefault="00A7719D" w:rsidP="00A7719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sz w:val="18"/>
                <w:szCs w:val="18"/>
              </w:rPr>
            </w:pPr>
            <w:r>
              <w:rPr>
                <w:rFonts w:asciiTheme="minorHAnsi" w:hAnsiTheme="minorHAnsi" w:cstheme="minorHAnsi"/>
                <w:sz w:val="18"/>
                <w:szCs w:val="18"/>
              </w:rPr>
              <w:t xml:space="preserve">10. </w:t>
            </w:r>
            <w:r w:rsidR="003C0758" w:rsidRPr="003C0758">
              <w:rPr>
                <w:rFonts w:asciiTheme="minorHAnsi" w:hAnsiTheme="minorHAnsi" w:cstheme="minorHAnsi"/>
                <w:sz w:val="18"/>
                <w:szCs w:val="18"/>
              </w:rPr>
              <w:t>Komendant Główny Straży Granicznej</w:t>
            </w:r>
            <w:r w:rsidR="003C0758">
              <w:rPr>
                <w:rFonts w:asciiTheme="minorHAnsi" w:hAnsiTheme="minorHAnsi" w:cstheme="minorHAnsi"/>
                <w:sz w:val="18"/>
                <w:szCs w:val="18"/>
              </w:rPr>
              <w:t xml:space="preserve"> przekazuje </w:t>
            </w:r>
            <w:r w:rsidR="003C0758" w:rsidRPr="003C0758">
              <w:rPr>
                <w:rFonts w:asciiTheme="minorHAnsi" w:hAnsiTheme="minorHAnsi" w:cstheme="minorHAnsi"/>
                <w:sz w:val="18"/>
                <w:szCs w:val="18"/>
              </w:rPr>
              <w:t>Prezesowi Urzędu Ochrony Danych Osobowych</w:t>
            </w:r>
            <w:r w:rsidR="003C0758">
              <w:rPr>
                <w:rFonts w:asciiTheme="minorHAnsi" w:hAnsiTheme="minorHAnsi" w:cstheme="minorHAnsi"/>
                <w:sz w:val="18"/>
                <w:szCs w:val="18"/>
              </w:rPr>
              <w:t xml:space="preserve"> i</w:t>
            </w:r>
            <w:r>
              <w:rPr>
                <w:rFonts w:asciiTheme="minorHAnsi" w:hAnsiTheme="minorHAnsi" w:cstheme="minorHAnsi"/>
                <w:sz w:val="18"/>
                <w:szCs w:val="18"/>
              </w:rPr>
              <w:t>nformacje z rejestru, o którym mowa w ust. 9</w:t>
            </w:r>
            <w:r w:rsidR="003C0758">
              <w:rPr>
                <w:rFonts w:asciiTheme="minorHAnsi" w:hAnsiTheme="minorHAnsi" w:cstheme="minorHAnsi"/>
                <w:sz w:val="18"/>
                <w:szCs w:val="18"/>
              </w:rPr>
              <w:t>,</w:t>
            </w:r>
            <w:r>
              <w:rPr>
                <w:rFonts w:asciiTheme="minorHAnsi" w:hAnsiTheme="minorHAnsi" w:cstheme="minorHAnsi"/>
                <w:sz w:val="18"/>
                <w:szCs w:val="18"/>
              </w:rPr>
              <w:t xml:space="preserve"> </w:t>
            </w:r>
            <w:r w:rsidR="003C0758">
              <w:rPr>
                <w:rFonts w:asciiTheme="minorHAnsi" w:hAnsiTheme="minorHAnsi" w:cstheme="minorHAnsi"/>
                <w:sz w:val="18"/>
                <w:szCs w:val="18"/>
              </w:rPr>
              <w:t>w terminie wskazanym w</w:t>
            </w:r>
            <w:r w:rsidR="003C0758">
              <w:t xml:space="preserve"> </w:t>
            </w:r>
            <w:r w:rsidR="003C0758" w:rsidRPr="003C0758">
              <w:rPr>
                <w:rFonts w:asciiTheme="minorHAnsi" w:hAnsiTheme="minorHAnsi" w:cstheme="minorHAnsi"/>
                <w:sz w:val="18"/>
                <w:szCs w:val="18"/>
              </w:rPr>
              <w:t>art. 64 ust. 6 rozporządzenia 2018/124</w:t>
            </w:r>
            <w:r w:rsidR="003C0758">
              <w:rPr>
                <w:rFonts w:asciiTheme="minorHAnsi" w:hAnsiTheme="minorHAnsi" w:cstheme="minorHAnsi"/>
                <w:sz w:val="18"/>
                <w:szCs w:val="18"/>
              </w:rPr>
              <w:t>0.</w:t>
            </w:r>
          </w:p>
        </w:tc>
      </w:tr>
      <w:tr w:rsidR="00DB39EE" w:rsidRPr="009B2533" w14:paraId="3F977A87" w14:textId="77777777" w:rsidTr="00787817">
        <w:trPr>
          <w:gridAfter w:val="1"/>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4018A02F" w14:textId="77777777" w:rsidR="00DB39EE" w:rsidRPr="009B2533" w:rsidRDefault="00DB39EE" w:rsidP="00304CBE">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0BC5F15C" w14:textId="5C3088FD" w:rsidR="00DB39EE" w:rsidRDefault="00355AA0" w:rsidP="00304CBE">
            <w:pPr>
              <w:jc w:val="both"/>
              <w:cnfStyle w:val="000000000000" w:firstRow="0" w:lastRow="0" w:firstColumn="0" w:lastColumn="0" w:oddVBand="0" w:evenVBand="0" w:oddHBand="0"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Art. 38 ust. 1</w:t>
            </w:r>
          </w:p>
        </w:tc>
        <w:tc>
          <w:tcPr>
            <w:tcW w:w="1846" w:type="dxa"/>
          </w:tcPr>
          <w:p w14:paraId="087BB1B9" w14:textId="6241910B" w:rsidR="00355AA0" w:rsidRDefault="00355AA0" w:rsidP="00D43072">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355AA0">
              <w:rPr>
                <w:rFonts w:asciiTheme="minorHAnsi" w:hAnsiTheme="minorHAnsi" w:cstheme="minorHAnsi"/>
                <w:color w:val="000000"/>
                <w:sz w:val="18"/>
                <w:szCs w:val="18"/>
              </w:rPr>
              <w:t>Art. 38.</w:t>
            </w:r>
            <w:r>
              <w:rPr>
                <w:rFonts w:asciiTheme="minorHAnsi" w:hAnsiTheme="minorHAnsi" w:cstheme="minorHAnsi"/>
                <w:color w:val="000000"/>
                <w:sz w:val="18"/>
                <w:szCs w:val="18"/>
              </w:rPr>
              <w:t xml:space="preserve"> ust. </w:t>
            </w:r>
            <w:r w:rsidRPr="00355AA0">
              <w:rPr>
                <w:rFonts w:asciiTheme="minorHAnsi" w:hAnsiTheme="minorHAnsi" w:cstheme="minorHAnsi"/>
                <w:color w:val="000000"/>
                <w:sz w:val="18"/>
                <w:szCs w:val="18"/>
              </w:rPr>
              <w:t xml:space="preserve">1. </w:t>
            </w:r>
          </w:p>
          <w:p w14:paraId="43C9186F" w14:textId="00A3D787" w:rsidR="00DB39EE" w:rsidRPr="00355AA0" w:rsidRDefault="00355AA0" w:rsidP="00355AA0">
            <w:pPr>
              <w:tabs>
                <w:tab w:val="left" w:pos="898"/>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355AA0">
              <w:rPr>
                <w:rFonts w:asciiTheme="minorHAnsi" w:hAnsiTheme="minorHAnsi" w:cstheme="minorHAnsi"/>
                <w:color w:val="000000"/>
                <w:sz w:val="18"/>
                <w:szCs w:val="18"/>
              </w:rPr>
              <w:t>Do</w:t>
            </w:r>
            <w:r>
              <w:rPr>
                <w:rFonts w:asciiTheme="minorHAnsi" w:hAnsiTheme="minorHAnsi" w:cstheme="minorHAnsi"/>
                <w:color w:val="000000"/>
                <w:sz w:val="18"/>
                <w:szCs w:val="18"/>
              </w:rPr>
              <w:t xml:space="preserve"> </w:t>
            </w:r>
            <w:r w:rsidRPr="00355AA0">
              <w:rPr>
                <w:rFonts w:asciiTheme="minorHAnsi" w:hAnsiTheme="minorHAnsi" w:cstheme="minorHAnsi"/>
                <w:color w:val="000000"/>
                <w:sz w:val="18"/>
                <w:szCs w:val="18"/>
              </w:rPr>
              <w:t>rozpatrywania wniosków cudzoziemców dotyczących realizacji praw, o których mowa w art. 64 rozporządzenia 2018/1240, nie stosuje się przepisów ustawy z dnia 14 czerwca 1960 r. – Kodeks postępowania administracyjnego.</w:t>
            </w:r>
          </w:p>
        </w:tc>
        <w:tc>
          <w:tcPr>
            <w:tcW w:w="1276" w:type="dxa"/>
          </w:tcPr>
          <w:p w14:paraId="48FCAB60" w14:textId="77777777" w:rsidR="00355AA0" w:rsidRDefault="00355AA0" w:rsidP="00355AA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Prezes</w:t>
            </w:r>
          </w:p>
          <w:p w14:paraId="14BB3524" w14:textId="204754AC" w:rsidR="00DB39EE" w:rsidRPr="00CC73BF" w:rsidRDefault="00355AA0" w:rsidP="00355AA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Urzędu Ochrony Danych Osobowych</w:t>
            </w:r>
          </w:p>
        </w:tc>
        <w:tc>
          <w:tcPr>
            <w:tcW w:w="4678" w:type="dxa"/>
          </w:tcPr>
          <w:p w14:paraId="763F6843" w14:textId="77777777" w:rsidR="00355AA0" w:rsidRPr="00355AA0" w:rsidRDefault="00355AA0" w:rsidP="00355AA0">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55AA0">
              <w:rPr>
                <w:rFonts w:asciiTheme="minorHAnsi" w:eastAsia="Times New Roman" w:hAnsiTheme="minorHAnsi" w:cstheme="minorHAnsi"/>
                <w:color w:val="000000"/>
                <w:sz w:val="18"/>
                <w:szCs w:val="18"/>
                <w:lang w:eastAsia="pl-PL"/>
              </w:rPr>
              <w:t>Zgodnie z art. 38.ust. 1 projektu ustawy do rozpatrywania wniosków cudzoziemców dotyczących realizacji praw, o których mowa w art. 64 rozporządzenia 2018/124010, nie stosuje się przepisów ustawy z dnia 14 czerwca 1960 r. – Kodeks postępowania administracyjnego.</w:t>
            </w:r>
          </w:p>
          <w:p w14:paraId="798FCBA5" w14:textId="77777777" w:rsidR="00355AA0" w:rsidRPr="00355AA0" w:rsidRDefault="00355AA0" w:rsidP="00355AA0">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55AA0">
              <w:rPr>
                <w:rFonts w:asciiTheme="minorHAnsi" w:eastAsia="Times New Roman" w:hAnsiTheme="minorHAnsi" w:cstheme="minorHAnsi"/>
                <w:color w:val="000000"/>
                <w:sz w:val="18"/>
                <w:szCs w:val="18"/>
                <w:lang w:eastAsia="pl-PL"/>
              </w:rPr>
              <w:t>Artykuł 38 ust. 8 projektowanej ustawy stanowi, że od decyzji, o której mowa w art. 64 ust. 3 rozporządzenia (UE) 2018/1240, cudzoziemcowi przysługuje prawo wniesienia skargi za pośrednictwem Komendanta Głównego Straży Granicznej do Prezesa Urzędu Ochrony Danych, zgodnie z art. 77 rozporządzenia […] 2016/679 […] w terminie 30 dni od dnia doręczenia decyzji na adres poczty elektronicznej.</w:t>
            </w:r>
          </w:p>
          <w:p w14:paraId="1C847C25" w14:textId="77777777" w:rsidR="00355AA0" w:rsidRPr="00355AA0" w:rsidRDefault="00355AA0" w:rsidP="00355AA0">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55AA0">
              <w:rPr>
                <w:rFonts w:asciiTheme="minorHAnsi" w:eastAsia="Times New Roman" w:hAnsiTheme="minorHAnsi" w:cstheme="minorHAnsi"/>
                <w:color w:val="000000"/>
                <w:sz w:val="18"/>
                <w:szCs w:val="18"/>
                <w:lang w:eastAsia="pl-PL"/>
              </w:rPr>
              <w:t>W ocenie organu nadzorczego konstrukcja ta stoi w sprzeczności z art. 77 rozporządzenia 2016/680, który przewiduje możliwość wniesienia skargi bezpośrednio do organu nadzorczego, a nie za pośrednictwem administratora danych. Prezes UODO rozpatruje skargi w trybie Kodeksu postępowania administracyjnego11.</w:t>
            </w:r>
          </w:p>
          <w:p w14:paraId="219B4D04" w14:textId="77777777" w:rsidR="00355AA0" w:rsidRPr="00355AA0" w:rsidRDefault="00355AA0" w:rsidP="00355AA0">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55AA0">
              <w:rPr>
                <w:rFonts w:asciiTheme="minorHAnsi" w:eastAsia="Times New Roman" w:hAnsiTheme="minorHAnsi" w:cstheme="minorHAnsi"/>
                <w:color w:val="000000"/>
                <w:sz w:val="18"/>
                <w:szCs w:val="18"/>
                <w:lang w:eastAsia="pl-PL"/>
              </w:rPr>
              <w:t xml:space="preserve">Dodatkowo projekt ustawy nie zawiera informacji o możliwości odwołania się do właściwych organów lub sądu od decyzji administratora, co stoi w sprzeczności z art. 64 ust. 4 rozporządzenia 2018/1240, zgodnie z którym: „Decyzja […] </w:t>
            </w:r>
            <w:r w:rsidRPr="00355AA0">
              <w:rPr>
                <w:rFonts w:asciiTheme="minorHAnsi" w:eastAsia="Times New Roman" w:hAnsiTheme="minorHAnsi" w:cstheme="minorHAnsi"/>
                <w:color w:val="000000"/>
                <w:sz w:val="18"/>
                <w:szCs w:val="18"/>
                <w:lang w:eastAsia="pl-PL"/>
              </w:rPr>
              <w:lastRenderedPageBreak/>
              <w:t>zawiera też informacje dla osoby zainteresowanej, wyjaśniające możliwość odwołania się od decyzji podjętej w odniesieniu do wniosku, o którym mowa w ust. 2, a w stosownych przypadkach informacje dotyczące sposobu wniesienia sprawy lub skargi do właściwych organów lub sądów oraz informacje dotyczące pomocy dla tej osoby, w tym od właściwych krajowych organów nadzorczych”.</w:t>
            </w:r>
          </w:p>
          <w:p w14:paraId="6B1A7352" w14:textId="0A30C43C" w:rsidR="00355AA0" w:rsidRPr="00355AA0" w:rsidRDefault="00355AA0" w:rsidP="00355AA0">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55AA0">
              <w:rPr>
                <w:rFonts w:asciiTheme="minorHAnsi" w:eastAsia="Times New Roman" w:hAnsiTheme="minorHAnsi" w:cstheme="minorHAnsi"/>
                <w:color w:val="000000"/>
                <w:sz w:val="18"/>
                <w:szCs w:val="18"/>
                <w:lang w:eastAsia="pl-PL"/>
              </w:rPr>
              <w:t xml:space="preserve">W analogicznych przypadkach dotyczących dostępu do Systemu Informacyjnego </w:t>
            </w:r>
            <w:proofErr w:type="spellStart"/>
            <w:r w:rsidRPr="00355AA0">
              <w:rPr>
                <w:rFonts w:asciiTheme="minorHAnsi" w:eastAsia="Times New Roman" w:hAnsiTheme="minorHAnsi" w:cstheme="minorHAnsi"/>
                <w:color w:val="000000"/>
                <w:sz w:val="18"/>
                <w:szCs w:val="18"/>
                <w:lang w:eastAsia="pl-PL"/>
              </w:rPr>
              <w:t>Schengen</w:t>
            </w:r>
            <w:proofErr w:type="spellEnd"/>
            <w:r w:rsidRPr="00355AA0">
              <w:rPr>
                <w:rFonts w:asciiTheme="minorHAnsi" w:eastAsia="Times New Roman" w:hAnsiTheme="minorHAnsi" w:cstheme="minorHAnsi"/>
                <w:color w:val="000000"/>
                <w:sz w:val="18"/>
                <w:szCs w:val="18"/>
                <w:lang w:eastAsia="pl-PL"/>
              </w:rPr>
              <w:t xml:space="preserve"> oraz Wizowego Systemu Informacyjnego Komisja Europejska</w:t>
            </w:r>
            <w:r w:rsidR="00006785">
              <w:rPr>
                <w:rFonts w:asciiTheme="minorHAnsi" w:eastAsia="Times New Roman" w:hAnsiTheme="minorHAnsi" w:cstheme="minorHAnsi"/>
                <w:color w:val="000000"/>
                <w:sz w:val="18"/>
                <w:szCs w:val="18"/>
                <w:lang w:eastAsia="pl-PL"/>
              </w:rPr>
              <w:t xml:space="preserve"> </w:t>
            </w:r>
            <w:r w:rsidRPr="00355AA0">
              <w:rPr>
                <w:rFonts w:asciiTheme="minorHAnsi" w:eastAsia="Times New Roman" w:hAnsiTheme="minorHAnsi" w:cstheme="minorHAnsi"/>
                <w:color w:val="000000"/>
                <w:sz w:val="18"/>
                <w:szCs w:val="18"/>
                <w:lang w:eastAsia="pl-PL"/>
              </w:rPr>
              <w:t xml:space="preserve">wraz z </w:t>
            </w:r>
            <w:proofErr w:type="spellStart"/>
            <w:r w:rsidRPr="00355AA0">
              <w:rPr>
                <w:rFonts w:asciiTheme="minorHAnsi" w:eastAsia="Times New Roman" w:hAnsiTheme="minorHAnsi" w:cstheme="minorHAnsi"/>
                <w:color w:val="000000"/>
                <w:sz w:val="18"/>
                <w:szCs w:val="18"/>
                <w:lang w:eastAsia="pl-PL"/>
              </w:rPr>
              <w:t>ewaluatorami</w:t>
            </w:r>
            <w:proofErr w:type="spellEnd"/>
            <w:r w:rsidRPr="00355AA0">
              <w:rPr>
                <w:rFonts w:asciiTheme="minorHAnsi" w:eastAsia="Times New Roman" w:hAnsiTheme="minorHAnsi" w:cstheme="minorHAnsi"/>
                <w:color w:val="000000"/>
                <w:sz w:val="18"/>
                <w:szCs w:val="18"/>
                <w:lang w:eastAsia="pl-PL"/>
              </w:rPr>
              <w:t xml:space="preserve"> zobowiązała Polskę do zapewnienia osobom, których dane dotyczą, możliwości skorzystania ze skutecznego środka ochrony prawnej przed sądem przeciwko decyzji administratora w sprawie realizacji praw osób, których dane dotyczą (zalecenie 46).</w:t>
            </w:r>
          </w:p>
          <w:p w14:paraId="70C70FDD" w14:textId="77777777" w:rsidR="00355AA0" w:rsidRPr="00355AA0" w:rsidRDefault="00355AA0" w:rsidP="00355AA0">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55AA0">
              <w:rPr>
                <w:rFonts w:asciiTheme="minorHAnsi" w:eastAsia="Times New Roman" w:hAnsiTheme="minorHAnsi" w:cstheme="minorHAnsi"/>
                <w:color w:val="000000"/>
                <w:sz w:val="18"/>
                <w:szCs w:val="18"/>
                <w:lang w:eastAsia="pl-PL"/>
              </w:rPr>
              <w:t xml:space="preserve">Należy zatem uznać, że w obecnym kształcie konstrukcja przewidziana w art. 38 ust. 8 projektu ustawy może zostać zakwestionowana w ramach przyszłej ewaluacji </w:t>
            </w:r>
            <w:proofErr w:type="spellStart"/>
            <w:r w:rsidRPr="00355AA0">
              <w:rPr>
                <w:rFonts w:asciiTheme="minorHAnsi" w:eastAsia="Times New Roman" w:hAnsiTheme="minorHAnsi" w:cstheme="minorHAnsi"/>
                <w:color w:val="000000"/>
                <w:sz w:val="18"/>
                <w:szCs w:val="18"/>
                <w:lang w:eastAsia="pl-PL"/>
              </w:rPr>
              <w:t>Schengen</w:t>
            </w:r>
            <w:proofErr w:type="spellEnd"/>
            <w:r w:rsidRPr="00355AA0">
              <w:rPr>
                <w:rFonts w:asciiTheme="minorHAnsi" w:eastAsia="Times New Roman" w:hAnsiTheme="minorHAnsi" w:cstheme="minorHAnsi"/>
                <w:color w:val="000000"/>
                <w:sz w:val="18"/>
                <w:szCs w:val="18"/>
                <w:lang w:eastAsia="pl-PL"/>
              </w:rPr>
              <w:t xml:space="preserve"> w obszarze ETIAS.</w:t>
            </w:r>
          </w:p>
          <w:p w14:paraId="6CF25F3F" w14:textId="3B2AAE26" w:rsidR="00DB39EE" w:rsidRPr="00355AA0" w:rsidRDefault="00355AA0" w:rsidP="00355AA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55AA0">
              <w:rPr>
                <w:rFonts w:asciiTheme="minorHAnsi" w:hAnsiTheme="minorHAnsi" w:cstheme="minorHAnsi"/>
                <w:color w:val="000000"/>
                <w:sz w:val="18"/>
                <w:szCs w:val="18"/>
              </w:rPr>
              <w:t>Organ nadzorczy postuluje również zwrócenie uwagi na zapewnienie osobom, których dane dotyczą, możliwości korzystania ze swoich praw do sprostowania danych osobowych i usunięcia za pośrednictwem Urzędu Ochrony Danych Osobowych, zgodnie z art. 64 rozporządzenia 2018/1240, w związku z art. 17 dyrektywy 2016/680.</w:t>
            </w:r>
          </w:p>
        </w:tc>
        <w:tc>
          <w:tcPr>
            <w:tcW w:w="3402" w:type="dxa"/>
            <w:gridSpan w:val="2"/>
          </w:tcPr>
          <w:p w14:paraId="5BB32BF6" w14:textId="0317F8EF" w:rsidR="00ED7FD3" w:rsidRDefault="003C0758" w:rsidP="0000678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lastRenderedPageBreak/>
              <w:t>U</w:t>
            </w:r>
            <w:r w:rsidR="003910E8" w:rsidRPr="003910E8">
              <w:rPr>
                <w:rFonts w:asciiTheme="minorHAnsi" w:hAnsiTheme="minorHAnsi" w:cstheme="minorHAnsi"/>
                <w:b/>
                <w:bCs/>
                <w:sz w:val="18"/>
                <w:szCs w:val="18"/>
              </w:rPr>
              <w:t>względniono</w:t>
            </w:r>
          </w:p>
          <w:p w14:paraId="149B5BC7" w14:textId="271C9BAA" w:rsidR="009E4F00" w:rsidRDefault="009E4F00" w:rsidP="0000678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p>
          <w:p w14:paraId="293CE46E" w14:textId="19D0F649" w:rsidR="00A166BE" w:rsidRPr="003C0758" w:rsidRDefault="003C0758" w:rsidP="00006785">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C0758">
              <w:rPr>
                <w:rFonts w:asciiTheme="minorHAnsi" w:hAnsiTheme="minorHAnsi" w:cstheme="minorHAnsi"/>
                <w:sz w:val="18"/>
                <w:szCs w:val="18"/>
              </w:rPr>
              <w:t>Dokonano zmiany brzmienia ust. 8 w art. 38 projektu ustawy.</w:t>
            </w:r>
          </w:p>
        </w:tc>
        <w:tc>
          <w:tcPr>
            <w:tcW w:w="3481" w:type="dxa"/>
            <w:gridSpan w:val="2"/>
          </w:tcPr>
          <w:p w14:paraId="316D107C" w14:textId="5082CE13" w:rsidR="00536C71" w:rsidRDefault="00536C71" w:rsidP="00B84F4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Art.</w:t>
            </w:r>
            <w:r w:rsidR="00FF6171">
              <w:rPr>
                <w:rFonts w:asciiTheme="minorHAnsi" w:hAnsiTheme="minorHAnsi" w:cstheme="minorHAnsi"/>
                <w:sz w:val="18"/>
                <w:szCs w:val="18"/>
              </w:rPr>
              <w:t xml:space="preserve"> </w:t>
            </w:r>
            <w:r>
              <w:rPr>
                <w:rFonts w:asciiTheme="minorHAnsi" w:hAnsiTheme="minorHAnsi" w:cstheme="minorHAnsi"/>
                <w:sz w:val="18"/>
                <w:szCs w:val="18"/>
              </w:rPr>
              <w:t>38</w:t>
            </w:r>
          </w:p>
          <w:p w14:paraId="20142335" w14:textId="2525AD10" w:rsidR="006E4594" w:rsidRPr="003C0758" w:rsidRDefault="00A166BE" w:rsidP="00B84F4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C0758">
              <w:rPr>
                <w:rFonts w:asciiTheme="minorHAnsi" w:hAnsiTheme="minorHAnsi" w:cstheme="minorHAnsi"/>
                <w:sz w:val="18"/>
                <w:szCs w:val="18"/>
              </w:rPr>
              <w:t xml:space="preserve">8. </w:t>
            </w:r>
            <w:r w:rsidR="003C0758" w:rsidRPr="003C0758">
              <w:rPr>
                <w:rFonts w:asciiTheme="minorHAnsi" w:hAnsiTheme="minorHAnsi" w:cstheme="minorHAnsi"/>
                <w:sz w:val="18"/>
                <w:szCs w:val="18"/>
              </w:rPr>
              <w:t>Od decyzji administracyjnej, o której mowa w art. 64 ust. 3 rozporządzenia 2018/1240, cudzoziemcowi przysługuje prawo wniesienia skargi do Prezesa Urzędu Ochrony Danych Osobowych. Do wnoszenia i rozpatrywania skarg stosuje się art. 77 rozporządzenia 2016/679 lub art. 50 i art. 51 ustawy z dnia 14 grudnia 2018 r. o ochronie danych osobowych przetwarzanych w związku z zapobieganiem                  i zwalczaniem przestępczości.</w:t>
            </w:r>
          </w:p>
        </w:tc>
      </w:tr>
      <w:tr w:rsidR="00DB39EE" w:rsidRPr="009B2533" w14:paraId="6B9D81BE" w14:textId="77777777" w:rsidTr="00787817">
        <w:trPr>
          <w:gridAfter w:val="1"/>
          <w:cnfStyle w:val="000000100000" w:firstRow="0" w:lastRow="0" w:firstColumn="0" w:lastColumn="0" w:oddVBand="0" w:evenVBand="0" w:oddHBand="1" w:evenHBand="0" w:firstRowFirstColumn="0" w:firstRowLastColumn="0" w:lastRowFirstColumn="0" w:lastRowLastColumn="0"/>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44E9E2FD" w14:textId="77777777" w:rsidR="00DB39EE" w:rsidRPr="009B2533" w:rsidRDefault="00DB39EE" w:rsidP="00304CBE">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5BB5DE7F" w14:textId="4FF3E692" w:rsidR="00DB39EE" w:rsidRDefault="00DB39EE" w:rsidP="00304CBE">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p>
        </w:tc>
        <w:tc>
          <w:tcPr>
            <w:tcW w:w="1846" w:type="dxa"/>
          </w:tcPr>
          <w:p w14:paraId="6B259F20" w14:textId="0DAD446D" w:rsidR="00DB39EE" w:rsidRPr="008F2CC3" w:rsidRDefault="00A166BE" w:rsidP="00D43072">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000000" w:themeColor="text1"/>
                <w:sz w:val="18"/>
                <w:szCs w:val="18"/>
              </w:rPr>
            </w:pPr>
            <w:r w:rsidRPr="008F2CC3">
              <w:rPr>
                <w:rFonts w:asciiTheme="minorHAnsi" w:hAnsiTheme="minorHAnsi" w:cstheme="minorHAnsi"/>
                <w:bCs/>
                <w:color w:val="000000" w:themeColor="text1"/>
                <w:sz w:val="18"/>
                <w:szCs w:val="18"/>
              </w:rPr>
              <w:t xml:space="preserve">Art. 39 pkt 2 projektu ustawy </w:t>
            </w:r>
          </w:p>
        </w:tc>
        <w:tc>
          <w:tcPr>
            <w:tcW w:w="1276" w:type="dxa"/>
          </w:tcPr>
          <w:p w14:paraId="4A09F210" w14:textId="77777777" w:rsidR="00707943" w:rsidRPr="008F2CC3" w:rsidRDefault="00707943" w:rsidP="0070794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F2CC3">
              <w:rPr>
                <w:rFonts w:asciiTheme="minorHAnsi" w:hAnsiTheme="minorHAnsi" w:cstheme="minorHAnsi"/>
                <w:color w:val="000000" w:themeColor="text1"/>
                <w:sz w:val="18"/>
                <w:szCs w:val="18"/>
              </w:rPr>
              <w:t>Prezes</w:t>
            </w:r>
          </w:p>
          <w:p w14:paraId="1D568B88" w14:textId="7A983D5B" w:rsidR="00DB39EE" w:rsidRPr="008F2CC3" w:rsidRDefault="00707943" w:rsidP="0070794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F2CC3">
              <w:rPr>
                <w:rFonts w:asciiTheme="minorHAnsi" w:hAnsiTheme="minorHAnsi" w:cstheme="minorHAnsi"/>
                <w:color w:val="000000" w:themeColor="text1"/>
                <w:sz w:val="18"/>
                <w:szCs w:val="18"/>
              </w:rPr>
              <w:t>Urzędu Ochrony Danych Osobowych</w:t>
            </w:r>
          </w:p>
        </w:tc>
        <w:tc>
          <w:tcPr>
            <w:tcW w:w="4678" w:type="dxa"/>
          </w:tcPr>
          <w:p w14:paraId="6D3A05A4" w14:textId="77777777" w:rsidR="003C6A93" w:rsidRPr="008F2CC3" w:rsidRDefault="003C6A93" w:rsidP="003C6A93">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18"/>
                <w:szCs w:val="18"/>
                <w:lang w:eastAsia="pl-PL"/>
              </w:rPr>
            </w:pPr>
            <w:r w:rsidRPr="008F2CC3">
              <w:rPr>
                <w:rFonts w:asciiTheme="minorHAnsi" w:eastAsia="Times New Roman" w:hAnsiTheme="minorHAnsi" w:cstheme="minorHAnsi"/>
                <w:color w:val="000000" w:themeColor="text1"/>
                <w:sz w:val="18"/>
                <w:szCs w:val="18"/>
                <w:lang w:eastAsia="pl-PL"/>
              </w:rPr>
              <w:t>Zmiana ustawy z dnia 12 października 1990 r. o Straży Granicznej – Krajowy Rejestr Cudzoziemców.</w:t>
            </w:r>
          </w:p>
          <w:p w14:paraId="65F74FF3" w14:textId="77777777" w:rsidR="003C6A93" w:rsidRPr="008F2CC3" w:rsidRDefault="003C6A93" w:rsidP="003C6A93">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18"/>
                <w:szCs w:val="18"/>
                <w:lang w:eastAsia="pl-PL"/>
              </w:rPr>
            </w:pPr>
            <w:r w:rsidRPr="008F2CC3">
              <w:rPr>
                <w:rFonts w:asciiTheme="minorHAnsi" w:eastAsia="Times New Roman" w:hAnsiTheme="minorHAnsi" w:cstheme="minorHAnsi"/>
                <w:color w:val="000000" w:themeColor="text1"/>
                <w:sz w:val="18"/>
                <w:szCs w:val="18"/>
                <w:lang w:eastAsia="pl-PL"/>
              </w:rPr>
              <w:t>Organ właściwy w sprawie ochrony danych osobowych rozumie i podziela – wyrażoną w art. 2c ustawy o Straży Granicznej14, dodawanym przez art. 39 pkt 2 projektu ustawy – chęć usprawnienia wymiany informacji między Strażą Graniczną a innymi organami zajmującymi się kwestią legalnego wjazdu i przebywania na terytorium Rzeczypospolitej Polskiej cudzoziemców.</w:t>
            </w:r>
          </w:p>
          <w:p w14:paraId="0CA43F4C" w14:textId="77777777" w:rsidR="003C6A93" w:rsidRPr="008F2CC3" w:rsidRDefault="003C6A93" w:rsidP="003C6A93">
            <w:pPr>
              <w:pStyle w:val="NormalnyWeb"/>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F2CC3">
              <w:rPr>
                <w:rFonts w:asciiTheme="minorHAnsi" w:hAnsiTheme="minorHAnsi" w:cstheme="minorHAnsi"/>
                <w:color w:val="000000" w:themeColor="text1"/>
                <w:sz w:val="18"/>
                <w:szCs w:val="18"/>
              </w:rPr>
              <w:t xml:space="preserve">Jednakże zaproponowane w projekcie ustawy, niejako na marginesie wdrożenia europejskiego systemu informacji o podróży oraz zezwoleń na podróż (ETIAS), rozwiązanie, czyli Krajowy Rejestr Cudzoziemców (KRC) mający na celu identyfikowanie i weryfikowanie danych cudzoziemców za pomocą zaawansowanych algorytmów porównywania </w:t>
            </w:r>
            <w:r w:rsidRPr="008F2CC3">
              <w:rPr>
                <w:rFonts w:asciiTheme="minorHAnsi" w:hAnsiTheme="minorHAnsi" w:cstheme="minorHAnsi"/>
                <w:color w:val="000000" w:themeColor="text1"/>
                <w:sz w:val="18"/>
                <w:szCs w:val="18"/>
              </w:rPr>
              <w:lastRenderedPageBreak/>
              <w:t>danych alfanumerycznych oraz Systemu Porównywania Danych Biometrycznych (</w:t>
            </w:r>
            <w:proofErr w:type="spellStart"/>
            <w:r w:rsidRPr="008F2CC3">
              <w:rPr>
                <w:rFonts w:asciiTheme="minorHAnsi" w:hAnsiTheme="minorHAnsi" w:cstheme="minorHAnsi"/>
                <w:color w:val="000000" w:themeColor="text1"/>
                <w:sz w:val="18"/>
                <w:szCs w:val="18"/>
              </w:rPr>
              <w:t>Biometric</w:t>
            </w:r>
            <w:proofErr w:type="spellEnd"/>
            <w:r w:rsidRPr="008F2CC3">
              <w:rPr>
                <w:rFonts w:asciiTheme="minorHAnsi" w:hAnsiTheme="minorHAnsi" w:cstheme="minorHAnsi"/>
                <w:color w:val="000000" w:themeColor="text1"/>
                <w:sz w:val="18"/>
                <w:szCs w:val="18"/>
              </w:rPr>
              <w:t xml:space="preserve"> </w:t>
            </w:r>
            <w:proofErr w:type="spellStart"/>
            <w:r w:rsidRPr="008F2CC3">
              <w:rPr>
                <w:rFonts w:asciiTheme="minorHAnsi" w:hAnsiTheme="minorHAnsi" w:cstheme="minorHAnsi"/>
                <w:color w:val="000000" w:themeColor="text1"/>
                <w:sz w:val="18"/>
                <w:szCs w:val="18"/>
              </w:rPr>
              <w:t>Matching</w:t>
            </w:r>
            <w:proofErr w:type="spellEnd"/>
            <w:r w:rsidRPr="008F2CC3">
              <w:rPr>
                <w:rFonts w:asciiTheme="minorHAnsi" w:hAnsiTheme="minorHAnsi" w:cstheme="minorHAnsi"/>
                <w:color w:val="000000" w:themeColor="text1"/>
                <w:sz w:val="18"/>
                <w:szCs w:val="18"/>
              </w:rPr>
              <w:t xml:space="preserve"> System), jawi się jako rozwiązanie w postaci zautomatyzowanego przetwarzania danych biometrycznych, co stanowi wyjątkowo inwazyjną formą przetwarzania danych osobowych i jest obarczone wysokim ryzykiem naruszenia praw i wolności osób, których dane będą w takim systemie przetwarzane.</w:t>
            </w:r>
          </w:p>
          <w:p w14:paraId="141D07F3" w14:textId="77777777" w:rsidR="003C6A93" w:rsidRPr="008F2CC3" w:rsidRDefault="003C6A93" w:rsidP="003C6A93">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18"/>
                <w:szCs w:val="18"/>
                <w:lang w:eastAsia="pl-PL"/>
              </w:rPr>
            </w:pPr>
            <w:r w:rsidRPr="008F2CC3">
              <w:rPr>
                <w:rFonts w:asciiTheme="minorHAnsi" w:eastAsia="Times New Roman" w:hAnsiTheme="minorHAnsi" w:cstheme="minorHAnsi"/>
                <w:color w:val="000000" w:themeColor="text1"/>
                <w:sz w:val="18"/>
                <w:szCs w:val="18"/>
                <w:lang w:eastAsia="pl-PL"/>
              </w:rPr>
              <w:t>Dane biometryczne – zgodnie z art. 9 ust. 1 rozporządzenia 2016/679 – należą do danych szczególnych kategorii, których przetwarzanie wymaga zachowania szczególnego reżimu, a nie można jednocześnie pominąć, iż 18 kwietnia 2021 r.</w:t>
            </w:r>
          </w:p>
          <w:p w14:paraId="38C6B7BD" w14:textId="77777777" w:rsidR="003C6A93" w:rsidRPr="008F2CC3" w:rsidRDefault="003C6A93" w:rsidP="003C6A93">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18"/>
                <w:szCs w:val="18"/>
                <w:lang w:eastAsia="pl-PL"/>
              </w:rPr>
            </w:pPr>
            <w:r w:rsidRPr="008F2CC3">
              <w:rPr>
                <w:rFonts w:asciiTheme="minorHAnsi" w:eastAsia="Times New Roman" w:hAnsiTheme="minorHAnsi" w:cstheme="minorHAnsi"/>
                <w:color w:val="000000" w:themeColor="text1"/>
                <w:sz w:val="18"/>
                <w:szCs w:val="18"/>
                <w:lang w:eastAsia="pl-PL"/>
              </w:rPr>
              <w:t>Europejska Rada Ochrony Danych (EROD) i Europejski Inspektor Ochrony Danych (EIOD) wydali oświadczenie wzywające do zakazu wykorzystywania sztucznej inteligencji do automatycznego rozpoznawania cech ludzkich w przestrzeni publicznej oraz niektórych innych zastosowań sztucznej inteligencji, które mogą prowadzić do niesprawiedliwej dyskryminacji.</w:t>
            </w:r>
          </w:p>
          <w:p w14:paraId="02DAC14B" w14:textId="11BDB05B" w:rsidR="003C6A93" w:rsidRPr="008F2CC3" w:rsidRDefault="003C6A93" w:rsidP="007116F0">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18"/>
                <w:szCs w:val="18"/>
                <w:lang w:eastAsia="pl-PL"/>
              </w:rPr>
            </w:pPr>
            <w:r w:rsidRPr="008F2CC3">
              <w:rPr>
                <w:rFonts w:asciiTheme="minorHAnsi" w:eastAsia="Times New Roman" w:hAnsiTheme="minorHAnsi" w:cstheme="minorHAnsi"/>
                <w:color w:val="000000" w:themeColor="text1"/>
                <w:sz w:val="18"/>
                <w:szCs w:val="18"/>
                <w:lang w:eastAsia="pl-PL"/>
              </w:rPr>
              <w:t>Także we wdrażanym obecnie do polskiego porządku prawnego rozporządzeniu Parlamentu Europejskiego i Rady (UE) 2024/168915 w motywie 39 podkreślono, że „Wszelkie przetwarzanie danych biometrycznych i innych danych osobowych związane z wykorzystaniem systemów AI do identyfikacji biometrycznej, inne niż w związku z wykorzystywaniem systemów zdalnej identyfikacji biometrycznej w czasie rzeczywistym w przestrzeni publicznej w celu ścigania przestępstw zgodnie z przepisami niniejszego rozporządzenia, powinno pozostawać</w:t>
            </w:r>
            <w:r w:rsidR="007116F0" w:rsidRPr="008F2CC3">
              <w:rPr>
                <w:rFonts w:asciiTheme="minorHAnsi" w:eastAsia="Times New Roman" w:hAnsiTheme="minorHAnsi" w:cstheme="minorHAnsi"/>
                <w:color w:val="000000" w:themeColor="text1"/>
                <w:sz w:val="18"/>
                <w:szCs w:val="18"/>
                <w:lang w:eastAsia="pl-PL"/>
              </w:rPr>
              <w:t xml:space="preserve"> </w:t>
            </w:r>
            <w:r w:rsidRPr="008F2CC3">
              <w:rPr>
                <w:rFonts w:asciiTheme="minorHAnsi" w:hAnsiTheme="minorHAnsi" w:cstheme="minorHAnsi"/>
                <w:color w:val="000000" w:themeColor="text1"/>
                <w:sz w:val="18"/>
                <w:szCs w:val="18"/>
              </w:rPr>
              <w:t>zgodne z wymogami wynikającymi z art. 10 dyrektywy (UE) 2016/680. Do celów innych niż ściganie przestępstw art. 9 ust. 1 rozporządzenia (UE) 2016/679 i art. 10 ust. 1 rozporządzenia (UE) 2018/1725 zakazują przetwarzania danych biometrycznych z uwzględnieniem ograniczonej liczby wyjątków określonych w tych artykułach. W ramach stosowania art. 9 ust. 1 rozporządzenia (UE) 2016/679 wykorzystywanie zdalnej identyfikacji biometrycznej do celów innych niż ściganie przestępstw było już przedmiotem decyzji zakazujących takiego wykorzystywania, wydawanych przez krajowe organy ochrony danych”. Projektowane rozwiązanie budzi więc poważne wątpliwości także na gruncie ww. aktu prawnego.</w:t>
            </w:r>
          </w:p>
          <w:p w14:paraId="1D36172A" w14:textId="77777777" w:rsidR="003C6A93" w:rsidRPr="008F2CC3" w:rsidRDefault="003C6A93" w:rsidP="003C6A93">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18"/>
                <w:szCs w:val="18"/>
                <w:lang w:eastAsia="pl-PL"/>
              </w:rPr>
            </w:pPr>
            <w:r w:rsidRPr="008F2CC3">
              <w:rPr>
                <w:rFonts w:asciiTheme="minorHAnsi" w:eastAsia="Times New Roman" w:hAnsiTheme="minorHAnsi" w:cstheme="minorHAnsi"/>
                <w:color w:val="000000" w:themeColor="text1"/>
                <w:sz w:val="18"/>
                <w:szCs w:val="18"/>
                <w:lang w:eastAsia="pl-PL"/>
              </w:rPr>
              <w:lastRenderedPageBreak/>
              <w:t>Projektowaną zmianę ustawy o Straży Granicznej organ nadzorczy ocenia zatem negatywnie, jako zagrażającą realizacji zasad dotyczących przetwarzania danych osobowych: przejrzystości i legalizmu [art. 5 ust. 1 lit. a) rozporządzenia 2016/679], ograniczenia celu [art. 5 ust. 1 lit. b) rozporządzenia 2016/679], minimalizacji danych [art. 5 ust. 1 lit. c) rozporządzenia 2016/679], integralności i poufności [art. 5 ust. 1 lit. f) rozporządzenia 2016/679] oraz ograniczenia przechowania [art. 5 ust. 1 lit. e rozporządzenia 2016/679) i w wielkim stopniu ingerującą w prywatność osób, których dane mają być w KRC przetwarzane.</w:t>
            </w:r>
          </w:p>
          <w:p w14:paraId="1C33B275" w14:textId="2EA9C333" w:rsidR="007116F0" w:rsidRPr="008F2CC3" w:rsidRDefault="003C6A93" w:rsidP="007116F0">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18"/>
                <w:szCs w:val="18"/>
                <w:lang w:eastAsia="pl-PL"/>
              </w:rPr>
            </w:pPr>
            <w:r w:rsidRPr="008F2CC3">
              <w:rPr>
                <w:rFonts w:asciiTheme="minorHAnsi" w:eastAsia="Times New Roman" w:hAnsiTheme="minorHAnsi" w:cstheme="minorHAnsi"/>
                <w:color w:val="000000" w:themeColor="text1"/>
                <w:sz w:val="18"/>
                <w:szCs w:val="18"/>
                <w:lang w:eastAsia="pl-PL"/>
              </w:rPr>
              <w:t>Dlatego Prezes UODO wnioskuje o wyłączenie prac legislacyjnych dotyczących projektowanego KRC z projektu ustawy dotyczącego wdrożenia ETIAS i – ewentualne – oddzielne prowadzenie procesu opiniowania KRC, by nie zaburzyć wdrożenia ETIAS w polskim porządku prawnym.</w:t>
            </w:r>
          </w:p>
        </w:tc>
        <w:tc>
          <w:tcPr>
            <w:tcW w:w="3402" w:type="dxa"/>
            <w:gridSpan w:val="2"/>
          </w:tcPr>
          <w:p w14:paraId="27CC4A82" w14:textId="136213E2" w:rsidR="00A166BE" w:rsidRPr="008F2CC3" w:rsidRDefault="00A166BE"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0000" w:themeColor="text1"/>
                <w:sz w:val="18"/>
                <w:szCs w:val="18"/>
              </w:rPr>
            </w:pPr>
            <w:r w:rsidRPr="008F2CC3">
              <w:rPr>
                <w:rFonts w:asciiTheme="minorHAnsi" w:hAnsiTheme="minorHAnsi" w:cstheme="minorHAnsi"/>
                <w:b/>
                <w:bCs/>
                <w:color w:val="000000" w:themeColor="text1"/>
                <w:sz w:val="18"/>
                <w:szCs w:val="18"/>
              </w:rPr>
              <w:lastRenderedPageBreak/>
              <w:t>Nie uwzględniono</w:t>
            </w:r>
          </w:p>
          <w:p w14:paraId="02257A89" w14:textId="77777777" w:rsidR="00EF40EF" w:rsidRPr="008F2CC3" w:rsidRDefault="00EF40EF"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0000" w:themeColor="text1"/>
                <w:sz w:val="18"/>
                <w:szCs w:val="18"/>
              </w:rPr>
            </w:pPr>
          </w:p>
          <w:p w14:paraId="5E5D5158" w14:textId="04157344" w:rsidR="00A166BE" w:rsidRPr="008F2CC3" w:rsidRDefault="00EF40EF"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F2CC3">
              <w:rPr>
                <w:rFonts w:asciiTheme="minorHAnsi" w:hAnsiTheme="minorHAnsi" w:cstheme="minorHAnsi"/>
                <w:color w:val="000000" w:themeColor="text1"/>
                <w:sz w:val="18"/>
                <w:szCs w:val="18"/>
              </w:rPr>
              <w:t xml:space="preserve">Nie jest możliwe wyłączenie prac legislacyjnych dotyczących projektowanego Krajowego Rejestru Cudzoziemców (dalej: KRC) z projektu ustawy dotyczącego wdrożenia ETIAS i oddzielne prowadzenie procesu opiniowania KRC. </w:t>
            </w:r>
            <w:r w:rsidR="00A166BE" w:rsidRPr="008F2CC3">
              <w:rPr>
                <w:rFonts w:asciiTheme="minorHAnsi" w:hAnsiTheme="minorHAnsi" w:cstheme="minorHAnsi"/>
                <w:color w:val="000000" w:themeColor="text1"/>
                <w:sz w:val="18"/>
                <w:szCs w:val="18"/>
              </w:rPr>
              <w:t xml:space="preserve">W dobie zwiększonej mobilności ludzi oraz licznych zagrożeń międzynarodowych, niezbędne jest posiadanie narzędzi pozwalających na skuteczne monitorowanie i weryfikację cudzoziemców przebywających na terytorium kraju. Jednym z kluczowych elementów takiego podejścia jest budowa  KRC, który gromadziłby i przetwarzał dane cudzoziemców, zarówno alfanumeryczne, jak i biometryczne, w sposób </w:t>
            </w:r>
            <w:r w:rsidR="00A166BE" w:rsidRPr="008F2CC3">
              <w:rPr>
                <w:rFonts w:asciiTheme="minorHAnsi" w:hAnsiTheme="minorHAnsi" w:cstheme="minorHAnsi"/>
                <w:color w:val="000000" w:themeColor="text1"/>
                <w:sz w:val="18"/>
                <w:szCs w:val="18"/>
              </w:rPr>
              <w:t>skonsolidowany i spójny. Taki system będzie miał charakter jedyny i niepowtarzalny, a jego celem będzie nie tylko zwiększenie skuteczności działania służb</w:t>
            </w:r>
            <w:r w:rsidR="000D1B4B" w:rsidRPr="008F2CC3">
              <w:rPr>
                <w:rFonts w:asciiTheme="minorHAnsi" w:hAnsiTheme="minorHAnsi" w:cstheme="minorHAnsi"/>
                <w:color w:val="000000" w:themeColor="text1"/>
                <w:sz w:val="18"/>
                <w:szCs w:val="18"/>
              </w:rPr>
              <w:t xml:space="preserve"> i innych organów</w:t>
            </w:r>
            <w:r w:rsidR="00A166BE" w:rsidRPr="008F2CC3">
              <w:rPr>
                <w:rFonts w:asciiTheme="minorHAnsi" w:hAnsiTheme="minorHAnsi" w:cstheme="minorHAnsi"/>
                <w:color w:val="000000" w:themeColor="text1"/>
                <w:sz w:val="18"/>
                <w:szCs w:val="18"/>
              </w:rPr>
              <w:t xml:space="preserve">, ale również zapewnienie interoperacyjności danych z innymi systemami krajowymi oraz tworzenie </w:t>
            </w:r>
            <w:r w:rsidR="000D1B4B" w:rsidRPr="008F2CC3">
              <w:rPr>
                <w:rFonts w:asciiTheme="minorHAnsi" w:hAnsiTheme="minorHAnsi" w:cstheme="minorHAnsi"/>
                <w:color w:val="000000" w:themeColor="text1"/>
                <w:sz w:val="18"/>
                <w:szCs w:val="18"/>
              </w:rPr>
              <w:t>j</w:t>
            </w:r>
            <w:r w:rsidR="00A166BE" w:rsidRPr="008F2CC3">
              <w:rPr>
                <w:rFonts w:asciiTheme="minorHAnsi" w:hAnsiTheme="minorHAnsi" w:cstheme="minorHAnsi"/>
                <w:color w:val="000000" w:themeColor="text1"/>
                <w:sz w:val="18"/>
                <w:szCs w:val="18"/>
              </w:rPr>
              <w:t xml:space="preserve">ednolitej historii zdarzeń o cudzoziemcu. </w:t>
            </w:r>
          </w:p>
          <w:p w14:paraId="3D067BAE" w14:textId="77777777" w:rsidR="00A166BE" w:rsidRPr="008F2CC3" w:rsidRDefault="00A166BE"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F2CC3">
              <w:rPr>
                <w:rFonts w:asciiTheme="minorHAnsi" w:hAnsiTheme="minorHAnsi" w:cstheme="minorHAnsi"/>
                <w:color w:val="000000" w:themeColor="text1"/>
                <w:sz w:val="18"/>
                <w:szCs w:val="18"/>
              </w:rPr>
              <w:t>Aktualnie informacje dotyczące cudzoziemców znajdują się w wielu różnych rejestrach i bazach danych. Każdy z tych rejestrów i baz przechowuje inne dane, często w różnym formacie, z różnym poziomem aktualności oraz dokładności. Brak jednolitego punktu odniesienia powoduje ryzyko duplikacji tożsamości, braku rzetelnych danych lub trudności w ich integracji. Cudzoziemcy często posługują się różnymi dokumentami tożsamości – paszportami, kartami pobytu, wizami. W skrajnych przypadkach mogą przedstawiać fałszywe lub sfałszowane dokumenty. Brak spójnego systemu umożliwiającego jednoznaczną identyfikację osoby (np. na podstawie danych biometrycznych) może prowadzić do błędów identyfikacyjnych, wielokrotnego wprowadzania tej samej osoby do różnych rejestrów i baz pod różnymi danymi, a także trudności w ocenie historii pobytowej lub karalności danego cudzoziemca.</w:t>
            </w:r>
          </w:p>
          <w:p w14:paraId="34F08B4C" w14:textId="18D8DA83" w:rsidR="00A166BE" w:rsidRPr="008F2CC3" w:rsidRDefault="00A166BE"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F2CC3">
              <w:rPr>
                <w:rFonts w:asciiTheme="minorHAnsi" w:hAnsiTheme="minorHAnsi" w:cstheme="minorHAnsi"/>
                <w:color w:val="000000" w:themeColor="text1"/>
                <w:sz w:val="18"/>
                <w:szCs w:val="18"/>
              </w:rPr>
              <w:t xml:space="preserve">Koncepcja stworzenia i funkcjonowania KRC ma swoje źródło w działaniach inicjowanych i koordynowanych na poziomie resortu spraw wewnętrznych i administracji. Podstawę prawną dla podjęcia prac nad opracowaniem rozwiązań technicznych, organizacyjnych i legislacyjnych stanowi zarządzenie nr 62 Ministra Spraw Wewnętrznych i Administracji z dnia 30 listopada 2018 r. w sprawie powołania i trybu działania Zespołu do spraw utworzenia Krajowego Rejestru Cudzoziemców przebywających na terytorium Rzeczypospolitej Polskiej oraz ubiegających się o wjazd do strefy </w:t>
            </w:r>
            <w:proofErr w:type="spellStart"/>
            <w:r w:rsidRPr="008F2CC3">
              <w:rPr>
                <w:rFonts w:asciiTheme="minorHAnsi" w:hAnsiTheme="minorHAnsi" w:cstheme="minorHAnsi"/>
                <w:color w:val="000000" w:themeColor="text1"/>
                <w:sz w:val="18"/>
                <w:szCs w:val="18"/>
              </w:rPr>
              <w:t>Schengen</w:t>
            </w:r>
            <w:proofErr w:type="spellEnd"/>
            <w:r w:rsidRPr="008F2CC3">
              <w:rPr>
                <w:rFonts w:asciiTheme="minorHAnsi" w:hAnsiTheme="minorHAnsi" w:cstheme="minorHAnsi"/>
                <w:color w:val="000000" w:themeColor="text1"/>
                <w:sz w:val="18"/>
                <w:szCs w:val="18"/>
              </w:rPr>
              <w:t xml:space="preserve">, zmienione zarządzeniem nr 86 </w:t>
            </w:r>
            <w:r w:rsidRPr="008F2CC3">
              <w:rPr>
                <w:rFonts w:asciiTheme="minorHAnsi" w:hAnsiTheme="minorHAnsi" w:cstheme="minorHAnsi"/>
                <w:color w:val="000000" w:themeColor="text1"/>
                <w:sz w:val="18"/>
                <w:szCs w:val="18"/>
              </w:rPr>
              <w:lastRenderedPageBreak/>
              <w:t xml:space="preserve">Ministra  Spraw Wewnętrznych i Administracji z dnia 25 września 2020 r. </w:t>
            </w:r>
          </w:p>
          <w:p w14:paraId="649F45AD" w14:textId="1374E3AE" w:rsidR="00A166BE" w:rsidRPr="008F2CC3" w:rsidRDefault="00334094"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F2CC3">
              <w:rPr>
                <w:rFonts w:asciiTheme="minorHAnsi" w:hAnsiTheme="minorHAnsi" w:cstheme="minorHAnsi"/>
                <w:color w:val="000000" w:themeColor="text1"/>
                <w:sz w:val="18"/>
                <w:szCs w:val="18"/>
              </w:rPr>
              <w:t>P</w:t>
            </w:r>
            <w:r w:rsidR="00A166BE" w:rsidRPr="008F2CC3">
              <w:rPr>
                <w:rFonts w:asciiTheme="minorHAnsi" w:hAnsiTheme="minorHAnsi" w:cstheme="minorHAnsi"/>
                <w:color w:val="000000" w:themeColor="text1"/>
                <w:sz w:val="18"/>
                <w:szCs w:val="18"/>
              </w:rPr>
              <w:t xml:space="preserve">rzedmiotowe narzędzie </w:t>
            </w:r>
            <w:r w:rsidRPr="008F2CC3">
              <w:rPr>
                <w:rFonts w:asciiTheme="minorHAnsi" w:hAnsiTheme="minorHAnsi" w:cstheme="minorHAnsi"/>
                <w:color w:val="000000" w:themeColor="text1"/>
                <w:sz w:val="18"/>
                <w:szCs w:val="18"/>
              </w:rPr>
              <w:t xml:space="preserve">jest </w:t>
            </w:r>
            <w:r w:rsidR="00A166BE" w:rsidRPr="008F2CC3">
              <w:rPr>
                <w:rFonts w:asciiTheme="minorHAnsi" w:hAnsiTheme="minorHAnsi" w:cstheme="minorHAnsi"/>
                <w:color w:val="000000" w:themeColor="text1"/>
                <w:sz w:val="18"/>
                <w:szCs w:val="18"/>
              </w:rPr>
              <w:t>budowane zgodnie z Koncepcją budowy i wdrożenia Krajowego Rejestru Cudzoziemców Etap I z 2018 r. Natomiast szczegóły dotyczące implementacji danych będących w</w:t>
            </w:r>
            <w:r w:rsidRPr="008F2CC3">
              <w:rPr>
                <w:rFonts w:asciiTheme="minorHAnsi" w:hAnsiTheme="minorHAnsi" w:cstheme="minorHAnsi"/>
                <w:color w:val="000000" w:themeColor="text1"/>
                <w:sz w:val="18"/>
                <w:szCs w:val="18"/>
              </w:rPr>
              <w:t xml:space="preserve"> </w:t>
            </w:r>
            <w:r w:rsidR="00A166BE" w:rsidRPr="008F2CC3">
              <w:rPr>
                <w:rFonts w:asciiTheme="minorHAnsi" w:hAnsiTheme="minorHAnsi" w:cstheme="minorHAnsi"/>
                <w:color w:val="000000" w:themeColor="text1"/>
                <w:sz w:val="18"/>
                <w:szCs w:val="18"/>
              </w:rPr>
              <w:t xml:space="preserve">dyspozycji Szefa Urzędu do Spraw Cudzoziemców, celem zasilania Krajowego Rejestru Cudzoziemców zostały opisane w dokumencie „Procedura importu danych na potrzeby Krajowego Rejestru Cudzoziemców” zaakceptowanym w dniu 2 stycznia 2019 r. przez Komendanta Głównego Straży Granicznej oraz Szefa Urzędu do Spraw Cudzoziemców.  Krajowy Rejestr Cudzoziemców, w zakresie w jakim </w:t>
            </w:r>
            <w:r w:rsidRPr="008F2CC3">
              <w:rPr>
                <w:rFonts w:asciiTheme="minorHAnsi" w:hAnsiTheme="minorHAnsi" w:cstheme="minorHAnsi"/>
                <w:b/>
                <w:bCs/>
                <w:color w:val="000000" w:themeColor="text1"/>
                <w:sz w:val="18"/>
                <w:szCs w:val="18"/>
              </w:rPr>
              <w:t>ma być w przyszłości wykorzystywany przez inne służby</w:t>
            </w:r>
            <w:r w:rsidR="0077028B" w:rsidRPr="008F2CC3">
              <w:rPr>
                <w:rFonts w:asciiTheme="minorHAnsi" w:hAnsiTheme="minorHAnsi" w:cstheme="minorHAnsi"/>
                <w:b/>
                <w:bCs/>
                <w:color w:val="000000" w:themeColor="text1"/>
                <w:sz w:val="18"/>
                <w:szCs w:val="18"/>
              </w:rPr>
              <w:t xml:space="preserve"> i organy</w:t>
            </w:r>
            <w:r w:rsidRPr="008F2CC3">
              <w:rPr>
                <w:rFonts w:asciiTheme="minorHAnsi" w:hAnsiTheme="minorHAnsi" w:cstheme="minorHAnsi"/>
                <w:color w:val="000000" w:themeColor="text1"/>
                <w:sz w:val="18"/>
                <w:szCs w:val="18"/>
              </w:rPr>
              <w:t xml:space="preserve">, jest </w:t>
            </w:r>
            <w:r w:rsidR="00A166BE" w:rsidRPr="008F2CC3">
              <w:rPr>
                <w:rFonts w:asciiTheme="minorHAnsi" w:hAnsiTheme="minorHAnsi" w:cstheme="minorHAnsi"/>
                <w:color w:val="000000" w:themeColor="text1"/>
                <w:sz w:val="18"/>
                <w:szCs w:val="18"/>
              </w:rPr>
              <w:t xml:space="preserve">niezmiennie </w:t>
            </w:r>
            <w:r w:rsidRPr="008F2CC3">
              <w:rPr>
                <w:rFonts w:asciiTheme="minorHAnsi" w:hAnsiTheme="minorHAnsi" w:cstheme="minorHAnsi"/>
                <w:color w:val="000000" w:themeColor="text1"/>
                <w:sz w:val="18"/>
                <w:szCs w:val="18"/>
              </w:rPr>
              <w:t xml:space="preserve">wymieniany </w:t>
            </w:r>
            <w:r w:rsidR="00A166BE" w:rsidRPr="008F2CC3">
              <w:rPr>
                <w:rFonts w:asciiTheme="minorHAnsi" w:hAnsiTheme="minorHAnsi" w:cstheme="minorHAnsi"/>
                <w:color w:val="000000" w:themeColor="text1"/>
                <w:sz w:val="18"/>
                <w:szCs w:val="18"/>
              </w:rPr>
              <w:t>w dokumentach</w:t>
            </w:r>
            <w:r w:rsidRPr="008F2CC3">
              <w:rPr>
                <w:rFonts w:asciiTheme="minorHAnsi" w:hAnsiTheme="minorHAnsi" w:cstheme="minorHAnsi"/>
                <w:color w:val="000000" w:themeColor="text1"/>
                <w:sz w:val="18"/>
                <w:szCs w:val="18"/>
              </w:rPr>
              <w:t xml:space="preserve"> </w:t>
            </w:r>
            <w:r w:rsidR="00A166BE" w:rsidRPr="008F2CC3">
              <w:rPr>
                <w:rFonts w:asciiTheme="minorHAnsi" w:hAnsiTheme="minorHAnsi" w:cstheme="minorHAnsi"/>
                <w:color w:val="000000" w:themeColor="text1"/>
                <w:sz w:val="18"/>
                <w:szCs w:val="18"/>
              </w:rPr>
              <w:t>przyjmowanych na szczeblu Ministerstwa Spraw Wewnętrznych i Administracji oraz rządowym (Architektura Informacyjna Państwa), a także uwzględniany z aktualnie realizowanymi lub planowanymi przedsięwzięciami na szczeblu rządowym.</w:t>
            </w:r>
          </w:p>
          <w:p w14:paraId="4D40F38F" w14:textId="5A57FE99" w:rsidR="00A166BE" w:rsidRPr="00BF3B67" w:rsidRDefault="00A166BE"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0000" w:themeColor="text1"/>
                <w:sz w:val="18"/>
                <w:szCs w:val="18"/>
              </w:rPr>
            </w:pPr>
            <w:r w:rsidRPr="008F2CC3">
              <w:rPr>
                <w:rFonts w:asciiTheme="minorHAnsi" w:hAnsiTheme="minorHAnsi" w:cstheme="minorHAnsi"/>
                <w:color w:val="000000" w:themeColor="text1"/>
                <w:sz w:val="18"/>
                <w:szCs w:val="18"/>
              </w:rPr>
              <w:t>Krajowy Rejestr Cudzoziemców jest narzędziem wykorzystywanym obecnie do obsługi systemowej w zakresie weryfikacji tożsamości obywateli Ukrainy, korzystających ze świadczeń socjalnych uzyskiwanych na podstawie ustawy z dnia 12 marca 2022 r.  o pomocy obywatelom Ukrainy w związku z konfliktem zbrojnym na terytorium tego państwa (Dz. U. z 2025 r. poz. 337). Jest narzędziem, które w dobie kryzysu migracyjnego, wywołanego wojną na terytorium Ukrainy, znalazło natychmiastowe zastosowanie przy tworzeniu Rejestru Wjazdów i Złożonych Wniosków obywateli objętych ochroną na podstawie przepisów wskazanej ustawy, co wówczas miało kluczowe znaczenie dla bezpieczeństwa państwa.</w:t>
            </w:r>
            <w:r w:rsidR="00334094" w:rsidRPr="008F2CC3">
              <w:rPr>
                <w:rFonts w:asciiTheme="minorHAnsi" w:hAnsiTheme="minorHAnsi" w:cstheme="minorHAnsi"/>
                <w:color w:val="000000" w:themeColor="text1"/>
                <w:sz w:val="18"/>
                <w:szCs w:val="18"/>
              </w:rPr>
              <w:t xml:space="preserve"> </w:t>
            </w:r>
            <w:r w:rsidR="00334094" w:rsidRPr="00BF3B67">
              <w:rPr>
                <w:rFonts w:asciiTheme="minorHAnsi" w:hAnsiTheme="minorHAnsi" w:cstheme="minorHAnsi"/>
                <w:b/>
                <w:bCs/>
                <w:color w:val="000000" w:themeColor="text1"/>
                <w:sz w:val="18"/>
                <w:szCs w:val="18"/>
              </w:rPr>
              <w:t>Rozbudowa narzędzia i stworzenie odpowiednich ram prawnych jest niezbędne dla</w:t>
            </w:r>
            <w:r w:rsidR="0077028B" w:rsidRPr="00BF3B67">
              <w:rPr>
                <w:rFonts w:asciiTheme="minorHAnsi" w:hAnsiTheme="minorHAnsi" w:cstheme="minorHAnsi"/>
                <w:b/>
                <w:bCs/>
                <w:color w:val="000000" w:themeColor="text1"/>
                <w:sz w:val="18"/>
                <w:szCs w:val="18"/>
              </w:rPr>
              <w:t xml:space="preserve"> jego </w:t>
            </w:r>
            <w:r w:rsidR="00334094" w:rsidRPr="00BF3B67">
              <w:rPr>
                <w:rFonts w:asciiTheme="minorHAnsi" w:hAnsiTheme="minorHAnsi" w:cstheme="minorHAnsi"/>
                <w:b/>
                <w:bCs/>
                <w:color w:val="000000" w:themeColor="text1"/>
                <w:sz w:val="18"/>
                <w:szCs w:val="18"/>
              </w:rPr>
              <w:t xml:space="preserve"> </w:t>
            </w:r>
            <w:r w:rsidR="0077028B" w:rsidRPr="00BF3B67">
              <w:rPr>
                <w:rFonts w:asciiTheme="minorHAnsi" w:hAnsiTheme="minorHAnsi" w:cstheme="minorHAnsi"/>
                <w:b/>
                <w:bCs/>
                <w:color w:val="000000" w:themeColor="text1"/>
                <w:sz w:val="18"/>
                <w:szCs w:val="18"/>
              </w:rPr>
              <w:t xml:space="preserve">dalszego rozwoju i umożliwienia </w:t>
            </w:r>
            <w:r w:rsidR="00334094" w:rsidRPr="00BF3B67">
              <w:rPr>
                <w:rFonts w:asciiTheme="minorHAnsi" w:hAnsiTheme="minorHAnsi" w:cstheme="minorHAnsi"/>
                <w:b/>
                <w:bCs/>
                <w:color w:val="000000" w:themeColor="text1"/>
                <w:sz w:val="18"/>
                <w:szCs w:val="18"/>
              </w:rPr>
              <w:t xml:space="preserve">realizacji </w:t>
            </w:r>
            <w:r w:rsidR="00334094" w:rsidRPr="00BF3B67">
              <w:rPr>
                <w:rFonts w:asciiTheme="minorHAnsi" w:hAnsiTheme="minorHAnsi" w:cstheme="minorHAnsi"/>
                <w:b/>
                <w:bCs/>
                <w:color w:val="000000" w:themeColor="text1"/>
                <w:sz w:val="18"/>
                <w:szCs w:val="18"/>
              </w:rPr>
              <w:lastRenderedPageBreak/>
              <w:t>określonych potrzeb</w:t>
            </w:r>
            <w:r w:rsidR="0077028B" w:rsidRPr="00BF3B67">
              <w:rPr>
                <w:rFonts w:asciiTheme="minorHAnsi" w:hAnsiTheme="minorHAnsi" w:cstheme="minorHAnsi"/>
                <w:b/>
                <w:bCs/>
                <w:color w:val="000000" w:themeColor="text1"/>
                <w:sz w:val="18"/>
                <w:szCs w:val="18"/>
              </w:rPr>
              <w:t xml:space="preserve"> (zadań)</w:t>
            </w:r>
            <w:r w:rsidR="00334094" w:rsidRPr="00BF3B67">
              <w:rPr>
                <w:rFonts w:asciiTheme="minorHAnsi" w:hAnsiTheme="minorHAnsi" w:cstheme="minorHAnsi"/>
                <w:b/>
                <w:bCs/>
                <w:color w:val="000000" w:themeColor="text1"/>
                <w:sz w:val="18"/>
                <w:szCs w:val="18"/>
              </w:rPr>
              <w:t xml:space="preserve"> innych podmiotów (ZUS, </w:t>
            </w:r>
            <w:proofErr w:type="spellStart"/>
            <w:r w:rsidR="00334094" w:rsidRPr="00BF3B67">
              <w:rPr>
                <w:rFonts w:asciiTheme="minorHAnsi" w:hAnsiTheme="minorHAnsi" w:cstheme="minorHAnsi"/>
                <w:b/>
                <w:bCs/>
                <w:color w:val="000000" w:themeColor="text1"/>
                <w:sz w:val="18"/>
                <w:szCs w:val="18"/>
              </w:rPr>
              <w:t>MRiPS</w:t>
            </w:r>
            <w:proofErr w:type="spellEnd"/>
            <w:r w:rsidR="00334094" w:rsidRPr="00BF3B67">
              <w:rPr>
                <w:rFonts w:asciiTheme="minorHAnsi" w:hAnsiTheme="minorHAnsi" w:cstheme="minorHAnsi"/>
                <w:b/>
                <w:bCs/>
                <w:color w:val="000000" w:themeColor="text1"/>
                <w:sz w:val="18"/>
                <w:szCs w:val="18"/>
              </w:rPr>
              <w:t xml:space="preserve">, </w:t>
            </w:r>
            <w:proofErr w:type="spellStart"/>
            <w:r w:rsidR="00334094" w:rsidRPr="00BF3B67">
              <w:rPr>
                <w:rFonts w:asciiTheme="minorHAnsi" w:hAnsiTheme="minorHAnsi" w:cstheme="minorHAnsi"/>
                <w:b/>
                <w:bCs/>
                <w:color w:val="000000" w:themeColor="text1"/>
                <w:sz w:val="18"/>
                <w:szCs w:val="18"/>
              </w:rPr>
              <w:t>UdsC</w:t>
            </w:r>
            <w:proofErr w:type="spellEnd"/>
            <w:r w:rsidR="00334094" w:rsidRPr="00BF3B67">
              <w:rPr>
                <w:rFonts w:asciiTheme="minorHAnsi" w:hAnsiTheme="minorHAnsi" w:cstheme="minorHAnsi"/>
                <w:b/>
                <w:bCs/>
                <w:color w:val="000000" w:themeColor="text1"/>
                <w:sz w:val="18"/>
                <w:szCs w:val="18"/>
              </w:rPr>
              <w:t>, itd.), zasilania danymi zewnętrznymi tych podmiotów i udostępniania im danych w jednym narzędziu, w sposób skonsolidowany i ujednolicony.</w:t>
            </w:r>
          </w:p>
          <w:p w14:paraId="4FCC9C80" w14:textId="78220392" w:rsidR="00A166BE" w:rsidRPr="00BF3B67" w:rsidRDefault="00A166BE"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BF3B67">
              <w:rPr>
                <w:rFonts w:asciiTheme="minorHAnsi" w:hAnsiTheme="minorHAnsi" w:cstheme="minorHAnsi"/>
                <w:color w:val="000000" w:themeColor="text1"/>
                <w:sz w:val="18"/>
                <w:szCs w:val="18"/>
              </w:rPr>
              <w:t xml:space="preserve">Dla realizacji celów określonych w rozporządzeniu Parlamentu Europejskiego i Rady (UE) 2018//1240 z  dnia 12 września 2018 r. ustanawiające europejski system informacji o podróży oraz zezwoleń na podróż (ETIAS) i zmieniające rozporządzenia (UE) nr 1077/2011, (UE) nr 515/2014, (UE) 2016/399, (UE) 2016/1624 i (UE) 2017/2226, które to będą osiągane poprzez wykonywanie zadań Jednostki Krajowej ETIAS również </w:t>
            </w:r>
            <w:r w:rsidR="0077028B" w:rsidRPr="00BF3B67">
              <w:rPr>
                <w:rFonts w:asciiTheme="minorHAnsi" w:hAnsiTheme="minorHAnsi" w:cstheme="minorHAnsi"/>
                <w:color w:val="000000" w:themeColor="text1"/>
                <w:sz w:val="18"/>
                <w:szCs w:val="18"/>
              </w:rPr>
              <w:t>przy</w:t>
            </w:r>
            <w:r w:rsidRPr="00BF3B67">
              <w:rPr>
                <w:rFonts w:asciiTheme="minorHAnsi" w:hAnsiTheme="minorHAnsi" w:cstheme="minorHAnsi"/>
                <w:color w:val="000000" w:themeColor="text1"/>
                <w:sz w:val="18"/>
                <w:szCs w:val="18"/>
              </w:rPr>
              <w:t xml:space="preserve"> pomoc</w:t>
            </w:r>
            <w:r w:rsidR="0077028B" w:rsidRPr="00BF3B67">
              <w:rPr>
                <w:rFonts w:asciiTheme="minorHAnsi" w:hAnsiTheme="minorHAnsi" w:cstheme="minorHAnsi"/>
                <w:color w:val="000000" w:themeColor="text1"/>
                <w:sz w:val="18"/>
                <w:szCs w:val="18"/>
              </w:rPr>
              <w:t>y</w:t>
            </w:r>
            <w:r w:rsidRPr="00BF3B67">
              <w:rPr>
                <w:rFonts w:asciiTheme="minorHAnsi" w:hAnsiTheme="minorHAnsi" w:cstheme="minorHAnsi"/>
                <w:color w:val="000000" w:themeColor="text1"/>
                <w:sz w:val="18"/>
                <w:szCs w:val="18"/>
              </w:rPr>
              <w:t xml:space="preserve"> Krajowego Rejestru Cudzoziemców w celu realizacji zadań Jednostki Krajowej ETIAS. Mając na względzie konieczność pozyskiwania i udostępniania danych, należało zaproponować stosowne przepisy ustawowe, które</w:t>
            </w:r>
            <w:r w:rsidR="0077028B" w:rsidRPr="00BF3B67">
              <w:rPr>
                <w:rFonts w:asciiTheme="minorHAnsi" w:hAnsiTheme="minorHAnsi" w:cstheme="minorHAnsi"/>
                <w:color w:val="000000" w:themeColor="text1"/>
                <w:sz w:val="18"/>
                <w:szCs w:val="18"/>
              </w:rPr>
              <w:t xml:space="preserve"> pozwolą na szersze wykorzystanie przedmiotowego narzędzia oraz zapewnią właściwą rangę </w:t>
            </w:r>
            <w:r w:rsidRPr="00BF3B67">
              <w:rPr>
                <w:rFonts w:asciiTheme="minorHAnsi" w:hAnsiTheme="minorHAnsi" w:cstheme="minorHAnsi"/>
                <w:color w:val="000000" w:themeColor="text1"/>
                <w:sz w:val="18"/>
                <w:szCs w:val="18"/>
              </w:rPr>
              <w:t>regul</w:t>
            </w:r>
            <w:r w:rsidR="00F10531" w:rsidRPr="00BF3B67">
              <w:rPr>
                <w:rFonts w:asciiTheme="minorHAnsi" w:hAnsiTheme="minorHAnsi" w:cstheme="minorHAnsi"/>
                <w:color w:val="000000" w:themeColor="text1"/>
                <w:sz w:val="18"/>
                <w:szCs w:val="18"/>
              </w:rPr>
              <w:t>acji</w:t>
            </w:r>
            <w:r w:rsidRPr="00BF3B67">
              <w:rPr>
                <w:rFonts w:asciiTheme="minorHAnsi" w:hAnsiTheme="minorHAnsi" w:cstheme="minorHAnsi"/>
                <w:color w:val="000000" w:themeColor="text1"/>
                <w:sz w:val="18"/>
                <w:szCs w:val="18"/>
              </w:rPr>
              <w:t xml:space="preserve"> przedmiotow</w:t>
            </w:r>
            <w:r w:rsidR="00F10531" w:rsidRPr="00BF3B67">
              <w:rPr>
                <w:rFonts w:asciiTheme="minorHAnsi" w:hAnsiTheme="minorHAnsi" w:cstheme="minorHAnsi"/>
                <w:color w:val="000000" w:themeColor="text1"/>
                <w:sz w:val="18"/>
                <w:szCs w:val="18"/>
              </w:rPr>
              <w:t>ej</w:t>
            </w:r>
            <w:r w:rsidRPr="00BF3B67">
              <w:rPr>
                <w:rFonts w:asciiTheme="minorHAnsi" w:hAnsiTheme="minorHAnsi" w:cstheme="minorHAnsi"/>
                <w:color w:val="000000" w:themeColor="text1"/>
                <w:sz w:val="18"/>
                <w:szCs w:val="18"/>
              </w:rPr>
              <w:t xml:space="preserve"> materi</w:t>
            </w:r>
            <w:r w:rsidR="00F10531" w:rsidRPr="00BF3B67">
              <w:rPr>
                <w:rFonts w:asciiTheme="minorHAnsi" w:hAnsiTheme="minorHAnsi" w:cstheme="minorHAnsi"/>
                <w:color w:val="000000" w:themeColor="text1"/>
                <w:sz w:val="18"/>
                <w:szCs w:val="18"/>
              </w:rPr>
              <w:t>i</w:t>
            </w:r>
            <w:r w:rsidRPr="00BF3B67">
              <w:rPr>
                <w:rFonts w:asciiTheme="minorHAnsi" w:hAnsiTheme="minorHAnsi" w:cstheme="minorHAnsi"/>
                <w:color w:val="000000" w:themeColor="text1"/>
                <w:sz w:val="18"/>
                <w:szCs w:val="18"/>
              </w:rPr>
              <w:t xml:space="preserve">. Przedmiotowe założenia zostały szczegółowo opisane w zatwierdzonym przez Pełnomocnika Rządu ds. Systemów Wielkoskalowych Planie Projektu ETIAS. </w:t>
            </w:r>
          </w:p>
          <w:p w14:paraId="779CB563" w14:textId="77777777" w:rsidR="00A166BE" w:rsidRPr="00BF3B67" w:rsidRDefault="00A166BE"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BF3B67">
              <w:rPr>
                <w:rFonts w:asciiTheme="minorHAnsi" w:hAnsiTheme="minorHAnsi" w:cstheme="minorHAnsi"/>
                <w:color w:val="000000" w:themeColor="text1"/>
                <w:sz w:val="18"/>
                <w:szCs w:val="18"/>
              </w:rPr>
              <w:t xml:space="preserve">Na podstawie m.in. powyższego dokumentu opracowano Plan Dostosowania Organów Polskiej Administracji do Współpracy z Przebudowanymi Wielkoskalowymi Systemami Informacyjnymi UE - </w:t>
            </w:r>
            <w:proofErr w:type="spellStart"/>
            <w:r w:rsidRPr="00BF3B67">
              <w:rPr>
                <w:rFonts w:asciiTheme="minorHAnsi" w:hAnsiTheme="minorHAnsi" w:cstheme="minorHAnsi"/>
                <w:color w:val="000000" w:themeColor="text1"/>
                <w:sz w:val="18"/>
                <w:szCs w:val="18"/>
              </w:rPr>
              <w:t>MasterPlan</w:t>
            </w:r>
            <w:proofErr w:type="spellEnd"/>
            <w:r w:rsidRPr="00BF3B67">
              <w:rPr>
                <w:rFonts w:asciiTheme="minorHAnsi" w:hAnsiTheme="minorHAnsi" w:cstheme="minorHAnsi"/>
                <w:color w:val="000000" w:themeColor="text1"/>
                <w:sz w:val="18"/>
                <w:szCs w:val="18"/>
              </w:rPr>
              <w:t xml:space="preserve"> 2.0. W dniu 22 listopada 2024 r. Rada Programu Zespołu ds. Zapewniania Współpracy Polskiej Administracji Rządowej z Wielkoskalowymi Systemami Informacyjnymi Unii Europejskiej przyjęła uchwałę w sprawie zatwierdzenia przedmiotowego dokumentu. Zgodnie z ww. dokumentem w dziale 6.4 Zakres zmian prawnych cyt.: „uchwalenie odrębnych ustaw dla każdego systemu: EES, ETIAS (wraz z KRC), Interoperacyjności”. Przedmiotowy dokument został przyjęty </w:t>
            </w:r>
            <w:r w:rsidRPr="00BF3B67">
              <w:rPr>
                <w:rFonts w:asciiTheme="minorHAnsi" w:hAnsiTheme="minorHAnsi" w:cstheme="minorHAnsi"/>
                <w:color w:val="000000" w:themeColor="text1"/>
                <w:sz w:val="18"/>
                <w:szCs w:val="18"/>
              </w:rPr>
              <w:lastRenderedPageBreak/>
              <w:t>przez Komitet Rady Ministrów ds. Cyfryzacji w dniu 7 stycznia br., a następnie dnia 27 marca 2025 r. przez Radę Ministrów (informacja i dokument przekazany do Zastępcy Komendanta Głównego Straży Granicznej – pismo Pełnomocnika Rządu ds. Wielkoskalowych Systemów Informacyjnych Unii Europejskiej Sekretarza Stanu Tomasza Szymańskiego nr DT-WWSIUE.08160.12.3.2025, z dnia 7 kwietnia 2025 r.).</w:t>
            </w:r>
          </w:p>
          <w:p w14:paraId="38C52AA7" w14:textId="2FE76505" w:rsidR="00A166BE" w:rsidRPr="00BF3B67" w:rsidRDefault="005D7060"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BF3B67">
              <w:rPr>
                <w:rFonts w:asciiTheme="minorHAnsi" w:hAnsiTheme="minorHAnsi" w:cstheme="minorHAnsi"/>
                <w:color w:val="000000" w:themeColor="text1"/>
                <w:sz w:val="18"/>
                <w:szCs w:val="18"/>
              </w:rPr>
              <w:t>K</w:t>
            </w:r>
            <w:r w:rsidR="00A166BE" w:rsidRPr="00BF3B67">
              <w:rPr>
                <w:rFonts w:asciiTheme="minorHAnsi" w:hAnsiTheme="minorHAnsi" w:cstheme="minorHAnsi"/>
                <w:color w:val="000000" w:themeColor="text1"/>
                <w:sz w:val="18"/>
                <w:szCs w:val="18"/>
              </w:rPr>
              <w:t>oncepcja i cel integracji oraz weryfikacji danych cudzoziemców rozproszonych w różnych systemach teleinformatycznych organów administracji i innych podmiotów realizujących zadania i czynności dotyczące cudzoziemców</w:t>
            </w:r>
            <w:r w:rsidRPr="00BF3B67">
              <w:rPr>
                <w:rFonts w:asciiTheme="minorHAnsi" w:hAnsiTheme="minorHAnsi" w:cstheme="minorHAnsi"/>
                <w:color w:val="000000" w:themeColor="text1"/>
                <w:sz w:val="18"/>
                <w:szCs w:val="18"/>
              </w:rPr>
              <w:t xml:space="preserve"> jest aktualny w obecnej sytuacji geopolitycznej i migracyjnej.</w:t>
            </w:r>
          </w:p>
          <w:p w14:paraId="6CFFB6C6" w14:textId="4C9A19E6" w:rsidR="00A166BE" w:rsidRPr="00BF3B67" w:rsidRDefault="00A166BE"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0000" w:themeColor="text1"/>
                <w:sz w:val="18"/>
                <w:szCs w:val="18"/>
              </w:rPr>
            </w:pPr>
            <w:r w:rsidRPr="00BF3B67">
              <w:rPr>
                <w:rFonts w:asciiTheme="minorHAnsi" w:hAnsiTheme="minorHAnsi" w:cstheme="minorHAnsi"/>
                <w:color w:val="000000" w:themeColor="text1"/>
                <w:sz w:val="18"/>
                <w:szCs w:val="18"/>
              </w:rPr>
              <w:t xml:space="preserve">Odnosząc się do podniesionej w piśmie </w:t>
            </w:r>
            <w:r w:rsidR="00F10531" w:rsidRPr="00BF3B67">
              <w:rPr>
                <w:rFonts w:asciiTheme="minorHAnsi" w:hAnsiTheme="minorHAnsi" w:cstheme="minorHAnsi"/>
                <w:color w:val="000000" w:themeColor="text1"/>
                <w:sz w:val="18"/>
                <w:szCs w:val="18"/>
              </w:rPr>
              <w:t>P</w:t>
            </w:r>
            <w:r w:rsidRPr="00BF3B67">
              <w:rPr>
                <w:rFonts w:asciiTheme="minorHAnsi" w:hAnsiTheme="minorHAnsi" w:cstheme="minorHAnsi"/>
                <w:color w:val="000000" w:themeColor="text1"/>
                <w:sz w:val="18"/>
                <w:szCs w:val="18"/>
              </w:rPr>
              <w:t xml:space="preserve">UODO kwestii przetwarzania danych biometrycznych </w:t>
            </w:r>
            <w:r w:rsidR="005D7060" w:rsidRPr="00BF3B67">
              <w:rPr>
                <w:rFonts w:asciiTheme="minorHAnsi" w:hAnsiTheme="minorHAnsi" w:cstheme="minorHAnsi"/>
                <w:color w:val="000000" w:themeColor="text1"/>
                <w:sz w:val="18"/>
                <w:szCs w:val="18"/>
              </w:rPr>
              <w:t>należy</w:t>
            </w:r>
            <w:r w:rsidRPr="00BF3B67">
              <w:rPr>
                <w:rFonts w:asciiTheme="minorHAnsi" w:hAnsiTheme="minorHAnsi" w:cstheme="minorHAnsi"/>
                <w:color w:val="000000" w:themeColor="text1"/>
                <w:sz w:val="18"/>
                <w:szCs w:val="18"/>
              </w:rPr>
              <w:t xml:space="preserve"> zauważyć, ze jest ona uregulowana w przepisach krajowych, odnoszących się do S</w:t>
            </w:r>
            <w:r w:rsidR="00F10531" w:rsidRPr="00BF3B67">
              <w:rPr>
                <w:rFonts w:asciiTheme="minorHAnsi" w:hAnsiTheme="minorHAnsi" w:cstheme="minorHAnsi"/>
                <w:color w:val="000000" w:themeColor="text1"/>
                <w:sz w:val="18"/>
                <w:szCs w:val="18"/>
              </w:rPr>
              <w:t xml:space="preserve">traży </w:t>
            </w:r>
            <w:r w:rsidRPr="00BF3B67">
              <w:rPr>
                <w:rFonts w:asciiTheme="minorHAnsi" w:hAnsiTheme="minorHAnsi" w:cstheme="minorHAnsi"/>
                <w:color w:val="000000" w:themeColor="text1"/>
                <w:sz w:val="18"/>
                <w:szCs w:val="18"/>
              </w:rPr>
              <w:t>G</w:t>
            </w:r>
            <w:r w:rsidR="00F10531" w:rsidRPr="00BF3B67">
              <w:rPr>
                <w:rFonts w:asciiTheme="minorHAnsi" w:hAnsiTheme="minorHAnsi" w:cstheme="minorHAnsi"/>
                <w:color w:val="000000" w:themeColor="text1"/>
                <w:sz w:val="18"/>
                <w:szCs w:val="18"/>
              </w:rPr>
              <w:t>ranicznej</w:t>
            </w:r>
            <w:r w:rsidRPr="00BF3B67">
              <w:rPr>
                <w:rFonts w:asciiTheme="minorHAnsi" w:hAnsiTheme="minorHAnsi" w:cstheme="minorHAnsi"/>
                <w:color w:val="000000" w:themeColor="text1"/>
                <w:sz w:val="18"/>
                <w:szCs w:val="18"/>
              </w:rPr>
              <w:t xml:space="preserve">, w tym między innymi: w </w:t>
            </w:r>
            <w:r w:rsidR="00F10531" w:rsidRPr="00BF3B67">
              <w:rPr>
                <w:rFonts w:asciiTheme="minorHAnsi" w:hAnsiTheme="minorHAnsi" w:cstheme="minorHAnsi"/>
                <w:color w:val="000000" w:themeColor="text1"/>
                <w:sz w:val="18"/>
                <w:szCs w:val="18"/>
              </w:rPr>
              <w:t>u</w:t>
            </w:r>
            <w:r w:rsidRPr="00BF3B67">
              <w:rPr>
                <w:rFonts w:asciiTheme="minorHAnsi" w:hAnsiTheme="minorHAnsi" w:cstheme="minorHAnsi"/>
                <w:color w:val="000000" w:themeColor="text1"/>
                <w:sz w:val="18"/>
                <w:szCs w:val="18"/>
              </w:rPr>
              <w:t xml:space="preserve">stawie z dnia 12 października 1990 r. o Straży Granicznej ( Dz. U. z 2025 r., poz. 914) oraz ustawie z dnia 12 marca 2022 r. o pomocy obywatelom Ukrainy w związku z konfliktem zbrojnym na terytorium tego państwa (Dz. U z 2025 r., poz. 337). Dodatkowo, </w:t>
            </w:r>
            <w:r w:rsidR="006D0175" w:rsidRPr="00BF3B67">
              <w:rPr>
                <w:rFonts w:asciiTheme="minorHAnsi" w:hAnsiTheme="minorHAnsi" w:cstheme="minorHAnsi"/>
                <w:color w:val="000000" w:themeColor="text1"/>
                <w:sz w:val="18"/>
                <w:szCs w:val="18"/>
              </w:rPr>
              <w:t xml:space="preserve">należy </w:t>
            </w:r>
            <w:r w:rsidRPr="00BF3B67">
              <w:rPr>
                <w:rFonts w:asciiTheme="minorHAnsi" w:hAnsiTheme="minorHAnsi" w:cstheme="minorHAnsi"/>
                <w:color w:val="000000" w:themeColor="text1"/>
                <w:sz w:val="18"/>
                <w:szCs w:val="18"/>
              </w:rPr>
              <w:t xml:space="preserve">zaznaczyć, że podniesione przez </w:t>
            </w:r>
            <w:r w:rsidRPr="00BF3B67">
              <w:rPr>
                <w:rFonts w:asciiTheme="minorHAnsi" w:hAnsiTheme="minorHAnsi" w:cstheme="minorHAnsi"/>
                <w:b/>
                <w:bCs/>
                <w:color w:val="000000" w:themeColor="text1"/>
                <w:sz w:val="18"/>
                <w:szCs w:val="18"/>
              </w:rPr>
              <w:t>UODO aspekty dotyczące wykorzystywania sztucznej inteligencji, w kontekście realizacji zadań ustawowych przez Straż Graniczną są chybione, gdyż:</w:t>
            </w:r>
          </w:p>
          <w:p w14:paraId="2913B05C" w14:textId="366DD5D7" w:rsidR="00A166BE" w:rsidRPr="00BF3B67" w:rsidRDefault="006D0175"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0000" w:themeColor="text1"/>
                <w:sz w:val="18"/>
                <w:szCs w:val="18"/>
              </w:rPr>
            </w:pPr>
            <w:r w:rsidRPr="00BF3B67">
              <w:rPr>
                <w:rFonts w:asciiTheme="minorHAnsi" w:hAnsiTheme="minorHAnsi" w:cstheme="minorHAnsi"/>
                <w:b/>
                <w:bCs/>
                <w:color w:val="000000" w:themeColor="text1"/>
                <w:sz w:val="18"/>
                <w:szCs w:val="18"/>
              </w:rPr>
              <w:t xml:space="preserve">- </w:t>
            </w:r>
            <w:r w:rsidR="00A166BE" w:rsidRPr="00BF3B67">
              <w:rPr>
                <w:rFonts w:asciiTheme="minorHAnsi" w:hAnsiTheme="minorHAnsi" w:cstheme="minorHAnsi"/>
                <w:b/>
                <w:bCs/>
                <w:color w:val="000000" w:themeColor="text1"/>
                <w:sz w:val="18"/>
                <w:szCs w:val="18"/>
              </w:rPr>
              <w:t>do przetwarzania danych biometrycznych w tym zakresie nie są wykorzystywane algorytmy sztucznej inteligencji,</w:t>
            </w:r>
          </w:p>
          <w:p w14:paraId="73617895" w14:textId="49B1D0B9" w:rsidR="00A166BE" w:rsidRPr="00BF3B67" w:rsidRDefault="006D0175"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0000" w:themeColor="text1"/>
                <w:sz w:val="18"/>
                <w:szCs w:val="18"/>
              </w:rPr>
            </w:pPr>
            <w:r w:rsidRPr="00BF3B67">
              <w:rPr>
                <w:rFonts w:asciiTheme="minorHAnsi" w:hAnsiTheme="minorHAnsi" w:cstheme="minorHAnsi"/>
                <w:b/>
                <w:bCs/>
                <w:color w:val="000000" w:themeColor="text1"/>
                <w:sz w:val="18"/>
                <w:szCs w:val="18"/>
              </w:rPr>
              <w:t xml:space="preserve">- </w:t>
            </w:r>
            <w:r w:rsidR="00A166BE" w:rsidRPr="00BF3B67">
              <w:rPr>
                <w:rFonts w:asciiTheme="minorHAnsi" w:hAnsiTheme="minorHAnsi" w:cstheme="minorHAnsi"/>
                <w:b/>
                <w:bCs/>
                <w:color w:val="000000" w:themeColor="text1"/>
                <w:sz w:val="18"/>
                <w:szCs w:val="18"/>
              </w:rPr>
              <w:t>dane biometryczne nie są pobierane z przestrzeni publicznej.</w:t>
            </w:r>
          </w:p>
          <w:p w14:paraId="7D5BF10C" w14:textId="09EACE94" w:rsidR="00A166BE" w:rsidRPr="00BF3B67" w:rsidRDefault="00A166BE"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BF3B67">
              <w:rPr>
                <w:rFonts w:asciiTheme="minorHAnsi" w:hAnsiTheme="minorHAnsi" w:cstheme="minorHAnsi"/>
                <w:color w:val="000000" w:themeColor="text1"/>
                <w:sz w:val="18"/>
                <w:szCs w:val="18"/>
              </w:rPr>
              <w:t xml:space="preserve">Zaznaczyć również należy, iż wbrew obawom przedstawionym przez UODO, projektowana zmiana ustawy o SG, nie zagraża podstawowym zasadom przetwarzania danych osobowych. Wręcz przeciwnie, stanowi zapewnienie </w:t>
            </w:r>
            <w:r w:rsidRPr="00BF3B67">
              <w:rPr>
                <w:rFonts w:asciiTheme="minorHAnsi" w:hAnsiTheme="minorHAnsi" w:cstheme="minorHAnsi"/>
                <w:color w:val="000000" w:themeColor="text1"/>
                <w:sz w:val="18"/>
                <w:szCs w:val="18"/>
              </w:rPr>
              <w:lastRenderedPageBreak/>
              <w:t xml:space="preserve">skutecznego wdrażania tych zasad w realizacji zadań ustawowych, w tym realizacji zadań Jednostki Krajowej ETIAS. </w:t>
            </w:r>
            <w:r w:rsidR="006D0175" w:rsidRPr="00BF3B67">
              <w:rPr>
                <w:rFonts w:asciiTheme="minorHAnsi" w:hAnsiTheme="minorHAnsi" w:cstheme="minorHAnsi"/>
                <w:color w:val="000000" w:themeColor="text1"/>
                <w:sz w:val="18"/>
                <w:szCs w:val="18"/>
              </w:rPr>
              <w:t xml:space="preserve">Ponadto </w:t>
            </w:r>
            <w:r w:rsidRPr="00BF3B67">
              <w:rPr>
                <w:rFonts w:asciiTheme="minorHAnsi" w:hAnsiTheme="minorHAnsi" w:cstheme="minorHAnsi"/>
                <w:color w:val="000000" w:themeColor="text1"/>
                <w:sz w:val="18"/>
                <w:szCs w:val="18"/>
              </w:rPr>
              <w:t>należy</w:t>
            </w:r>
            <w:r w:rsidR="006D0175" w:rsidRPr="00BF3B67">
              <w:rPr>
                <w:rFonts w:asciiTheme="minorHAnsi" w:hAnsiTheme="minorHAnsi" w:cstheme="minorHAnsi"/>
                <w:color w:val="000000" w:themeColor="text1"/>
                <w:sz w:val="18"/>
                <w:szCs w:val="18"/>
              </w:rPr>
              <w:t xml:space="preserve"> podkreślić</w:t>
            </w:r>
            <w:r w:rsidRPr="00BF3B67">
              <w:rPr>
                <w:rFonts w:asciiTheme="minorHAnsi" w:hAnsiTheme="minorHAnsi" w:cstheme="minorHAnsi"/>
                <w:color w:val="000000" w:themeColor="text1"/>
                <w:sz w:val="18"/>
                <w:szCs w:val="18"/>
              </w:rPr>
              <w:t xml:space="preserve"> jak istotna dla projektodawcy była zasada </w:t>
            </w:r>
            <w:r w:rsidRPr="00BF3B67">
              <w:rPr>
                <w:rFonts w:asciiTheme="minorHAnsi" w:hAnsiTheme="minorHAnsi" w:cstheme="minorHAnsi"/>
                <w:b/>
                <w:bCs/>
                <w:color w:val="000000" w:themeColor="text1"/>
                <w:sz w:val="18"/>
                <w:szCs w:val="18"/>
              </w:rPr>
              <w:t>minimalizacji danych w kontekście ww. zadań</w:t>
            </w:r>
            <w:r w:rsidR="006D0175" w:rsidRPr="00BF3B67">
              <w:rPr>
                <w:rFonts w:asciiTheme="minorHAnsi" w:hAnsiTheme="minorHAnsi" w:cstheme="minorHAnsi"/>
                <w:b/>
                <w:bCs/>
                <w:color w:val="000000" w:themeColor="text1"/>
                <w:sz w:val="18"/>
                <w:szCs w:val="18"/>
              </w:rPr>
              <w:t>:</w:t>
            </w:r>
            <w:r w:rsidRPr="00BF3B67">
              <w:rPr>
                <w:rFonts w:asciiTheme="minorHAnsi" w:hAnsiTheme="minorHAnsi" w:cstheme="minorHAnsi"/>
                <w:color w:val="000000" w:themeColor="text1"/>
                <w:sz w:val="18"/>
                <w:szCs w:val="18"/>
              </w:rPr>
              <w:t xml:space="preserve">: </w:t>
            </w:r>
          </w:p>
          <w:p w14:paraId="4B3B628D" w14:textId="13117F1C" w:rsidR="00A166BE" w:rsidRPr="00BF3B67" w:rsidRDefault="00C11B1F"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BF3B67">
              <w:rPr>
                <w:rFonts w:asciiTheme="minorHAnsi" w:hAnsiTheme="minorHAnsi" w:cstheme="minorHAnsi"/>
                <w:color w:val="000000" w:themeColor="text1"/>
                <w:sz w:val="18"/>
                <w:szCs w:val="18"/>
              </w:rPr>
              <w:t xml:space="preserve">- w </w:t>
            </w:r>
            <w:r w:rsidR="00A166BE" w:rsidRPr="00BF3B67">
              <w:rPr>
                <w:rFonts w:asciiTheme="minorHAnsi" w:hAnsiTheme="minorHAnsi" w:cstheme="minorHAnsi"/>
                <w:color w:val="000000" w:themeColor="text1"/>
                <w:sz w:val="18"/>
                <w:szCs w:val="18"/>
              </w:rPr>
              <w:t>przepisach określono zakres danych niezbędnych do wykonywania zadań Jednostki Krajowej ETIAS,</w:t>
            </w:r>
            <w:r w:rsidR="006D0175" w:rsidRPr="00BF3B67">
              <w:rPr>
                <w:rFonts w:asciiTheme="minorHAnsi" w:hAnsiTheme="minorHAnsi" w:cstheme="minorHAnsi"/>
                <w:color w:val="000000" w:themeColor="text1"/>
                <w:sz w:val="18"/>
                <w:szCs w:val="18"/>
              </w:rPr>
              <w:t xml:space="preserve"> </w:t>
            </w:r>
          </w:p>
          <w:p w14:paraId="4040AB8A" w14:textId="2A7EF5E0" w:rsidR="00A166BE" w:rsidRPr="00BF3B67" w:rsidRDefault="00C11B1F"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0000" w:themeColor="text1"/>
                <w:sz w:val="18"/>
                <w:szCs w:val="18"/>
              </w:rPr>
            </w:pPr>
            <w:r w:rsidRPr="00BF3B67">
              <w:rPr>
                <w:rFonts w:asciiTheme="minorHAnsi" w:hAnsiTheme="minorHAnsi" w:cstheme="minorHAnsi"/>
                <w:b/>
                <w:bCs/>
                <w:color w:val="000000" w:themeColor="text1"/>
                <w:sz w:val="18"/>
                <w:szCs w:val="18"/>
              </w:rPr>
              <w:t xml:space="preserve">- </w:t>
            </w:r>
            <w:r w:rsidR="00A166BE" w:rsidRPr="00BF3B67">
              <w:rPr>
                <w:rFonts w:asciiTheme="minorHAnsi" w:hAnsiTheme="minorHAnsi" w:cstheme="minorHAnsi"/>
                <w:b/>
                <w:bCs/>
                <w:color w:val="000000" w:themeColor="text1"/>
                <w:sz w:val="18"/>
                <w:szCs w:val="18"/>
              </w:rPr>
              <w:t>podniesienie jakości identyfikacji znacznie zmniejsza konieczność nadmiarowego przetwarzania danych (potencjalne trafienia),</w:t>
            </w:r>
          </w:p>
          <w:p w14:paraId="380A7DA3" w14:textId="14308500" w:rsidR="00A166BE" w:rsidRPr="00BF3B67" w:rsidRDefault="00C11B1F"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BF3B67">
              <w:rPr>
                <w:rFonts w:asciiTheme="minorHAnsi" w:hAnsiTheme="minorHAnsi" w:cstheme="minorHAnsi"/>
                <w:b/>
                <w:bCs/>
                <w:color w:val="000000" w:themeColor="text1"/>
                <w:sz w:val="18"/>
                <w:szCs w:val="18"/>
              </w:rPr>
              <w:t xml:space="preserve">- </w:t>
            </w:r>
            <w:r w:rsidR="00A166BE" w:rsidRPr="00BF3B67">
              <w:rPr>
                <w:rFonts w:asciiTheme="minorHAnsi" w:hAnsiTheme="minorHAnsi" w:cstheme="minorHAnsi"/>
                <w:b/>
                <w:bCs/>
                <w:color w:val="000000" w:themeColor="text1"/>
                <w:sz w:val="18"/>
                <w:szCs w:val="18"/>
              </w:rPr>
              <w:t>dane w KRC nie są przetwarzane dłużej, niż dane w systemach źródłowych</w:t>
            </w:r>
            <w:r w:rsidR="00A166BE" w:rsidRPr="00BF3B67">
              <w:rPr>
                <w:rFonts w:asciiTheme="minorHAnsi" w:hAnsiTheme="minorHAnsi" w:cstheme="minorHAnsi"/>
                <w:color w:val="000000" w:themeColor="text1"/>
                <w:sz w:val="18"/>
                <w:szCs w:val="18"/>
              </w:rPr>
              <w:t>, z których te dane pochodzą.</w:t>
            </w:r>
          </w:p>
          <w:p w14:paraId="57B98ACA" w14:textId="7ECF4E02" w:rsidR="00C11B1F" w:rsidRPr="00BF3B67" w:rsidRDefault="00C11B1F"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0000" w:themeColor="text1"/>
                <w:sz w:val="18"/>
                <w:szCs w:val="18"/>
              </w:rPr>
            </w:pPr>
            <w:r w:rsidRPr="00BF3B67">
              <w:rPr>
                <w:rFonts w:asciiTheme="minorHAnsi" w:hAnsiTheme="minorHAnsi" w:cstheme="minorHAnsi"/>
                <w:b/>
                <w:bCs/>
                <w:color w:val="000000" w:themeColor="text1"/>
                <w:sz w:val="18"/>
                <w:szCs w:val="18"/>
              </w:rPr>
              <w:t>- o</w:t>
            </w:r>
            <w:r w:rsidR="00A166BE" w:rsidRPr="00BF3B67">
              <w:rPr>
                <w:rFonts w:asciiTheme="minorHAnsi" w:hAnsiTheme="minorHAnsi" w:cstheme="minorHAnsi"/>
                <w:b/>
                <w:bCs/>
                <w:color w:val="000000" w:themeColor="text1"/>
                <w:sz w:val="18"/>
                <w:szCs w:val="18"/>
              </w:rPr>
              <w:t>dpytanie wielu systemów przez jedno narzędzie (co zapewnia poprawną jakość danych, minimalizuje liczbę potencjalnych trafień, skraca i ułatwia czas pracy operatora)</w:t>
            </w:r>
            <w:r w:rsidR="005D7060" w:rsidRPr="00BF3B67">
              <w:rPr>
                <w:rFonts w:asciiTheme="minorHAnsi" w:hAnsiTheme="minorHAnsi" w:cstheme="minorHAnsi"/>
                <w:b/>
                <w:bCs/>
                <w:color w:val="000000" w:themeColor="text1"/>
                <w:sz w:val="18"/>
                <w:szCs w:val="18"/>
              </w:rPr>
              <w:t>.</w:t>
            </w:r>
            <w:r w:rsidR="00A166BE" w:rsidRPr="00BF3B67">
              <w:rPr>
                <w:rFonts w:asciiTheme="minorHAnsi" w:hAnsiTheme="minorHAnsi" w:cstheme="minorHAnsi"/>
                <w:b/>
                <w:bCs/>
                <w:color w:val="000000" w:themeColor="text1"/>
                <w:sz w:val="18"/>
                <w:szCs w:val="18"/>
              </w:rPr>
              <w:t xml:space="preserve"> </w:t>
            </w:r>
          </w:p>
          <w:p w14:paraId="0582A1BF" w14:textId="6882B75B" w:rsidR="00A166BE" w:rsidRPr="00BF3B67" w:rsidRDefault="005D7060"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BF3B67">
              <w:rPr>
                <w:rFonts w:asciiTheme="minorHAnsi" w:hAnsiTheme="minorHAnsi" w:cstheme="minorHAnsi"/>
                <w:color w:val="000000" w:themeColor="text1"/>
                <w:sz w:val="18"/>
                <w:szCs w:val="18"/>
              </w:rPr>
              <w:t>Biorąc pod uwagę aktualny stan prawny w tym zakresie,</w:t>
            </w:r>
            <w:r w:rsidRPr="00BF3B67">
              <w:rPr>
                <w:rFonts w:asciiTheme="minorHAnsi" w:hAnsiTheme="minorHAnsi" w:cstheme="minorHAnsi"/>
                <w:b/>
                <w:bCs/>
                <w:color w:val="000000" w:themeColor="text1"/>
                <w:sz w:val="18"/>
                <w:szCs w:val="18"/>
              </w:rPr>
              <w:t xml:space="preserve"> </w:t>
            </w:r>
            <w:r w:rsidRPr="00BF3B67">
              <w:rPr>
                <w:rFonts w:asciiTheme="minorHAnsi" w:hAnsiTheme="minorHAnsi" w:cstheme="minorHAnsi"/>
                <w:color w:val="000000" w:themeColor="text1"/>
                <w:sz w:val="18"/>
                <w:szCs w:val="18"/>
              </w:rPr>
              <w:t>n</w:t>
            </w:r>
            <w:r w:rsidR="00A166BE" w:rsidRPr="00BF3B67">
              <w:rPr>
                <w:rFonts w:asciiTheme="minorHAnsi" w:hAnsiTheme="minorHAnsi" w:cstheme="minorHAnsi"/>
                <w:color w:val="000000" w:themeColor="text1"/>
                <w:sz w:val="18"/>
                <w:szCs w:val="18"/>
              </w:rPr>
              <w:t xml:space="preserve">ie można zgodzić się, że projektowana zmiana w wielkim stopniu ingeruje w prywatność osób, których dane mają być przetwarzane w KRC. Niezależnie od powyższego, </w:t>
            </w:r>
            <w:r w:rsidR="00A166BE" w:rsidRPr="00BF3B67">
              <w:rPr>
                <w:rFonts w:asciiTheme="minorHAnsi" w:hAnsiTheme="minorHAnsi" w:cstheme="minorHAnsi"/>
                <w:b/>
                <w:bCs/>
                <w:color w:val="000000" w:themeColor="text1"/>
                <w:sz w:val="18"/>
                <w:szCs w:val="18"/>
              </w:rPr>
              <w:t>Straż Graniczna jako Jednostka Krajowa ETIAS, czy też jako Krajowa Jednostka ds. EES – nie tyle może, ale</w:t>
            </w:r>
            <w:r w:rsidR="00A166BE" w:rsidRPr="00BF3B67">
              <w:rPr>
                <w:rFonts w:asciiTheme="minorHAnsi" w:hAnsiTheme="minorHAnsi" w:cstheme="minorHAnsi"/>
                <w:color w:val="000000" w:themeColor="text1"/>
                <w:sz w:val="18"/>
                <w:szCs w:val="18"/>
              </w:rPr>
              <w:t xml:space="preserve"> </w:t>
            </w:r>
            <w:r w:rsidR="00A166BE" w:rsidRPr="00BF3B67">
              <w:rPr>
                <w:rFonts w:asciiTheme="minorHAnsi" w:hAnsiTheme="minorHAnsi" w:cstheme="minorHAnsi"/>
                <w:b/>
                <w:bCs/>
                <w:color w:val="000000" w:themeColor="text1"/>
                <w:sz w:val="18"/>
                <w:szCs w:val="18"/>
              </w:rPr>
              <w:t xml:space="preserve">ma obowiązek przetwarzać dane, celem realizacji obowiązków wynikających wprost z </w:t>
            </w:r>
            <w:r w:rsidR="00C11B1F" w:rsidRPr="00BF3B67">
              <w:rPr>
                <w:rFonts w:asciiTheme="minorHAnsi" w:hAnsiTheme="minorHAnsi" w:cstheme="minorHAnsi"/>
                <w:b/>
                <w:bCs/>
                <w:color w:val="000000" w:themeColor="text1"/>
                <w:sz w:val="18"/>
                <w:szCs w:val="18"/>
              </w:rPr>
              <w:t>r</w:t>
            </w:r>
            <w:r w:rsidR="00A166BE" w:rsidRPr="00BF3B67">
              <w:rPr>
                <w:rFonts w:asciiTheme="minorHAnsi" w:hAnsiTheme="minorHAnsi" w:cstheme="minorHAnsi"/>
                <w:b/>
                <w:bCs/>
                <w:color w:val="000000" w:themeColor="text1"/>
                <w:sz w:val="18"/>
                <w:szCs w:val="18"/>
              </w:rPr>
              <w:t>ozporządzeń unijnych. KRC w przypadku ETIAS ma stanowić nieodzowne narzędzie do realizacji tych obowiązków.</w:t>
            </w:r>
          </w:p>
          <w:p w14:paraId="7F541CBF" w14:textId="0E6D4C14" w:rsidR="00A166BE" w:rsidRPr="00BF3B67" w:rsidRDefault="00A166BE" w:rsidP="00A166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BF3B67">
              <w:rPr>
                <w:rFonts w:asciiTheme="minorHAnsi" w:hAnsiTheme="minorHAnsi" w:cstheme="minorHAnsi"/>
                <w:color w:val="000000" w:themeColor="text1"/>
                <w:sz w:val="18"/>
                <w:szCs w:val="18"/>
              </w:rPr>
              <w:t xml:space="preserve">Zgodnie z motywem 20 </w:t>
            </w:r>
            <w:r w:rsidR="00C11B1F" w:rsidRPr="00BF3B67">
              <w:rPr>
                <w:rFonts w:asciiTheme="minorHAnsi" w:hAnsiTheme="minorHAnsi" w:cstheme="minorHAnsi"/>
                <w:color w:val="000000" w:themeColor="text1"/>
                <w:sz w:val="18"/>
                <w:szCs w:val="18"/>
              </w:rPr>
              <w:t>r</w:t>
            </w:r>
            <w:r w:rsidRPr="00BF3B67">
              <w:rPr>
                <w:rFonts w:asciiTheme="minorHAnsi" w:hAnsiTheme="minorHAnsi" w:cstheme="minorHAnsi"/>
                <w:color w:val="000000" w:themeColor="text1"/>
                <w:sz w:val="18"/>
                <w:szCs w:val="18"/>
              </w:rPr>
              <w:t xml:space="preserve">ozporządzenia Parlamentu Europejskiego i Rady (UE) 2017/2226 z dnia 30 listopada 2017 r. ustanawiające system wjazdu/wyjazdu (EES) w celu rejestrowania danych dotyczących wjazdu i wyjazdu obywateli państw trzecich przekraczających granice zewnętrzne państw członkowskich i danych dotyczących odmowy wjazdu w odniesieniu do takich obywateli oraz określające warunki dostępu do EES na potrzeby ochrony porządku publicznego i zmieniające konwencję wykonawczą do układu z </w:t>
            </w:r>
            <w:proofErr w:type="spellStart"/>
            <w:r w:rsidRPr="00BF3B67">
              <w:rPr>
                <w:rFonts w:asciiTheme="minorHAnsi" w:hAnsiTheme="minorHAnsi" w:cstheme="minorHAnsi"/>
                <w:color w:val="000000" w:themeColor="text1"/>
                <w:sz w:val="18"/>
                <w:szCs w:val="18"/>
              </w:rPr>
              <w:lastRenderedPageBreak/>
              <w:t>Schengen</w:t>
            </w:r>
            <w:proofErr w:type="spellEnd"/>
            <w:r w:rsidRPr="00BF3B67">
              <w:rPr>
                <w:rFonts w:asciiTheme="minorHAnsi" w:hAnsiTheme="minorHAnsi" w:cstheme="minorHAnsi"/>
                <w:color w:val="000000" w:themeColor="text1"/>
                <w:sz w:val="18"/>
                <w:szCs w:val="18"/>
              </w:rPr>
              <w:t xml:space="preserve"> i rozporządzenia (WE) nr 767/2008 i (UE) nr 1077/2011, ,,(…) </w:t>
            </w:r>
            <w:r w:rsidRPr="00BF3B67">
              <w:rPr>
                <w:rFonts w:asciiTheme="minorHAnsi" w:hAnsiTheme="minorHAnsi" w:cstheme="minorHAnsi"/>
                <w:b/>
                <w:bCs/>
                <w:color w:val="000000" w:themeColor="text1"/>
                <w:sz w:val="18"/>
                <w:szCs w:val="18"/>
              </w:rPr>
              <w:t>Korzystanie z danych biometrycznych - pomimo jego wpływu na prywatność podróżnych - należy uznać za uzasadnione z dwóch powodów.</w:t>
            </w:r>
            <w:r w:rsidRPr="00BF3B67">
              <w:rPr>
                <w:rFonts w:asciiTheme="minorHAnsi" w:hAnsiTheme="minorHAnsi" w:cstheme="minorHAnsi"/>
                <w:color w:val="000000" w:themeColor="text1"/>
                <w:sz w:val="18"/>
                <w:szCs w:val="18"/>
              </w:rPr>
              <w:t xml:space="preserve"> Po pierwsze, dane biometryczne </w:t>
            </w:r>
            <w:r w:rsidRPr="00BF3B67">
              <w:rPr>
                <w:rFonts w:asciiTheme="minorHAnsi" w:hAnsiTheme="minorHAnsi" w:cstheme="minorHAnsi"/>
                <w:b/>
                <w:bCs/>
                <w:color w:val="000000" w:themeColor="text1"/>
                <w:sz w:val="18"/>
                <w:szCs w:val="18"/>
              </w:rPr>
              <w:t>zapewniają wiarygodną metodę identyfikacji</w:t>
            </w:r>
            <w:r w:rsidRPr="00BF3B67">
              <w:rPr>
                <w:rFonts w:asciiTheme="minorHAnsi" w:hAnsiTheme="minorHAnsi" w:cstheme="minorHAnsi"/>
                <w:color w:val="000000" w:themeColor="text1"/>
                <w:sz w:val="18"/>
                <w:szCs w:val="18"/>
              </w:rPr>
              <w:t xml:space="preserve"> obywateli państw trzecich przebywających na terytorium państw członkowskich, którzy nie posiadają dokumentów podróży ani innych dokumentów tożsamości, co stanowi typową sytuację w przypadku migrantów o nieuregulowanym statusie. Po drugie, </w:t>
            </w:r>
            <w:r w:rsidRPr="00BF3B67">
              <w:rPr>
                <w:rFonts w:asciiTheme="minorHAnsi" w:hAnsiTheme="minorHAnsi" w:cstheme="minorHAnsi"/>
                <w:b/>
                <w:bCs/>
                <w:color w:val="000000" w:themeColor="text1"/>
                <w:sz w:val="18"/>
                <w:szCs w:val="18"/>
              </w:rPr>
              <w:t>dane biometryczne pozwalają skuteczniej skojarzyć dane dotyczące wjazdu i wyjazdu osób podróżujących w dobrej wierze</w:t>
            </w:r>
            <w:r w:rsidRPr="00BF3B67">
              <w:rPr>
                <w:rFonts w:asciiTheme="minorHAnsi" w:hAnsiTheme="minorHAnsi" w:cstheme="minorHAnsi"/>
                <w:color w:val="000000" w:themeColor="text1"/>
                <w:sz w:val="18"/>
                <w:szCs w:val="18"/>
              </w:rPr>
              <w:t xml:space="preserve">. Jednoczesne wykorzystywanie wizerunków twarzy i danych daktyloskopijnych umożliwia ograniczenie liczby rejestrowanych odcisków palców,  zapewniając  przy tym takie same rezultaty, jeżeli chodzi o dokładność identyfikacji”. Uwzględniając powyższe, wnioskować można, że niezależnie od prac na gruncie krajowym </w:t>
            </w:r>
            <w:r w:rsidRPr="00BF3B67">
              <w:rPr>
                <w:rFonts w:asciiTheme="minorHAnsi" w:hAnsiTheme="minorHAnsi" w:cstheme="minorHAnsi"/>
                <w:b/>
                <w:bCs/>
                <w:color w:val="000000" w:themeColor="text1"/>
                <w:sz w:val="18"/>
                <w:szCs w:val="18"/>
              </w:rPr>
              <w:t>prawodawca unijny od dawna podkreśla istotę i wagę danych biometrycznych</w:t>
            </w:r>
            <w:r w:rsidRPr="00BF3B67">
              <w:rPr>
                <w:rFonts w:asciiTheme="minorHAnsi" w:hAnsiTheme="minorHAnsi" w:cstheme="minorHAnsi"/>
                <w:color w:val="000000" w:themeColor="text1"/>
                <w:sz w:val="18"/>
                <w:szCs w:val="18"/>
              </w:rPr>
              <w:t>.</w:t>
            </w:r>
          </w:p>
          <w:p w14:paraId="6A341C4D" w14:textId="4538D823" w:rsidR="007D2A35" w:rsidRPr="00BF3B67" w:rsidRDefault="00A166BE" w:rsidP="00B84F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000000" w:themeColor="text1"/>
                <w:sz w:val="18"/>
                <w:szCs w:val="18"/>
              </w:rPr>
            </w:pPr>
            <w:r w:rsidRPr="00BF3B67">
              <w:rPr>
                <w:rFonts w:asciiTheme="minorHAnsi" w:hAnsiTheme="minorHAnsi" w:cstheme="minorHAnsi"/>
                <w:color w:val="000000" w:themeColor="text1"/>
                <w:sz w:val="18"/>
                <w:szCs w:val="18"/>
              </w:rPr>
              <w:tab/>
              <w:t>Budowa Krajowego Rejestru Cudzoziemców jest koniecznością</w:t>
            </w:r>
            <w:r w:rsidR="005D7060" w:rsidRPr="00BF3B67">
              <w:rPr>
                <w:rFonts w:asciiTheme="minorHAnsi" w:hAnsiTheme="minorHAnsi" w:cstheme="minorHAnsi"/>
                <w:color w:val="000000" w:themeColor="text1"/>
                <w:sz w:val="18"/>
                <w:szCs w:val="18"/>
              </w:rPr>
              <w:t xml:space="preserve"> </w:t>
            </w:r>
            <w:r w:rsidRPr="00BF3B67">
              <w:rPr>
                <w:rFonts w:asciiTheme="minorHAnsi" w:hAnsiTheme="minorHAnsi" w:cstheme="minorHAnsi"/>
                <w:color w:val="000000" w:themeColor="text1"/>
                <w:sz w:val="18"/>
                <w:szCs w:val="18"/>
              </w:rPr>
              <w:t xml:space="preserve">wynikającą z realnych problemów oraz doświadczeń organów administracji publicznej w  sprawach dotyczących cudzoziemców. </w:t>
            </w:r>
            <w:r w:rsidRPr="00BF3B67">
              <w:rPr>
                <w:rFonts w:asciiTheme="minorHAnsi" w:hAnsiTheme="minorHAnsi" w:cstheme="minorHAnsi"/>
                <w:bCs/>
                <w:color w:val="000000" w:themeColor="text1"/>
                <w:sz w:val="18"/>
                <w:szCs w:val="18"/>
              </w:rPr>
              <w:t>System ten umożliwi jednoznaczną identyfikację cudzoziemców (m. in. biometria), stworzy pełną i spójną historię pobytową i administracyjną, zintegruje dane z wielu systemów i umożliwi ich skuteczną analizę, w przyszłości zapewni zgodność z europejskimi wymogami</w:t>
            </w:r>
            <w:r w:rsidR="005D7060" w:rsidRPr="00BF3B67">
              <w:rPr>
                <w:rFonts w:asciiTheme="minorHAnsi" w:hAnsiTheme="minorHAnsi" w:cstheme="minorHAnsi"/>
                <w:bCs/>
                <w:color w:val="000000" w:themeColor="text1"/>
                <w:sz w:val="18"/>
                <w:szCs w:val="18"/>
              </w:rPr>
              <w:t xml:space="preserve"> </w:t>
            </w:r>
            <w:r w:rsidRPr="00BF3B67">
              <w:rPr>
                <w:rFonts w:asciiTheme="minorHAnsi" w:hAnsiTheme="minorHAnsi" w:cstheme="minorHAnsi"/>
                <w:bCs/>
                <w:color w:val="000000" w:themeColor="text1"/>
                <w:sz w:val="18"/>
                <w:szCs w:val="18"/>
              </w:rPr>
              <w:t>interoperacyjności, zwiększy</w:t>
            </w:r>
            <w:r w:rsidR="005D7060" w:rsidRPr="00BF3B67">
              <w:rPr>
                <w:rFonts w:asciiTheme="minorHAnsi" w:hAnsiTheme="minorHAnsi" w:cstheme="minorHAnsi"/>
                <w:bCs/>
                <w:color w:val="000000" w:themeColor="text1"/>
                <w:sz w:val="18"/>
                <w:szCs w:val="18"/>
              </w:rPr>
              <w:t xml:space="preserve"> </w:t>
            </w:r>
            <w:r w:rsidRPr="00BF3B67">
              <w:rPr>
                <w:rFonts w:asciiTheme="minorHAnsi" w:hAnsiTheme="minorHAnsi" w:cstheme="minorHAnsi"/>
                <w:bCs/>
                <w:color w:val="000000" w:themeColor="text1"/>
                <w:sz w:val="18"/>
                <w:szCs w:val="18"/>
              </w:rPr>
              <w:t>bezpieczeństwo państwa i zdrowia publicznego, pomoże przeciwdziałać nielegalnej migracji i nadużyciom systemowym.</w:t>
            </w:r>
            <w:r w:rsidRPr="00BF3B67">
              <w:rPr>
                <w:rFonts w:asciiTheme="minorHAnsi" w:hAnsiTheme="minorHAnsi" w:cstheme="minorHAnsi"/>
                <w:color w:val="000000" w:themeColor="text1"/>
                <w:sz w:val="18"/>
                <w:szCs w:val="18"/>
              </w:rPr>
              <w:t xml:space="preserve"> W erze cyfrowej efektywne zarządzanie informacją dotyczącą tożsamości cudzoziemców staje się jednym </w:t>
            </w:r>
            <w:r w:rsidRPr="00BF3B67">
              <w:rPr>
                <w:rFonts w:asciiTheme="minorHAnsi" w:hAnsiTheme="minorHAnsi" w:cstheme="minorHAnsi"/>
                <w:color w:val="000000" w:themeColor="text1"/>
                <w:sz w:val="18"/>
                <w:szCs w:val="18"/>
              </w:rPr>
              <w:lastRenderedPageBreak/>
              <w:t xml:space="preserve">z fundamentów polityki migracyjnej i bezpieczeństwa wewnętrznego. </w:t>
            </w:r>
            <w:r w:rsidRPr="00BF3B67">
              <w:rPr>
                <w:rFonts w:asciiTheme="minorHAnsi" w:hAnsiTheme="minorHAnsi" w:cstheme="minorHAnsi"/>
                <w:bCs/>
                <w:color w:val="000000" w:themeColor="text1"/>
                <w:sz w:val="18"/>
                <w:szCs w:val="18"/>
              </w:rPr>
              <w:t>KRC nie tylko poprawi jakość i dostępność danych, ale również umożliwi podejmowanie trafniejszych decyzji administracyjnych i operacyjnych</w:t>
            </w:r>
            <w:r w:rsidRPr="00BF3B67">
              <w:rPr>
                <w:rFonts w:asciiTheme="minorHAnsi" w:hAnsiTheme="minorHAnsi" w:cstheme="minorHAnsi"/>
                <w:color w:val="000000" w:themeColor="text1"/>
                <w:sz w:val="18"/>
                <w:szCs w:val="18"/>
              </w:rPr>
              <w:t>.</w:t>
            </w:r>
            <w:r w:rsidRPr="00BF3B67">
              <w:rPr>
                <w:rFonts w:asciiTheme="minorHAnsi" w:hAnsiTheme="minorHAnsi" w:cstheme="minorHAnsi"/>
                <w:bCs/>
                <w:color w:val="000000" w:themeColor="text1"/>
                <w:sz w:val="18"/>
                <w:szCs w:val="18"/>
              </w:rPr>
              <w:t xml:space="preserve">  </w:t>
            </w:r>
          </w:p>
          <w:p w14:paraId="0651E203" w14:textId="1CD619C6" w:rsidR="00A166BE" w:rsidRPr="00BF3B67" w:rsidRDefault="000E7CC2" w:rsidP="00B84F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0000" w:themeColor="text1"/>
                <w:sz w:val="18"/>
                <w:szCs w:val="18"/>
              </w:rPr>
            </w:pPr>
            <w:r w:rsidRPr="00BF3B67">
              <w:rPr>
                <w:rFonts w:asciiTheme="minorHAnsi" w:hAnsiTheme="minorHAnsi" w:cstheme="minorHAnsi"/>
                <w:b/>
                <w:bCs/>
                <w:color w:val="000000" w:themeColor="text1"/>
                <w:sz w:val="18"/>
                <w:szCs w:val="18"/>
              </w:rPr>
              <w:t xml:space="preserve"> </w:t>
            </w:r>
          </w:p>
        </w:tc>
        <w:tc>
          <w:tcPr>
            <w:tcW w:w="3481" w:type="dxa"/>
            <w:gridSpan w:val="2"/>
          </w:tcPr>
          <w:p w14:paraId="0E5846B7" w14:textId="7179E1E6" w:rsidR="00DB39EE" w:rsidRPr="004D6CC6" w:rsidRDefault="00DB39EE" w:rsidP="00B84F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70AD47" w:themeColor="accent6"/>
                <w:sz w:val="18"/>
                <w:szCs w:val="18"/>
              </w:rPr>
            </w:pPr>
          </w:p>
        </w:tc>
      </w:tr>
      <w:tr w:rsidR="00787817" w:rsidRPr="009B2533" w14:paraId="23108D26" w14:textId="77777777" w:rsidTr="00BD2562">
        <w:trPr>
          <w:gridAfter w:val="9"/>
          <w:wAfter w:w="15499"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466A286F" w14:textId="77777777" w:rsidR="00787817" w:rsidRPr="009B2533" w:rsidRDefault="00787817" w:rsidP="00786F75">
            <w:pPr>
              <w:pStyle w:val="Akapitzlist"/>
              <w:numPr>
                <w:ilvl w:val="0"/>
                <w:numId w:val="3"/>
              </w:numPr>
              <w:ind w:left="313"/>
              <w:jc w:val="both"/>
              <w:rPr>
                <w:rFonts w:asciiTheme="minorHAnsi" w:hAnsiTheme="minorHAnsi" w:cstheme="minorHAnsi"/>
                <w:bCs w:val="0"/>
                <w:vanish/>
                <w:sz w:val="18"/>
                <w:szCs w:val="18"/>
              </w:rPr>
            </w:pPr>
          </w:p>
        </w:tc>
      </w:tr>
      <w:tr w:rsidR="00787817" w:rsidRPr="009B2533" w14:paraId="6B3E4E3E" w14:textId="77777777" w:rsidTr="00787817">
        <w:trPr>
          <w:gridAfter w:val="1"/>
          <w:cnfStyle w:val="000000100000" w:firstRow="0" w:lastRow="0" w:firstColumn="0" w:lastColumn="0" w:oddVBand="0" w:evenVBand="0" w:oddHBand="1" w:evenHBand="0" w:firstRowFirstColumn="0" w:firstRowLastColumn="0" w:lastRowFirstColumn="0" w:lastRowLastColumn="0"/>
          <w:wAfter w:w="45" w:type="dxa"/>
          <w:trHeight w:val="70"/>
          <w:hidden/>
        </w:trPr>
        <w:tc>
          <w:tcPr>
            <w:cnfStyle w:val="001000000000" w:firstRow="0" w:lastRow="0" w:firstColumn="1" w:lastColumn="0" w:oddVBand="0" w:evenVBand="0" w:oddHBand="0" w:evenHBand="0" w:firstRowFirstColumn="0" w:firstRowLastColumn="0" w:lastRowFirstColumn="0" w:lastRowLastColumn="0"/>
            <w:tcW w:w="355" w:type="dxa"/>
          </w:tcPr>
          <w:p w14:paraId="58920349" w14:textId="77777777" w:rsidR="007D6DFE" w:rsidRPr="009B2533" w:rsidRDefault="007D6DFE" w:rsidP="00786F75">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7494F2E4" w14:textId="7287666F" w:rsidR="007D6DFE" w:rsidRDefault="00942C33" w:rsidP="00786F75">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Art. 4 ust. 1, art. 10 ust. 1 pkt 2 i art. 26</w:t>
            </w:r>
          </w:p>
        </w:tc>
        <w:tc>
          <w:tcPr>
            <w:tcW w:w="1846" w:type="dxa"/>
          </w:tcPr>
          <w:p w14:paraId="1136F9D6" w14:textId="77777777" w:rsidR="007D6DFE" w:rsidRDefault="007D6DFE" w:rsidP="00786F75">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tc>
        <w:tc>
          <w:tcPr>
            <w:tcW w:w="1276" w:type="dxa"/>
          </w:tcPr>
          <w:p w14:paraId="051B3487" w14:textId="083C89A9" w:rsidR="007D6DFE" w:rsidRPr="00CC73BF" w:rsidRDefault="00942C33" w:rsidP="00786F7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Prokurator Krajowy</w:t>
            </w:r>
          </w:p>
        </w:tc>
        <w:tc>
          <w:tcPr>
            <w:tcW w:w="4678" w:type="dxa"/>
          </w:tcPr>
          <w:p w14:paraId="7FBAD1D7" w14:textId="2CD1E8E7" w:rsidR="007D6DFE" w:rsidRPr="00942C33" w:rsidRDefault="00F41BB3" w:rsidP="00F41BB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color w:val="000000"/>
                <w:sz w:val="18"/>
                <w:szCs w:val="18"/>
              </w:rPr>
              <w:t>W art. 4 ust. 1, art. 10 ust. 1</w:t>
            </w:r>
            <w:r w:rsidR="00942C33" w:rsidRPr="00942C33">
              <w:rPr>
                <w:rFonts w:asciiTheme="minorHAnsi" w:hAnsiTheme="minorHAnsi" w:cstheme="minorHAnsi"/>
                <w:color w:val="000000"/>
                <w:sz w:val="18"/>
                <w:szCs w:val="18"/>
              </w:rPr>
              <w:t xml:space="preserve"> pkt 2 i art. 26 zamiast wyrazu „prokuratura”, w odpowiednim przypadku, powinien znaleźć się wyraz „prokurator”. Wynika to z faktu, iż stosownie do art. </w:t>
            </w:r>
            <w:r>
              <w:rPr>
                <w:rFonts w:asciiTheme="minorHAnsi" w:hAnsiTheme="minorHAnsi" w:cstheme="minorHAnsi"/>
                <w:color w:val="000000"/>
                <w:sz w:val="18"/>
                <w:szCs w:val="18"/>
              </w:rPr>
              <w:t>11</w:t>
            </w:r>
            <w:r w:rsidR="00942C33" w:rsidRPr="00942C33">
              <w:rPr>
                <w:rFonts w:asciiTheme="minorHAnsi" w:hAnsiTheme="minorHAnsi" w:cstheme="minorHAnsi"/>
                <w:color w:val="000000"/>
                <w:sz w:val="18"/>
                <w:szCs w:val="18"/>
              </w:rPr>
              <w:t xml:space="preserve"> ustawy z dnia 28 stycznia 2016 r. — Prawo o proku</w:t>
            </w:r>
            <w:r>
              <w:rPr>
                <w:rFonts w:asciiTheme="minorHAnsi" w:hAnsiTheme="minorHAnsi" w:cstheme="minorHAnsi"/>
                <w:color w:val="000000"/>
                <w:sz w:val="18"/>
                <w:szCs w:val="18"/>
              </w:rPr>
              <w:t>raturze (Dz. U. z 2024 r.</w:t>
            </w:r>
            <w:r w:rsidR="00942C33" w:rsidRPr="00942C33">
              <w:rPr>
                <w:rFonts w:asciiTheme="minorHAnsi" w:hAnsiTheme="minorHAnsi" w:cstheme="minorHAnsi"/>
                <w:color w:val="000000"/>
                <w:sz w:val="18"/>
                <w:szCs w:val="18"/>
              </w:rPr>
              <w:t xml:space="preserve"> poz. 390) organem prokuratury wykonującym jej zadania pozostaje prokurator. Z tego też względu zachowanie jednolitej formuły organizacyjno-ustrojowej wymaga wskazanej wyżej korekty.</w:t>
            </w:r>
          </w:p>
        </w:tc>
        <w:tc>
          <w:tcPr>
            <w:tcW w:w="3402" w:type="dxa"/>
            <w:gridSpan w:val="2"/>
          </w:tcPr>
          <w:p w14:paraId="5E90A754" w14:textId="77777777" w:rsidR="00942C33" w:rsidRPr="00942C33" w:rsidRDefault="00942C33" w:rsidP="00942C33">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color w:val="000000"/>
                <w:sz w:val="18"/>
                <w:szCs w:val="18"/>
                <w:lang w:eastAsia="pl-PL"/>
              </w:rPr>
            </w:pPr>
            <w:r w:rsidRPr="00942C33">
              <w:rPr>
                <w:rFonts w:asciiTheme="minorHAnsi" w:eastAsia="Times New Roman" w:hAnsiTheme="minorHAnsi" w:cstheme="minorHAnsi"/>
                <w:b/>
                <w:bCs/>
                <w:color w:val="000000"/>
                <w:sz w:val="18"/>
                <w:szCs w:val="18"/>
                <w:lang w:eastAsia="pl-PL"/>
              </w:rPr>
              <w:t>Uwzględniono</w:t>
            </w:r>
          </w:p>
          <w:p w14:paraId="6E701954" w14:textId="77777777" w:rsidR="00942C33" w:rsidRPr="00942C33" w:rsidRDefault="00942C33" w:rsidP="00942C33">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942C33">
              <w:rPr>
                <w:rFonts w:asciiTheme="minorHAnsi" w:eastAsia="Times New Roman" w:hAnsiTheme="minorHAnsi" w:cstheme="minorHAnsi"/>
                <w:color w:val="000000"/>
                <w:sz w:val="18"/>
                <w:szCs w:val="18"/>
                <w:lang w:eastAsia="pl-PL"/>
              </w:rPr>
              <w:t>Dokonano zmian w art. 4 ust. 1, art. 10 ust. 1 pkt 2 i art. 26 w zakresie zmiany wyrazu „prokuratura” na „prokurator”.</w:t>
            </w:r>
          </w:p>
          <w:p w14:paraId="3D112B27" w14:textId="77777777" w:rsidR="007D6DFE" w:rsidRPr="001928FC" w:rsidRDefault="007D6DFE" w:rsidP="00786F7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c>
          <w:tcPr>
            <w:tcW w:w="3481" w:type="dxa"/>
            <w:gridSpan w:val="2"/>
          </w:tcPr>
          <w:p w14:paraId="56B14F5C" w14:textId="0CBAA02F" w:rsidR="007D6DFE" w:rsidRPr="009B2533" w:rsidRDefault="008E5CE3" w:rsidP="00786F7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Zmiany dotyczą</w:t>
            </w:r>
            <w:r w:rsidR="006B5700">
              <w:rPr>
                <w:rFonts w:asciiTheme="minorHAnsi" w:hAnsiTheme="minorHAnsi" w:cstheme="minorHAnsi"/>
                <w:sz w:val="18"/>
                <w:szCs w:val="18"/>
              </w:rPr>
              <w:t xml:space="preserve"> </w:t>
            </w:r>
            <w:r w:rsidR="0066777E">
              <w:rPr>
                <w:rFonts w:asciiTheme="minorHAnsi" w:hAnsiTheme="minorHAnsi" w:cstheme="minorHAnsi"/>
                <w:sz w:val="18"/>
                <w:szCs w:val="18"/>
              </w:rPr>
              <w:t xml:space="preserve">użycia </w:t>
            </w:r>
            <w:r w:rsidR="006B5700">
              <w:rPr>
                <w:rFonts w:asciiTheme="minorHAnsi" w:hAnsiTheme="minorHAnsi" w:cstheme="minorHAnsi"/>
                <w:sz w:val="18"/>
                <w:szCs w:val="18"/>
              </w:rPr>
              <w:t>odpowiednio</w:t>
            </w:r>
            <w:r>
              <w:rPr>
                <w:rFonts w:asciiTheme="minorHAnsi" w:hAnsiTheme="minorHAnsi" w:cstheme="minorHAnsi"/>
                <w:sz w:val="18"/>
                <w:szCs w:val="18"/>
              </w:rPr>
              <w:t xml:space="preserve"> </w:t>
            </w:r>
            <w:r w:rsidR="0066777E">
              <w:rPr>
                <w:rFonts w:asciiTheme="minorHAnsi" w:hAnsiTheme="minorHAnsi" w:cstheme="minorHAnsi"/>
                <w:sz w:val="18"/>
                <w:szCs w:val="18"/>
              </w:rPr>
              <w:t xml:space="preserve">w </w:t>
            </w:r>
            <w:r w:rsidR="004140B5">
              <w:rPr>
                <w:rFonts w:asciiTheme="minorHAnsi" w:hAnsiTheme="minorHAnsi" w:cstheme="minorHAnsi"/>
                <w:sz w:val="18"/>
                <w:szCs w:val="18"/>
              </w:rPr>
              <w:t>art. 4 ust. 1, art. 10 ust. 1</w:t>
            </w:r>
            <w:r w:rsidRPr="008E5CE3">
              <w:rPr>
                <w:rFonts w:asciiTheme="minorHAnsi" w:hAnsiTheme="minorHAnsi" w:cstheme="minorHAnsi"/>
                <w:sz w:val="18"/>
                <w:szCs w:val="18"/>
              </w:rPr>
              <w:t xml:space="preserve"> pkt 2 i art. 26 </w:t>
            </w:r>
            <w:r w:rsidR="0066777E">
              <w:rPr>
                <w:rFonts w:asciiTheme="minorHAnsi" w:hAnsiTheme="minorHAnsi" w:cstheme="minorHAnsi"/>
                <w:sz w:val="18"/>
                <w:szCs w:val="18"/>
              </w:rPr>
              <w:t xml:space="preserve"> projektu ustawy</w:t>
            </w:r>
            <w:r>
              <w:rPr>
                <w:rFonts w:asciiTheme="minorHAnsi" w:hAnsiTheme="minorHAnsi" w:cstheme="minorHAnsi"/>
                <w:sz w:val="18"/>
                <w:szCs w:val="18"/>
              </w:rPr>
              <w:t xml:space="preserve"> </w:t>
            </w:r>
            <w:r w:rsidRPr="008E5CE3">
              <w:rPr>
                <w:rFonts w:asciiTheme="minorHAnsi" w:hAnsiTheme="minorHAnsi" w:cstheme="minorHAnsi"/>
                <w:sz w:val="18"/>
                <w:szCs w:val="18"/>
              </w:rPr>
              <w:t>wyrazu „prokurator”.</w:t>
            </w:r>
          </w:p>
        </w:tc>
      </w:tr>
      <w:tr w:rsidR="00787817" w:rsidRPr="009B2533" w14:paraId="62DF908C" w14:textId="77777777" w:rsidTr="00787817">
        <w:trPr>
          <w:gridAfter w:val="1"/>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504C87D9" w14:textId="77777777" w:rsidR="007D6DFE" w:rsidRPr="009B2533" w:rsidRDefault="007D6DFE" w:rsidP="00786F75">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23047C41" w14:textId="68E48E4B" w:rsidR="007D6DFE" w:rsidRPr="00BF3B67" w:rsidRDefault="005A5234" w:rsidP="00786F75">
            <w:pPr>
              <w:jc w:val="both"/>
              <w:cnfStyle w:val="000000000000" w:firstRow="0" w:lastRow="0" w:firstColumn="0" w:lastColumn="0" w:oddVBand="0" w:evenVBand="0" w:oddHBand="0" w:evenHBand="0" w:firstRowFirstColumn="0" w:firstRowLastColumn="0" w:lastRowFirstColumn="0" w:lastRowLastColumn="0"/>
              <w:rPr>
                <w:rStyle w:val="Ppogrubienie"/>
                <w:rFonts w:asciiTheme="minorHAnsi" w:hAnsiTheme="minorHAnsi" w:cstheme="minorHAnsi"/>
                <w:b w:val="0"/>
                <w:color w:val="000000" w:themeColor="text1"/>
                <w:sz w:val="18"/>
                <w:szCs w:val="18"/>
              </w:rPr>
            </w:pPr>
            <w:r w:rsidRPr="00BF3B67">
              <w:rPr>
                <w:rStyle w:val="Ppogrubienie"/>
                <w:rFonts w:asciiTheme="minorHAnsi" w:hAnsiTheme="minorHAnsi" w:cstheme="minorHAnsi"/>
                <w:b w:val="0"/>
                <w:color w:val="000000" w:themeColor="text1"/>
                <w:sz w:val="18"/>
                <w:szCs w:val="18"/>
              </w:rPr>
              <w:t>Art. 39 ust. 2</w:t>
            </w:r>
          </w:p>
        </w:tc>
        <w:tc>
          <w:tcPr>
            <w:tcW w:w="1846" w:type="dxa"/>
          </w:tcPr>
          <w:p w14:paraId="623B8BB3" w14:textId="28135838" w:rsidR="007D6DFE" w:rsidRPr="00BF3B67" w:rsidRDefault="005A5234" w:rsidP="00786F75">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sz w:val="18"/>
                <w:szCs w:val="18"/>
              </w:rPr>
            </w:pPr>
            <w:r w:rsidRPr="00BF3B67">
              <w:rPr>
                <w:rFonts w:asciiTheme="minorHAnsi" w:hAnsiTheme="minorHAnsi" w:cstheme="minorHAnsi"/>
                <w:bCs/>
                <w:color w:val="000000" w:themeColor="text1"/>
                <w:sz w:val="18"/>
                <w:szCs w:val="18"/>
              </w:rPr>
              <w:t xml:space="preserve">Art. 39 ust. 2 </w:t>
            </w:r>
          </w:p>
          <w:p w14:paraId="1186B24F" w14:textId="77777777" w:rsidR="00366293" w:rsidRPr="00BF3B67" w:rsidRDefault="00366293" w:rsidP="00786F75">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18"/>
                <w:szCs w:val="18"/>
              </w:rPr>
            </w:pPr>
            <w:r w:rsidRPr="00BF3B67">
              <w:rPr>
                <w:rFonts w:asciiTheme="minorHAnsi" w:hAnsiTheme="minorHAnsi"/>
                <w:color w:val="000000" w:themeColor="text1"/>
                <w:sz w:val="18"/>
                <w:szCs w:val="18"/>
              </w:rPr>
              <w:t>W ustawie z dnia 12 października 1990 r. o Straży Granicznej (Dz. U. z 2025 r. poz. 914) wprowadza się następujące zmiany</w:t>
            </w:r>
          </w:p>
          <w:p w14:paraId="19F8D046" w14:textId="77777777" w:rsidR="00366293" w:rsidRPr="00BF3B67" w:rsidRDefault="00366293" w:rsidP="00786F75">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18"/>
                <w:szCs w:val="18"/>
              </w:rPr>
            </w:pPr>
          </w:p>
          <w:p w14:paraId="7E1F9D14" w14:textId="7EAC3E9E" w:rsidR="00366293" w:rsidRPr="00BF3B67" w:rsidRDefault="00366293" w:rsidP="00786F75">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sz w:val="18"/>
                <w:szCs w:val="18"/>
              </w:rPr>
            </w:pPr>
            <w:r w:rsidRPr="00BF3B67">
              <w:rPr>
                <w:rFonts w:asciiTheme="minorHAnsi" w:hAnsiTheme="minorHAnsi"/>
                <w:color w:val="000000" w:themeColor="text1"/>
                <w:sz w:val="18"/>
                <w:szCs w:val="18"/>
              </w:rPr>
              <w:t>ust. 2 KRC jest prowadzony w systemie teleinformatycznym w rozumieniu z dnia 17 lutego 2005 r. o informatyzacji działalności podmiotów realizujących zadania publiczne (Dz. U. z 2024 r. poz. 1557 i 1717).</w:t>
            </w:r>
          </w:p>
        </w:tc>
        <w:tc>
          <w:tcPr>
            <w:tcW w:w="1276" w:type="dxa"/>
          </w:tcPr>
          <w:p w14:paraId="1DDA15CF" w14:textId="0F6B575A" w:rsidR="007D6DFE" w:rsidRPr="00BF3B67" w:rsidRDefault="0091185E" w:rsidP="00786F7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BF3B67">
              <w:rPr>
                <w:rFonts w:asciiTheme="minorHAnsi" w:hAnsiTheme="minorHAnsi" w:cstheme="minorHAnsi"/>
                <w:color w:val="000000" w:themeColor="text1"/>
                <w:sz w:val="18"/>
                <w:szCs w:val="18"/>
              </w:rPr>
              <w:t>ZUS</w:t>
            </w:r>
          </w:p>
        </w:tc>
        <w:tc>
          <w:tcPr>
            <w:tcW w:w="4678" w:type="dxa"/>
          </w:tcPr>
          <w:p w14:paraId="36768F76" w14:textId="77777777" w:rsidR="005A5234" w:rsidRPr="00BF3B67" w:rsidRDefault="005A5234" w:rsidP="00366293">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color w:val="000000" w:themeColor="text1"/>
                <w:sz w:val="18"/>
                <w:szCs w:val="18"/>
                <w:lang w:eastAsia="pl-PL"/>
              </w:rPr>
            </w:pPr>
            <w:r w:rsidRPr="00BF3B67">
              <w:rPr>
                <w:rFonts w:asciiTheme="minorHAnsi" w:eastAsia="Times New Roman" w:hAnsiTheme="minorHAnsi" w:cs="Times New Roman"/>
                <w:color w:val="000000" w:themeColor="text1"/>
                <w:sz w:val="18"/>
                <w:szCs w:val="18"/>
                <w:lang w:eastAsia="pl-PL"/>
              </w:rPr>
              <w:t>Projektowany przepis nadaje Komendantowi Głównemu Straży Granicznej uprawnienie do utworzenia i prowadzenia Krajowego Rejestru Cudzoziemców (KRC). KRC ma służyć identyfikowaniu i weryfikowania danych cudzoziemców w oparciu o nowy art. 2c ustawy z dnia 12 października 1990 r. o Straży Granicznej. Regulacja ta uwzględnia możliwość wymiany danych pomiędzy Zakładem Ubezpieczeń Społecznych a Komendantem Głównym SG w zakresie informacji gromadzonych w KRC. Do pozyskania danych z KRC konieczne będzie zawarcie przez Zakład z Komendantem Głównym SG porozumienia i spełnienie odpowiednich warunków technicznych w sprawie rejestracji dostępu do informacji.</w:t>
            </w:r>
          </w:p>
          <w:p w14:paraId="7D6A7BC7" w14:textId="77777777" w:rsidR="005A5234" w:rsidRPr="00BF3B67" w:rsidRDefault="005A5234" w:rsidP="00366293">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color w:val="000000" w:themeColor="text1"/>
                <w:sz w:val="18"/>
                <w:szCs w:val="18"/>
                <w:lang w:eastAsia="pl-PL"/>
              </w:rPr>
            </w:pPr>
            <w:r w:rsidRPr="00BF3B67">
              <w:rPr>
                <w:rFonts w:asciiTheme="minorHAnsi" w:eastAsia="Times New Roman" w:hAnsiTheme="minorHAnsi" w:cs="Times New Roman"/>
                <w:color w:val="000000" w:themeColor="text1"/>
                <w:sz w:val="18"/>
                <w:szCs w:val="18"/>
                <w:lang w:eastAsia="pl-PL"/>
              </w:rPr>
              <w:t xml:space="preserve">Projektowany art. 2c pkt 6 ustawy z dnia 12 października 1990 r. o Straży Granicznej zawiera wykaz danych przechowywanych w KRC. Proponujemy uzupełnienie tego wykazu danych o informacje o wydanych zezwoleniach na podróż, w przypadkach, o których mowa w art. 36 rozporządzenia Parlamentu Europejskiego i Rady (UE) 2018/1240 z dnia 12 września 2018 r. ustanawiającego europejski system informacji o podróży oraz zezwoleń na podróż (ETIAS). Dzięki rozszerzeniu katalogu danych w KRC, Zakład miałby możliwość weryfikowania czy w odniesieniu do danego cudzoziemca wydane zostało zezwolenie na podróż. Informacja ta jest niezbędna do weryfikacji prawa do legalnego wykonywania pracy na terytorium Polski, na </w:t>
            </w:r>
            <w:r w:rsidRPr="00BF3B67">
              <w:rPr>
                <w:rFonts w:asciiTheme="minorHAnsi" w:eastAsia="Times New Roman" w:hAnsiTheme="minorHAnsi" w:cs="Times New Roman"/>
                <w:color w:val="000000" w:themeColor="text1"/>
                <w:sz w:val="18"/>
                <w:szCs w:val="18"/>
                <w:lang w:eastAsia="pl-PL"/>
              </w:rPr>
              <w:lastRenderedPageBreak/>
              <w:t>potrzeby postępowań dotyczących ustalania ustawodawstwa właściwego.</w:t>
            </w:r>
          </w:p>
          <w:p w14:paraId="2F15B8F4" w14:textId="557602A5" w:rsidR="005A5234" w:rsidRPr="00BF3B67" w:rsidRDefault="005A5234" w:rsidP="00366293">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color w:val="000000" w:themeColor="text1"/>
                <w:sz w:val="18"/>
                <w:szCs w:val="18"/>
                <w:lang w:eastAsia="pl-PL"/>
              </w:rPr>
            </w:pPr>
            <w:r w:rsidRPr="00BF3B67">
              <w:rPr>
                <w:rFonts w:asciiTheme="minorHAnsi" w:eastAsia="Times New Roman" w:hAnsiTheme="minorHAnsi" w:cs="Times New Roman"/>
                <w:color w:val="000000" w:themeColor="text1"/>
                <w:sz w:val="18"/>
                <w:szCs w:val="18"/>
                <w:lang w:eastAsia="pl-PL"/>
              </w:rPr>
              <w:t xml:space="preserve">W art. 47 projektu zmienia się art. 3 ust. 3 w pkt 6 i ust. 5 ustawy z dnia 20 marca 2025 </w:t>
            </w:r>
            <w:proofErr w:type="spellStart"/>
            <w:r w:rsidRPr="00BF3B67">
              <w:rPr>
                <w:rFonts w:asciiTheme="minorHAnsi" w:eastAsia="Times New Roman" w:hAnsiTheme="minorHAnsi" w:cs="Times New Roman"/>
                <w:color w:val="000000" w:themeColor="text1"/>
                <w:sz w:val="18"/>
                <w:szCs w:val="18"/>
                <w:lang w:eastAsia="pl-PL"/>
              </w:rPr>
              <w:t>r.o</w:t>
            </w:r>
            <w:proofErr w:type="spellEnd"/>
            <w:r w:rsidRPr="00BF3B67">
              <w:rPr>
                <w:rFonts w:asciiTheme="minorHAnsi" w:eastAsia="Times New Roman" w:hAnsiTheme="minorHAnsi" w:cs="Times New Roman"/>
                <w:color w:val="000000" w:themeColor="text1"/>
                <w:sz w:val="18"/>
                <w:szCs w:val="18"/>
                <w:lang w:eastAsia="pl-PL"/>
              </w:rPr>
              <w:t xml:space="preserve"> warunkach dopuszczalności powierzania pracy cudzoziemcom na terytorium Rzeczypospolitej Polskiej. W wyniku tej zmiany cudzoziemcy poruszający się w ruchu bezwizowym będą mieli dostęp do rynku pracy pod warunkiem posiadania zezwolenia na podróż. Do tej pory osoby te nie musiały posiadać tego dokumentu. Po udostępnieniu systemu ETIAS nie będzie możliwe legalne wykonywanie pracy w Polsce przez osoby, które wjechały do strefy </w:t>
            </w:r>
            <w:proofErr w:type="spellStart"/>
            <w:r w:rsidRPr="00BF3B67">
              <w:rPr>
                <w:rFonts w:asciiTheme="minorHAnsi" w:eastAsia="Times New Roman" w:hAnsiTheme="minorHAnsi" w:cs="Times New Roman"/>
                <w:color w:val="000000" w:themeColor="text1"/>
                <w:sz w:val="18"/>
                <w:szCs w:val="18"/>
                <w:lang w:eastAsia="pl-PL"/>
              </w:rPr>
              <w:t>Schengen</w:t>
            </w:r>
            <w:proofErr w:type="spellEnd"/>
            <w:r w:rsidRPr="00BF3B67">
              <w:rPr>
                <w:rFonts w:asciiTheme="minorHAnsi" w:eastAsia="Times New Roman" w:hAnsiTheme="minorHAnsi" w:cs="Times New Roman"/>
                <w:color w:val="000000" w:themeColor="text1"/>
                <w:sz w:val="18"/>
                <w:szCs w:val="18"/>
                <w:lang w:eastAsia="pl-PL"/>
              </w:rPr>
              <w:t xml:space="preserve"> w ramach ruchu bezwizowego bez wymaganego zezwolenia na podróż. W związku z tym Zakład będzie zmuszony weryfikować czy osoba ubiegająca się o zaświadczenie A1 dysponuje zezwoleniem na podróż.</w:t>
            </w:r>
          </w:p>
          <w:p w14:paraId="52835E52" w14:textId="259A59CC" w:rsidR="007D6DFE" w:rsidRPr="00BF3B67" w:rsidRDefault="005A5234" w:rsidP="00023EA5">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BF3B67">
              <w:rPr>
                <w:rFonts w:asciiTheme="minorHAnsi" w:eastAsia="Times New Roman" w:hAnsiTheme="minorHAnsi" w:cs="Times New Roman"/>
                <w:color w:val="000000" w:themeColor="text1"/>
                <w:sz w:val="18"/>
                <w:szCs w:val="18"/>
                <w:lang w:eastAsia="pl-PL"/>
              </w:rPr>
              <w:t>Zdajemy sobie sprawę, że w ramach unijnego systemu ETIAS gromadzone będą dane o wydanych zezwoleniach na podróż. Jednakże dostępem do niego mają dysponować wyłącznie podmioty realizujące zadania związane bezpieczeństwem państwa, ryzykiem nielegalnej imigracji lub ryzykiem epidemiologicznym. Zakład nie posiada w swojej właściwości tego typu kompetencji, dlatego też wykluczony jest jego dostęp do ETIAS. Projektowana ustawa przewiduje dostęp dla Zakładu do KRC. W związku z tym najbardziej optymalnym rozwiązaniem byłoby rozszerzenie KRC o dane dotyczące zezwoleń na podróż. Brak takiej informacji spowoduje, że Zakład będzie musiał pozyskiwać ten dokument indywidualnie od każdego z wnioskodawców.</w:t>
            </w:r>
          </w:p>
        </w:tc>
        <w:tc>
          <w:tcPr>
            <w:tcW w:w="3402" w:type="dxa"/>
            <w:gridSpan w:val="2"/>
          </w:tcPr>
          <w:p w14:paraId="2881FB51" w14:textId="77777777" w:rsidR="005F57C9" w:rsidRPr="00BF3B67" w:rsidRDefault="005F57C9" w:rsidP="00560492">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b/>
                <w:bCs/>
                <w:color w:val="000000" w:themeColor="text1"/>
                <w:sz w:val="18"/>
                <w:szCs w:val="18"/>
                <w:lang w:eastAsia="pl-PL"/>
              </w:rPr>
            </w:pPr>
            <w:r w:rsidRPr="00BF3B67">
              <w:rPr>
                <w:rFonts w:asciiTheme="minorHAnsi" w:eastAsia="Times New Roman" w:hAnsiTheme="minorHAnsi" w:cs="Times New Roman"/>
                <w:b/>
                <w:bCs/>
                <w:color w:val="000000" w:themeColor="text1"/>
                <w:sz w:val="18"/>
                <w:szCs w:val="18"/>
                <w:lang w:eastAsia="pl-PL"/>
              </w:rPr>
              <w:lastRenderedPageBreak/>
              <w:t>Nie uwzględniono</w:t>
            </w:r>
          </w:p>
          <w:p w14:paraId="2FCFE891" w14:textId="77777777" w:rsidR="005F57C9" w:rsidRPr="00BF3B67" w:rsidRDefault="005F57C9" w:rsidP="00560492">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color w:val="000000" w:themeColor="text1"/>
                <w:sz w:val="18"/>
                <w:szCs w:val="18"/>
                <w:lang w:eastAsia="pl-PL"/>
              </w:rPr>
            </w:pPr>
            <w:r w:rsidRPr="00BF3B67">
              <w:rPr>
                <w:rFonts w:asciiTheme="minorHAnsi" w:eastAsia="Times New Roman" w:hAnsiTheme="minorHAnsi" w:cs="Times New Roman"/>
                <w:color w:val="000000" w:themeColor="text1"/>
                <w:sz w:val="18"/>
                <w:szCs w:val="18"/>
                <w:lang w:eastAsia="pl-PL"/>
              </w:rPr>
              <w:t xml:space="preserve">W zakresie danych gromadzonych w KRC tj. danych dotyczących wydanych zezwoleń na podróż, brak jest zasadności rozszerzania zapisu dotyczącego zakresu danych przechowywanych w KRC. Dostęp do danych przechowywanych w ETIAS jest ściśle określony w art. 13 rozporządzenia 2018/1240. Jednocześnie taki dostęp został uregulowany w art. 4 i art. 5 projektu ustawy mając na względzie właściwość rzeczową oraz cele prowadzonych czynności wobec cudzoziemców przez wskazane tam organu i służby. Jednocześnie wskazać należy że inne przepisy wyznaczają zakres kompetencji wskazanych służb i organów np. art. 1 ust. 2 pkt 2 ustawy z dnia 12 października 1990 r. o Straży Granicznej wskazuje, że do zadań Straży Granicznej należy organizowanie i dokonywanie kontroli ruchu granicznego. W tym celu, Straż Graniczna jako jedyny organ będzie posiadała uprawnienie do bezpośredniego dostępu do KSI ETIAS w celu weryfikacji statusu zezwolenia na podróż cudzoziemca przekraczającego granicę państwową </w:t>
            </w:r>
            <w:r w:rsidRPr="00BF3B67">
              <w:rPr>
                <w:rFonts w:asciiTheme="minorHAnsi" w:eastAsia="Times New Roman" w:hAnsiTheme="minorHAnsi" w:cs="Times New Roman"/>
                <w:color w:val="000000" w:themeColor="text1"/>
                <w:sz w:val="18"/>
                <w:szCs w:val="18"/>
                <w:lang w:eastAsia="pl-PL"/>
              </w:rPr>
              <w:lastRenderedPageBreak/>
              <w:t>stanowiącą granicę zewnętrzną, zgodnie z art. 47 rozporządzenia 2018/1240.</w:t>
            </w:r>
          </w:p>
          <w:p w14:paraId="5619BF67" w14:textId="77777777" w:rsidR="005F57C9" w:rsidRPr="00BF3B67" w:rsidRDefault="005F57C9" w:rsidP="00560492">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color w:val="000000" w:themeColor="text1"/>
                <w:sz w:val="18"/>
                <w:szCs w:val="18"/>
                <w:lang w:eastAsia="pl-PL"/>
              </w:rPr>
            </w:pPr>
            <w:r w:rsidRPr="00BF3B67">
              <w:rPr>
                <w:rFonts w:asciiTheme="minorHAnsi" w:eastAsia="Times New Roman" w:hAnsiTheme="minorHAnsi" w:cs="Times New Roman"/>
                <w:color w:val="000000" w:themeColor="text1"/>
                <w:sz w:val="18"/>
                <w:szCs w:val="18"/>
                <w:lang w:eastAsia="pl-PL"/>
              </w:rPr>
              <w:t>Jednocześnie kontrola (weryfikacja) legalności wykonywania pracy lub wjazdu i pobytu cudzoziemców na terytorium Rzeczypospolitej Polskiej, jak wskazano w piśmie, nie należy do właściwości Zakładu Ubezpieczeń Społecznych. Ewentualny dostęp do danych ETIAS, jako organ imigracyjny, do celów weryfikacji warunków wjazdu i pobytu cudzoziemców wymagałby zmian w innych przepisach np. organów właściwych do prowadzenia kontroli legalności pobytu cudzoziemców na terytorium RP, o których mowa w art. 289 ustawy z dnia 12 grudnia 2013 r. o cudzoziemcach.</w:t>
            </w:r>
          </w:p>
          <w:p w14:paraId="14C64B81" w14:textId="7C84935F" w:rsidR="007D6DFE" w:rsidRPr="00BF3B67" w:rsidRDefault="002013CD" w:rsidP="002013CD">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color w:val="000000" w:themeColor="text1"/>
                <w:sz w:val="18"/>
                <w:szCs w:val="18"/>
                <w:lang w:eastAsia="pl-PL"/>
              </w:rPr>
            </w:pPr>
            <w:r w:rsidRPr="00BF3B67">
              <w:rPr>
                <w:rFonts w:asciiTheme="minorHAnsi" w:eastAsia="Times New Roman" w:hAnsiTheme="minorHAnsi" w:cs="Times New Roman"/>
                <w:color w:val="000000" w:themeColor="text1"/>
                <w:sz w:val="18"/>
                <w:szCs w:val="18"/>
                <w:lang w:eastAsia="pl-PL"/>
              </w:rPr>
              <w:t>Ponadto</w:t>
            </w:r>
            <w:r w:rsidR="005F57C9" w:rsidRPr="00BF3B67">
              <w:rPr>
                <w:rFonts w:asciiTheme="minorHAnsi" w:eastAsia="Times New Roman" w:hAnsiTheme="minorHAnsi" w:cs="Times New Roman"/>
                <w:color w:val="000000" w:themeColor="text1"/>
                <w:sz w:val="18"/>
                <w:szCs w:val="18"/>
                <w:lang w:eastAsia="pl-PL"/>
              </w:rPr>
              <w:t xml:space="preserve"> krajowe oraz międzynarodowe przepisy nie przewidują gromadzenia danych w krajowych systemach teleinformatycznych (KRC), których źródłem mogłyby być wielkoskalowe systemy informacyjne Unii Europejskiej. Dostęp do tych systemów oraz danych tam się znajdujących wnika wprost z aktów je regulujących i nie podlega rozszerzeniu.</w:t>
            </w:r>
          </w:p>
        </w:tc>
        <w:tc>
          <w:tcPr>
            <w:tcW w:w="3481" w:type="dxa"/>
            <w:gridSpan w:val="2"/>
          </w:tcPr>
          <w:p w14:paraId="164B53EE" w14:textId="00B59FED" w:rsidR="007D6DFE" w:rsidRPr="004D6CC6" w:rsidRDefault="007D6DFE" w:rsidP="00786F7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70AD47" w:themeColor="accent6"/>
                <w:sz w:val="18"/>
                <w:szCs w:val="18"/>
              </w:rPr>
            </w:pPr>
          </w:p>
        </w:tc>
      </w:tr>
      <w:tr w:rsidR="00787817" w:rsidRPr="009B2533" w14:paraId="478E89BE" w14:textId="77777777" w:rsidTr="00787817">
        <w:trPr>
          <w:gridAfter w:val="1"/>
          <w:cnfStyle w:val="000000100000" w:firstRow="0" w:lastRow="0" w:firstColumn="0" w:lastColumn="0" w:oddVBand="0" w:evenVBand="0" w:oddHBand="1" w:evenHBand="0" w:firstRowFirstColumn="0" w:firstRowLastColumn="0" w:lastRowFirstColumn="0" w:lastRowLastColumn="0"/>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20F408D7" w14:textId="77777777" w:rsidR="00786F75" w:rsidRPr="009B2533" w:rsidRDefault="00786F75" w:rsidP="00786F75">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4D03EF9B" w14:textId="3F3EEAA8" w:rsidR="00786F75" w:rsidRDefault="0009391A" w:rsidP="00786F75">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Art. 16 ust. 2</w:t>
            </w:r>
          </w:p>
        </w:tc>
        <w:tc>
          <w:tcPr>
            <w:tcW w:w="1846" w:type="dxa"/>
          </w:tcPr>
          <w:p w14:paraId="07F842E4" w14:textId="77777777" w:rsidR="00786F75" w:rsidRPr="0009391A" w:rsidRDefault="0009391A" w:rsidP="0009391A">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09391A">
              <w:rPr>
                <w:rFonts w:asciiTheme="minorHAnsi" w:hAnsiTheme="minorHAnsi" w:cstheme="minorHAnsi"/>
                <w:bCs/>
                <w:sz w:val="18"/>
                <w:szCs w:val="18"/>
              </w:rPr>
              <w:t xml:space="preserve">Art. 16 ust. 2 </w:t>
            </w:r>
          </w:p>
          <w:p w14:paraId="2B0BDC6F" w14:textId="1D2716BC" w:rsidR="0009391A" w:rsidRPr="0009391A" w:rsidRDefault="0009391A" w:rsidP="0009391A">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09391A">
              <w:rPr>
                <w:rFonts w:asciiTheme="minorHAnsi" w:hAnsiTheme="minorHAnsi" w:cstheme="minorHAnsi"/>
                <w:color w:val="000000"/>
                <w:sz w:val="18"/>
                <w:szCs w:val="18"/>
              </w:rPr>
              <w:t xml:space="preserve">Wniosek o ponowne rozpatrzenie sprawy rozpatruje się w terminie nie dłuższym niż 90 dni. Jeżeli wniosek nie spełnia wymogów formalnych przewidzianych przepisami prawa, termin załatwienia sprawy biegnie od dnia uzupełnienia braków formalnych wniosku o ponowne </w:t>
            </w:r>
            <w:r w:rsidRPr="0009391A">
              <w:rPr>
                <w:rFonts w:asciiTheme="minorHAnsi" w:hAnsiTheme="minorHAnsi" w:cstheme="minorHAnsi"/>
                <w:color w:val="000000"/>
                <w:sz w:val="18"/>
                <w:szCs w:val="18"/>
              </w:rPr>
              <w:lastRenderedPageBreak/>
              <w:t>rozpatrzenie sprawy, a także informacji lub dokumentów dołączonych do tego wniosku. W uzasadnionych przypadkach, Komendant Główny Straży Granicznej powiadamia cudzoziemca o nowym terminie załatwienia sprawy oraz wskazuje powody niezałatwienia sprawy w terminie. Powiadomienie doręcza się na adres poczty elektronicznej.</w:t>
            </w:r>
          </w:p>
        </w:tc>
        <w:tc>
          <w:tcPr>
            <w:tcW w:w="1276" w:type="dxa"/>
          </w:tcPr>
          <w:p w14:paraId="48E0BC95" w14:textId="77777777" w:rsidR="00786F75" w:rsidRDefault="0009391A" w:rsidP="00786F7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lastRenderedPageBreak/>
              <w:t xml:space="preserve">Konfederacja </w:t>
            </w:r>
          </w:p>
          <w:p w14:paraId="011460F9" w14:textId="35652675" w:rsidR="0009391A" w:rsidRPr="00CC73BF" w:rsidRDefault="0009391A" w:rsidP="00786F7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Lewiatan</w:t>
            </w:r>
          </w:p>
        </w:tc>
        <w:tc>
          <w:tcPr>
            <w:tcW w:w="4678" w:type="dxa"/>
          </w:tcPr>
          <w:p w14:paraId="7B2EDAA7" w14:textId="77777777" w:rsidR="00786F75" w:rsidRDefault="00600C7C" w:rsidP="00786F7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Propozycja zmiany: skrócenie terminu (np. do 14 dni).</w:t>
            </w:r>
          </w:p>
          <w:p w14:paraId="530EF57E" w14:textId="77777777" w:rsidR="00600C7C" w:rsidRDefault="00600C7C" w:rsidP="00600C7C">
            <w:pPr>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600C7C">
              <w:rPr>
                <w:rFonts w:asciiTheme="minorHAnsi" w:eastAsia="Times New Roman" w:hAnsiTheme="minorHAnsi" w:cstheme="minorHAnsi"/>
                <w:color w:val="000000"/>
                <w:sz w:val="18"/>
                <w:szCs w:val="18"/>
                <w:lang w:eastAsia="pl-PL"/>
              </w:rPr>
              <w:t>Zgodnie z art. 32 rozporządzenia 2018/1240, decyzja w sprawie wniosku o zezwolenie na podróż jest podejmowana w I instancji nie później niż 96 godzin po złożeniu wniosku. Termin może być przedłużony o dalsze 96 godzin w razie przedstawienia przez wnioskodawcę dodatkowych informacji lub dokumentów, lub o dalsze 48 godzin jeśli wnioskodawca zapraszany jest na rozmowę zgodnie z art. 27 ust. 4 rozporządzenia.</w:t>
            </w:r>
            <w:r>
              <w:rPr>
                <w:rFonts w:asciiTheme="minorHAnsi" w:eastAsia="Times New Roman" w:hAnsiTheme="minorHAnsi" w:cstheme="minorHAnsi"/>
                <w:color w:val="000000"/>
                <w:sz w:val="18"/>
                <w:szCs w:val="18"/>
                <w:lang w:eastAsia="pl-PL"/>
              </w:rPr>
              <w:t xml:space="preserve"> </w:t>
            </w:r>
          </w:p>
          <w:p w14:paraId="3CC15B27" w14:textId="33014709" w:rsidR="00600C7C" w:rsidRPr="00600C7C" w:rsidRDefault="00600C7C" w:rsidP="00600C7C">
            <w:pPr>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600C7C">
              <w:rPr>
                <w:rFonts w:asciiTheme="minorHAnsi" w:eastAsia="Times New Roman" w:hAnsiTheme="minorHAnsi" w:cstheme="minorHAnsi"/>
                <w:color w:val="000000"/>
                <w:sz w:val="18"/>
                <w:szCs w:val="18"/>
                <w:lang w:eastAsia="pl-PL"/>
              </w:rPr>
              <w:t>Nawet uwzględniając powyższe przedłużenia, decyzja w pierwszej instancji jest więc podejmowana w max. 240 godzin (czyli max. 10 dni).</w:t>
            </w:r>
          </w:p>
          <w:p w14:paraId="60D2AEB9" w14:textId="77777777" w:rsidR="00600C7C" w:rsidRPr="00600C7C" w:rsidRDefault="00600C7C" w:rsidP="00600C7C">
            <w:pPr>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600C7C">
              <w:rPr>
                <w:rFonts w:asciiTheme="minorHAnsi" w:eastAsia="Times New Roman" w:hAnsiTheme="minorHAnsi" w:cstheme="minorHAnsi"/>
                <w:color w:val="000000"/>
                <w:sz w:val="18"/>
                <w:szCs w:val="18"/>
                <w:lang w:eastAsia="pl-PL"/>
              </w:rPr>
              <w:t>Wyznaczenie 9-krotnie dłuższego terminu na ponowne rozpatrzenie wniosku jest bezpodstawne.</w:t>
            </w:r>
          </w:p>
          <w:p w14:paraId="5D98C8D1" w14:textId="77777777" w:rsidR="00600C7C" w:rsidRPr="00600C7C" w:rsidRDefault="00600C7C" w:rsidP="00600C7C">
            <w:pPr>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600C7C">
              <w:rPr>
                <w:rFonts w:asciiTheme="minorHAnsi" w:eastAsia="Times New Roman" w:hAnsiTheme="minorHAnsi" w:cstheme="minorHAnsi"/>
                <w:color w:val="000000"/>
                <w:sz w:val="18"/>
                <w:szCs w:val="18"/>
                <w:lang w:eastAsia="pl-PL"/>
              </w:rPr>
              <w:lastRenderedPageBreak/>
              <w:t>Co więcej, tak długi termin w praktyce uniemożliwia skorzystanie z prawa do ponownego rozpatrzenia wniosku (ponieważ wymaga złożenia pierwotnego wniosku o udzielenie zezwolenia na podróż z kilkumiesięcznym wyprzedzeniem przed planowaną podróżą).</w:t>
            </w:r>
          </w:p>
          <w:p w14:paraId="05D8F159" w14:textId="209B26DE" w:rsidR="00600C7C" w:rsidRPr="009F5E53" w:rsidRDefault="00600C7C" w:rsidP="00786F7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c>
          <w:tcPr>
            <w:tcW w:w="3402" w:type="dxa"/>
            <w:gridSpan w:val="2"/>
          </w:tcPr>
          <w:p w14:paraId="108FD181" w14:textId="3A1FA323" w:rsidR="00600C7C" w:rsidRPr="005F426B" w:rsidRDefault="00600C7C" w:rsidP="00600C7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0000"/>
                <w:sz w:val="18"/>
                <w:szCs w:val="18"/>
              </w:rPr>
            </w:pPr>
            <w:r w:rsidRPr="00600C7C">
              <w:rPr>
                <w:rFonts w:asciiTheme="minorHAnsi" w:hAnsiTheme="minorHAnsi" w:cstheme="minorHAnsi"/>
                <w:b/>
                <w:bCs/>
                <w:color w:val="000000"/>
                <w:sz w:val="18"/>
                <w:szCs w:val="18"/>
              </w:rPr>
              <w:lastRenderedPageBreak/>
              <w:t>Nie uwzględniono</w:t>
            </w:r>
          </w:p>
          <w:p w14:paraId="7816264F" w14:textId="77777777" w:rsidR="00600C7C" w:rsidRPr="00600C7C" w:rsidRDefault="00600C7C" w:rsidP="00600C7C">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600C7C">
              <w:rPr>
                <w:rFonts w:asciiTheme="minorHAnsi" w:eastAsia="Times New Roman" w:hAnsiTheme="minorHAnsi" w:cstheme="minorHAnsi"/>
                <w:color w:val="000000"/>
                <w:sz w:val="18"/>
                <w:szCs w:val="18"/>
                <w:lang w:eastAsia="pl-PL"/>
              </w:rPr>
              <w:t xml:space="preserve">Zgodnie z motywem (26) rozporządzenia Parlamentu Europejskiego i Rady (UE) 2018/1240 z dnia 12 września 2018 r. ustanawiające europejski system informacji o podróży oraz zezwoleń na podróż (ETIAS) i zmieniające rozporządzenia (UE) nr 1077/2011, (UE) nr 515/2014, (UE) 2016/399, (UE) 2016/1624 i (UE) 2017/2226 (Dz. U. UE. L. z 2018 r. Nr 236, str. 1 z </w:t>
            </w:r>
            <w:proofErr w:type="spellStart"/>
            <w:r w:rsidRPr="00600C7C">
              <w:rPr>
                <w:rFonts w:asciiTheme="minorHAnsi" w:eastAsia="Times New Roman" w:hAnsiTheme="minorHAnsi" w:cstheme="minorHAnsi"/>
                <w:color w:val="000000"/>
                <w:sz w:val="18"/>
                <w:szCs w:val="18"/>
                <w:lang w:eastAsia="pl-PL"/>
              </w:rPr>
              <w:t>późn</w:t>
            </w:r>
            <w:proofErr w:type="spellEnd"/>
            <w:r w:rsidRPr="00600C7C">
              <w:rPr>
                <w:rFonts w:asciiTheme="minorHAnsi" w:eastAsia="Times New Roman" w:hAnsiTheme="minorHAnsi" w:cstheme="minorHAnsi"/>
                <w:color w:val="000000"/>
                <w:sz w:val="18"/>
                <w:szCs w:val="18"/>
                <w:lang w:eastAsia="pl-PL"/>
              </w:rPr>
              <w:t xml:space="preserve">. zm.), wnioskodawcom, którym odmówiono wydania zezwolenia na podróż, powinno przysługiwać prawo do wniesienia odwołania. Postępowanie odwoławcze </w:t>
            </w:r>
            <w:r w:rsidRPr="00600C7C">
              <w:rPr>
                <w:rFonts w:asciiTheme="minorHAnsi" w:eastAsia="Times New Roman" w:hAnsiTheme="minorHAnsi" w:cstheme="minorHAnsi"/>
                <w:color w:val="000000"/>
                <w:sz w:val="18"/>
                <w:szCs w:val="18"/>
                <w:lang w:eastAsia="pl-PL"/>
              </w:rPr>
              <w:lastRenderedPageBreak/>
              <w:t>powinno być prowadzone w państwie członkowskim, które podjęło decyzję w sprawie wniosku, i zgodnie z prawem krajowym tego państwa członkowskiego. I tak, zgodnie z art. 37 ust. 3 rozporządzenia 2018/1240, każde państwo członkowskie rozpatruje odwołania w ramach i na podstawie przepisów prawa krajowego. Rozporządzenie nie zawiera przepisów proceduralnych, które by regulowały jego przebieg, pozostawiając w tej sferze, swobodę regulacyjną państwom członkowskim. 90-dniowy termin rozpatrzenia wniosku o ponowne rozpatrzenie sprawy jest uzasadniony po pierwsze, koniecznością gruntownego i rzetelnego rozpatrzenia sprawy, co ma zminimalizować liczbę ewentualnych uchybień formalnych i umożliwić wnioskodawcom dostęp do skutecznego środka odwoławczego, a po drugie, przewidywaną skalą wniosków o ponowne rozpatrzenie sprawy, a po trzecie, specyfiką postępowania, które może wiązać się z koniecznością podjęcia na nowo ustaleń w sprawie, w tym przeprowadzenia stosownych konsultacji z innymi organami.</w:t>
            </w:r>
          </w:p>
          <w:p w14:paraId="04C89C10" w14:textId="77777777" w:rsidR="00600C7C" w:rsidRPr="00600C7C" w:rsidRDefault="00600C7C" w:rsidP="00600C7C">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600C7C">
              <w:rPr>
                <w:rFonts w:asciiTheme="minorHAnsi" w:eastAsia="Times New Roman" w:hAnsiTheme="minorHAnsi" w:cstheme="minorHAnsi"/>
                <w:color w:val="000000"/>
                <w:sz w:val="18"/>
                <w:szCs w:val="18"/>
                <w:lang w:eastAsia="pl-PL"/>
              </w:rPr>
              <w:t>Wskazanie podanego terminu ma na celu właściwe zabezpieczenie toku postępowania a w tym przeprowadzenie szczegółowego postępowania dowodowego w sprawie. Jednocześnie ze względu na charakter sprawy, termin 90 dni wydaje się być w pełni uzasadniony. Wniosek o ponowne rozpatrzenie sprawy rozpatruje się w terminie do 90 dni. W szczególnie uzasadnionych przypadkach, Komendant Główny Straży Granicznej powiadamia cudzoziemca o nowym terminie załatwienia sprawy oraz wskazuje powody niezałatwienia sprawy w terminie. Powiadomienie przesyła się na adres poczty elektronicznej.</w:t>
            </w:r>
          </w:p>
          <w:p w14:paraId="6EAFA258" w14:textId="6E8400A2" w:rsidR="00600C7C" w:rsidRPr="00023EA5" w:rsidRDefault="00600C7C" w:rsidP="00023EA5">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600C7C">
              <w:rPr>
                <w:rFonts w:asciiTheme="minorHAnsi" w:eastAsia="Times New Roman" w:hAnsiTheme="minorHAnsi" w:cstheme="minorHAnsi"/>
                <w:color w:val="000000"/>
                <w:sz w:val="18"/>
                <w:szCs w:val="18"/>
                <w:lang w:eastAsia="pl-PL"/>
              </w:rPr>
              <w:lastRenderedPageBreak/>
              <w:t>Jednocześnie wskazanie na „w terminie 90 dni”, wskazuje że termin ten jest tylko terminem instrukcyjnym a samo postępowaniem może zostać zakończone w terminie krótszym. Procedura wizowa jest odmienna przedmiotowo od procedury zezwolenia na podróż w ramach ETIAS i uregulowana odmiennymi przepisami prawa. Termin 90-dniowy znajduje uzasadnienie w przewidywanej wysokiej skali wniosków i obłożenia JK ETIAS sprawami odwoławczymi. Jednocześnie wnioskodawca nie ma żadnego okresu karencji wniosku, co oznacza, iż tylko do jego własnego uznania należy, czy zdecyduje się na kwestionowanie decyzji o odmowie zezwolenia w trybie odwoławczym czy raczej zdecyduje się na złożenie kolejnego wniosku (co wiąże się jednak z opłatą). Ponadto, odmowa wydania zezwolenia, o którym mowa w art. 44 rozporządzenia, wiąże się z koniecznością szczegółowego rozpatrzenia przesłanek natury humanitarnej, częstokroć wiążącej się z potrzebą przeprowadzenia dodatkowego wywiadu i uzupełnienia danych. W ocenie KGSG termin 90 dni nie jest nadmierny, a jednocześnie daje wnioskodawcy gwarancję dostępu do procedury odwoławczej, co nie oznacza, iż ta procedura ma być natychmiastowa, z uwagi na częstokroć złożoność oraz potencjalną liczbę spraw.</w:t>
            </w:r>
          </w:p>
        </w:tc>
        <w:tc>
          <w:tcPr>
            <w:tcW w:w="3481" w:type="dxa"/>
            <w:gridSpan w:val="2"/>
          </w:tcPr>
          <w:p w14:paraId="62F40C73" w14:textId="1A89B683" w:rsidR="00786F75" w:rsidRPr="009B2533" w:rsidRDefault="00786F75" w:rsidP="00600C7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r>
      <w:tr w:rsidR="00787817" w:rsidRPr="009B2533" w14:paraId="20EB1D3E" w14:textId="77777777" w:rsidTr="00787817">
        <w:trPr>
          <w:gridAfter w:val="1"/>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1DCD9892" w14:textId="77777777" w:rsidR="00CE0352" w:rsidRPr="009B2533" w:rsidRDefault="00CE0352" w:rsidP="00786F75">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7362EDDB" w14:textId="47BF32D8" w:rsidR="00CE0352" w:rsidRDefault="00600C7C" w:rsidP="00786F75">
            <w:pPr>
              <w:jc w:val="both"/>
              <w:cnfStyle w:val="000000000000" w:firstRow="0" w:lastRow="0" w:firstColumn="0" w:lastColumn="0" w:oddVBand="0" w:evenVBand="0" w:oddHBand="0"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 xml:space="preserve">Art. 46 pkt 28 </w:t>
            </w:r>
          </w:p>
        </w:tc>
        <w:tc>
          <w:tcPr>
            <w:tcW w:w="1846" w:type="dxa"/>
          </w:tcPr>
          <w:p w14:paraId="182C3D83" w14:textId="77777777" w:rsidR="00600C7C" w:rsidRPr="00600C7C" w:rsidRDefault="00600C7C" w:rsidP="00600C7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600C7C">
              <w:rPr>
                <w:rFonts w:asciiTheme="minorHAnsi" w:hAnsiTheme="minorHAnsi" w:cstheme="minorHAnsi"/>
                <w:bCs/>
                <w:sz w:val="18"/>
                <w:szCs w:val="18"/>
              </w:rPr>
              <w:t>Art. 46. W ustawie z dnia 12 grudnia 2013 r. o cudzoziemcach (Dz. U. z 2024 r. poz. 769, 1222 i 1688 oraz z 2025 r. poz. 619, 621 i 622) wprowadza się następujące zmiany:</w:t>
            </w:r>
          </w:p>
          <w:p w14:paraId="744096B7" w14:textId="77777777" w:rsidR="00600C7C" w:rsidRPr="00600C7C" w:rsidRDefault="00600C7C" w:rsidP="00600C7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6CE2D94C" w14:textId="77777777" w:rsidR="00600C7C" w:rsidRPr="00600C7C" w:rsidRDefault="00600C7C" w:rsidP="00600C7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600C7C">
              <w:rPr>
                <w:rFonts w:asciiTheme="minorHAnsi" w:hAnsiTheme="minorHAnsi" w:cstheme="minorHAnsi"/>
                <w:bCs/>
                <w:sz w:val="18"/>
                <w:szCs w:val="18"/>
              </w:rPr>
              <w:t>28) w art. 321 dodaje się ust. 3 i 4 w brzmieniu:</w:t>
            </w:r>
          </w:p>
          <w:p w14:paraId="55B72B53" w14:textId="77777777" w:rsidR="00600C7C" w:rsidRPr="00600C7C" w:rsidRDefault="00600C7C" w:rsidP="00600C7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6F05EC96" w14:textId="77777777" w:rsidR="00600C7C" w:rsidRPr="00600C7C" w:rsidRDefault="00600C7C" w:rsidP="00600C7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600C7C">
              <w:rPr>
                <w:rFonts w:asciiTheme="minorHAnsi" w:hAnsiTheme="minorHAnsi" w:cstheme="minorHAnsi"/>
                <w:bCs/>
                <w:sz w:val="18"/>
                <w:szCs w:val="18"/>
              </w:rPr>
              <w:lastRenderedPageBreak/>
              <w:t>„3. Załatwienie sprawy w postępowaniu odwoławczym powinno nastąpić nie później niż w terminie sześciu miesięcy od dnia otrzymania odwołania. Jeżeli odwołanie nie spełnia wymogów przewidzianych przepisami prawa, termin załatwienia sprawy biegnie od dnia uzupełnienia braków.</w:t>
            </w:r>
          </w:p>
          <w:p w14:paraId="515223BD" w14:textId="77777777" w:rsidR="00600C7C" w:rsidRPr="00600C7C" w:rsidRDefault="00600C7C" w:rsidP="00600C7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354BDC13" w14:textId="70791616" w:rsidR="00CE0352" w:rsidRDefault="00600C7C" w:rsidP="00600C7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600C7C">
              <w:rPr>
                <w:rFonts w:asciiTheme="minorHAnsi" w:hAnsiTheme="minorHAnsi" w:cstheme="minorHAnsi"/>
                <w:bCs/>
                <w:sz w:val="18"/>
                <w:szCs w:val="18"/>
              </w:rPr>
              <w:t>4. W sprawach, o których mowa w ust. 1, obowiązek, o którym mowa w art. 54 § 2 ustawy z dnia 30 sierpnia 2002 r. Prawo o postępowaniu przed sądami administracyjnymi (Dz. U. z 2024 r. poz. 935 i 1685), właściwy organ realizuje w</w:t>
            </w:r>
            <w:r>
              <w:rPr>
                <w:rFonts w:asciiTheme="minorHAnsi" w:hAnsiTheme="minorHAnsi" w:cstheme="minorHAnsi"/>
                <w:bCs/>
                <w:sz w:val="18"/>
                <w:szCs w:val="18"/>
              </w:rPr>
              <w:t xml:space="preserve"> </w:t>
            </w:r>
            <w:r w:rsidRPr="00600C7C">
              <w:rPr>
                <w:rFonts w:asciiTheme="minorHAnsi" w:hAnsiTheme="minorHAnsi" w:cstheme="minorHAnsi"/>
                <w:bCs/>
                <w:sz w:val="18"/>
                <w:szCs w:val="18"/>
              </w:rPr>
              <w:t>terminie 90 dni od dnia otrzymania</w:t>
            </w:r>
            <w:r>
              <w:rPr>
                <w:rFonts w:asciiTheme="minorHAnsi" w:hAnsiTheme="minorHAnsi" w:cstheme="minorHAnsi"/>
                <w:bCs/>
                <w:sz w:val="18"/>
                <w:szCs w:val="18"/>
              </w:rPr>
              <w:t xml:space="preserve"> </w:t>
            </w:r>
            <w:r w:rsidRPr="00600C7C">
              <w:rPr>
                <w:rFonts w:asciiTheme="minorHAnsi" w:hAnsiTheme="minorHAnsi" w:cstheme="minorHAnsi"/>
                <w:bCs/>
                <w:sz w:val="18"/>
                <w:szCs w:val="18"/>
              </w:rPr>
              <w:t>skargi.”;</w:t>
            </w:r>
            <w:r>
              <w:rPr>
                <w:rFonts w:asciiTheme="minorHAnsi" w:hAnsiTheme="minorHAnsi" w:cstheme="minorHAnsi"/>
                <w:bCs/>
                <w:sz w:val="18"/>
                <w:szCs w:val="18"/>
              </w:rPr>
              <w:t xml:space="preserve">  </w:t>
            </w:r>
          </w:p>
        </w:tc>
        <w:tc>
          <w:tcPr>
            <w:tcW w:w="1276" w:type="dxa"/>
          </w:tcPr>
          <w:p w14:paraId="3A46A5EF" w14:textId="708B147E" w:rsidR="00CE0352" w:rsidRPr="00CC73BF" w:rsidRDefault="00600C7C" w:rsidP="00786F7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lastRenderedPageBreak/>
              <w:t>Konfederacja Lewiatan</w:t>
            </w:r>
          </w:p>
        </w:tc>
        <w:tc>
          <w:tcPr>
            <w:tcW w:w="4678" w:type="dxa"/>
          </w:tcPr>
          <w:p w14:paraId="76A0DF49" w14:textId="1B9690AB" w:rsidR="00CE0352" w:rsidRDefault="00D503BB" w:rsidP="00786F7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503BB">
              <w:rPr>
                <w:rFonts w:asciiTheme="minorHAnsi" w:hAnsiTheme="minorHAnsi" w:cstheme="minorHAnsi"/>
                <w:sz w:val="18"/>
                <w:szCs w:val="18"/>
              </w:rPr>
              <w:t>Postulujemy</w:t>
            </w:r>
            <w:r w:rsidR="005F426B">
              <w:rPr>
                <w:rFonts w:asciiTheme="minorHAnsi" w:hAnsiTheme="minorHAnsi" w:cstheme="minorHAnsi"/>
                <w:sz w:val="18"/>
                <w:szCs w:val="18"/>
              </w:rPr>
              <w:t xml:space="preserve"> o</w:t>
            </w:r>
            <w:r w:rsidRPr="00D503BB">
              <w:rPr>
                <w:rFonts w:asciiTheme="minorHAnsi" w:hAnsiTheme="minorHAnsi" w:cstheme="minorHAnsi"/>
                <w:sz w:val="18"/>
                <w:szCs w:val="18"/>
              </w:rPr>
              <w:t xml:space="preserve"> usunięcie przepisu.</w:t>
            </w:r>
            <w:r>
              <w:rPr>
                <w:rFonts w:asciiTheme="minorHAnsi" w:hAnsiTheme="minorHAnsi" w:cstheme="minorHAnsi"/>
                <w:sz w:val="18"/>
                <w:szCs w:val="18"/>
              </w:rPr>
              <w:t xml:space="preserve"> </w:t>
            </w:r>
          </w:p>
          <w:p w14:paraId="5B5ECBC8" w14:textId="77777777"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503BB">
              <w:rPr>
                <w:rFonts w:asciiTheme="minorHAnsi" w:hAnsiTheme="minorHAnsi" w:cstheme="minorHAnsi"/>
                <w:sz w:val="18"/>
                <w:szCs w:val="18"/>
              </w:rPr>
              <w:t>Wprowadzany ustawą art. 321 ust. 3 ustawy o cudzoziemcach wydłuża termin na rozpatrzenie odwołania w sprawach o zobowiązanie cudzoziemca do powrotu, przedłużenie terminu dobrowolnego wyjazdu oraz cofnięcie zakazu ponownego wjazdu do 6 miesięcy (z 1 miesiąca, który wynika z ogólnego przepisu art. 35 §3 kpa).</w:t>
            </w:r>
          </w:p>
          <w:p w14:paraId="5EBCB05D" w14:textId="77777777"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07C6D188" w14:textId="77777777"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503BB">
              <w:rPr>
                <w:rFonts w:asciiTheme="minorHAnsi" w:hAnsiTheme="minorHAnsi" w:cstheme="minorHAnsi"/>
                <w:sz w:val="18"/>
                <w:szCs w:val="18"/>
              </w:rPr>
              <w:t>Takie sześciokrotne wydłużenie terminu na rozpatrzenie odwołania w powyższych sprawach nie ma związku z głównym przedmiotem ustawy (udziału Polski w systemie ETIAS) i nie znajduje żadnego uzasadnienia, natomiast w praktyce czyni prawo do odwołania od negatywnej decyzji iluzorycznym.</w:t>
            </w:r>
          </w:p>
          <w:p w14:paraId="7160F78A" w14:textId="77777777"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30055E9F" w14:textId="77777777"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503BB">
              <w:rPr>
                <w:rFonts w:asciiTheme="minorHAnsi" w:hAnsiTheme="minorHAnsi" w:cstheme="minorHAnsi"/>
                <w:sz w:val="18"/>
                <w:szCs w:val="18"/>
              </w:rPr>
              <w:t>Wprowadzany ustawą art. 321 ust. 4 ustawy o cudzoziemcach przewiduje, że w razie wniesienia przez stronę skargi do sądu administracyjnego na decyzję (lub na bezczynność/przewlekłe prowadzenie sprawy) organu straży granicznej, organ ten będzie mieć 90 dni na przekazanie do sądu skargi wraz aktami sprawy (a nie 30 dni zgodnie z ogólnym przepisem art. 54 §2 ustawy prawo o postępowaniu przed sądami administracyjnymi).</w:t>
            </w:r>
          </w:p>
          <w:p w14:paraId="590BCC68" w14:textId="77777777"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4358A448" w14:textId="34AD9909" w:rsidR="00D503BB" w:rsidRPr="009F5E53"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503BB">
              <w:rPr>
                <w:rFonts w:asciiTheme="minorHAnsi" w:hAnsiTheme="minorHAnsi" w:cstheme="minorHAnsi"/>
                <w:sz w:val="18"/>
                <w:szCs w:val="18"/>
              </w:rPr>
              <w:t>Takie trzykrotne wydłużenie terminu na przekazanie do sądu skargi wraz z aktami też nie ma związku z głównym przedmiotem ustawy, nie znajduje żadnego uzasadnienia i w praktyce czyni dodatkowo iluzorycznym prawo do odwołania od negatywnej decyzji w powyższych sprawach.</w:t>
            </w:r>
          </w:p>
        </w:tc>
        <w:tc>
          <w:tcPr>
            <w:tcW w:w="3402" w:type="dxa"/>
            <w:gridSpan w:val="2"/>
          </w:tcPr>
          <w:p w14:paraId="1504AEDD" w14:textId="77777777"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18"/>
                <w:szCs w:val="18"/>
              </w:rPr>
            </w:pPr>
            <w:r w:rsidRPr="00D503BB">
              <w:rPr>
                <w:rFonts w:asciiTheme="minorHAnsi" w:hAnsiTheme="minorHAnsi" w:cstheme="minorHAnsi"/>
                <w:b/>
                <w:bCs/>
                <w:color w:val="000000" w:themeColor="text1"/>
                <w:sz w:val="18"/>
                <w:szCs w:val="18"/>
              </w:rPr>
              <w:lastRenderedPageBreak/>
              <w:t>Nie uwzględniono</w:t>
            </w:r>
          </w:p>
          <w:p w14:paraId="6FB504C3" w14:textId="77777777"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p>
          <w:p w14:paraId="7898F209" w14:textId="611B2755"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D503BB">
              <w:rPr>
                <w:rFonts w:asciiTheme="minorHAnsi" w:hAnsiTheme="minorHAnsi" w:cstheme="minorHAnsi"/>
                <w:color w:val="000000" w:themeColor="text1"/>
                <w:sz w:val="18"/>
                <w:szCs w:val="18"/>
              </w:rPr>
              <w:t xml:space="preserve">W odniesieniu do drugiej uwagi - dot. art. 46 pkt 28 projektu, dot. dodania do art. 321 </w:t>
            </w:r>
            <w:proofErr w:type="spellStart"/>
            <w:r w:rsidRPr="00D503BB">
              <w:rPr>
                <w:rFonts w:asciiTheme="minorHAnsi" w:hAnsiTheme="minorHAnsi" w:cstheme="minorHAnsi"/>
                <w:color w:val="000000" w:themeColor="text1"/>
                <w:sz w:val="18"/>
                <w:szCs w:val="18"/>
              </w:rPr>
              <w:t>u.c</w:t>
            </w:r>
            <w:proofErr w:type="spellEnd"/>
            <w:r w:rsidRPr="00D503BB">
              <w:rPr>
                <w:rFonts w:asciiTheme="minorHAnsi" w:hAnsiTheme="minorHAnsi" w:cstheme="minorHAnsi"/>
                <w:color w:val="000000" w:themeColor="text1"/>
                <w:sz w:val="18"/>
                <w:szCs w:val="18"/>
              </w:rPr>
              <w:t>. nowego ust. 3, wskazującego na dłuższy termin rozpatrzenia sprawy odwoławczej od decyzji, o których mowa w art. 321 ust. 1, a szczególny w stosunku do art. 35 par. 3 k.p.a., należy wskazać iż zmiana wynika z konieczności umożliwienia rzetelnego rozpoznania spraw m.in. o zobowiązanie cudzoziemca do powrotu, które w praktyce zbiegają 5 orzeczeń w jednej decyzji: zob</w:t>
            </w:r>
            <w:r w:rsidR="00FF6171">
              <w:rPr>
                <w:rFonts w:asciiTheme="minorHAnsi" w:hAnsiTheme="minorHAnsi" w:cstheme="minorHAnsi"/>
                <w:color w:val="000000" w:themeColor="text1"/>
                <w:sz w:val="18"/>
                <w:szCs w:val="18"/>
              </w:rPr>
              <w:t xml:space="preserve">owiązanie do powrotu, orzeczenie </w:t>
            </w:r>
            <w:r w:rsidRPr="00D503BB">
              <w:rPr>
                <w:rFonts w:asciiTheme="minorHAnsi" w:hAnsiTheme="minorHAnsi" w:cstheme="minorHAnsi"/>
                <w:color w:val="000000" w:themeColor="text1"/>
                <w:sz w:val="18"/>
                <w:szCs w:val="18"/>
              </w:rPr>
              <w:t xml:space="preserve">o </w:t>
            </w:r>
            <w:r w:rsidRPr="00D503BB">
              <w:rPr>
                <w:rFonts w:asciiTheme="minorHAnsi" w:hAnsiTheme="minorHAnsi" w:cstheme="minorHAnsi"/>
                <w:color w:val="000000" w:themeColor="text1"/>
                <w:sz w:val="18"/>
                <w:szCs w:val="18"/>
              </w:rPr>
              <w:lastRenderedPageBreak/>
              <w:t>terminie dobrowolnego wyjazdu, o zakazie ponownego wjazdu lub o zasadności odstąpienia od tego środka, co do zgody na pobyt ze względów humanitarnych w Polsce oraz co do zgody na pobyt tolerowany na terytorium Rzeczypospolitej Polskiej.</w:t>
            </w:r>
          </w:p>
          <w:p w14:paraId="39CF84C1" w14:textId="77777777"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p>
          <w:p w14:paraId="6924C2B7" w14:textId="041A65E1"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D503BB">
              <w:rPr>
                <w:rFonts w:asciiTheme="minorHAnsi" w:hAnsiTheme="minorHAnsi" w:cstheme="minorHAnsi"/>
                <w:color w:val="000000" w:themeColor="text1"/>
                <w:sz w:val="18"/>
                <w:szCs w:val="18"/>
              </w:rPr>
              <w:t>Zarówno sprawa o zobowiązanie cudzoziemca do powrot</w:t>
            </w:r>
            <w:r w:rsidR="00FF6171">
              <w:rPr>
                <w:rFonts w:asciiTheme="minorHAnsi" w:hAnsiTheme="minorHAnsi" w:cstheme="minorHAnsi"/>
                <w:color w:val="000000" w:themeColor="text1"/>
                <w:sz w:val="18"/>
                <w:szCs w:val="18"/>
              </w:rPr>
              <w:t>u jak i pozostały katalog spraw</w:t>
            </w:r>
            <w:r w:rsidRPr="00D503BB">
              <w:rPr>
                <w:rFonts w:asciiTheme="minorHAnsi" w:hAnsiTheme="minorHAnsi" w:cstheme="minorHAnsi"/>
                <w:color w:val="000000" w:themeColor="text1"/>
                <w:sz w:val="18"/>
                <w:szCs w:val="18"/>
              </w:rPr>
              <w:t xml:space="preserve">, określony przez art. 321 ust. 1 </w:t>
            </w:r>
            <w:proofErr w:type="spellStart"/>
            <w:r w:rsidRPr="00D503BB">
              <w:rPr>
                <w:rFonts w:asciiTheme="minorHAnsi" w:hAnsiTheme="minorHAnsi" w:cstheme="minorHAnsi"/>
                <w:color w:val="000000" w:themeColor="text1"/>
                <w:sz w:val="18"/>
                <w:szCs w:val="18"/>
              </w:rPr>
              <w:t>u.c</w:t>
            </w:r>
            <w:proofErr w:type="spellEnd"/>
            <w:r w:rsidRPr="00D503BB">
              <w:rPr>
                <w:rFonts w:asciiTheme="minorHAnsi" w:hAnsiTheme="minorHAnsi" w:cstheme="minorHAnsi"/>
                <w:color w:val="000000" w:themeColor="text1"/>
                <w:sz w:val="18"/>
                <w:szCs w:val="18"/>
              </w:rPr>
              <w:t>., mają charakter o podwyższonym stopniu skomplikowania i nie są to decyzje wydawane „automatycznie”, lecz każdy jeden układ faktyczno-prawny wymaga gruntownego zbadania na kanwie każdej jednej poszczególnej sytuacji.</w:t>
            </w:r>
          </w:p>
          <w:p w14:paraId="682E16A8" w14:textId="77777777"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p>
          <w:p w14:paraId="4B282517" w14:textId="54B7B747"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D503BB">
              <w:rPr>
                <w:rFonts w:asciiTheme="minorHAnsi" w:hAnsiTheme="minorHAnsi" w:cstheme="minorHAnsi"/>
                <w:color w:val="000000" w:themeColor="text1"/>
                <w:sz w:val="18"/>
                <w:szCs w:val="18"/>
              </w:rPr>
              <w:t>Sprawy o mniejszej liczbie orzeczeń zawierających się w decyzji, tj. o udzielenie ochrony międzynarodowej (gdzie rozstrzyga się co do nadania statusu uchodźcy oraz co do zasadności udzielenia ochrony uzupełniającej), zgodnie z art. 34 ust. 1 ustawy z dnia 13 czerwca 2003 r. o udzielaniu cudzoziemcom ochrony na terytorium Rzeczypospolitej</w:t>
            </w:r>
            <w:r w:rsidR="00FF6171">
              <w:rPr>
                <w:rFonts w:asciiTheme="minorHAnsi" w:hAnsiTheme="minorHAnsi" w:cstheme="minorHAnsi"/>
                <w:color w:val="000000" w:themeColor="text1"/>
                <w:sz w:val="18"/>
                <w:szCs w:val="18"/>
              </w:rPr>
              <w:t xml:space="preserve"> Polskiej (</w:t>
            </w:r>
            <w:r w:rsidRPr="00D503BB">
              <w:rPr>
                <w:rFonts w:asciiTheme="minorHAnsi" w:hAnsiTheme="minorHAnsi" w:cstheme="minorHAnsi"/>
                <w:color w:val="000000" w:themeColor="text1"/>
                <w:sz w:val="18"/>
                <w:szCs w:val="18"/>
              </w:rPr>
              <w:t>Dz. U. z 2025 r. poz. 223</w:t>
            </w:r>
            <w:r w:rsidR="00FF6171">
              <w:rPr>
                <w:rFonts w:asciiTheme="minorHAnsi" w:hAnsiTheme="minorHAnsi" w:cstheme="minorHAnsi"/>
                <w:color w:val="000000" w:themeColor="text1"/>
                <w:sz w:val="18"/>
                <w:szCs w:val="18"/>
              </w:rPr>
              <w:t>,</w:t>
            </w:r>
            <w:r w:rsidRPr="00D503BB">
              <w:rPr>
                <w:rFonts w:asciiTheme="minorHAnsi" w:hAnsiTheme="minorHAnsi" w:cstheme="minorHAnsi"/>
                <w:color w:val="000000" w:themeColor="text1"/>
                <w:sz w:val="18"/>
                <w:szCs w:val="18"/>
              </w:rPr>
              <w:t xml:space="preserve"> z </w:t>
            </w:r>
            <w:proofErr w:type="spellStart"/>
            <w:r w:rsidRPr="00D503BB">
              <w:rPr>
                <w:rFonts w:asciiTheme="minorHAnsi" w:hAnsiTheme="minorHAnsi" w:cstheme="minorHAnsi"/>
                <w:color w:val="000000" w:themeColor="text1"/>
                <w:sz w:val="18"/>
                <w:szCs w:val="18"/>
              </w:rPr>
              <w:t>późn</w:t>
            </w:r>
            <w:proofErr w:type="spellEnd"/>
            <w:r w:rsidRPr="00D503BB">
              <w:rPr>
                <w:rFonts w:asciiTheme="minorHAnsi" w:hAnsiTheme="minorHAnsi" w:cstheme="minorHAnsi"/>
                <w:color w:val="000000" w:themeColor="text1"/>
                <w:sz w:val="18"/>
                <w:szCs w:val="18"/>
              </w:rPr>
              <w:t>. zm.) wynosi do 6 miesięcy, zaś w przypadkach skomplikowanych zgodnie z art. 34 ust. 2 tejże ustawy – do 15 miesięcy.</w:t>
            </w:r>
          </w:p>
          <w:p w14:paraId="1B7FDFF4" w14:textId="77777777"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p>
          <w:p w14:paraId="13BF4326" w14:textId="77777777"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D503BB">
              <w:rPr>
                <w:rFonts w:asciiTheme="minorHAnsi" w:hAnsiTheme="minorHAnsi" w:cstheme="minorHAnsi"/>
                <w:color w:val="000000" w:themeColor="text1"/>
                <w:sz w:val="18"/>
                <w:szCs w:val="18"/>
              </w:rPr>
              <w:t xml:space="preserve">W ocenie projektodawcy, 6-miesięczny termin określony przez projektowany art. 321 ust. 3 </w:t>
            </w:r>
            <w:proofErr w:type="spellStart"/>
            <w:r w:rsidRPr="00D503BB">
              <w:rPr>
                <w:rFonts w:asciiTheme="minorHAnsi" w:hAnsiTheme="minorHAnsi" w:cstheme="minorHAnsi"/>
                <w:color w:val="000000" w:themeColor="text1"/>
                <w:sz w:val="18"/>
                <w:szCs w:val="18"/>
              </w:rPr>
              <w:t>u.c</w:t>
            </w:r>
            <w:proofErr w:type="spellEnd"/>
            <w:r w:rsidRPr="00D503BB">
              <w:rPr>
                <w:rFonts w:asciiTheme="minorHAnsi" w:hAnsiTheme="minorHAnsi" w:cstheme="minorHAnsi"/>
                <w:color w:val="000000" w:themeColor="text1"/>
                <w:sz w:val="18"/>
                <w:szCs w:val="18"/>
              </w:rPr>
              <w:t>. nie jest zatem terminem wygórowanym i odpowiada obowiązującym realiom migracyjnymi panującymi w Polsce.</w:t>
            </w:r>
          </w:p>
          <w:p w14:paraId="5F529D39" w14:textId="77777777"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p>
          <w:p w14:paraId="7F667470" w14:textId="77B4269B"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D503BB">
              <w:rPr>
                <w:rFonts w:asciiTheme="minorHAnsi" w:hAnsiTheme="minorHAnsi" w:cstheme="minorHAnsi"/>
                <w:color w:val="000000" w:themeColor="text1"/>
                <w:sz w:val="18"/>
                <w:szCs w:val="18"/>
              </w:rPr>
              <w:t xml:space="preserve">Analogicznie, mając na względzie skalę spraw i stopień ich skomplikowania, zasadne jest również w stosunku do realizacji obowiązku wynikającego z art. 54 par. 2 ustawy z dnia 30 sierpnia 2002 r. </w:t>
            </w:r>
            <w:r w:rsidR="00FF6171">
              <w:rPr>
                <w:rFonts w:asciiTheme="minorHAnsi" w:hAnsiTheme="minorHAnsi" w:cstheme="minorHAnsi"/>
                <w:color w:val="000000" w:themeColor="text1"/>
                <w:sz w:val="18"/>
                <w:szCs w:val="18"/>
              </w:rPr>
              <w:t xml:space="preserve">- </w:t>
            </w:r>
            <w:r w:rsidRPr="00D503BB">
              <w:rPr>
                <w:rFonts w:asciiTheme="minorHAnsi" w:hAnsiTheme="minorHAnsi" w:cstheme="minorHAnsi"/>
                <w:color w:val="000000" w:themeColor="text1"/>
                <w:sz w:val="18"/>
                <w:szCs w:val="18"/>
              </w:rPr>
              <w:t>Prawo o postępowaniu przed</w:t>
            </w:r>
            <w:r w:rsidR="00FF6171">
              <w:rPr>
                <w:rFonts w:asciiTheme="minorHAnsi" w:hAnsiTheme="minorHAnsi" w:cstheme="minorHAnsi"/>
                <w:color w:val="000000" w:themeColor="text1"/>
                <w:sz w:val="18"/>
                <w:szCs w:val="18"/>
              </w:rPr>
              <w:t xml:space="preserve"> sądami administracyjnymi (</w:t>
            </w:r>
            <w:r w:rsidRPr="00D503BB">
              <w:rPr>
                <w:rFonts w:asciiTheme="minorHAnsi" w:hAnsiTheme="minorHAnsi" w:cstheme="minorHAnsi"/>
                <w:color w:val="000000" w:themeColor="text1"/>
                <w:sz w:val="18"/>
                <w:szCs w:val="18"/>
              </w:rPr>
              <w:t>Dz. U. z 2024 r. poz. 935</w:t>
            </w:r>
            <w:r w:rsidR="00FF6171">
              <w:rPr>
                <w:rFonts w:asciiTheme="minorHAnsi" w:hAnsiTheme="minorHAnsi" w:cstheme="minorHAnsi"/>
                <w:color w:val="000000" w:themeColor="text1"/>
                <w:sz w:val="18"/>
                <w:szCs w:val="18"/>
              </w:rPr>
              <w:t xml:space="preserve">, z </w:t>
            </w:r>
            <w:proofErr w:type="spellStart"/>
            <w:r w:rsidR="00FF6171">
              <w:rPr>
                <w:rFonts w:asciiTheme="minorHAnsi" w:hAnsiTheme="minorHAnsi" w:cstheme="minorHAnsi"/>
                <w:color w:val="000000" w:themeColor="text1"/>
                <w:sz w:val="18"/>
                <w:szCs w:val="18"/>
              </w:rPr>
              <w:t>późn</w:t>
            </w:r>
            <w:proofErr w:type="spellEnd"/>
            <w:r w:rsidR="00FF6171">
              <w:rPr>
                <w:rFonts w:asciiTheme="minorHAnsi" w:hAnsiTheme="minorHAnsi" w:cstheme="minorHAnsi"/>
                <w:color w:val="000000" w:themeColor="text1"/>
                <w:sz w:val="18"/>
                <w:szCs w:val="18"/>
              </w:rPr>
              <w:t>. zm.), bowiem jako</w:t>
            </w:r>
            <w:r w:rsidRPr="00D503BB">
              <w:rPr>
                <w:rFonts w:asciiTheme="minorHAnsi" w:hAnsiTheme="minorHAnsi" w:cstheme="minorHAnsi"/>
                <w:color w:val="000000" w:themeColor="text1"/>
                <w:sz w:val="18"/>
                <w:szCs w:val="18"/>
              </w:rPr>
              <w:t xml:space="preserve"> iż zgodnie z art. 134 </w:t>
            </w:r>
            <w:proofErr w:type="spellStart"/>
            <w:r w:rsidRPr="00D503BB">
              <w:rPr>
                <w:rFonts w:asciiTheme="minorHAnsi" w:hAnsiTheme="minorHAnsi" w:cstheme="minorHAnsi"/>
                <w:color w:val="000000" w:themeColor="text1"/>
                <w:sz w:val="18"/>
                <w:szCs w:val="18"/>
              </w:rPr>
              <w:t>p.p.s.a</w:t>
            </w:r>
            <w:proofErr w:type="spellEnd"/>
            <w:r w:rsidRPr="00D503BB">
              <w:rPr>
                <w:rFonts w:asciiTheme="minorHAnsi" w:hAnsiTheme="minorHAnsi" w:cstheme="minorHAnsi"/>
                <w:color w:val="000000" w:themeColor="text1"/>
                <w:sz w:val="18"/>
                <w:szCs w:val="18"/>
              </w:rPr>
              <w:t xml:space="preserve">. sąd administracyjny pierwszej instancji nie jest związany wnioskami i </w:t>
            </w:r>
            <w:r w:rsidRPr="00D503BB">
              <w:rPr>
                <w:rFonts w:asciiTheme="minorHAnsi" w:hAnsiTheme="minorHAnsi" w:cstheme="minorHAnsi"/>
                <w:color w:val="000000" w:themeColor="text1"/>
                <w:sz w:val="18"/>
                <w:szCs w:val="18"/>
              </w:rPr>
              <w:lastRenderedPageBreak/>
              <w:t xml:space="preserve">zarzutami skargi ani powołaną podstawą prawną, to kontrola administracji publicznej sprawowanej przez sądy administracyjnej ma charakter szeroki. Wobec faktu, iż rozpatrzeniu podlega cała decyzja, zawierająca 5 orzeczeń, o wysokim stopniu skomplikowania, to nie sposób jest uznać, iż kategoria spraw z art. 321 ust. 1 </w:t>
            </w:r>
            <w:proofErr w:type="spellStart"/>
            <w:r w:rsidRPr="00D503BB">
              <w:rPr>
                <w:rFonts w:asciiTheme="minorHAnsi" w:hAnsiTheme="minorHAnsi" w:cstheme="minorHAnsi"/>
                <w:color w:val="000000" w:themeColor="text1"/>
                <w:sz w:val="18"/>
                <w:szCs w:val="18"/>
              </w:rPr>
              <w:t>u.c</w:t>
            </w:r>
            <w:proofErr w:type="spellEnd"/>
            <w:r w:rsidRPr="00D503BB">
              <w:rPr>
                <w:rFonts w:asciiTheme="minorHAnsi" w:hAnsiTheme="minorHAnsi" w:cstheme="minorHAnsi"/>
                <w:color w:val="000000" w:themeColor="text1"/>
                <w:sz w:val="18"/>
                <w:szCs w:val="18"/>
              </w:rPr>
              <w:t>. skarżonych do sądów administracyjnych, jest tożsama z przeciętnymi sprawami.</w:t>
            </w:r>
          </w:p>
          <w:p w14:paraId="14E2F9E4" w14:textId="77777777"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p>
          <w:p w14:paraId="629951BB" w14:textId="77777777"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D503BB">
              <w:rPr>
                <w:rFonts w:asciiTheme="minorHAnsi" w:hAnsiTheme="minorHAnsi" w:cstheme="minorHAnsi"/>
                <w:color w:val="000000" w:themeColor="text1"/>
                <w:sz w:val="18"/>
                <w:szCs w:val="18"/>
              </w:rPr>
              <w:t xml:space="preserve">Wydłużony termin jest niezbędny więc, z jednej strony dla zapewnienia rzetelnej realizacji autokontroli organu administracji publicznej stosownie do art. 54 par. 3 </w:t>
            </w:r>
            <w:proofErr w:type="spellStart"/>
            <w:r w:rsidRPr="00D503BB">
              <w:rPr>
                <w:rFonts w:asciiTheme="minorHAnsi" w:hAnsiTheme="minorHAnsi" w:cstheme="minorHAnsi"/>
                <w:color w:val="000000" w:themeColor="text1"/>
                <w:sz w:val="18"/>
                <w:szCs w:val="18"/>
              </w:rPr>
              <w:t>p.p.s.a</w:t>
            </w:r>
            <w:proofErr w:type="spellEnd"/>
            <w:r w:rsidRPr="00D503BB">
              <w:rPr>
                <w:rFonts w:asciiTheme="minorHAnsi" w:hAnsiTheme="minorHAnsi" w:cstheme="minorHAnsi"/>
                <w:color w:val="000000" w:themeColor="text1"/>
                <w:sz w:val="18"/>
                <w:szCs w:val="18"/>
              </w:rPr>
              <w:t xml:space="preserve">., jak również do gruntownej analizy zarzutów skargi oraz całego układu faktyczno-prawnego celem udzielenia wyczerpującej odpowiedzi na skargę. Pozwoli to wszystko na ułatwienie pracy sądom administracyjnym, które dysponując odpowiedzią na skargę sporządzoną w odpowiedniej przestrzeni czasowej, będą dysponowały bardziej jakościowymi materiałami do rozpatrywania spraw sądowo administracyjnych w zakresie aktów, o których mowa w art. 321 ust. 1 </w:t>
            </w:r>
            <w:proofErr w:type="spellStart"/>
            <w:r w:rsidRPr="00D503BB">
              <w:rPr>
                <w:rFonts w:asciiTheme="minorHAnsi" w:hAnsiTheme="minorHAnsi" w:cstheme="minorHAnsi"/>
                <w:color w:val="000000" w:themeColor="text1"/>
                <w:sz w:val="18"/>
                <w:szCs w:val="18"/>
              </w:rPr>
              <w:t>u.c</w:t>
            </w:r>
            <w:proofErr w:type="spellEnd"/>
            <w:r w:rsidRPr="00D503BB">
              <w:rPr>
                <w:rFonts w:asciiTheme="minorHAnsi" w:hAnsiTheme="minorHAnsi" w:cstheme="minorHAnsi"/>
                <w:color w:val="000000" w:themeColor="text1"/>
                <w:sz w:val="18"/>
                <w:szCs w:val="18"/>
              </w:rPr>
              <w:t>.</w:t>
            </w:r>
          </w:p>
          <w:p w14:paraId="1422DB6A" w14:textId="77777777" w:rsidR="00D503BB"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p>
          <w:p w14:paraId="3AA32B8F" w14:textId="184837DE" w:rsidR="00CE0352" w:rsidRPr="00D503BB" w:rsidRDefault="00D503BB" w:rsidP="00D503B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D503BB">
              <w:rPr>
                <w:rFonts w:asciiTheme="minorHAnsi" w:hAnsiTheme="minorHAnsi" w:cstheme="minorHAnsi"/>
                <w:color w:val="000000" w:themeColor="text1"/>
                <w:sz w:val="18"/>
                <w:szCs w:val="18"/>
              </w:rPr>
              <w:t xml:space="preserve">Ponadto, wskazać należy, iż projektowany przepis art. 321 ust. 4 </w:t>
            </w:r>
            <w:proofErr w:type="spellStart"/>
            <w:r w:rsidRPr="00D503BB">
              <w:rPr>
                <w:rFonts w:asciiTheme="minorHAnsi" w:hAnsiTheme="minorHAnsi" w:cstheme="minorHAnsi"/>
                <w:color w:val="000000" w:themeColor="text1"/>
                <w:sz w:val="18"/>
                <w:szCs w:val="18"/>
              </w:rPr>
              <w:t>u.c</w:t>
            </w:r>
            <w:proofErr w:type="spellEnd"/>
            <w:r w:rsidRPr="00D503BB">
              <w:rPr>
                <w:rFonts w:asciiTheme="minorHAnsi" w:hAnsiTheme="minorHAnsi" w:cstheme="minorHAnsi"/>
                <w:color w:val="000000" w:themeColor="text1"/>
                <w:sz w:val="18"/>
                <w:szCs w:val="18"/>
              </w:rPr>
              <w:t xml:space="preserve">. przewiduje termin spełnienia obowiązku z art. 54 par. 2 </w:t>
            </w:r>
            <w:proofErr w:type="spellStart"/>
            <w:r w:rsidRPr="00D503BB">
              <w:rPr>
                <w:rFonts w:asciiTheme="minorHAnsi" w:hAnsiTheme="minorHAnsi" w:cstheme="minorHAnsi"/>
                <w:color w:val="000000" w:themeColor="text1"/>
                <w:sz w:val="18"/>
                <w:szCs w:val="18"/>
              </w:rPr>
              <w:t>p.p.s.a</w:t>
            </w:r>
            <w:proofErr w:type="spellEnd"/>
            <w:r w:rsidRPr="00D503BB">
              <w:rPr>
                <w:rFonts w:asciiTheme="minorHAnsi" w:hAnsiTheme="minorHAnsi" w:cstheme="minorHAnsi"/>
                <w:color w:val="000000" w:themeColor="text1"/>
                <w:sz w:val="18"/>
                <w:szCs w:val="18"/>
              </w:rPr>
              <w:t>. – do 90 dni, a nie 90 dni. Oznacza to, iż organy w większości wypadków będą przekazywały skargi wraz z aktami i odpowiedzią w czasie krótszym niż 90 dni, jednakże ten maksymalny wymiar 90 dni ma zapewnić, że organy będą posiadały odpowiednie zaplecze czasowe do gruntownego odniesienia się do skargi, w tym dokonania autokontroli zaskarżonego aktu, co ostatecznie usprawni procedurę sądowo administracyjną.</w:t>
            </w:r>
          </w:p>
        </w:tc>
        <w:tc>
          <w:tcPr>
            <w:tcW w:w="3481" w:type="dxa"/>
            <w:gridSpan w:val="2"/>
          </w:tcPr>
          <w:p w14:paraId="20CAD8C7" w14:textId="77777777" w:rsidR="00CE0352" w:rsidRPr="009B2533" w:rsidRDefault="00CE0352" w:rsidP="00786F7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tr w:rsidR="00787817" w:rsidRPr="009B2533" w14:paraId="62419E92" w14:textId="77777777" w:rsidTr="00787817">
        <w:trPr>
          <w:gridAfter w:val="1"/>
          <w:cnfStyle w:val="000000100000" w:firstRow="0" w:lastRow="0" w:firstColumn="0" w:lastColumn="0" w:oddVBand="0" w:evenVBand="0" w:oddHBand="1" w:evenHBand="0" w:firstRowFirstColumn="0" w:firstRowLastColumn="0" w:lastRowFirstColumn="0" w:lastRowLastColumn="0"/>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05356EEE" w14:textId="77777777" w:rsidR="000C36E6" w:rsidRPr="009B2533" w:rsidRDefault="000C36E6" w:rsidP="000C36E6">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6DED506A" w14:textId="35FC5B2A" w:rsidR="000C36E6" w:rsidRDefault="00D83AC0" w:rsidP="000C36E6">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Art. 5 ust. 6</w:t>
            </w:r>
            <w:r w:rsidR="004E43D5">
              <w:rPr>
                <w:rStyle w:val="Ppogrubienie"/>
                <w:rFonts w:asciiTheme="minorHAnsi" w:hAnsiTheme="minorHAnsi" w:cstheme="minorHAnsi"/>
                <w:b w:val="0"/>
                <w:sz w:val="18"/>
                <w:szCs w:val="18"/>
              </w:rPr>
              <w:t xml:space="preserve"> oraz art. 36 ust. 3</w:t>
            </w:r>
          </w:p>
        </w:tc>
        <w:tc>
          <w:tcPr>
            <w:tcW w:w="1846" w:type="dxa"/>
          </w:tcPr>
          <w:p w14:paraId="7D3C1A3F" w14:textId="77777777" w:rsidR="000C36E6" w:rsidRDefault="00D83AC0" w:rsidP="000C36E6">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 xml:space="preserve">Art. 5 ust. 6 </w:t>
            </w:r>
          </w:p>
          <w:p w14:paraId="6A23DAD1" w14:textId="77777777" w:rsidR="00D83AC0" w:rsidRDefault="004E43D5" w:rsidP="000C36E6">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4E43D5">
              <w:rPr>
                <w:rFonts w:asciiTheme="minorHAnsi" w:hAnsiTheme="minorHAnsi" w:cstheme="minorHAnsi"/>
                <w:bCs/>
                <w:sz w:val="18"/>
                <w:szCs w:val="18"/>
              </w:rPr>
              <w:t xml:space="preserve">Komendant Główny Straży Granicznej zapewnia funkcjonariuszom lub </w:t>
            </w:r>
            <w:r w:rsidRPr="004E43D5">
              <w:rPr>
                <w:rFonts w:asciiTheme="minorHAnsi" w:hAnsiTheme="minorHAnsi" w:cstheme="minorHAnsi"/>
                <w:bCs/>
                <w:sz w:val="18"/>
                <w:szCs w:val="18"/>
              </w:rPr>
              <w:lastRenderedPageBreak/>
              <w:t>pracownikom Straży Granicznej szkolenia dotyczące zasad bezpieczeństwa danych i praw podstawowych, w szczególności ochrony danych, zgodnie z art. 76 ust. 1 lit. g i ust. 3 rozporządzenia 2018/1240.</w:t>
            </w:r>
          </w:p>
          <w:p w14:paraId="7D1D34F5" w14:textId="77777777" w:rsidR="004E43D5" w:rsidRDefault="004E43D5" w:rsidP="000C36E6">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31240633" w14:textId="4F366585" w:rsidR="004E43D5" w:rsidRDefault="004E43D5" w:rsidP="000C36E6">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 xml:space="preserve">Art. 36 ust. 3 </w:t>
            </w:r>
          </w:p>
          <w:p w14:paraId="74E18631" w14:textId="341DE767" w:rsidR="004E43D5" w:rsidRDefault="004E43D5" w:rsidP="000C36E6">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4E43D5">
              <w:rPr>
                <w:rFonts w:asciiTheme="minorHAnsi" w:hAnsiTheme="minorHAnsi" w:cstheme="minorHAnsi"/>
                <w:bCs/>
                <w:sz w:val="18"/>
                <w:szCs w:val="18"/>
              </w:rPr>
              <w:t>Organ uprawniony do przetwarzania danych ETIAS zapewnia szkolenie, o którym mowa w ust. 2.</w:t>
            </w:r>
          </w:p>
          <w:p w14:paraId="5495B89A" w14:textId="77777777" w:rsidR="004E43D5" w:rsidRDefault="004E43D5" w:rsidP="000C36E6">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06E280A9" w14:textId="77777777" w:rsidR="004E43D5" w:rsidRDefault="004E43D5" w:rsidP="000C36E6">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4432D5F0" w14:textId="0ED7C663" w:rsidR="000C36E6" w:rsidRDefault="000C36E6" w:rsidP="000C36E6">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tc>
        <w:tc>
          <w:tcPr>
            <w:tcW w:w="1276" w:type="dxa"/>
          </w:tcPr>
          <w:p w14:paraId="6D463386" w14:textId="42683F19" w:rsidR="000C36E6" w:rsidRPr="00CC73BF" w:rsidRDefault="00D83AC0" w:rsidP="000C36E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lastRenderedPageBreak/>
              <w:t>Wojewoda Podkarpacki</w:t>
            </w:r>
          </w:p>
        </w:tc>
        <w:tc>
          <w:tcPr>
            <w:tcW w:w="4678" w:type="dxa"/>
          </w:tcPr>
          <w:p w14:paraId="2924DCBA" w14:textId="77777777" w:rsidR="00D83AC0" w:rsidRPr="00D83AC0" w:rsidRDefault="00D83AC0" w:rsidP="00D83AC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D83AC0">
              <w:rPr>
                <w:rFonts w:asciiTheme="minorHAnsi" w:hAnsiTheme="minorHAnsi" w:cstheme="minorHAnsi"/>
                <w:sz w:val="18"/>
                <w:szCs w:val="18"/>
              </w:rPr>
              <w:t>Proponuje się zmianę treści przepisów ww. projektu, nadając im następującą treść:</w:t>
            </w:r>
          </w:p>
          <w:p w14:paraId="06349156" w14:textId="77777777" w:rsidR="00D83AC0" w:rsidRPr="00D83AC0" w:rsidRDefault="00D83AC0" w:rsidP="00D83AC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29B8387B" w14:textId="77777777" w:rsidR="00D83AC0" w:rsidRPr="00D83AC0" w:rsidRDefault="00D83AC0" w:rsidP="00D83AC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D83AC0">
              <w:rPr>
                <w:rFonts w:asciiTheme="minorHAnsi" w:hAnsiTheme="minorHAnsi" w:cstheme="minorHAnsi"/>
                <w:sz w:val="18"/>
                <w:szCs w:val="18"/>
              </w:rPr>
              <w:t xml:space="preserve">1) art. 5 ust. 6 „Komendant Główny Straży Granicznej zapewnia funkcjonariuszom lub pracownikom Straży </w:t>
            </w:r>
            <w:r w:rsidRPr="00D83AC0">
              <w:rPr>
                <w:rFonts w:asciiTheme="minorHAnsi" w:hAnsiTheme="minorHAnsi" w:cstheme="minorHAnsi"/>
                <w:sz w:val="18"/>
                <w:szCs w:val="18"/>
              </w:rPr>
              <w:lastRenderedPageBreak/>
              <w:t>Granicznej oraz pracownikom urzędów wojewódzkich szkolenia dotyczące zasad bezpieczeństwa danych i praw podstawowych, w szczególności ochrony danych, zgodnie z art. 76 ust. 1 lit. g i ust. 3 rozporządzenia 2018/1240.”,</w:t>
            </w:r>
          </w:p>
          <w:p w14:paraId="1B5B8EEB" w14:textId="77777777" w:rsidR="00D83AC0" w:rsidRPr="00D83AC0" w:rsidRDefault="00D83AC0" w:rsidP="00D83AC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03C46E92" w14:textId="77777777" w:rsidR="000C36E6" w:rsidRDefault="00D83AC0" w:rsidP="00D83AC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D83AC0">
              <w:rPr>
                <w:rFonts w:asciiTheme="minorHAnsi" w:hAnsiTheme="minorHAnsi" w:cstheme="minorHAnsi"/>
                <w:sz w:val="18"/>
                <w:szCs w:val="18"/>
              </w:rPr>
              <w:t>2) art. 36 ust. 3 „Komendant Główny Straży Granicznej zapewnia szkolenie, o którym mowa w ust. 2.”</w:t>
            </w:r>
          </w:p>
          <w:p w14:paraId="26468E0C" w14:textId="77777777" w:rsidR="00D83AC0" w:rsidRDefault="00D83AC0" w:rsidP="00D83AC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1E67D0F8" w14:textId="4714BCA8" w:rsidR="00D83AC0" w:rsidRPr="00D83AC0" w:rsidRDefault="00D83AC0" w:rsidP="00D83AC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D83AC0">
              <w:rPr>
                <w:rFonts w:asciiTheme="minorHAnsi" w:hAnsiTheme="minorHAnsi" w:cstheme="minorHAnsi"/>
                <w:sz w:val="18"/>
                <w:szCs w:val="18"/>
              </w:rPr>
              <w:t>Przepisy proponowane w w/w projekcie ustawy przewidują konieczność przeprowadzenia szkoleń przez organy uprawnione do przetwarzania danych w ramach nowo wprowadzanego systemu ETIAS. Wypada zauważyć, że nie wszystkie z organów wskazanych w ustawie posiadają wystarczającą wiedzę w tym zakresie. Doświadczenia z wprowadzaniem systemu EES pokazały, że program szkoleń jest pisany odrębnie dla każdego z podmiotów, co może prowadzić do sytuacji, że tak zorganizowane szkolenia mogą skutkować niejednolitym przekazem wiedzy.</w:t>
            </w:r>
          </w:p>
          <w:p w14:paraId="0FC87152" w14:textId="77777777" w:rsidR="00D83AC0" w:rsidRPr="00D83AC0" w:rsidRDefault="00D83AC0" w:rsidP="00D83AC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393385A1" w14:textId="17B0053F" w:rsidR="000C36E6" w:rsidRPr="009F5E53" w:rsidRDefault="00D83AC0" w:rsidP="000C36E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D83AC0">
              <w:rPr>
                <w:rFonts w:asciiTheme="minorHAnsi" w:hAnsiTheme="minorHAnsi" w:cstheme="minorHAnsi"/>
                <w:sz w:val="18"/>
                <w:szCs w:val="18"/>
              </w:rPr>
              <w:t>Mając na uwadze, że Komendant Główny Straży Granicznej jest Jednostką Krajową ETIAS (art. 2 pkt 12), posiadającym swoją strukturę szkoleniową (między innymi w oddziałach Straży Granicznej), zasadnym jest rozważenie wprowadzenia w w/w ustawie zapisów, które spowodują by szkolenia prowadzone były przez ten organ w sposób jednolity.</w:t>
            </w:r>
          </w:p>
        </w:tc>
        <w:tc>
          <w:tcPr>
            <w:tcW w:w="3402" w:type="dxa"/>
            <w:gridSpan w:val="2"/>
          </w:tcPr>
          <w:p w14:paraId="30DE95C4" w14:textId="4E00A4B0" w:rsidR="00A057C2" w:rsidRPr="00A057C2" w:rsidRDefault="004E43D5" w:rsidP="004E43D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000000" w:themeColor="text1"/>
                <w:sz w:val="18"/>
                <w:szCs w:val="18"/>
              </w:rPr>
            </w:pPr>
            <w:r w:rsidRPr="00A057C2">
              <w:rPr>
                <w:rFonts w:asciiTheme="minorHAnsi" w:hAnsiTheme="minorHAnsi" w:cstheme="minorHAnsi"/>
                <w:b/>
                <w:bCs/>
                <w:color w:val="000000" w:themeColor="text1"/>
                <w:sz w:val="18"/>
                <w:szCs w:val="18"/>
              </w:rPr>
              <w:lastRenderedPageBreak/>
              <w:t xml:space="preserve">Nie uwzględniono </w:t>
            </w:r>
          </w:p>
          <w:p w14:paraId="09BAD892" w14:textId="77777777" w:rsidR="00A057C2" w:rsidRDefault="00A057C2" w:rsidP="004E43D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p>
          <w:p w14:paraId="0BD9E2AE" w14:textId="5681E07F" w:rsidR="004E43D5" w:rsidRPr="004E43D5" w:rsidRDefault="004E43D5" w:rsidP="004E43D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4E43D5">
              <w:rPr>
                <w:rFonts w:asciiTheme="minorHAnsi" w:hAnsiTheme="minorHAnsi" w:cstheme="minorHAnsi"/>
                <w:color w:val="000000" w:themeColor="text1"/>
                <w:sz w:val="18"/>
                <w:szCs w:val="18"/>
              </w:rPr>
              <w:t xml:space="preserve">Obecny zapis w projekcie ustawy o ETIAS wskazuje, że „Komendant Główny Straży Granicznej zapewnia funkcjonariuszom lub </w:t>
            </w:r>
            <w:r w:rsidRPr="004E43D5">
              <w:rPr>
                <w:rFonts w:asciiTheme="minorHAnsi" w:hAnsiTheme="minorHAnsi" w:cstheme="minorHAnsi"/>
                <w:color w:val="000000" w:themeColor="text1"/>
                <w:sz w:val="18"/>
                <w:szCs w:val="18"/>
              </w:rPr>
              <w:lastRenderedPageBreak/>
              <w:t>pracownikom Straży Granicznej szkolenia dotyczące zasad bezpieczeństwa danych i praw podstawowych, w szczególności ochrony danych, zgodnie z art. 76 ust. 1 lit. g i ust. 3 rozporządzenia 2018/1240.”</w:t>
            </w:r>
          </w:p>
          <w:p w14:paraId="40D9D8BF" w14:textId="77777777" w:rsidR="004E43D5" w:rsidRPr="004E43D5" w:rsidRDefault="004E43D5" w:rsidP="004E43D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p>
          <w:p w14:paraId="005CDF52" w14:textId="77777777" w:rsidR="004E43D5" w:rsidRPr="004E43D5" w:rsidRDefault="004E43D5" w:rsidP="004E43D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4E43D5">
              <w:rPr>
                <w:rFonts w:asciiTheme="minorHAnsi" w:hAnsiTheme="minorHAnsi" w:cstheme="minorHAnsi"/>
                <w:color w:val="000000" w:themeColor="text1"/>
                <w:sz w:val="18"/>
                <w:szCs w:val="18"/>
              </w:rPr>
              <w:t>Jednocześnie zapis ten odnosi się do wymogu szkolenia, o którym mowa w art. 36 ust. 2-4 projektu ustawy.</w:t>
            </w:r>
          </w:p>
          <w:p w14:paraId="05F00EA8" w14:textId="77777777" w:rsidR="004E43D5" w:rsidRPr="004E43D5" w:rsidRDefault="004E43D5" w:rsidP="004E43D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p>
          <w:p w14:paraId="6B026FA4" w14:textId="769BB6A1" w:rsidR="004E43D5" w:rsidRPr="004E43D5" w:rsidRDefault="004E43D5" w:rsidP="004E43D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4E43D5">
              <w:rPr>
                <w:rFonts w:asciiTheme="minorHAnsi" w:hAnsiTheme="minorHAnsi" w:cstheme="minorHAnsi"/>
                <w:color w:val="000000" w:themeColor="text1"/>
                <w:sz w:val="18"/>
                <w:szCs w:val="18"/>
              </w:rPr>
              <w:t>„2. Warunkiem udzielenia upoważnienia, o którym mowa w ust. 1, jest odbycie szkolenia dotyczącego dostępu do KSI ETIAS oraz przetwarzania danych poprzez KSI ETIAS, w szczególności w zakresie zasad bezpieczeństwa danych oraz ich ochrony, a także w zakresie praw podstawowych.</w:t>
            </w:r>
          </w:p>
          <w:p w14:paraId="2CA4E23C" w14:textId="440C09E2" w:rsidR="004E43D5" w:rsidRPr="004E43D5" w:rsidRDefault="004E43D5" w:rsidP="004E43D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4E43D5">
              <w:rPr>
                <w:rFonts w:asciiTheme="minorHAnsi" w:hAnsiTheme="minorHAnsi" w:cstheme="minorHAnsi"/>
                <w:color w:val="000000" w:themeColor="text1"/>
                <w:sz w:val="18"/>
                <w:szCs w:val="18"/>
              </w:rPr>
              <w:t>3. Organ uprawniony do przetwarzania danych ETIAS zapewnia szkolenie, o którym mowa w ust. 2.</w:t>
            </w:r>
          </w:p>
          <w:p w14:paraId="4C87D816" w14:textId="77777777" w:rsidR="004E43D5" w:rsidRPr="004E43D5" w:rsidRDefault="004E43D5" w:rsidP="004E43D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4E43D5">
              <w:rPr>
                <w:rFonts w:asciiTheme="minorHAnsi" w:hAnsiTheme="minorHAnsi" w:cstheme="minorHAnsi"/>
                <w:color w:val="000000" w:themeColor="text1"/>
                <w:sz w:val="18"/>
                <w:szCs w:val="18"/>
              </w:rPr>
              <w:t>4. Szkolenie, o którym mowa w ust. 2, jest prowadzone na podstawie programu szkolenia opracowanego i zatwierdzonego przez Komendanta Głównego Straży Granicznej. Szkolenie kończy się uzyskaniem zaświadczenia o jego ukończeniu.”</w:t>
            </w:r>
          </w:p>
          <w:p w14:paraId="127997FD" w14:textId="77777777" w:rsidR="004E43D5" w:rsidRPr="004E43D5" w:rsidRDefault="004E43D5" w:rsidP="004E43D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p>
          <w:p w14:paraId="089A4556" w14:textId="445C33DE" w:rsidR="000C36E6" w:rsidRPr="004E43D5" w:rsidRDefault="004E43D5" w:rsidP="000C36E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4E43D5">
              <w:rPr>
                <w:rFonts w:asciiTheme="minorHAnsi" w:hAnsiTheme="minorHAnsi" w:cstheme="minorHAnsi"/>
                <w:color w:val="000000" w:themeColor="text1"/>
                <w:sz w:val="18"/>
                <w:szCs w:val="18"/>
              </w:rPr>
              <w:t>Mając na względzie powyższe zapisy oraz ilość pracowników obsługujących urzędy wojewódzkie, za niezasadne jest prowadzenie tych szkoleń przez Komendanta Głównego Straży Granicznej. Cel tego szkolenia jest ściśle związany z właściwością danego organu</w:t>
            </w:r>
            <w:r w:rsidR="00A057C2">
              <w:rPr>
                <w:rFonts w:asciiTheme="minorHAnsi" w:hAnsiTheme="minorHAnsi" w:cstheme="minorHAnsi"/>
                <w:color w:val="000000" w:themeColor="text1"/>
                <w:sz w:val="18"/>
                <w:szCs w:val="18"/>
              </w:rPr>
              <w:t xml:space="preserve"> oraz celem dostępu do danych ETIAS poprzez KSI ETIAS</w:t>
            </w:r>
            <w:r w:rsidRPr="004E43D5">
              <w:rPr>
                <w:rFonts w:asciiTheme="minorHAnsi" w:hAnsiTheme="minorHAnsi" w:cstheme="minorHAnsi"/>
                <w:color w:val="000000" w:themeColor="text1"/>
                <w:sz w:val="18"/>
                <w:szCs w:val="18"/>
              </w:rPr>
              <w:t xml:space="preserve"> i w tym kontekście takie szkolenie powinno zostać przeprowadzone</w:t>
            </w:r>
            <w:r w:rsidR="00A057C2">
              <w:rPr>
                <w:rFonts w:asciiTheme="minorHAnsi" w:hAnsiTheme="minorHAnsi" w:cstheme="minorHAnsi"/>
                <w:color w:val="000000" w:themeColor="text1"/>
                <w:sz w:val="18"/>
                <w:szCs w:val="18"/>
              </w:rPr>
              <w:t xml:space="preserve"> w ramach organu uprawnionego do przetwarzania danych ETIAS</w:t>
            </w:r>
            <w:r w:rsidRPr="004E43D5">
              <w:rPr>
                <w:rFonts w:asciiTheme="minorHAnsi" w:hAnsiTheme="minorHAnsi" w:cstheme="minorHAnsi"/>
                <w:color w:val="000000" w:themeColor="text1"/>
                <w:sz w:val="18"/>
                <w:szCs w:val="18"/>
              </w:rPr>
              <w:t>.</w:t>
            </w:r>
          </w:p>
        </w:tc>
        <w:tc>
          <w:tcPr>
            <w:tcW w:w="3481" w:type="dxa"/>
            <w:gridSpan w:val="2"/>
          </w:tcPr>
          <w:p w14:paraId="2162B189" w14:textId="77777777" w:rsidR="000C36E6" w:rsidRPr="009B2533" w:rsidRDefault="000C36E6" w:rsidP="000C36E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r>
      <w:tr w:rsidR="00787817" w:rsidRPr="009B2533" w14:paraId="094F3579" w14:textId="77777777" w:rsidTr="00787817">
        <w:trPr>
          <w:gridAfter w:val="1"/>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35C061AF" w14:textId="77777777" w:rsidR="000C36E6" w:rsidRPr="009B2533" w:rsidRDefault="000C36E6" w:rsidP="000C36E6">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30704A0C" w14:textId="2E504DB7" w:rsidR="000C36E6" w:rsidRDefault="00C10E3D" w:rsidP="000C36E6">
            <w:pPr>
              <w:jc w:val="both"/>
              <w:cnfStyle w:val="000000000000" w:firstRow="0" w:lastRow="0" w:firstColumn="0" w:lastColumn="0" w:oddVBand="0" w:evenVBand="0" w:oddHBand="0"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 xml:space="preserve">Art. 36 ust. 8 </w:t>
            </w:r>
          </w:p>
        </w:tc>
        <w:tc>
          <w:tcPr>
            <w:tcW w:w="1846" w:type="dxa"/>
          </w:tcPr>
          <w:p w14:paraId="5ED56F2C" w14:textId="480B4BCF" w:rsidR="000C36E6" w:rsidRDefault="00C10E3D" w:rsidP="000C36E6">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 xml:space="preserve">Art. 36 ust. 8 </w:t>
            </w:r>
          </w:p>
        </w:tc>
        <w:tc>
          <w:tcPr>
            <w:tcW w:w="1276" w:type="dxa"/>
          </w:tcPr>
          <w:p w14:paraId="3D16C965" w14:textId="03DCBF7A" w:rsidR="000C36E6" w:rsidRPr="00CC73BF" w:rsidRDefault="00C10E3D" w:rsidP="000C36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PWPW</w:t>
            </w:r>
          </w:p>
        </w:tc>
        <w:tc>
          <w:tcPr>
            <w:tcW w:w="4678" w:type="dxa"/>
          </w:tcPr>
          <w:p w14:paraId="3B4E1439" w14:textId="77777777" w:rsidR="00C10E3D" w:rsidRPr="00C10E3D" w:rsidRDefault="00C10E3D" w:rsidP="00C10E3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C10E3D">
              <w:rPr>
                <w:rFonts w:asciiTheme="minorHAnsi" w:hAnsiTheme="minorHAnsi" w:cstheme="minorHAnsi"/>
                <w:sz w:val="18"/>
                <w:szCs w:val="18"/>
              </w:rPr>
              <w:t>Spółka proponuje przyjęcie następującego brzmienia przepisu.</w:t>
            </w:r>
          </w:p>
          <w:p w14:paraId="3D6AA58D" w14:textId="77777777" w:rsidR="00C10E3D" w:rsidRPr="00C10E3D" w:rsidRDefault="00C10E3D" w:rsidP="00C10E3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3F5DD9B4" w14:textId="77777777" w:rsidR="00C10E3D" w:rsidRPr="00C10E3D" w:rsidRDefault="00C10E3D" w:rsidP="00C10E3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C10E3D">
              <w:rPr>
                <w:rFonts w:asciiTheme="minorHAnsi" w:hAnsiTheme="minorHAnsi" w:cstheme="minorHAnsi"/>
                <w:sz w:val="18"/>
                <w:szCs w:val="18"/>
              </w:rPr>
              <w:t xml:space="preserve">„8. Komendant Główny Straży Granicznej, na wniosek organu uprawnionego do przetwarzania danych ETIAS, nadaje użytkownikowi indywidualnemu uprawnienie do dostępu do KSI ETIAS oraz przetwarzania danych poprzez KSI ETIAS za pośrednictwem aplikacji WWW ETIAS, przydzielając mu w </w:t>
            </w:r>
            <w:r w:rsidRPr="00C10E3D">
              <w:rPr>
                <w:rFonts w:asciiTheme="minorHAnsi" w:hAnsiTheme="minorHAnsi" w:cstheme="minorHAnsi"/>
                <w:sz w:val="18"/>
                <w:szCs w:val="18"/>
              </w:rPr>
              <w:lastRenderedPageBreak/>
              <w:t>tym celu spersonalizowany identyfikator użytkownika i umożliwiając mu samodzielne ustalenie hasła oraz ewentualnie dodatkowych czynników uwierzytelniających.”. Uzasadnienie:</w:t>
            </w:r>
          </w:p>
          <w:p w14:paraId="0E75B32C" w14:textId="77777777" w:rsidR="00C10E3D" w:rsidRPr="00C10E3D" w:rsidRDefault="00C10E3D" w:rsidP="00C10E3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4675E39" w14:textId="77777777" w:rsidR="00C10E3D" w:rsidRPr="00C10E3D" w:rsidRDefault="00C10E3D" w:rsidP="00C10E3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C10E3D">
              <w:rPr>
                <w:rFonts w:asciiTheme="minorHAnsi" w:hAnsiTheme="minorHAnsi" w:cstheme="minorHAnsi"/>
                <w:sz w:val="18"/>
                <w:szCs w:val="18"/>
              </w:rPr>
              <w:t>W ocenie Spółki, zaproponowane przez projektodawcę rozwiązanie, zgodnie z którym, na wniosek organu uprawnionego do przetwarzania danych ETIAS to Komendant Główny Straży Granicznej będzie przydzielać użytkownikowi spersonalizowane hasło dostępu do KSI ETIAS może w przyszłości stanowić zagrożenie dla bezpieczeństwa informatycznego przedmiotowego systemu oraz bezpieczeństwa danych przetwarzanych w tym systemie. W ocenie Spółki, zaproponowane w projekcie ustawy rozwiązanie może stwarzać potencjalne ryzyko kradzieży tożsamości cyfrowej użytkowników. W związku z powyższym, w celu uniknięcia takiego ryzyka oraz w kontekście bezpieczeństwa teleinformatycznego, właściwym do ustalenia hasła jest sam użytkownik.</w:t>
            </w:r>
          </w:p>
          <w:p w14:paraId="1C96963D" w14:textId="77777777" w:rsidR="00C10E3D" w:rsidRPr="00C10E3D" w:rsidRDefault="00C10E3D" w:rsidP="00C10E3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80E5A5B" w14:textId="77777777" w:rsidR="00C10E3D" w:rsidRPr="00C10E3D" w:rsidRDefault="00C10E3D" w:rsidP="00C10E3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C10E3D">
              <w:rPr>
                <w:rFonts w:asciiTheme="minorHAnsi" w:hAnsiTheme="minorHAnsi" w:cstheme="minorHAnsi"/>
                <w:sz w:val="18"/>
                <w:szCs w:val="18"/>
              </w:rPr>
              <w:t>W kontekście wspomnianego bezpieczeństwa teleinformatycznego, warto także rozważyć możliwość wprowadzenia mechanizmu zapewnienia wieloskładnikowego uwierzytelnienia (np. 2-składnikowego) przed uzyskaniem dostępu do danych osobowych lub innych istotnych funkcji systemu.</w:t>
            </w:r>
          </w:p>
          <w:p w14:paraId="39AD37BD" w14:textId="77777777" w:rsidR="00C10E3D" w:rsidRPr="00C10E3D" w:rsidRDefault="00C10E3D" w:rsidP="00C10E3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2E38FC70" w14:textId="45402FF7" w:rsidR="000C36E6" w:rsidRPr="009F5E53" w:rsidRDefault="00C10E3D" w:rsidP="000C36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C10E3D">
              <w:rPr>
                <w:rFonts w:asciiTheme="minorHAnsi" w:hAnsiTheme="minorHAnsi" w:cstheme="minorHAnsi"/>
                <w:sz w:val="18"/>
                <w:szCs w:val="18"/>
              </w:rPr>
              <w:t>W związku z powyższym, Spółka proponuje przyjęcie przepisu ust. 8 w brzmieniu zaproponowanym na wstępie.</w:t>
            </w:r>
          </w:p>
        </w:tc>
        <w:tc>
          <w:tcPr>
            <w:tcW w:w="3402" w:type="dxa"/>
            <w:gridSpan w:val="2"/>
          </w:tcPr>
          <w:p w14:paraId="05CFFEEE" w14:textId="77777777" w:rsidR="000C36E6" w:rsidRPr="00A057C2" w:rsidRDefault="00A057C2" w:rsidP="000C36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A057C2">
              <w:rPr>
                <w:rFonts w:asciiTheme="minorHAnsi" w:hAnsiTheme="minorHAnsi" w:cstheme="minorHAnsi"/>
                <w:b/>
                <w:bCs/>
                <w:sz w:val="18"/>
                <w:szCs w:val="18"/>
              </w:rPr>
              <w:lastRenderedPageBreak/>
              <w:t xml:space="preserve">Nie uwzględniono </w:t>
            </w:r>
          </w:p>
          <w:p w14:paraId="6B3CBDDE" w14:textId="77777777" w:rsidR="00A057C2" w:rsidRDefault="00A057C2" w:rsidP="000C36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F0000"/>
                <w:sz w:val="18"/>
                <w:szCs w:val="18"/>
              </w:rPr>
            </w:pPr>
          </w:p>
          <w:p w14:paraId="4676F06A" w14:textId="77777777" w:rsidR="00A057C2" w:rsidRDefault="00A057C2" w:rsidP="000C36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F0000"/>
                <w:sz w:val="18"/>
                <w:szCs w:val="18"/>
              </w:rPr>
            </w:pPr>
          </w:p>
          <w:p w14:paraId="447391C9" w14:textId="57B1D2A9" w:rsidR="00A057C2" w:rsidRPr="009E162B" w:rsidRDefault="00A057C2" w:rsidP="00A057C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9E162B">
              <w:rPr>
                <w:rFonts w:asciiTheme="minorHAnsi" w:hAnsiTheme="minorHAnsi" w:cstheme="minorHAnsi"/>
                <w:sz w:val="18"/>
                <w:szCs w:val="18"/>
              </w:rPr>
              <w:t xml:space="preserve">Podane rozwiązania </w:t>
            </w:r>
            <w:r w:rsidR="009E162B">
              <w:rPr>
                <w:rFonts w:asciiTheme="minorHAnsi" w:hAnsiTheme="minorHAnsi" w:cstheme="minorHAnsi"/>
                <w:sz w:val="18"/>
                <w:szCs w:val="18"/>
              </w:rPr>
              <w:t xml:space="preserve">jest </w:t>
            </w:r>
            <w:r w:rsidRPr="009E162B">
              <w:rPr>
                <w:rFonts w:asciiTheme="minorHAnsi" w:hAnsiTheme="minorHAnsi" w:cstheme="minorHAnsi"/>
                <w:sz w:val="18"/>
                <w:szCs w:val="18"/>
              </w:rPr>
              <w:t>analogiczne do rozwiązań</w:t>
            </w:r>
            <w:r w:rsidR="009E162B">
              <w:rPr>
                <w:rFonts w:asciiTheme="minorHAnsi" w:hAnsiTheme="minorHAnsi" w:cstheme="minorHAnsi"/>
                <w:sz w:val="18"/>
                <w:szCs w:val="18"/>
              </w:rPr>
              <w:t xml:space="preserve"> ustawy o</w:t>
            </w:r>
            <w:r w:rsidRPr="009E162B">
              <w:rPr>
                <w:rFonts w:asciiTheme="minorHAnsi" w:hAnsiTheme="minorHAnsi" w:cstheme="minorHAnsi"/>
                <w:sz w:val="18"/>
                <w:szCs w:val="18"/>
              </w:rPr>
              <w:t xml:space="preserve"> EES</w:t>
            </w:r>
            <w:r w:rsidR="00CC5CC0">
              <w:rPr>
                <w:rFonts w:asciiTheme="minorHAnsi" w:hAnsiTheme="minorHAnsi" w:cstheme="minorHAnsi"/>
                <w:sz w:val="18"/>
                <w:szCs w:val="18"/>
              </w:rPr>
              <w:t xml:space="preserve"> (w zakresie haseł oraz dodatkowego uwierzytelnienia wieloskładnikowego)</w:t>
            </w:r>
            <w:r w:rsidRPr="009E162B">
              <w:rPr>
                <w:rFonts w:asciiTheme="minorHAnsi" w:hAnsiTheme="minorHAnsi" w:cstheme="minorHAnsi"/>
                <w:sz w:val="18"/>
                <w:szCs w:val="18"/>
              </w:rPr>
              <w:t>.</w:t>
            </w:r>
          </w:p>
          <w:p w14:paraId="20AC9FCB" w14:textId="77777777" w:rsidR="00A057C2" w:rsidRPr="009E162B" w:rsidRDefault="00A057C2" w:rsidP="00A057C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B3918DF" w14:textId="45D94FCE" w:rsidR="00A057C2" w:rsidRPr="00636F1C" w:rsidRDefault="00A057C2" w:rsidP="00A057C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F0000"/>
                <w:sz w:val="18"/>
                <w:szCs w:val="18"/>
              </w:rPr>
            </w:pPr>
            <w:r w:rsidRPr="009E162B">
              <w:rPr>
                <w:rFonts w:asciiTheme="minorHAnsi" w:hAnsiTheme="minorHAnsi" w:cstheme="minorHAnsi"/>
                <w:sz w:val="18"/>
                <w:szCs w:val="18"/>
              </w:rPr>
              <w:lastRenderedPageBreak/>
              <w:t xml:space="preserve">Jednocześnie należy wskazać, że przydzielone hasło użytkownikowi indywidualnemu podlegać będzie zmianie podczas pierwszego logowania - tym samy jest to hasło jednorazowe/hasło pierwszego logowania. Ponadto użytkownik ten w każdym czasie będzie uprawniony do zmiany tego hasła. </w:t>
            </w:r>
            <w:r w:rsidR="009E162B">
              <w:rPr>
                <w:rFonts w:asciiTheme="minorHAnsi" w:hAnsiTheme="minorHAnsi" w:cstheme="minorHAnsi"/>
                <w:sz w:val="18"/>
                <w:szCs w:val="18"/>
              </w:rPr>
              <w:t>J</w:t>
            </w:r>
            <w:r w:rsidRPr="009E162B">
              <w:rPr>
                <w:rFonts w:asciiTheme="minorHAnsi" w:hAnsiTheme="minorHAnsi" w:cstheme="minorHAnsi"/>
                <w:sz w:val="18"/>
                <w:szCs w:val="18"/>
              </w:rPr>
              <w:t>ednocześnie system wymusza automatycznie zmianę hasła na nowe w określonych odstępach czasu wraz z jego uprzednią historyczności np. zmiana hasła co dwa miesiące mając na względzie ostatnie 15 haseł.</w:t>
            </w:r>
          </w:p>
        </w:tc>
        <w:tc>
          <w:tcPr>
            <w:tcW w:w="3481" w:type="dxa"/>
            <w:gridSpan w:val="2"/>
          </w:tcPr>
          <w:p w14:paraId="387C0817" w14:textId="77777777" w:rsidR="000C36E6" w:rsidRPr="009B2533" w:rsidRDefault="000C36E6" w:rsidP="000C36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tr w:rsidR="00787817" w:rsidRPr="008A5AF1" w14:paraId="6E720A6E" w14:textId="77777777" w:rsidTr="00787817">
        <w:trPr>
          <w:gridAfter w:val="1"/>
          <w:cnfStyle w:val="000000100000" w:firstRow="0" w:lastRow="0" w:firstColumn="0" w:lastColumn="0" w:oddVBand="0" w:evenVBand="0" w:oddHBand="1" w:evenHBand="0" w:firstRowFirstColumn="0" w:firstRowLastColumn="0" w:lastRowFirstColumn="0" w:lastRowLastColumn="0"/>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3EC311A3" w14:textId="77777777" w:rsidR="000C36E6" w:rsidRPr="008A5AF1" w:rsidRDefault="000C36E6" w:rsidP="000C36E6">
            <w:pPr>
              <w:pStyle w:val="Akapitzlist"/>
              <w:numPr>
                <w:ilvl w:val="0"/>
                <w:numId w:val="3"/>
              </w:numPr>
              <w:ind w:left="313"/>
              <w:jc w:val="both"/>
              <w:rPr>
                <w:rFonts w:asciiTheme="minorHAnsi" w:hAnsiTheme="minorHAnsi" w:cstheme="minorHAnsi"/>
                <w:bCs w:val="0"/>
                <w:vanish/>
                <w:color w:val="000000" w:themeColor="text1"/>
                <w:sz w:val="18"/>
                <w:szCs w:val="18"/>
              </w:rPr>
            </w:pPr>
          </w:p>
        </w:tc>
        <w:tc>
          <w:tcPr>
            <w:tcW w:w="771" w:type="dxa"/>
          </w:tcPr>
          <w:p w14:paraId="5C887A46" w14:textId="1E5F2A3A" w:rsidR="000C36E6" w:rsidRPr="008A5AF1" w:rsidRDefault="00C10E3D" w:rsidP="000C36E6">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color w:val="000000" w:themeColor="text1"/>
                <w:sz w:val="18"/>
                <w:szCs w:val="18"/>
              </w:rPr>
            </w:pPr>
            <w:r w:rsidRPr="008A5AF1">
              <w:rPr>
                <w:rStyle w:val="Ppogrubienie"/>
                <w:rFonts w:asciiTheme="minorHAnsi" w:hAnsiTheme="minorHAnsi" w:cstheme="minorHAnsi"/>
                <w:b w:val="0"/>
                <w:color w:val="000000" w:themeColor="text1"/>
                <w:sz w:val="18"/>
                <w:szCs w:val="18"/>
              </w:rPr>
              <w:t>Art. 39 pkt 2 (art. 2c ust. 8 ustawy zmienianej)</w:t>
            </w:r>
          </w:p>
        </w:tc>
        <w:tc>
          <w:tcPr>
            <w:tcW w:w="1846" w:type="dxa"/>
          </w:tcPr>
          <w:p w14:paraId="7AC7A405" w14:textId="139E68A4" w:rsidR="000C36E6" w:rsidRPr="008A5AF1" w:rsidRDefault="000C36E6" w:rsidP="000C36E6">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000000" w:themeColor="text1"/>
                <w:sz w:val="18"/>
                <w:szCs w:val="18"/>
              </w:rPr>
            </w:pPr>
          </w:p>
        </w:tc>
        <w:tc>
          <w:tcPr>
            <w:tcW w:w="1276" w:type="dxa"/>
          </w:tcPr>
          <w:p w14:paraId="57EC56CA" w14:textId="37BDBA76" w:rsidR="000C36E6" w:rsidRPr="008A5AF1" w:rsidRDefault="00C10E3D" w:rsidP="000C36E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A5AF1">
              <w:rPr>
                <w:rFonts w:asciiTheme="minorHAnsi" w:hAnsiTheme="minorHAnsi" w:cstheme="minorHAnsi"/>
                <w:color w:val="000000" w:themeColor="text1"/>
                <w:sz w:val="18"/>
                <w:szCs w:val="18"/>
              </w:rPr>
              <w:t>PWPW</w:t>
            </w:r>
          </w:p>
        </w:tc>
        <w:tc>
          <w:tcPr>
            <w:tcW w:w="4678" w:type="dxa"/>
          </w:tcPr>
          <w:p w14:paraId="6F5143B1" w14:textId="77777777" w:rsidR="009E162B" w:rsidRPr="008A5AF1" w:rsidRDefault="009E162B" w:rsidP="009E162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A5AF1">
              <w:rPr>
                <w:rFonts w:asciiTheme="minorHAnsi" w:hAnsiTheme="minorHAnsi" w:cstheme="minorHAnsi"/>
                <w:color w:val="000000" w:themeColor="text1"/>
                <w:sz w:val="18"/>
                <w:szCs w:val="18"/>
              </w:rPr>
              <w:t>Uwaga do art. 39 pkt 2 projektu ustawy (art. 2c ust. 8 ustawy zmienianej):</w:t>
            </w:r>
          </w:p>
          <w:p w14:paraId="2B6A2786" w14:textId="3734802A" w:rsidR="009E162B" w:rsidRPr="008A5AF1" w:rsidRDefault="009E162B" w:rsidP="009E162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A5AF1">
              <w:rPr>
                <w:rFonts w:asciiTheme="minorHAnsi" w:hAnsiTheme="minorHAnsi" w:cstheme="minorHAnsi"/>
                <w:color w:val="000000" w:themeColor="text1"/>
                <w:sz w:val="18"/>
                <w:szCs w:val="18"/>
              </w:rPr>
              <w:t>Spółka proponuje w wyliczeniu do art. 2c ust. 8 ustawy zmienianej po pkt 16 dodać pkt 17 w brzmieniu: „17) kwalifikowanym dostawcom usług zaufania.”.</w:t>
            </w:r>
          </w:p>
          <w:p w14:paraId="64B1D5F7" w14:textId="77777777" w:rsidR="009E162B" w:rsidRPr="008A5AF1" w:rsidRDefault="009E162B" w:rsidP="00C10E3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p>
          <w:p w14:paraId="23AFA49F" w14:textId="227B066A" w:rsidR="00C10E3D" w:rsidRPr="008A5AF1" w:rsidRDefault="00C10E3D" w:rsidP="00C10E3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A5AF1">
              <w:rPr>
                <w:rFonts w:asciiTheme="minorHAnsi" w:hAnsiTheme="minorHAnsi" w:cstheme="minorHAnsi"/>
                <w:color w:val="000000" w:themeColor="text1"/>
                <w:sz w:val="18"/>
                <w:szCs w:val="18"/>
              </w:rPr>
              <w:t>Spółka proponuje dodanie do listy podmiotów uprawnionych do dostępu do danych i informacji dotyczących cudzoziemców przetwarzanych w Krajowym Rejestrze Cudzoziemców kwalifikowanych dostawców usług zaufania w rozumieniu ustawy z dnia 5 września 2016 r. o usługach zaufania oraz identyfikacji elektronicznej (Dz. U. poz. 1725).</w:t>
            </w:r>
          </w:p>
          <w:p w14:paraId="244B1CBD" w14:textId="77777777" w:rsidR="00C10E3D" w:rsidRPr="008A5AF1" w:rsidRDefault="00C10E3D" w:rsidP="00C10E3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p>
          <w:p w14:paraId="709A423E" w14:textId="77777777" w:rsidR="00C10E3D" w:rsidRPr="008A5AF1" w:rsidRDefault="00C10E3D" w:rsidP="00C10E3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A5AF1">
              <w:rPr>
                <w:rFonts w:asciiTheme="minorHAnsi" w:hAnsiTheme="minorHAnsi" w:cstheme="minorHAnsi"/>
                <w:color w:val="000000" w:themeColor="text1"/>
                <w:sz w:val="18"/>
                <w:szCs w:val="18"/>
              </w:rPr>
              <w:t xml:space="preserve">Spółka zwraca uwagę, że bezpieczeństwo i wiarygodność cyfrowa stają się coraz ważniejsze, a świadczenie usług zaufania odgrywa coraz większą rolę. Usługi te zapewniają bezpieczną wymianę danych oraz autentyczność i poufność transakcji elektronicznych pomiędzy przedsiębiorcami, </w:t>
            </w:r>
            <w:r w:rsidRPr="008A5AF1">
              <w:rPr>
                <w:rFonts w:asciiTheme="minorHAnsi" w:hAnsiTheme="minorHAnsi" w:cstheme="minorHAnsi"/>
                <w:color w:val="000000" w:themeColor="text1"/>
                <w:sz w:val="18"/>
                <w:szCs w:val="18"/>
              </w:rPr>
              <w:lastRenderedPageBreak/>
              <w:t>osobami fizycznymi oraz organami administracji publicznej wpływając na rozwój gospodarki cyfrowej, stając się bardzo ważną częścią współczesnej gospodarki. Usługi te umożliwiają weryfikację tożsamości nadawców i odbiorców informacji oraz zwiększają bezpieczeństwo danych przesyłanych w sieci.</w:t>
            </w:r>
          </w:p>
          <w:p w14:paraId="68EC3E94" w14:textId="77777777" w:rsidR="00C10E3D" w:rsidRPr="008A5AF1" w:rsidRDefault="00C10E3D" w:rsidP="00C10E3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p>
          <w:p w14:paraId="4A29AFEC" w14:textId="77777777" w:rsidR="00C10E3D" w:rsidRPr="008A5AF1" w:rsidRDefault="00C10E3D" w:rsidP="00C10E3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A5AF1">
              <w:rPr>
                <w:rFonts w:asciiTheme="minorHAnsi" w:hAnsiTheme="minorHAnsi" w:cstheme="minorHAnsi"/>
                <w:color w:val="000000" w:themeColor="text1"/>
                <w:sz w:val="18"/>
                <w:szCs w:val="18"/>
              </w:rPr>
              <w:t>Z uwagi na powyższe, Spółka postuluje dodanie do listy podmiotów uprawnionych kwalifikowanych dostawców usług zaufania, którzy w zakresie niezbędnym do realizowanych zadań posiadaliby dostęp do danych i informacji dotyczących cudzoziemców, przetwarzanych w Krajowym Rejestrze Cudzoziemców, w szczególności, informacji o wydanych cudzoziemcowi lub posiadanych przez cudzoziemca dokumentach (np. rodzaj, seria i numer dokumentu, data wydania czy data ważności dokumentu). Z punktu widzenia kwalifikowanego dostawcy usług zaufania, informacja o statusie dokumentu tożsamości cudzoziemca, przykładowo statusie karty pobytu, byłaby narzędziem wspierającym weryfikację tożsamości cudzoziemca w ramach oferowanych usług zaufania, co z kolei przekładałoby się na ich bezpieczeństwo i jakość.</w:t>
            </w:r>
          </w:p>
          <w:p w14:paraId="3C4EC9C0" w14:textId="77777777" w:rsidR="00C10E3D" w:rsidRPr="008A5AF1" w:rsidRDefault="00C10E3D" w:rsidP="00C10E3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p>
          <w:p w14:paraId="359E9C7F" w14:textId="77777777" w:rsidR="00C10E3D" w:rsidRPr="008A5AF1" w:rsidRDefault="00C10E3D" w:rsidP="00C10E3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A5AF1">
              <w:rPr>
                <w:rFonts w:asciiTheme="minorHAnsi" w:hAnsiTheme="minorHAnsi" w:cstheme="minorHAnsi"/>
                <w:color w:val="000000" w:themeColor="text1"/>
                <w:sz w:val="18"/>
                <w:szCs w:val="18"/>
              </w:rPr>
              <w:t>Spółka zwraca uwagę, że w pewnym sensie analogiczne rozwiązanie, przyznające uprawnienia dla kwalifikowanych dostawców usług zaufania jest już wprowadzone do porządku prawnego. W dniu 25 lipca 2025 r. w Dzienniku Ustaw ogłoszono ustawę z dnia 25 czerwca 2025 r. o zmianie ustawy o informatyzacji działalności podmiotów realizujących zdania publiczne oraz niektórych innych ustaw (poz. 1006) na mocy której, w ustawie z dnia 6 sierpnia 2010 r. o dowodach osobistych (Dz. U. z 2022 r. poz. 671 oraz 2023 r. poz. 1234 i 1941) wprowadzono mechanizm, zgodnie z którym, w celu potwierdzenia tożsamości posiadacza dowodu osobistego, po uzyskaniu pozytywnego wyniku porównania danych z dowodu osobistego z danymi zawartymi w Rejestrze Dowodów Osobistych w trybie ograniczonej teletransmisji danych, z Rejestru Dowodów Osobistych udostępnia się w trybie pełnej teletransmisji danych fotografię twarzy osoby ubiegającej się o wydanie dowodu osobistego m.in. kwalifikowanemu dostawcy usług zaufania (przedmiotowa zmiana wejdzie w życie z dniem 30 czerwca 2026 r.).</w:t>
            </w:r>
          </w:p>
          <w:p w14:paraId="20E6947F" w14:textId="77777777" w:rsidR="00C10E3D" w:rsidRPr="008A5AF1" w:rsidRDefault="00C10E3D" w:rsidP="00C10E3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p>
          <w:p w14:paraId="20CA70B5" w14:textId="48DB963E" w:rsidR="000C36E6" w:rsidRPr="008A5AF1" w:rsidRDefault="00C10E3D" w:rsidP="000C36E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A5AF1">
              <w:rPr>
                <w:rFonts w:asciiTheme="minorHAnsi" w:hAnsiTheme="minorHAnsi" w:cstheme="minorHAnsi"/>
                <w:color w:val="000000" w:themeColor="text1"/>
                <w:sz w:val="18"/>
                <w:szCs w:val="18"/>
              </w:rPr>
              <w:t>Zważywszy, że kwalifikowane usługi zaufania stosowane są w sytuacjach, które wymagają najwyższego poziomu bezpieczeństwa i wiarygodności, przyznanie przedmiotowego uprawnienia jest zasadne.</w:t>
            </w:r>
          </w:p>
        </w:tc>
        <w:tc>
          <w:tcPr>
            <w:tcW w:w="3402" w:type="dxa"/>
            <w:gridSpan w:val="2"/>
          </w:tcPr>
          <w:p w14:paraId="622D6E3A" w14:textId="77777777" w:rsidR="000C36E6" w:rsidRPr="008A5AF1" w:rsidRDefault="009E162B" w:rsidP="000C36E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0000" w:themeColor="text1"/>
                <w:sz w:val="18"/>
                <w:szCs w:val="18"/>
              </w:rPr>
            </w:pPr>
            <w:r w:rsidRPr="008A5AF1">
              <w:rPr>
                <w:rFonts w:asciiTheme="minorHAnsi" w:hAnsiTheme="minorHAnsi" w:cstheme="minorHAnsi"/>
                <w:b/>
                <w:color w:val="000000" w:themeColor="text1"/>
                <w:sz w:val="18"/>
                <w:szCs w:val="18"/>
              </w:rPr>
              <w:lastRenderedPageBreak/>
              <w:t>Nie uwzględniono</w:t>
            </w:r>
          </w:p>
          <w:p w14:paraId="59F54172" w14:textId="77777777" w:rsidR="009E162B" w:rsidRPr="008A5AF1" w:rsidRDefault="009E162B" w:rsidP="000C36E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0000" w:themeColor="text1"/>
                <w:sz w:val="18"/>
                <w:szCs w:val="18"/>
              </w:rPr>
            </w:pPr>
          </w:p>
          <w:p w14:paraId="44663EB8" w14:textId="51EE9642" w:rsidR="009E162B" w:rsidRPr="008A5AF1" w:rsidRDefault="009E162B" w:rsidP="009E162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A5AF1">
              <w:rPr>
                <w:rFonts w:asciiTheme="minorHAnsi" w:hAnsiTheme="minorHAnsi" w:cstheme="minorHAnsi"/>
                <w:color w:val="000000" w:themeColor="text1"/>
                <w:sz w:val="18"/>
                <w:szCs w:val="18"/>
              </w:rPr>
              <w:t>Pragnę zauważyć, iż propozycja PWPW, o ile wydaje się mieć istotne znaczenie z puntu widzenia merytorycznego i określanego w uzasadnieniu celu, to w proponowanym kształcie nie może być zaakceptowana.</w:t>
            </w:r>
          </w:p>
          <w:p w14:paraId="6C15E7CB" w14:textId="77777777" w:rsidR="009E162B" w:rsidRPr="008A5AF1" w:rsidRDefault="009E162B" w:rsidP="009E162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p>
          <w:p w14:paraId="1F6A4FE8" w14:textId="20228D92" w:rsidR="009E162B" w:rsidRPr="008A5AF1" w:rsidRDefault="009E162B" w:rsidP="009E162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A5AF1">
              <w:rPr>
                <w:rFonts w:asciiTheme="minorHAnsi" w:hAnsiTheme="minorHAnsi" w:cstheme="minorHAnsi"/>
                <w:color w:val="000000" w:themeColor="text1"/>
                <w:sz w:val="18"/>
                <w:szCs w:val="18"/>
              </w:rPr>
              <w:t>PWPW proponuje dodanie pewnego katalogu podmiotów, tymczasem ustawa konkretnie precyzuje podmioty uprawnione w związku z celami wymienionymi w art. 2c ust. 1 dot. KRC.</w:t>
            </w:r>
          </w:p>
          <w:p w14:paraId="372F2FD5" w14:textId="77777777" w:rsidR="00087CA4" w:rsidRPr="008A5AF1" w:rsidRDefault="00087CA4" w:rsidP="009E162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p>
          <w:p w14:paraId="115283C2" w14:textId="2A51E519" w:rsidR="009E162B" w:rsidRPr="008A5AF1" w:rsidRDefault="009E162B" w:rsidP="002C309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0000" w:themeColor="text1"/>
                <w:sz w:val="18"/>
                <w:szCs w:val="18"/>
              </w:rPr>
            </w:pPr>
            <w:r w:rsidRPr="008A5AF1">
              <w:rPr>
                <w:rFonts w:asciiTheme="minorHAnsi" w:hAnsiTheme="minorHAnsi" w:cstheme="minorHAnsi"/>
                <w:color w:val="000000" w:themeColor="text1"/>
                <w:sz w:val="18"/>
                <w:szCs w:val="18"/>
              </w:rPr>
              <w:t>Decyzj</w:t>
            </w:r>
            <w:r w:rsidR="00E536C4" w:rsidRPr="008A5AF1">
              <w:rPr>
                <w:rFonts w:asciiTheme="minorHAnsi" w:hAnsiTheme="minorHAnsi" w:cstheme="minorHAnsi"/>
                <w:color w:val="000000" w:themeColor="text1"/>
                <w:sz w:val="18"/>
                <w:szCs w:val="18"/>
              </w:rPr>
              <w:t>a</w:t>
            </w:r>
            <w:r w:rsidRPr="008A5AF1">
              <w:rPr>
                <w:rFonts w:asciiTheme="minorHAnsi" w:hAnsiTheme="minorHAnsi" w:cstheme="minorHAnsi"/>
                <w:color w:val="000000" w:themeColor="text1"/>
                <w:sz w:val="18"/>
                <w:szCs w:val="18"/>
              </w:rPr>
              <w:t xml:space="preserve"> o </w:t>
            </w:r>
            <w:r w:rsidR="00574AA7" w:rsidRPr="008A5AF1">
              <w:rPr>
                <w:rFonts w:asciiTheme="minorHAnsi" w:hAnsiTheme="minorHAnsi" w:cstheme="minorHAnsi"/>
                <w:color w:val="000000" w:themeColor="text1"/>
                <w:sz w:val="18"/>
                <w:szCs w:val="18"/>
              </w:rPr>
              <w:t>ewentualnym</w:t>
            </w:r>
            <w:r w:rsidRPr="008A5AF1">
              <w:rPr>
                <w:rFonts w:asciiTheme="minorHAnsi" w:hAnsiTheme="minorHAnsi" w:cstheme="minorHAnsi"/>
                <w:color w:val="000000" w:themeColor="text1"/>
                <w:sz w:val="18"/>
                <w:szCs w:val="18"/>
              </w:rPr>
              <w:t xml:space="preserve"> </w:t>
            </w:r>
            <w:r w:rsidR="00E536C4" w:rsidRPr="008A5AF1">
              <w:rPr>
                <w:rFonts w:asciiTheme="minorHAnsi" w:hAnsiTheme="minorHAnsi" w:cstheme="minorHAnsi"/>
                <w:color w:val="000000" w:themeColor="text1"/>
                <w:sz w:val="18"/>
                <w:szCs w:val="18"/>
              </w:rPr>
              <w:t>rozszerzeni</w:t>
            </w:r>
            <w:r w:rsidR="00574AA7" w:rsidRPr="008A5AF1">
              <w:rPr>
                <w:rFonts w:asciiTheme="minorHAnsi" w:hAnsiTheme="minorHAnsi" w:cstheme="minorHAnsi"/>
                <w:color w:val="000000" w:themeColor="text1"/>
                <w:sz w:val="18"/>
                <w:szCs w:val="18"/>
              </w:rPr>
              <w:t>u</w:t>
            </w:r>
            <w:r w:rsidRPr="008A5AF1">
              <w:rPr>
                <w:rFonts w:asciiTheme="minorHAnsi" w:hAnsiTheme="minorHAnsi" w:cstheme="minorHAnsi"/>
                <w:color w:val="000000" w:themeColor="text1"/>
                <w:sz w:val="18"/>
                <w:szCs w:val="18"/>
              </w:rPr>
              <w:t xml:space="preserve"> listy podmiotów uprawnionych</w:t>
            </w:r>
            <w:r w:rsidR="00E536C4" w:rsidRPr="008A5AF1">
              <w:rPr>
                <w:rFonts w:asciiTheme="minorHAnsi" w:hAnsiTheme="minorHAnsi" w:cstheme="minorHAnsi"/>
                <w:color w:val="000000" w:themeColor="text1"/>
                <w:sz w:val="18"/>
                <w:szCs w:val="18"/>
              </w:rPr>
              <w:t>, z uwagi na cel KRC</w:t>
            </w:r>
            <w:r w:rsidR="00574AA7" w:rsidRPr="008A5AF1">
              <w:rPr>
                <w:rFonts w:asciiTheme="minorHAnsi" w:hAnsiTheme="minorHAnsi" w:cstheme="minorHAnsi"/>
                <w:color w:val="000000" w:themeColor="text1"/>
                <w:sz w:val="18"/>
                <w:szCs w:val="18"/>
              </w:rPr>
              <w:t xml:space="preserve"> oraz zakres przetwarzanych</w:t>
            </w:r>
            <w:r w:rsidR="00133E15" w:rsidRPr="008A5AF1">
              <w:rPr>
                <w:rFonts w:asciiTheme="minorHAnsi" w:hAnsiTheme="minorHAnsi" w:cstheme="minorHAnsi"/>
                <w:color w:val="000000" w:themeColor="text1"/>
                <w:sz w:val="18"/>
                <w:szCs w:val="18"/>
              </w:rPr>
              <w:t xml:space="preserve"> w nim</w:t>
            </w:r>
            <w:r w:rsidR="00574AA7" w:rsidRPr="008A5AF1">
              <w:rPr>
                <w:rFonts w:asciiTheme="minorHAnsi" w:hAnsiTheme="minorHAnsi" w:cstheme="minorHAnsi"/>
                <w:color w:val="000000" w:themeColor="text1"/>
                <w:sz w:val="18"/>
                <w:szCs w:val="18"/>
              </w:rPr>
              <w:t xml:space="preserve"> danych i informacji</w:t>
            </w:r>
            <w:r w:rsidR="00967119" w:rsidRPr="008A5AF1">
              <w:rPr>
                <w:rFonts w:asciiTheme="minorHAnsi" w:hAnsiTheme="minorHAnsi" w:cstheme="minorHAnsi"/>
                <w:color w:val="000000" w:themeColor="text1"/>
                <w:sz w:val="18"/>
                <w:szCs w:val="18"/>
              </w:rPr>
              <w:t xml:space="preserve">, musi dotyczyć </w:t>
            </w:r>
            <w:r w:rsidR="00967119" w:rsidRPr="008A5AF1">
              <w:rPr>
                <w:rFonts w:asciiTheme="minorHAnsi" w:hAnsiTheme="minorHAnsi" w:cstheme="minorHAnsi"/>
                <w:color w:val="000000" w:themeColor="text1"/>
                <w:sz w:val="18"/>
                <w:szCs w:val="18"/>
              </w:rPr>
              <w:lastRenderedPageBreak/>
              <w:t xml:space="preserve">konkretnych </w:t>
            </w:r>
            <w:r w:rsidR="002C3098" w:rsidRPr="008A5AF1">
              <w:rPr>
                <w:rFonts w:asciiTheme="minorHAnsi" w:hAnsiTheme="minorHAnsi" w:cstheme="minorHAnsi"/>
                <w:color w:val="000000" w:themeColor="text1"/>
                <w:sz w:val="18"/>
                <w:szCs w:val="18"/>
              </w:rPr>
              <w:t xml:space="preserve">wskazanych </w:t>
            </w:r>
            <w:r w:rsidR="00967119" w:rsidRPr="008A5AF1">
              <w:rPr>
                <w:rFonts w:asciiTheme="minorHAnsi" w:hAnsiTheme="minorHAnsi" w:cstheme="minorHAnsi"/>
                <w:color w:val="000000" w:themeColor="text1"/>
                <w:sz w:val="18"/>
                <w:szCs w:val="18"/>
              </w:rPr>
              <w:t xml:space="preserve">organów/podmiotów, a nie ich zbiorczego określenia (kwalifikowani dostawcy usług zaufania), </w:t>
            </w:r>
            <w:r w:rsidR="002C3098" w:rsidRPr="008A5AF1">
              <w:rPr>
                <w:rFonts w:asciiTheme="minorHAnsi" w:hAnsiTheme="minorHAnsi" w:cstheme="minorHAnsi"/>
                <w:color w:val="000000" w:themeColor="text1"/>
                <w:sz w:val="18"/>
                <w:szCs w:val="18"/>
              </w:rPr>
              <w:t xml:space="preserve">realizujących czynności administracyjne z udziałem cudzoziemców, </w:t>
            </w:r>
            <w:r w:rsidR="00DF1B70" w:rsidRPr="008A5AF1">
              <w:rPr>
                <w:rFonts w:asciiTheme="minorHAnsi" w:hAnsiTheme="minorHAnsi" w:cstheme="minorHAnsi"/>
                <w:color w:val="000000" w:themeColor="text1"/>
                <w:sz w:val="18"/>
                <w:szCs w:val="18"/>
              </w:rPr>
              <w:t xml:space="preserve">a </w:t>
            </w:r>
            <w:r w:rsidR="002C3098" w:rsidRPr="008A5AF1">
              <w:rPr>
                <w:rFonts w:asciiTheme="minorHAnsi" w:hAnsiTheme="minorHAnsi" w:cstheme="minorHAnsi"/>
                <w:color w:val="000000" w:themeColor="text1"/>
                <w:sz w:val="18"/>
                <w:szCs w:val="18"/>
              </w:rPr>
              <w:t xml:space="preserve">ponadto wiązać się z </w:t>
            </w:r>
            <w:r w:rsidR="00967119" w:rsidRPr="008A5AF1">
              <w:rPr>
                <w:rFonts w:asciiTheme="minorHAnsi" w:hAnsiTheme="minorHAnsi" w:cstheme="minorHAnsi"/>
                <w:color w:val="000000" w:themeColor="text1"/>
                <w:sz w:val="18"/>
                <w:szCs w:val="18"/>
              </w:rPr>
              <w:t>konkretny</w:t>
            </w:r>
            <w:r w:rsidR="002C3098" w:rsidRPr="008A5AF1">
              <w:rPr>
                <w:rFonts w:asciiTheme="minorHAnsi" w:hAnsiTheme="minorHAnsi" w:cstheme="minorHAnsi"/>
                <w:color w:val="000000" w:themeColor="text1"/>
                <w:sz w:val="18"/>
                <w:szCs w:val="18"/>
              </w:rPr>
              <w:t>m</w:t>
            </w:r>
            <w:r w:rsidR="00967119" w:rsidRPr="008A5AF1">
              <w:rPr>
                <w:rFonts w:asciiTheme="minorHAnsi" w:hAnsiTheme="minorHAnsi" w:cstheme="minorHAnsi"/>
                <w:color w:val="000000" w:themeColor="text1"/>
                <w:sz w:val="18"/>
                <w:szCs w:val="18"/>
              </w:rPr>
              <w:t xml:space="preserve"> cel</w:t>
            </w:r>
            <w:r w:rsidR="002C3098" w:rsidRPr="008A5AF1">
              <w:rPr>
                <w:rFonts w:asciiTheme="minorHAnsi" w:hAnsiTheme="minorHAnsi" w:cstheme="minorHAnsi"/>
                <w:color w:val="000000" w:themeColor="text1"/>
                <w:sz w:val="18"/>
                <w:szCs w:val="18"/>
              </w:rPr>
              <w:t>em</w:t>
            </w:r>
            <w:r w:rsidR="00967119" w:rsidRPr="008A5AF1">
              <w:rPr>
                <w:rFonts w:asciiTheme="minorHAnsi" w:hAnsiTheme="minorHAnsi" w:cstheme="minorHAnsi"/>
                <w:color w:val="000000" w:themeColor="text1"/>
                <w:sz w:val="18"/>
                <w:szCs w:val="18"/>
              </w:rPr>
              <w:t xml:space="preserve"> KRC</w:t>
            </w:r>
            <w:r w:rsidR="00DF1B70" w:rsidRPr="008A5AF1">
              <w:rPr>
                <w:rFonts w:asciiTheme="minorHAnsi" w:hAnsiTheme="minorHAnsi" w:cstheme="minorHAnsi"/>
                <w:color w:val="000000" w:themeColor="text1"/>
                <w:sz w:val="18"/>
                <w:szCs w:val="18"/>
              </w:rPr>
              <w:t>.</w:t>
            </w:r>
          </w:p>
        </w:tc>
        <w:tc>
          <w:tcPr>
            <w:tcW w:w="3481" w:type="dxa"/>
            <w:gridSpan w:val="2"/>
          </w:tcPr>
          <w:p w14:paraId="25955F34" w14:textId="4EA45FF3" w:rsidR="000C36E6" w:rsidRPr="008A5AF1" w:rsidRDefault="000C36E6" w:rsidP="000C36E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p>
        </w:tc>
      </w:tr>
      <w:tr w:rsidR="00787817" w:rsidRPr="009B2533" w14:paraId="3C5DF70E" w14:textId="77777777" w:rsidTr="00787817">
        <w:trPr>
          <w:gridAfter w:val="1"/>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56201076" w14:textId="77777777" w:rsidR="000C36E6" w:rsidRPr="009B2533" w:rsidRDefault="000C36E6" w:rsidP="000C36E6">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2724727C" w14:textId="52769DE2" w:rsidR="000C36E6" w:rsidRDefault="003248FC" w:rsidP="000C36E6">
            <w:pPr>
              <w:jc w:val="both"/>
              <w:cnfStyle w:val="000000000000" w:firstRow="0" w:lastRow="0" w:firstColumn="0" w:lastColumn="0" w:oddVBand="0" w:evenVBand="0" w:oddHBand="0"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Art. 41</w:t>
            </w:r>
          </w:p>
        </w:tc>
        <w:tc>
          <w:tcPr>
            <w:tcW w:w="1846" w:type="dxa"/>
          </w:tcPr>
          <w:p w14:paraId="00AB7C70" w14:textId="77777777" w:rsidR="00C10E3D" w:rsidRDefault="003248FC" w:rsidP="00C10E3D">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Art. 41</w:t>
            </w:r>
          </w:p>
          <w:p w14:paraId="1038A728"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3248FC">
              <w:rPr>
                <w:rFonts w:asciiTheme="minorHAnsi" w:hAnsiTheme="minorHAnsi" w:cstheme="minorHAnsi"/>
                <w:bCs/>
                <w:sz w:val="18"/>
                <w:szCs w:val="18"/>
              </w:rPr>
              <w:t>W ustawie z dnia 13 czerwca 2003 r. o udzielaniu cudzoziemcom ochrony na terytorium Rzeczypospolitej Polskiej (Dz. U. z 2025 r. poz. 223, 389, 619 i 621) wprowadza się następujące zmiany:</w:t>
            </w:r>
          </w:p>
          <w:p w14:paraId="687156B6"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5F187243"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3248FC">
              <w:rPr>
                <w:rFonts w:asciiTheme="minorHAnsi" w:hAnsiTheme="minorHAnsi" w:cstheme="minorHAnsi"/>
                <w:bCs/>
                <w:sz w:val="18"/>
                <w:szCs w:val="18"/>
              </w:rPr>
              <w:t>1) w art. 40 w ust. 2 w pkt 6 kropkę zastępuje się średnikiem i dodaje się pkt 7 i 8 w brzmieniu:</w:t>
            </w:r>
          </w:p>
          <w:p w14:paraId="47E44EA1"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1CA94B9C"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3248FC">
              <w:rPr>
                <w:rFonts w:asciiTheme="minorHAnsi" w:hAnsiTheme="minorHAnsi" w:cstheme="minorHAnsi"/>
                <w:bCs/>
                <w:sz w:val="18"/>
                <w:szCs w:val="18"/>
              </w:rPr>
              <w:t>„7) odmówił przedstawienia informacji niezbędnych do ustalenia stanu faktycznego;</w:t>
            </w:r>
          </w:p>
          <w:p w14:paraId="25C66056"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466A93B7"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3248FC">
              <w:rPr>
                <w:rFonts w:asciiTheme="minorHAnsi" w:hAnsiTheme="minorHAnsi" w:cstheme="minorHAnsi"/>
                <w:bCs/>
                <w:sz w:val="18"/>
                <w:szCs w:val="18"/>
              </w:rPr>
              <w:t>8) odmówił udostępnienia dowodów potwierdzających okoliczności wskazane w uzasadnieniu wniosku o udzielenie ochrony międzynarodowej.”;</w:t>
            </w:r>
          </w:p>
          <w:p w14:paraId="01B1B078"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18CBAF08"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3248FC">
              <w:rPr>
                <w:rFonts w:asciiTheme="minorHAnsi" w:hAnsiTheme="minorHAnsi" w:cstheme="minorHAnsi"/>
                <w:bCs/>
                <w:sz w:val="18"/>
                <w:szCs w:val="18"/>
              </w:rPr>
              <w:t>2) w art. 88b ust. 1 otrzymuje brzmienie:</w:t>
            </w:r>
          </w:p>
          <w:p w14:paraId="59068BAA"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6B28EDB8"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3248FC">
              <w:rPr>
                <w:rFonts w:asciiTheme="minorHAnsi" w:hAnsiTheme="minorHAnsi" w:cstheme="minorHAnsi"/>
                <w:bCs/>
                <w:sz w:val="18"/>
                <w:szCs w:val="18"/>
              </w:rPr>
              <w:t xml:space="preserve">„1. Sąd rejonowy właściwy ze względu na siedzibę wnioskującego organu Straży Granicznej, wydaje postanowienie o umieszczeniu </w:t>
            </w:r>
            <w:r w:rsidRPr="003248FC">
              <w:rPr>
                <w:rFonts w:asciiTheme="minorHAnsi" w:hAnsiTheme="minorHAnsi" w:cstheme="minorHAnsi"/>
                <w:bCs/>
                <w:sz w:val="18"/>
                <w:szCs w:val="18"/>
              </w:rPr>
              <w:lastRenderedPageBreak/>
              <w:t>wnioskodawcy lub osoby, w której imieniu wnioskodawca występuje, w strzeżonym ośrodku lub o zastosowaniu wobec niej</w:t>
            </w:r>
          </w:p>
          <w:p w14:paraId="1C349A71"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2915986D"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3248FC">
              <w:rPr>
                <w:rFonts w:asciiTheme="minorHAnsi" w:hAnsiTheme="minorHAnsi" w:cstheme="minorHAnsi"/>
                <w:bCs/>
                <w:sz w:val="18"/>
                <w:szCs w:val="18"/>
              </w:rPr>
              <w:t>aresztu dla cudzoziemców. Sąd wydaje postanowienie po wysłuchaniu wnioskodawcy lub osoby, w której imieniu wnioskodawca występuje.”;</w:t>
            </w:r>
          </w:p>
          <w:p w14:paraId="3C8549FE"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6074582F"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3248FC">
              <w:rPr>
                <w:rFonts w:asciiTheme="minorHAnsi" w:hAnsiTheme="minorHAnsi" w:cstheme="minorHAnsi"/>
                <w:bCs/>
                <w:sz w:val="18"/>
                <w:szCs w:val="18"/>
              </w:rPr>
              <w:t>3) w art. 89n dodaje się ust. 4 i 5 w brzmieniu:</w:t>
            </w:r>
          </w:p>
          <w:p w14:paraId="6A67E4C7"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2EC0A11A"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3248FC">
              <w:rPr>
                <w:rFonts w:asciiTheme="minorHAnsi" w:hAnsiTheme="minorHAnsi" w:cstheme="minorHAnsi"/>
                <w:bCs/>
                <w:sz w:val="18"/>
                <w:szCs w:val="18"/>
              </w:rPr>
              <w:t xml:space="preserve">„4. Szef Urzędu niezwłocznie informuje Komendanta Głównego Straży Granicznej o wydaniu dokumentu podróży, o którym mowa w ust. 1, cudzoziemcowi posiadającemu ważne zezwolenie na podróż, o którym mowa w art. 36 ust. 1 i 44 ust. 1 rozporządzenia Parlamentu Europejskiego i Rady (UE) 2018/1240 z dnia 12 września 2018 r. ustanawiającego europejski system informacji o podróży oraz zezwoleń na podróż (ETIAS) i </w:t>
            </w:r>
            <w:r w:rsidRPr="003248FC">
              <w:rPr>
                <w:rFonts w:asciiTheme="minorHAnsi" w:hAnsiTheme="minorHAnsi" w:cstheme="minorHAnsi"/>
                <w:bCs/>
                <w:sz w:val="18"/>
                <w:szCs w:val="18"/>
              </w:rPr>
              <w:lastRenderedPageBreak/>
              <w:t xml:space="preserve">zmieniającego rozporządzenia (UE) nr 1077/2011, (UE) nr 515/2014, (UE) 2016/399, (UE) 2016/1624 i (UE) 2017/2226 (Dz. Urz. UE L 236 z 19.09.2018, str. 1, z </w:t>
            </w:r>
            <w:proofErr w:type="spellStart"/>
            <w:r w:rsidRPr="003248FC">
              <w:rPr>
                <w:rFonts w:asciiTheme="minorHAnsi" w:hAnsiTheme="minorHAnsi" w:cstheme="minorHAnsi"/>
                <w:bCs/>
                <w:sz w:val="18"/>
                <w:szCs w:val="18"/>
              </w:rPr>
              <w:t>późn</w:t>
            </w:r>
            <w:proofErr w:type="spellEnd"/>
            <w:r w:rsidRPr="003248FC">
              <w:rPr>
                <w:rFonts w:asciiTheme="minorHAnsi" w:hAnsiTheme="minorHAnsi" w:cstheme="minorHAnsi"/>
                <w:bCs/>
                <w:sz w:val="18"/>
                <w:szCs w:val="18"/>
              </w:rPr>
              <w:t>. zm.9)), zwanego dalej „rozporządzeniem 2018/1240.</w:t>
            </w:r>
          </w:p>
          <w:p w14:paraId="2EF1311F"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75F64175"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3248FC">
              <w:rPr>
                <w:rFonts w:asciiTheme="minorHAnsi" w:hAnsiTheme="minorHAnsi" w:cstheme="minorHAnsi"/>
                <w:bCs/>
                <w:sz w:val="18"/>
                <w:szCs w:val="18"/>
              </w:rPr>
              <w:t>5. W przypadku, o którym mowa w art. 55 ust. 6 rozporządzenia nr 2018/1240, Szef Urzędu po wydaniu karty pobytu, jej wymianie lub wydaniu kolejnej karty pobytu cudzoziemcowi przekazuje niezwłocznie, na jego wniosek, Komendantowi Głównemu Straży Granicznej, informacje o posiadaniu przez cudzoziemca, któremu została wydana lub wymieniona karta pobytu, ważnego zezwolenia na podróż, o którym mowa w art. 36 ust. 1 lub art. 44 ust.1 rozporządzenia 2018/1240.”;</w:t>
            </w:r>
          </w:p>
          <w:p w14:paraId="033A257C"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68BCC2D0"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3248FC">
              <w:rPr>
                <w:rFonts w:asciiTheme="minorHAnsi" w:hAnsiTheme="minorHAnsi" w:cstheme="minorHAnsi"/>
                <w:bCs/>
                <w:sz w:val="18"/>
                <w:szCs w:val="18"/>
              </w:rPr>
              <w:t>4) w art. 110 po ust. 8a dodaje się ust. 8b w brzmieniu:</w:t>
            </w:r>
          </w:p>
          <w:p w14:paraId="2C8A8B52" w14:textId="77777777" w:rsidR="003248FC" w:rsidRPr="003248FC" w:rsidRDefault="003248FC" w:rsidP="003248F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3C48BCF0" w14:textId="5A0F8687" w:rsidR="000C36E6" w:rsidRDefault="003248FC" w:rsidP="000C36E6">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3248FC">
              <w:rPr>
                <w:rFonts w:asciiTheme="minorHAnsi" w:hAnsiTheme="minorHAnsi" w:cstheme="minorHAnsi"/>
                <w:bCs/>
                <w:sz w:val="18"/>
                <w:szCs w:val="18"/>
              </w:rPr>
              <w:lastRenderedPageBreak/>
              <w:t>„8b. W przypadku, o którym mowa w art. 55 ust. 6 rozporządzenia nr 2018/1240, Szef Urzędu po wydaniu cudzoziemcowi zaświadczenia, o którym mowa w ust. 5, przekazuje niezwłocznie, na jego wniosek, Komendantowi Głównemu Straży Granicznej informacje o posiadaniu przez cudzoziemca, któremu zostało wydane zaświadczenie, ważnego zezwolenia na podróż, o którym mowa w art. 36 ust. 1 lub art. 44 ust. 1 rozporządzenia 2018/1240.”.</w:t>
            </w:r>
          </w:p>
        </w:tc>
        <w:tc>
          <w:tcPr>
            <w:tcW w:w="1276" w:type="dxa"/>
          </w:tcPr>
          <w:p w14:paraId="4D851E60" w14:textId="4BB4F02F" w:rsidR="000C36E6" w:rsidRPr="00CC73BF" w:rsidRDefault="003248FC" w:rsidP="000C36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lastRenderedPageBreak/>
              <w:t xml:space="preserve">RPO </w:t>
            </w:r>
          </w:p>
        </w:tc>
        <w:tc>
          <w:tcPr>
            <w:tcW w:w="4678" w:type="dxa"/>
          </w:tcPr>
          <w:p w14:paraId="168CE802" w14:textId="77777777" w:rsidR="00C10E3D" w:rsidRDefault="003248FC" w:rsidP="00C10E3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248FC">
              <w:rPr>
                <w:rFonts w:asciiTheme="minorHAnsi" w:hAnsiTheme="minorHAnsi" w:cstheme="minorHAnsi"/>
                <w:sz w:val="18"/>
                <w:szCs w:val="18"/>
              </w:rPr>
              <w:t>W art. 41 projektu przewidziano zmianę w ustawie z dnia 13 czerwca 2003 r. o udzielaniu cudzoziemcom ochrony na terytorium Rzeczypospolitej Polskiej (</w:t>
            </w:r>
            <w:proofErr w:type="spellStart"/>
            <w:r w:rsidRPr="003248FC">
              <w:rPr>
                <w:rFonts w:asciiTheme="minorHAnsi" w:hAnsiTheme="minorHAnsi" w:cstheme="minorHAnsi"/>
                <w:sz w:val="18"/>
                <w:szCs w:val="18"/>
              </w:rPr>
              <w:t>t.j</w:t>
            </w:r>
            <w:proofErr w:type="spellEnd"/>
            <w:r w:rsidRPr="003248FC">
              <w:rPr>
                <w:rFonts w:asciiTheme="minorHAnsi" w:hAnsiTheme="minorHAnsi" w:cstheme="minorHAnsi"/>
                <w:sz w:val="18"/>
                <w:szCs w:val="18"/>
              </w:rPr>
              <w:t>. Dz. U. z 2025 r. poz. 223, ze zm.; dalej: „ustawa o udzielaniu cudzoziemcom ochrony”), polegającą na dodaniu nowych przesłanek umożliwiających organowi prowadzącemu postępowanie w sprawie udzielenia ochrony międzynarodowej wydanie decyzji o umorzeniu postępowania, w przypadku gdy nie jest to sprzeczne z interesem społecznym, a wnioskodawca w sposób dorozumiany wycofał wniosek o udzielenie ochrony międzynarodowej. Zgodnie z projektowaną zmianą, wniosek o udzielenie ochrony międzynarodowej uznaje się za wycofany w sposób dorozumiany, w przypadku gdy wnioskodawca odmówił przedstawienia informacji niezbędnych do</w:t>
            </w:r>
            <w:r>
              <w:rPr>
                <w:rFonts w:asciiTheme="minorHAnsi" w:hAnsiTheme="minorHAnsi" w:cstheme="minorHAnsi"/>
                <w:sz w:val="18"/>
                <w:szCs w:val="18"/>
              </w:rPr>
              <w:t xml:space="preserve"> </w:t>
            </w:r>
            <w:r w:rsidRPr="003248FC">
              <w:rPr>
                <w:rFonts w:asciiTheme="minorHAnsi" w:hAnsiTheme="minorHAnsi" w:cstheme="minorHAnsi"/>
                <w:sz w:val="18"/>
                <w:szCs w:val="18"/>
              </w:rPr>
              <w:t>ustalenia stanu faktycznego lub odmówił udostępnienia dowodów potwierdzających okoliczności wskazane w uzasadnieniu wniosku o udzielenie ochrony międzynarodowej.</w:t>
            </w:r>
          </w:p>
          <w:p w14:paraId="1B64E531" w14:textId="77777777" w:rsidR="003248FC" w:rsidRDefault="003248FC" w:rsidP="00C10E3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248FC">
              <w:rPr>
                <w:rFonts w:asciiTheme="minorHAnsi" w:hAnsiTheme="minorHAnsi" w:cstheme="minorHAnsi"/>
                <w:sz w:val="18"/>
                <w:szCs w:val="18"/>
              </w:rPr>
              <w:t xml:space="preserve">Proponowane rozwiązanie budzi wątpliwości z punktu widzenia standardów ochrony praw cudzoziemców ubiegających się o udzielenie ochrony międzynarodowej na terytorium RP. W obowiązującym obecnie brzmieniu art. 40 ust. 2 ustawy o udzielaniu cudzoziemcom ochrony określono zamknięty katalog przesłanek, których wystąpienie pozwala organowi na uznanie, że cudzoziemiec w sposób dorozumiany wycofał swój wniosek. Są to okoliczności o charakterze obiektywnym, które są możliwe do zweryfikowania i nie opierają się na subiektywnej ocenie organu prowadzącego postępowanie. Przesłanki te dotyczą m.in. niestawiennictwa w ośrodku recepcyjnym w określonym terminie, opuszczenia ośrodka bez usprawiedliwionej przyczyny czy opuszczenia terytorium RP. Natomiast projektowane nowe przesłanki mają charakter </w:t>
            </w:r>
            <w:proofErr w:type="spellStart"/>
            <w:r w:rsidRPr="003248FC">
              <w:rPr>
                <w:rFonts w:asciiTheme="minorHAnsi" w:hAnsiTheme="minorHAnsi" w:cstheme="minorHAnsi"/>
                <w:sz w:val="18"/>
                <w:szCs w:val="18"/>
              </w:rPr>
              <w:t>ocenny</w:t>
            </w:r>
            <w:proofErr w:type="spellEnd"/>
            <w:r w:rsidRPr="003248FC">
              <w:rPr>
                <w:rFonts w:asciiTheme="minorHAnsi" w:hAnsiTheme="minorHAnsi" w:cstheme="minorHAnsi"/>
                <w:sz w:val="18"/>
                <w:szCs w:val="18"/>
              </w:rPr>
              <w:t xml:space="preserve"> i subiektywny, tym samym przyznają organowi szeroki zakres uznaniowości, co może prowadzić do arbitralnych decyzji, podejmowanych bez odpowiedniego uwzględnienia indywidualnej sytuacji wnioskodawcy.</w:t>
            </w:r>
          </w:p>
          <w:p w14:paraId="703F3960" w14:textId="77777777" w:rsidR="003248FC" w:rsidRDefault="003248FC" w:rsidP="00C10E3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248FC">
              <w:rPr>
                <w:rFonts w:asciiTheme="minorHAnsi" w:hAnsiTheme="minorHAnsi" w:cstheme="minorHAnsi"/>
                <w:sz w:val="18"/>
                <w:szCs w:val="18"/>
              </w:rPr>
              <w:t xml:space="preserve">W uzasadnieniu projektu wskazano, że z uwagi na obecną sytuację geopolityczną, mając w szczególności na względzie wrogie działania ze strony białoruskich i rosyjskich władz, mające na celu instrumentalne wykorzystanie instytucji ochrony międzynarodowej wyłącznie do celów sprzecznych z naturą tej instytucji, konieczne jest podjęcie działań zmierzających do szybkiego załatwiania spraw o udzielenie ochrony międzynarodowej w sytuacji, gdy wnioskodawca działając w złej wierze odmawia przedstawienia stosownych wyjaśnień lub przedstawienia dowodów, bądź udziela wyjaśnień i dowodów wprowadzających organ w błąd. </w:t>
            </w:r>
            <w:r w:rsidRPr="003248FC">
              <w:rPr>
                <w:rFonts w:asciiTheme="minorHAnsi" w:hAnsiTheme="minorHAnsi" w:cstheme="minorHAnsi"/>
                <w:sz w:val="18"/>
                <w:szCs w:val="18"/>
              </w:rPr>
              <w:t>Proponowana zmiana ma być więc odpowiedzią na działania cudzoziemców podejmowane w złej wierze lub w celu wprowadzenia w błąd. Należy jednak podkreślić, że projektowany przepis nie zawiera odniesienia do złej wiary ani nie uzależnia jego zastosowania od jakiejkolwiek formy nadużycia ze strony cudzoziemca. Przepis nie przewiduje obowiązku wykazania przez organ, że odmowa złożenia wyjaśnień lub przedstawienia dowodów wynikała ze złej wiary cudzoziemca lub zmierzała do wprowadzenia organu w błąd. W efekcie może on zostać zastosowany również wobec osób, które z różnych przyczyn nie były w stanie przedstawić wymaganych informacji czy dowodów. Ponadto zakres projektowanej regulacji nie został ograniczony do sytuacji, w których istnieje podejrzenie instrumentalnego wykorzystania instytucji ochrony międzynarodowej, nowe przesłanki odnoszą się bowiem do wszystkich cudzoziemców, którzy złożą</w:t>
            </w:r>
            <w:r>
              <w:rPr>
                <w:rFonts w:asciiTheme="minorHAnsi" w:hAnsiTheme="minorHAnsi" w:cstheme="minorHAnsi"/>
                <w:sz w:val="18"/>
                <w:szCs w:val="18"/>
              </w:rPr>
              <w:t xml:space="preserve"> </w:t>
            </w:r>
            <w:r w:rsidRPr="003248FC">
              <w:rPr>
                <w:rFonts w:asciiTheme="minorHAnsi" w:hAnsiTheme="minorHAnsi" w:cstheme="minorHAnsi"/>
                <w:sz w:val="18"/>
                <w:szCs w:val="18"/>
              </w:rPr>
              <w:t>wniosek o udzielenie ochrony międzynarodowej na terytorium RP, bez względu na ich motywację czy sytuację faktyczną.</w:t>
            </w:r>
          </w:p>
          <w:p w14:paraId="0D9AB6B7" w14:textId="77777777" w:rsidR="003248FC" w:rsidRDefault="003248FC" w:rsidP="00C10E3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248FC">
              <w:rPr>
                <w:rFonts w:asciiTheme="minorHAnsi" w:hAnsiTheme="minorHAnsi" w:cstheme="minorHAnsi"/>
                <w:sz w:val="18"/>
                <w:szCs w:val="18"/>
              </w:rPr>
              <w:t>Osoby ubiegające się o udzielenie ochrony międzynarodowej znajdują się często w szczególnie trudnej sytuacji, obawiając się o własne bezpieczeństwo lub bezpieczeństwo bliskich osób w kraju pochodzenia. W takich okolicznościach przyczyny odmowy przedstawienia przez wnioskodawcę odpowiednich informacji lub udostępnienia dowodów mogą być uzasadnione i wynikać m.in. z obaw przed represjami wobec bliskich pozostających w kraju pochodzenia, braku zaufania do władz czy braku możliwości zabezpieczenia lub przewiezienia z kraju pochodzenia dowodów mogących potwierdzać okoliczności wskazane we wniosku o udzielenie ochrony międzynarodowej. Odmowa udzielenia informacji lub przedstawienia dowodów nie powinna być więc traktowana jako równoznaczna z rezygnacją z ubiegania się o udzielenie ochrony międzynarodowej. Tymczasem projektowane rozwiązanie nie przewiduje obowiązku zbadania przyczyn takiej odmowy czy możliwości dostarczenia informacji i dowodów na późniejszym etapie postępowania.</w:t>
            </w:r>
          </w:p>
          <w:p w14:paraId="2ABB4EF1" w14:textId="77777777" w:rsidR="003248FC" w:rsidRDefault="003248FC" w:rsidP="00C10E3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248FC">
              <w:rPr>
                <w:rFonts w:asciiTheme="minorHAnsi" w:hAnsiTheme="minorHAnsi" w:cstheme="minorHAnsi"/>
                <w:sz w:val="18"/>
                <w:szCs w:val="18"/>
              </w:rPr>
              <w:t xml:space="preserve">W tym miejscu należy podkreślić, że art. 10 ust. 3 pkt a dyrektywy Parlamentu Europejskiego i Rady 2013/32/UE z dnia 26 czerwca 2013 r. w sprawie wspólnych procedur udzielania i cofania ochrony międzynarodowej (wersja przekształcona) (Dz. U. UE. L. z 2013 r. Nr 180, str. 60), określając wymogi dotyczące rozpatrywania wniosków o udzielenie ochrony międzynarodowej, zobowiązuje państwa członkowskie do zapewnienia, aby decyzje organu rozstrzygającego w sprawie wniosków o udzielenie ochrony </w:t>
            </w:r>
            <w:r w:rsidRPr="003248FC">
              <w:rPr>
                <w:rFonts w:asciiTheme="minorHAnsi" w:hAnsiTheme="minorHAnsi" w:cstheme="minorHAnsi"/>
                <w:sz w:val="18"/>
                <w:szCs w:val="18"/>
              </w:rPr>
              <w:lastRenderedPageBreak/>
              <w:t>międzynarodowej były podejmowane po odpowiednim rozpatrzeniu. W tym celu państwa członkowskie zapewniają, aby wnioski były rozpatrywane, a decyzje podejmowane indywidualnie, obiektywnie i bezstronnie.</w:t>
            </w:r>
          </w:p>
          <w:p w14:paraId="06EB24E4" w14:textId="18EB0BF6" w:rsidR="000C36E6" w:rsidRPr="009F5E53" w:rsidRDefault="003248FC" w:rsidP="000C36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248FC">
              <w:rPr>
                <w:rFonts w:asciiTheme="minorHAnsi" w:hAnsiTheme="minorHAnsi" w:cstheme="minorHAnsi"/>
                <w:sz w:val="18"/>
                <w:szCs w:val="18"/>
              </w:rPr>
              <w:t>Mając na uwadze, że proponowana zmiana art. 40 ust. 2 ustawy o udzielaniu cudzoziemcom ochrony może prowadzić do nadmiernej uznaniowości organu i ryzyka arbitralności, a w konsekwencji do ograniczenia prawa cudzoziemca do rzetelnego postępowania w sprawie udzielenia ochrony międzynarodowej, uprzejmie proszę o uwzględnienie powyższych uwag w toku dalszych prac legislacyjnych nad projektem.</w:t>
            </w:r>
          </w:p>
        </w:tc>
        <w:tc>
          <w:tcPr>
            <w:tcW w:w="3402" w:type="dxa"/>
            <w:gridSpan w:val="2"/>
          </w:tcPr>
          <w:p w14:paraId="10F6D83C" w14:textId="54817C01" w:rsidR="003B26CB" w:rsidRPr="00651D47" w:rsidRDefault="00E54D1E" w:rsidP="003B26C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0000" w:themeColor="text1"/>
                <w:sz w:val="18"/>
                <w:szCs w:val="18"/>
              </w:rPr>
            </w:pPr>
            <w:r>
              <w:rPr>
                <w:rFonts w:asciiTheme="minorHAnsi" w:hAnsiTheme="minorHAnsi" w:cstheme="minorHAnsi"/>
                <w:b/>
                <w:color w:val="000000" w:themeColor="text1"/>
                <w:sz w:val="18"/>
                <w:szCs w:val="18"/>
              </w:rPr>
              <w:lastRenderedPageBreak/>
              <w:t>U</w:t>
            </w:r>
            <w:r w:rsidRPr="00651D47">
              <w:rPr>
                <w:rFonts w:asciiTheme="minorHAnsi" w:hAnsiTheme="minorHAnsi" w:cstheme="minorHAnsi"/>
                <w:b/>
                <w:color w:val="000000" w:themeColor="text1"/>
                <w:sz w:val="18"/>
                <w:szCs w:val="18"/>
              </w:rPr>
              <w:t>względniono</w:t>
            </w:r>
          </w:p>
          <w:p w14:paraId="05F2F468" w14:textId="1D2B0101" w:rsidR="001C206C" w:rsidRPr="001C206C" w:rsidRDefault="001C206C" w:rsidP="001C206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18"/>
                <w:szCs w:val="18"/>
              </w:rPr>
            </w:pPr>
          </w:p>
        </w:tc>
        <w:tc>
          <w:tcPr>
            <w:tcW w:w="3481" w:type="dxa"/>
            <w:gridSpan w:val="2"/>
          </w:tcPr>
          <w:p w14:paraId="4CD4D1C1" w14:textId="0F3D1294" w:rsidR="005D2A8A" w:rsidRDefault="005D2A8A" w:rsidP="000C36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3B2F81A9" w14:textId="288E1480" w:rsidR="005D2A8A" w:rsidRPr="00614163" w:rsidRDefault="005D2A8A" w:rsidP="000C36E6">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8"/>
                <w:szCs w:val="18"/>
              </w:rPr>
            </w:pPr>
          </w:p>
          <w:p w14:paraId="6DB53FC0" w14:textId="77777777" w:rsidR="005D2A8A" w:rsidRDefault="005D2A8A" w:rsidP="000C36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496E863" w14:textId="5DC0A7C2" w:rsidR="000C36E6" w:rsidRPr="009B2533" w:rsidRDefault="000C36E6" w:rsidP="000C36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tr w:rsidR="00787817" w:rsidRPr="009B2533" w14:paraId="1B9CB5E9" w14:textId="77777777" w:rsidTr="00787817">
        <w:trPr>
          <w:gridAfter w:val="1"/>
          <w:cnfStyle w:val="000000100000" w:firstRow="0" w:lastRow="0" w:firstColumn="0" w:lastColumn="0" w:oddVBand="0" w:evenVBand="0" w:oddHBand="1" w:evenHBand="0" w:firstRowFirstColumn="0" w:firstRowLastColumn="0" w:lastRowFirstColumn="0" w:lastRowLastColumn="0"/>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7BDBACCC" w14:textId="77777777" w:rsidR="000C36E6" w:rsidRPr="009B2533" w:rsidRDefault="000C36E6" w:rsidP="000C36E6">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0E763947" w14:textId="77777777" w:rsidR="000C36E6" w:rsidRDefault="00E3345B" w:rsidP="000C36E6">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Art. 10</w:t>
            </w:r>
          </w:p>
          <w:p w14:paraId="358110B6" w14:textId="6177AFE4" w:rsidR="00E3345B" w:rsidRDefault="00E3345B" w:rsidP="000C36E6">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ust. 1-3</w:t>
            </w:r>
          </w:p>
        </w:tc>
        <w:tc>
          <w:tcPr>
            <w:tcW w:w="1846" w:type="dxa"/>
          </w:tcPr>
          <w:p w14:paraId="20961B4C" w14:textId="77777777" w:rsidR="00E3345B" w:rsidRDefault="00E3345B" w:rsidP="00E3345B">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Art. 10</w:t>
            </w:r>
          </w:p>
          <w:p w14:paraId="47226169" w14:textId="7B90BBD9"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t>1.</w:t>
            </w:r>
            <w:r>
              <w:rPr>
                <w:rFonts w:asciiTheme="minorHAnsi" w:hAnsiTheme="minorHAnsi" w:cstheme="minorHAnsi"/>
                <w:bCs/>
                <w:sz w:val="18"/>
                <w:szCs w:val="18"/>
              </w:rPr>
              <w:t xml:space="preserve"> </w:t>
            </w:r>
            <w:r w:rsidRPr="00E3345B">
              <w:rPr>
                <w:rFonts w:asciiTheme="minorHAnsi" w:hAnsiTheme="minorHAnsi" w:cstheme="minorHAnsi"/>
                <w:bCs/>
                <w:sz w:val="18"/>
                <w:szCs w:val="18"/>
              </w:rPr>
              <w:t>W przypadku konsultacji krajowych, o których mowa w art. 9 ust. 3 pkt 2, Komendant Główny Straży Granicznej może zwrócić się do:</w:t>
            </w:r>
          </w:p>
          <w:p w14:paraId="0CFFD529"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4DA13B78"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t>1) sądu;</w:t>
            </w:r>
          </w:p>
          <w:p w14:paraId="3D733F90"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095A5068"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t>2) prokuratury;</w:t>
            </w:r>
          </w:p>
          <w:p w14:paraId="68CB5822"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5C00EC96"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t>3) Komendanta Głównego Policji;</w:t>
            </w:r>
          </w:p>
          <w:p w14:paraId="2A812756"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37CED6D9"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t>4) Szefa Agencji Bezpieczeństwa Wewnętrznego;</w:t>
            </w:r>
          </w:p>
          <w:p w14:paraId="15151D0C"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66082382"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lastRenderedPageBreak/>
              <w:t>5) Szefa Agencji Wywiadu;</w:t>
            </w:r>
          </w:p>
          <w:p w14:paraId="61471D5F"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003EBBFA"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t>6) Komendanta Głównego Żandarmerii Wojskowej;</w:t>
            </w:r>
          </w:p>
          <w:p w14:paraId="01BE1FF8"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75DD1EC5"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t>7) Komendanta Służby Ochrony Państwa;</w:t>
            </w:r>
          </w:p>
          <w:p w14:paraId="3EF26431"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73FA705B"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t>8) Szefa Centralnego Biura Antykorupcyjnego;</w:t>
            </w:r>
          </w:p>
          <w:p w14:paraId="69B55AFA"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6D7015D7"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t>9) Szefa Krajowej Administracji Skarbowej;</w:t>
            </w:r>
          </w:p>
          <w:p w14:paraId="0002BDF7"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043E4CBB"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t>10) Szefa Służby Kontrwywiadu Wojskowego;</w:t>
            </w:r>
          </w:p>
          <w:p w14:paraId="6512448D"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08DCB9C1"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t>11) Szefa Służby Wywiadu Wojskowego;</w:t>
            </w:r>
          </w:p>
          <w:p w14:paraId="16CEC408"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1543331C"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t>12) Szefa Urzędu do Spraw Cudzoziemców;</w:t>
            </w:r>
          </w:p>
          <w:p w14:paraId="4E0C8898"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51E11DBD"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t>13) ministra właściwego do spraw zagranicznych;</w:t>
            </w:r>
          </w:p>
          <w:p w14:paraId="443EB26D"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344FE67A"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t>14) ministra właściwego do spraw wewnętrznych;</w:t>
            </w:r>
          </w:p>
          <w:p w14:paraId="784998DB"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3A79EECA"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t>15) Głównego Inspektora Sanitarnego;</w:t>
            </w:r>
          </w:p>
          <w:p w14:paraId="72CA7E24"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5D562536"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t>16) innych organów niż wymienione w pkt 1–15, w razie potrzeby.</w:t>
            </w:r>
          </w:p>
          <w:p w14:paraId="4CDE6574"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0AE6EF02" w14:textId="2A6DCACA"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t>2.</w:t>
            </w:r>
            <w:r w:rsidR="00DA7956">
              <w:rPr>
                <w:rFonts w:asciiTheme="minorHAnsi" w:hAnsiTheme="minorHAnsi" w:cstheme="minorHAnsi"/>
                <w:bCs/>
                <w:sz w:val="18"/>
                <w:szCs w:val="18"/>
              </w:rPr>
              <w:t xml:space="preserve"> </w:t>
            </w:r>
            <w:r w:rsidRPr="00E3345B">
              <w:rPr>
                <w:rFonts w:asciiTheme="minorHAnsi" w:hAnsiTheme="minorHAnsi" w:cstheme="minorHAnsi"/>
                <w:bCs/>
                <w:sz w:val="18"/>
                <w:szCs w:val="18"/>
              </w:rPr>
              <w:t>Organy, o których mowa w ust. 1, przekazują, w zakresie właściwości, uzasadnioną opinię, pozytywną lub negatywną, w terminie nie dłuższym niż 48 godzin od otrzymania wniosku w tej sprawie. W pilnych przypadkach, Komendant Główny Straży Granicznej może wyznaczyć termin przekazania opinii krótszy niż 48 godzin.</w:t>
            </w:r>
          </w:p>
          <w:p w14:paraId="586BC75D" w14:textId="77777777" w:rsidR="00E3345B" w:rsidRPr="00E3345B"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336AE0AC" w14:textId="39CC17FF" w:rsidR="000C36E6" w:rsidRDefault="00E3345B" w:rsidP="00E3345B">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E3345B">
              <w:rPr>
                <w:rFonts w:asciiTheme="minorHAnsi" w:hAnsiTheme="minorHAnsi" w:cstheme="minorHAnsi"/>
                <w:bCs/>
                <w:sz w:val="18"/>
                <w:szCs w:val="18"/>
              </w:rPr>
              <w:t>3. Nieprzekazanie opinii w wyznaczonym terminie traktuje się jako pozytywną opinię dotyczącą cudzoziemca.</w:t>
            </w:r>
          </w:p>
        </w:tc>
        <w:tc>
          <w:tcPr>
            <w:tcW w:w="1276" w:type="dxa"/>
          </w:tcPr>
          <w:p w14:paraId="2639F60F" w14:textId="290016EF" w:rsidR="000C36E6" w:rsidRPr="00CC73BF" w:rsidRDefault="00E3345B" w:rsidP="000C36E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lastRenderedPageBreak/>
              <w:t>SN</w:t>
            </w:r>
          </w:p>
        </w:tc>
        <w:tc>
          <w:tcPr>
            <w:tcW w:w="4678" w:type="dxa"/>
          </w:tcPr>
          <w:p w14:paraId="693C76BB" w14:textId="4657BD66"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Art. 10 ust. 1-3 projektu stanowi, że Komendant Główny SG w ramach „konsultacji krajowych”, o których mowa w art. 9 ust. 3 pkt 2 projektowanej ustawy, może zwrócić się m.in. do „sądu”. Ta procedura jest przez niego wszczynana w razie potrzeby uzyskania od innych organów opinii o cudzoziemcu, czy zachodzą okoliczności uzasadniające odmowę wydania zezwolenia na podróż w zakresie stwarzania ryzyka dla bezpieczeństwa, ryzyka nielegalnej imigracji lub wysokiego ryzyka epidemiologicznego. Wówczas sąd – podobnie jak inne podmioty wyliczone w art. 9 ust. 3 projektowanej ustawy, do których podobny wniosek konsultacyjny może zostać skierowany – powinien przekazać w terminie 48 godzin uzasadnioną opinię na temat danego cudzoziemca (pozytywną lub negatywną), a jej nieprzekazanie byłoby traktowane jako opinia pozytywna. Komendant Główny Straży Granicznej może w pilnych przypadkach wyznaczyć krótszy termin na wydanie takiej opinii.</w:t>
            </w:r>
          </w:p>
          <w:p w14:paraId="4FA3E329"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5D4E8611"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 xml:space="preserve">Powyższe projektowane rozwiązanie rodzi kilka uwag. Jest ono bardzo ogólne, co może oznaczać jego dysfunkcyjność (też wobec bardzo krótkiego terminu na udzielenie </w:t>
            </w:r>
            <w:r w:rsidRPr="00E3345B">
              <w:rPr>
                <w:rFonts w:asciiTheme="minorHAnsi" w:hAnsiTheme="minorHAnsi" w:cstheme="minorHAnsi"/>
                <w:sz w:val="18"/>
                <w:szCs w:val="18"/>
              </w:rPr>
              <w:t>odpowiedzi). W projekcie posłużono się na opisanie podmiotu, do którego zwraca się Komendant SG, bardzo ogólnym sformułowaniem „sąd”. Zarówno w węższym znaczeniu, jako organu wymiaru sprawiedliwości, jak i w znaczeniu szerszym, obejmującym też biura i administracyjne jednostki pomocnicze. Nie jest jasne, na jakiej zasadzie oraz w jakim zakresie i trybie – jak stanowi projekt - „sąd” miałyby uczestniczyć w konsultacjach dotyczących cudzoziemca na temat okoliczności uzasadniających odmowę wydania mu zezwolenia na podróż w związku z ryzykiem dla bezpieczeństwa. W tym, czy projektowana konsultacja miałaby przybrać formę jakiegoś rozstrzygnięcia. Nie doprecyzowano w szczególności, czy – co byłoby wątpliwe, o czym niżej – projektodawca zakłada działalność sądu (sędziego) w znaczeniu judykacyjnym, w tym konkretnego wydziału (np. wydziału karnego, rejestru karnego lub wykonania orzeczeń), którego rozstrzygnięcia miałoby znaczenie dla oceny powyższych przesłanek na etapie odmowy wjazdu, czy też celem projektowanych przepisów jest uregulowanie funkcjonowania aparatu pomocniczego, jakim jest administracja (urzędnik sądowy), a taki kontakt miałby na celu uzyskanie informacji np. o toczących się postępowaniach z udziałem danej osoby. Z obecnego ustawodawstwa nie wynika podobne uprawnienie Komendanta SG, które byłoby powiązane z określonymi obowiązkami po stronie nawet szeroko rozumianego „sądu”.</w:t>
            </w:r>
          </w:p>
          <w:p w14:paraId="287A22C7"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2B53E30F" w14:textId="77777777" w:rsidR="000C36E6"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Co więcej, w projekcie i w obecnych przepisach określających ustrój sądów (w tym w ustawie z dnia 27 lipca 2001 r. Prawo o ustroju sądów powszechnych, t. jedn. Dz.U. z 2024 r., poz. 334; oraz ustawie z dnia 25 lipca 2002 r. Prawo o ustroju sądów administracyjnych, t. jedn. Dz.U.</w:t>
            </w:r>
            <w:r>
              <w:rPr>
                <w:rFonts w:asciiTheme="minorHAnsi" w:hAnsiTheme="minorHAnsi" w:cstheme="minorHAnsi"/>
                <w:sz w:val="18"/>
                <w:szCs w:val="18"/>
              </w:rPr>
              <w:t xml:space="preserve"> </w:t>
            </w:r>
            <w:r w:rsidRPr="00E3345B">
              <w:rPr>
                <w:rFonts w:asciiTheme="minorHAnsi" w:hAnsiTheme="minorHAnsi" w:cstheme="minorHAnsi"/>
                <w:sz w:val="18"/>
                <w:szCs w:val="18"/>
              </w:rPr>
              <w:t xml:space="preserve">z 2002 r. Nr 153, poz. 1269) brak dokładniejszego uregulowania właściwości sądu oraz wewnętrznej procedury realizacji takiego żądania. Przede wszystkim, lektura powyższego przepisu rodzi wątpliwość, czy projektowane rozwiązanie, zakładające kompetencję Komendanta SG do zwrócenia się o konsultację do sądu w krótkim terminie, jest ustrojowo uzasadnione. Sądy stanowią władzę sądowniczą, niezależną od innych władz państwowych oraz sprawują wymiar sprawiedliwości (art. 173 i 175 ust. 1 Konstytucji RP). Taka pozycja ustrojowa stanowi przeszkodę dla wprowadzenia regulacji, mocą której sąd miałby stanowić podmiot niejako pomocniczy dla załatwiania spraw administracyjnych w bieżącej działalności Straży Granicznej (o ile tak miałoby zostać odczytane powyższe, lakoniczne brzmienie projektu). Krajowe rozwiązania prawne przewidują co do zasady, że to </w:t>
            </w:r>
            <w:r w:rsidRPr="00E3345B">
              <w:rPr>
                <w:rFonts w:asciiTheme="minorHAnsi" w:hAnsiTheme="minorHAnsi" w:cstheme="minorHAnsi"/>
                <w:sz w:val="18"/>
                <w:szCs w:val="18"/>
              </w:rPr>
              <w:lastRenderedPageBreak/>
              <w:t>działalność funkcjonariuszy SG (prowadzona ewentualnie we współpracy z innymi służbami oraz instytucjami publicznymi) podlega, dopiero w kolejnym etapie (orzeczniczym), kontroli sądowej. Może ją przy tym sprawować nie sąd powszechny, ale – o czym niżej – sąd administracyjny. Natomiast Komendant Główny SG, zgodnie z art. 3 ust. 1 i 4 ustawy z dnia 12 października 1990 r. o Straży Granicznej (</w:t>
            </w:r>
            <w:proofErr w:type="spellStart"/>
            <w:r w:rsidRPr="00E3345B">
              <w:rPr>
                <w:rFonts w:asciiTheme="minorHAnsi" w:hAnsiTheme="minorHAnsi" w:cstheme="minorHAnsi"/>
                <w:sz w:val="18"/>
                <w:szCs w:val="18"/>
              </w:rPr>
              <w:t>t.jedn</w:t>
            </w:r>
            <w:proofErr w:type="spellEnd"/>
            <w:r w:rsidRPr="00E3345B">
              <w:rPr>
                <w:rFonts w:asciiTheme="minorHAnsi" w:hAnsiTheme="minorHAnsi" w:cstheme="minorHAnsi"/>
                <w:sz w:val="18"/>
                <w:szCs w:val="18"/>
              </w:rPr>
              <w:t>. Dz.U. z 2025 r., poz. 914) jest centralnym organem administracji rządowej (podległym ministrowi właściwemu do spraw wewnętrznych) oraz przełożonym wszystkich funkcjonariuszy SG. Zgodnie z art. 9 ust. 1 tej ustawy to funkcjonariusze SG wykonują czynności m.in. na polecenie sądu i prokuratury oraz innych właściwych organów państwowych celem rozpoznawania, zapobiegania i wykrywania przestępstw i wykroczeń, w zakresie, w jakim obowiązek ten został określony w odrębnych przepisach.</w:t>
            </w:r>
            <w:r>
              <w:rPr>
                <w:rFonts w:asciiTheme="minorHAnsi" w:hAnsiTheme="minorHAnsi" w:cstheme="minorHAnsi"/>
                <w:sz w:val="18"/>
                <w:szCs w:val="18"/>
              </w:rPr>
              <w:t xml:space="preserve"> </w:t>
            </w:r>
          </w:p>
          <w:p w14:paraId="7AA1FC60" w14:textId="77777777" w:rsid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6E8284C4"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 xml:space="preserve">Trzeba przy tym zwrócić uwagę, że na tle podobnych rozwiązań konsultacyjnych w ustawie o cudzoziemcach brak jest zaliczenia sądów do katalogu podmiotów, do których może się zwrócić organ właściwy do wydania decyzji. Sądy nie zostały przewidziane w szczególności w art. 69 ustawy o cudzoziemcach, określającym podmioty, z którymi może się konsultować Szef Urzędu do Spraw Cudzoziemców na wniosek konsula rozpatrującego wniosek o wydanie wizy </w:t>
            </w:r>
            <w:proofErr w:type="spellStart"/>
            <w:r w:rsidRPr="00E3345B">
              <w:rPr>
                <w:rFonts w:asciiTheme="minorHAnsi" w:hAnsiTheme="minorHAnsi" w:cstheme="minorHAnsi"/>
                <w:sz w:val="18"/>
                <w:szCs w:val="18"/>
              </w:rPr>
              <w:t>Schengen</w:t>
            </w:r>
            <w:proofErr w:type="spellEnd"/>
            <w:r w:rsidRPr="00E3345B">
              <w:rPr>
                <w:rFonts w:asciiTheme="minorHAnsi" w:hAnsiTheme="minorHAnsi" w:cstheme="minorHAnsi"/>
                <w:sz w:val="18"/>
                <w:szCs w:val="18"/>
              </w:rPr>
              <w:t>. Sądów nie wyliczono również w art. 109 ustawy o cudzoziemcach, określającym podmioty, do których może się - przed wydaniem decyzji o udzieleniu cudzoziemcowi zezwolenia na pobyt czasowy - zwrócić wojewoda z wnioskiem o przekazanie informacji, czy wjazd cudzoziemca na terytorium Polski i jego pobyt na tym terytorium mogą stanowić zagrożenie dla obronności lub bezpieczeństwa państwa lub ochrony bezpieczeństwa i porządku publicznego. Osobne zagadnienie stanowi przy tym możliwość roboczych kontaktów Komendanta SG z sądem jako instytucją publiczną oraz administracją sądową (np. celem ustalenia katalogu lub charakteru prowadzonych spraw, w których dany cudzoziemiec jest stroną bądź go dotyczą, albo celem uzyskania informacji publicznej z biura współpracy międzynarodowej), która mogłaby w projekcie zostać doprecyzowana bez zaliczania sądów do katalogu podmiotów w projektowanym art. 12, ale w oparciu o obowiązujące przepisy.</w:t>
            </w:r>
          </w:p>
          <w:p w14:paraId="202C4EFD"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18A1738B" w14:textId="0F0A987E" w:rsidR="00E3345B" w:rsidRPr="009F5E53"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 xml:space="preserve">Podsumowując, uzasadnione jest zgłoszenie zastrzeżenia do art. 10 projektu w zakresie, w którym procedura i obowiązki wynikające z tego przepisu ogólnie obejmują „sądy”, w tym </w:t>
            </w:r>
            <w:r w:rsidRPr="00E3345B">
              <w:rPr>
                <w:rFonts w:asciiTheme="minorHAnsi" w:hAnsiTheme="minorHAnsi" w:cstheme="minorHAnsi"/>
                <w:sz w:val="18"/>
                <w:szCs w:val="18"/>
              </w:rPr>
              <w:lastRenderedPageBreak/>
              <w:t>sądy powszechne. Projektowane rozwiązanie rodzi wątpliwość co możliwości jego funkcjonowania w praktyce wobec bardzo krótkiego terminu (48 godzin z możliwością skrócenia) na udzielenie odpowiedzi oraz braku uszczegółowienia procedury takiej konsultacji po stronie wezwanego sądu, w tym na gruncie ustawy o ustroju sądów powszechnych oraz sądów administracyjnych. Gdyby projektowane rozwiązanie odczytywać, jako nałożenie obowiązku sądu (sędziego) do określonego działania na wniosek Komendanta Głównego SG,</w:t>
            </w:r>
            <w:r>
              <w:rPr>
                <w:rFonts w:asciiTheme="minorHAnsi" w:hAnsiTheme="minorHAnsi" w:cstheme="minorHAnsi"/>
                <w:sz w:val="18"/>
                <w:szCs w:val="18"/>
              </w:rPr>
              <w:t xml:space="preserve"> </w:t>
            </w:r>
            <w:r w:rsidRPr="00E3345B">
              <w:rPr>
                <w:rFonts w:asciiTheme="minorHAnsi" w:hAnsiTheme="minorHAnsi" w:cstheme="minorHAnsi"/>
                <w:sz w:val="18"/>
                <w:szCs w:val="18"/>
              </w:rPr>
              <w:t>rodziłyby one zastrzeżenia wobec innej, niezależnej od innych władz państwowych, pozycji sądów na gruncie art. 173 i 175 ust. 1 Konstytucji RP. Zasadniczą funkcją sądów jest bowiem sprawowanie wymiaru sprawiedliwości, a nie udział konsultacyjny w załatwianiu spraw przez organy administracji państwowej. Trudno zaś z projektu odczytywać, by sąd miał wydawać jakieś rozstrzygnięcie w przedmiotowej procedurze, zwłaszcza, że rola sądu aktualizuje się na późniejszym etapie, w razie kwestionowania przez cudzoziemca decyzji podjętej przez Komendanta SG. Bardzo ogólne ujęcie projektowanych przepisów uniemożliwia dokładniejszą ocenę tego zamierzenia legislacyjnego.</w:t>
            </w:r>
          </w:p>
        </w:tc>
        <w:tc>
          <w:tcPr>
            <w:tcW w:w="3402" w:type="dxa"/>
            <w:gridSpan w:val="2"/>
          </w:tcPr>
          <w:p w14:paraId="1FA52479" w14:textId="77777777" w:rsidR="0027691F" w:rsidRPr="00110663" w:rsidRDefault="0027691F" w:rsidP="0027691F">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0000" w:themeColor="text1"/>
                <w:sz w:val="18"/>
                <w:szCs w:val="18"/>
              </w:rPr>
            </w:pPr>
            <w:r w:rsidRPr="00110663">
              <w:rPr>
                <w:rFonts w:asciiTheme="minorHAnsi" w:hAnsiTheme="minorHAnsi" w:cstheme="minorHAnsi"/>
                <w:b/>
                <w:color w:val="000000" w:themeColor="text1"/>
                <w:sz w:val="18"/>
                <w:szCs w:val="18"/>
              </w:rPr>
              <w:lastRenderedPageBreak/>
              <w:t>Doprecyzowano zapis</w:t>
            </w:r>
          </w:p>
          <w:p w14:paraId="099476FB" w14:textId="77777777" w:rsidR="0027691F" w:rsidRDefault="0027691F"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p>
          <w:p w14:paraId="3010B138" w14:textId="728C4087" w:rsidR="00E3345B" w:rsidRPr="00E3345B" w:rsidRDefault="001E2B2C"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1E2B2C">
              <w:rPr>
                <w:rFonts w:asciiTheme="minorHAnsi" w:hAnsiTheme="minorHAnsi" w:cstheme="minorHAnsi"/>
                <w:b/>
                <w:bCs/>
                <w:sz w:val="18"/>
                <w:szCs w:val="18"/>
              </w:rPr>
              <w:t>Komentarz:</w:t>
            </w:r>
            <w:r>
              <w:rPr>
                <w:rFonts w:asciiTheme="minorHAnsi" w:hAnsiTheme="minorHAnsi" w:cstheme="minorHAnsi"/>
                <w:sz w:val="18"/>
                <w:szCs w:val="18"/>
              </w:rPr>
              <w:t xml:space="preserve"> </w:t>
            </w:r>
            <w:r w:rsidR="00E3345B" w:rsidRPr="00E3345B">
              <w:rPr>
                <w:rFonts w:asciiTheme="minorHAnsi" w:hAnsiTheme="minorHAnsi" w:cstheme="minorHAnsi"/>
                <w:sz w:val="18"/>
                <w:szCs w:val="18"/>
              </w:rPr>
              <w:t xml:space="preserve">Na wstępie wyjaśnić należy, że proponowane rozwiązanie odnoszące się do procedury konsultacji krajowych w zakresie właściwości „sądów” dotyczyć będzie przypadków cudzoziemców objętych Europejskim Nakazem Aresztowania a których dane znajdują się w Systemie Informacyjnym </w:t>
            </w:r>
            <w:proofErr w:type="spellStart"/>
            <w:r w:rsidR="00E3345B" w:rsidRPr="00E3345B">
              <w:rPr>
                <w:rFonts w:asciiTheme="minorHAnsi" w:hAnsiTheme="minorHAnsi" w:cstheme="minorHAnsi"/>
                <w:sz w:val="18"/>
                <w:szCs w:val="18"/>
              </w:rPr>
              <w:t>Schengen</w:t>
            </w:r>
            <w:proofErr w:type="spellEnd"/>
            <w:r w:rsidR="00E3345B" w:rsidRPr="00E3345B">
              <w:rPr>
                <w:rFonts w:asciiTheme="minorHAnsi" w:hAnsiTheme="minorHAnsi" w:cstheme="minorHAnsi"/>
                <w:sz w:val="18"/>
                <w:szCs w:val="18"/>
              </w:rPr>
              <w:t xml:space="preserve"> – cudzoziemiec jest poszukiwany w celu aresztowania i wydania na podstawie europejskiego nakazu aresztowania lub w celu aresztowania i ekstradycji – art. 26 Rozporządzenie Parlamentu Europejskiego i Rady (UE) 2018/1862 z dnia 28 listopada 2018 r. w sprawie utworzenia, funkcjonowania i użytkowania Systemu Informacyjnego </w:t>
            </w:r>
            <w:proofErr w:type="spellStart"/>
            <w:r w:rsidR="00E3345B" w:rsidRPr="00E3345B">
              <w:rPr>
                <w:rFonts w:asciiTheme="minorHAnsi" w:hAnsiTheme="minorHAnsi" w:cstheme="minorHAnsi"/>
                <w:sz w:val="18"/>
                <w:szCs w:val="18"/>
              </w:rPr>
              <w:t>Schengen</w:t>
            </w:r>
            <w:proofErr w:type="spellEnd"/>
            <w:r w:rsidR="00E3345B" w:rsidRPr="00E3345B">
              <w:rPr>
                <w:rFonts w:asciiTheme="minorHAnsi" w:hAnsiTheme="minorHAnsi" w:cstheme="minorHAnsi"/>
                <w:sz w:val="18"/>
                <w:szCs w:val="18"/>
              </w:rPr>
              <w:t xml:space="preserve"> (SIS) w dziedzinie współpracy policyjnej i współpracy wymiarów sprawiedliwości w sprawach </w:t>
            </w:r>
            <w:r w:rsidR="00E3345B" w:rsidRPr="00E3345B">
              <w:rPr>
                <w:rFonts w:asciiTheme="minorHAnsi" w:hAnsiTheme="minorHAnsi" w:cstheme="minorHAnsi"/>
                <w:sz w:val="18"/>
                <w:szCs w:val="18"/>
              </w:rPr>
              <w:t>karnych, zmiany i uchylenia decyzji Rady 2007/533/</w:t>
            </w:r>
            <w:proofErr w:type="spellStart"/>
            <w:r w:rsidR="00E3345B" w:rsidRPr="00E3345B">
              <w:rPr>
                <w:rFonts w:asciiTheme="minorHAnsi" w:hAnsiTheme="minorHAnsi" w:cstheme="minorHAnsi"/>
                <w:sz w:val="18"/>
                <w:szCs w:val="18"/>
              </w:rPr>
              <w:t>WSiSW</w:t>
            </w:r>
            <w:proofErr w:type="spellEnd"/>
            <w:r w:rsidR="00E3345B" w:rsidRPr="00E3345B">
              <w:rPr>
                <w:rFonts w:asciiTheme="minorHAnsi" w:hAnsiTheme="minorHAnsi" w:cstheme="minorHAnsi"/>
                <w:sz w:val="18"/>
                <w:szCs w:val="18"/>
              </w:rPr>
              <w:t xml:space="preserve"> oraz uchylenia rozporządzenia Parlamentu Europejskiego i Rady (WE) nr 1986/2006 i decyzji Komisji 2010/261/UE.</w:t>
            </w:r>
          </w:p>
          <w:p w14:paraId="0B6B8245"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36714B23"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Trafienie z art. 26 rozporządzenia 2018/1862 następuje w następujących przypadkach, o których mowa w rozporządzeniu 2018/1240:</w:t>
            </w:r>
          </w:p>
          <w:p w14:paraId="335C4ECA"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77476363"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1) czy w SIS figuruje dotyczący wnioskodawcy wpis odnoszący się do osób poszukiwanych w celu ich aresztowania i wydania na podstawie europejskiego nakazu aresztowania lub osób poszukiwanych w celu ich aresztowania i ekstradycji – art. 20 ust. 2 lit. d;</w:t>
            </w:r>
          </w:p>
          <w:p w14:paraId="08BCBC2A"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4B8B39A6"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2) w przypadku, gdy wnioskodawcą jest małoletni - czy osoba sprawująca władzę rodzicielską lub opiekun prawny podlega figurującemu w SIS wpisowi odnoszącemu się do osób poszukiwanych w celu ich aresztowania i wydania na podstawie europejskiego nakazu aresztowania lub osób poszukiwanych w celu ich aresztowania i ekstradycji – art. 20 ust. 2 lit. m.</w:t>
            </w:r>
          </w:p>
          <w:p w14:paraId="372F7D75"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33ECB76A"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 xml:space="preserve">W przypadku wskazanych powyżej trafień, Jednostka Krajowa ETIAS (KGSG) ocenia ryzyko dla bezpieczeństwa lub ryzyko nielegalnej imigracji i podejmuje decyzję o wydaniu bądź odmowie wydania zezwolenia na podróż, jeżeli trafienie dotyczy jakiejkolwiek weryfikacji, o której mowa w art. 20 ust. 2 lit. b) i d)-o). Jednocześnie podkreślić należy, że sam wpis odnoszący się do osób poszukiwanych w celu ich aresztowania i wydania na podstawie europejskiego nakazu aresztowania lub osób poszukiwanych w celu ich aresztowania i ekstradycji, nie jest podstawą do wydania decyzji o odmowie wydania zezwolenia na podróż. Taka ocena powinna zostać dokonana indywidualnie </w:t>
            </w:r>
            <w:r w:rsidRPr="00E3345B">
              <w:rPr>
                <w:rFonts w:asciiTheme="minorHAnsi" w:hAnsiTheme="minorHAnsi" w:cstheme="minorHAnsi"/>
                <w:sz w:val="18"/>
                <w:szCs w:val="18"/>
              </w:rPr>
              <w:lastRenderedPageBreak/>
              <w:t>wobec cudzoziemca a konieczność dokonania tej oceny wynika wprost z zapisów rozporządzenia 2018/1240. Jednocześnie przyjęcie, że podana ocena należy wyłączenie do kompetencji Jednostki Krajowej ETIAS (KGSG) mogłaby negatywnie wpływać na zasadność obowiązywania europejskiego nakazu aresztowania w przypadku odmowy wydania zezwolenia na podróż. Wskazać należy, że ocena zasadności obowiązywania tego nakazu leży tylko i wyłącznie we właściwości sądu okręgowego.</w:t>
            </w:r>
          </w:p>
          <w:p w14:paraId="1B45230B"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465E260D"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 xml:space="preserve">Zgodnie z art. 607a Kodeksu postępowania karnego „W razie podejrzenia, że osoba ścigana za przestępstwo podlegające jurysdykcji polskich sądów karnych może przebywać na terytorium państwa członkowskiego Unii Europejskiej, właściwy miejscowo sąd okręgowy, na wniosek prokuratora, a w postępowaniu sądowym i wykonawczym - z urzędu lub na wniosek właściwego sądu rejonowego, może wydać europejski nakaz aresztowania (…)”. Do wydania europejskiego nakazu aresztowania w sądowym postępowaniu wykonawczym właściwy jest sąd okręgowy, w którego okręgu zapadł wyrok podlegający wykonani.(II </w:t>
            </w:r>
            <w:proofErr w:type="spellStart"/>
            <w:r w:rsidRPr="00E3345B">
              <w:rPr>
                <w:rFonts w:asciiTheme="minorHAnsi" w:hAnsiTheme="minorHAnsi" w:cstheme="minorHAnsi"/>
                <w:sz w:val="18"/>
                <w:szCs w:val="18"/>
              </w:rPr>
              <w:t>AKo</w:t>
            </w:r>
            <w:proofErr w:type="spellEnd"/>
            <w:r w:rsidRPr="00E3345B">
              <w:rPr>
                <w:rFonts w:asciiTheme="minorHAnsi" w:hAnsiTheme="minorHAnsi" w:cstheme="minorHAnsi"/>
                <w:sz w:val="18"/>
                <w:szCs w:val="18"/>
              </w:rPr>
              <w:t xml:space="preserve"> 106/14 - Postanowienie Sądu Apelacyjnego w Krakowie LEX nr 1610166 - postanowienie z dnia 7 sierpnia 2014 r.). Podane dotyczy również możliwości uchylenia wydanego europejskiego nakazu aresztowania przez sąd, który go wydał. Postanowienie o wydaniu europejskiego nakazu aresztowania, podobnie jak postanowienie o odmowie jego wydania, nie podlega zaskarżeniu (zob. uchwała SN z 20.01.2005 r., I KZP 29/04, OSNKW 2005/1, poz. 3)</w:t>
            </w:r>
          </w:p>
          <w:p w14:paraId="24E69E63"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3E56F164"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 xml:space="preserve">Jednocześnie niedopuszczalność wydania nakazu wynika z art. 607b </w:t>
            </w:r>
            <w:proofErr w:type="spellStart"/>
            <w:r w:rsidRPr="00E3345B">
              <w:rPr>
                <w:rFonts w:asciiTheme="minorHAnsi" w:hAnsiTheme="minorHAnsi" w:cstheme="minorHAnsi"/>
                <w:sz w:val="18"/>
                <w:szCs w:val="18"/>
              </w:rPr>
              <w:t>Kpk</w:t>
            </w:r>
            <w:proofErr w:type="spellEnd"/>
            <w:r w:rsidRPr="00E3345B">
              <w:rPr>
                <w:rFonts w:asciiTheme="minorHAnsi" w:hAnsiTheme="minorHAnsi" w:cstheme="minorHAnsi"/>
                <w:sz w:val="18"/>
                <w:szCs w:val="18"/>
              </w:rPr>
              <w:t xml:space="preserve"> tj. „Wydanie nakazu jest niedopuszczalne, jeśli nie wymaga tego interes wymiaru </w:t>
            </w:r>
            <w:r w:rsidRPr="00E3345B">
              <w:rPr>
                <w:rFonts w:asciiTheme="minorHAnsi" w:hAnsiTheme="minorHAnsi" w:cstheme="minorHAnsi"/>
                <w:sz w:val="18"/>
                <w:szCs w:val="18"/>
              </w:rPr>
              <w:lastRenderedPageBreak/>
              <w:t>sprawiedliwości. Ponadto wydanie nakazu jest niedopuszczalne:</w:t>
            </w:r>
          </w:p>
          <w:p w14:paraId="2877505D"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0452BAC2"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1) w związku z prowadzonym przeciwko osobie ściganej postępowaniem karnym o przestępstwo zagrożone karą pozbawienia wolności do roku;</w:t>
            </w:r>
          </w:p>
          <w:p w14:paraId="74D35614"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6A9A208B"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2) w celu wykonania kary pozbawienia wolności orzeczonej w wymiarze do 4 miesięcy albo innego środka polegającego na pozbawieniu wolności na czas nieprzekraczający 4 miesięcy.”</w:t>
            </w:r>
          </w:p>
          <w:p w14:paraId="35DF6843"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56AF9E2B"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Ocena zasadności wydania, obowiązywania a w tym możliwości uchylenia takiego nakazu wynika wprost z przepisów prawa, które wskazują to organ właściwy w postaci sądu okręgowe.</w:t>
            </w:r>
          </w:p>
          <w:p w14:paraId="2A53AA92"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66C3596F"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Tym samym pod pojęciem „sądu” w rozumieniu wąskim należy w szczególności rozumieć przypadki trafień osób poszukiwanych w celu ich aresztowania i wydania na podstawie europejskiego nakazu aresztowania lub osób poszukiwanych w celu ich aresztowania i ekstradycji a istnieje konieczność oceny ryzyka dla bezpieczeństwa w postępowaniu o wydanie zezwolenia na podróż. Taka ocena przysługuje tylko sądowi okręgowemu, który wydał taki nakaz. Ze względu na właściwość rzeczową sądu wydającego taki nakaz oraz czas prowadzonych czynności o wydanie zezwolenia na podróż, czynności konsultacji krajowych nie mogą odbyć się za pośrednictwem prokuratora lub sądu rejonowego (jako organów tylko wnioskujących o wydanie takiego nakazu).</w:t>
            </w:r>
          </w:p>
          <w:p w14:paraId="6F4AF294"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29491041"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 xml:space="preserve">Jednocześnie pojęciu „sądu” będzie mogło dotyczyć przypadków cudzoziemców wobec, których wydano decyzje administracyjne/wyroki/inne rozstrzygnięcia a ocena dopuszczalności np. wstrzymania aktu lub czynności jest w </w:t>
            </w:r>
            <w:r w:rsidRPr="00E3345B">
              <w:rPr>
                <w:rFonts w:asciiTheme="minorHAnsi" w:hAnsiTheme="minorHAnsi" w:cstheme="minorHAnsi"/>
                <w:sz w:val="18"/>
                <w:szCs w:val="18"/>
              </w:rPr>
              <w:lastRenderedPageBreak/>
              <w:t xml:space="preserve">właściwości sądu np. zgodnie z art. 61 ustawy z dnia 30 sierpnia 2002 r. Prawo o postępowaniu przed sądami administracyjnymi. Dotyczyć to może skutków np. decyzji o odmowie wjazdu, decyzji o zobowiązaniu do powrotu czy też decyzji o odmowie wjazdu i pobytu cudzoziemca na terytorium państw obszaru </w:t>
            </w:r>
            <w:proofErr w:type="spellStart"/>
            <w:r w:rsidRPr="00E3345B">
              <w:rPr>
                <w:rFonts w:asciiTheme="minorHAnsi" w:hAnsiTheme="minorHAnsi" w:cstheme="minorHAnsi"/>
                <w:sz w:val="18"/>
                <w:szCs w:val="18"/>
              </w:rPr>
              <w:t>Schengen</w:t>
            </w:r>
            <w:proofErr w:type="spellEnd"/>
            <w:r w:rsidRPr="00E3345B">
              <w:rPr>
                <w:rFonts w:asciiTheme="minorHAnsi" w:hAnsiTheme="minorHAnsi" w:cstheme="minorHAnsi"/>
                <w:sz w:val="18"/>
                <w:szCs w:val="18"/>
              </w:rPr>
              <w:t>.</w:t>
            </w:r>
          </w:p>
          <w:p w14:paraId="73014415"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129DDBDB"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 xml:space="preserve">Ponadto, mając na względzie dotychczasową praktykę wymiany informacji z sądami, zasadnym jest wyznaczenie jednego centralnego punktu kontaktowego dla sądów. Uzyskanie informacji z jednego punktu kontaktowego pozwoli na sprawne zarządzanie wymianą informacji co jest kluczowe do spełnienia obowiązków wynikających z rozporządzenia 2018/1240 w zakresie oceny dla ryzyka dla bezpieczeństwa. Wskazać należy, że wyznaczenie pojedynczych punktów kontaktowych dla sądów powoduje zmiany o charakterze strukturalno-organizacyjnym tylko w ramach funkcjonowania jednego organu oraz ułatwia ustalenie jednolitych trybów postępowania i warunków dostępu do danych dla wszystkich wyznaczonych organów za pośrednictwem jednego punktu kontaktowego (możliwość wykorzystania w przyszłości podanej struktury do innych zadań związanych z wymianą informacji np. w ramach trafień podczas kontroli granicznej, kontroli przesiewowej oraz trafień podczas wprowadzania danych do VIS </w:t>
            </w:r>
            <w:proofErr w:type="spellStart"/>
            <w:r w:rsidRPr="00E3345B">
              <w:rPr>
                <w:rFonts w:asciiTheme="minorHAnsi" w:hAnsiTheme="minorHAnsi" w:cstheme="minorHAnsi"/>
                <w:sz w:val="18"/>
                <w:szCs w:val="18"/>
              </w:rPr>
              <w:t>Recast</w:t>
            </w:r>
            <w:proofErr w:type="spellEnd"/>
            <w:r w:rsidRPr="00E3345B">
              <w:rPr>
                <w:rFonts w:asciiTheme="minorHAnsi" w:hAnsiTheme="minorHAnsi" w:cstheme="minorHAnsi"/>
                <w:sz w:val="18"/>
                <w:szCs w:val="18"/>
              </w:rPr>
              <w:t xml:space="preserve">). Ponadto, wskazane rozwiązanie skupia w jednym miejscu odpowiedzialność za realizację zadań punktu kontaktowego, w szczególności w zakresie wymiany informacji w określonym do tego terminie oraz zapewnia Jednostce Krajowej ETIAS niezwłoczny dostęp do danych i informacji, a w tym w pilnych przypadkach, gdy zachodzi potrzeba oceny ryzyka dla bezpieczeństwa w związku z przestępstwem terrorystycznym lub innym poważnym przestępstwem (w szczególności gdy </w:t>
            </w:r>
            <w:r w:rsidRPr="00E3345B">
              <w:rPr>
                <w:rFonts w:asciiTheme="minorHAnsi" w:hAnsiTheme="minorHAnsi" w:cstheme="minorHAnsi"/>
                <w:sz w:val="18"/>
                <w:szCs w:val="18"/>
              </w:rPr>
              <w:lastRenderedPageBreak/>
              <w:t>cudzoziemiec ubiega się o wydanie zezwolenia na podróż podczas przebywania na terytorium państw członkowskich). Jednocześnie należy zwrócić uwagę na ograniczenia czasowe dla Jednostki Krajowej ETIAS w zakresie wydania zezwolenia na podróż (96 godzin) czy prowadzenia konsultacji z Jednostkami krajowymi ETIAS innych państw członkowskich (60 godzin) a w tym czas na przeprowadzenie krajowych konsultacji (48 godzin).</w:t>
            </w:r>
          </w:p>
          <w:p w14:paraId="4D082EB5" w14:textId="77777777" w:rsidR="00E3345B"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04DA6A06" w14:textId="109EDC02" w:rsidR="000C36E6" w:rsidRPr="00E3345B" w:rsidRDefault="00E3345B" w:rsidP="00E334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Tym samym za zasadne należy uznać pozostawienie obecnego zapisu w art. 10 ust. 1 pkt 1 projektu ustawy o ETIAS.</w:t>
            </w:r>
            <w:r w:rsidR="003661F5">
              <w:rPr>
                <w:rFonts w:asciiTheme="minorHAnsi" w:hAnsiTheme="minorHAnsi" w:cstheme="minorHAnsi"/>
                <w:sz w:val="18"/>
                <w:szCs w:val="18"/>
              </w:rPr>
              <w:t xml:space="preserve"> Ponadto zaproponowano treść art. 10 ust. </w:t>
            </w:r>
            <w:r w:rsidR="00A70636">
              <w:rPr>
                <w:rFonts w:asciiTheme="minorHAnsi" w:hAnsiTheme="minorHAnsi" w:cstheme="minorHAnsi"/>
                <w:sz w:val="18"/>
                <w:szCs w:val="18"/>
              </w:rPr>
              <w:t>6</w:t>
            </w:r>
            <w:r w:rsidR="003661F5">
              <w:rPr>
                <w:rFonts w:asciiTheme="minorHAnsi" w:hAnsiTheme="minorHAnsi" w:cstheme="minorHAnsi"/>
                <w:sz w:val="18"/>
                <w:szCs w:val="18"/>
              </w:rPr>
              <w:t xml:space="preserve"> projektu ustawy, która ma na celu doprecyzowanie sposób wyznaczania punktów kontaktowych dla sądów i prokuratorów.</w:t>
            </w:r>
          </w:p>
        </w:tc>
        <w:tc>
          <w:tcPr>
            <w:tcW w:w="3481" w:type="dxa"/>
            <w:gridSpan w:val="2"/>
          </w:tcPr>
          <w:p w14:paraId="1D93CC9F" w14:textId="588D78B0" w:rsidR="00BF4C5D" w:rsidRDefault="00BF4C5D" w:rsidP="000C36E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lastRenderedPageBreak/>
              <w:t>Art. 10</w:t>
            </w:r>
          </w:p>
          <w:p w14:paraId="4A222971" w14:textId="01142E0F" w:rsidR="000C36E6" w:rsidRPr="009B2533" w:rsidRDefault="00A70636" w:rsidP="000C36E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6</w:t>
            </w:r>
            <w:r w:rsidR="003661F5" w:rsidRPr="003661F5">
              <w:rPr>
                <w:rFonts w:asciiTheme="minorHAnsi" w:hAnsiTheme="minorHAnsi" w:cstheme="minorHAnsi"/>
                <w:sz w:val="18"/>
                <w:szCs w:val="18"/>
              </w:rPr>
              <w:t>. Do celów prowadzenia konsultacji krajowych organy, o których mowa w ust. 1 pkt 1 i 2, wyznaczają jeden wspólny punkt kontaktowy właściwy dla tych organów.</w:t>
            </w:r>
          </w:p>
        </w:tc>
      </w:tr>
      <w:tr w:rsidR="00787817" w:rsidRPr="009B2533" w14:paraId="4405648D" w14:textId="77777777" w:rsidTr="00787817">
        <w:trPr>
          <w:gridAfter w:val="1"/>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65FB67A9" w14:textId="77777777" w:rsidR="000C36E6" w:rsidRPr="009B2533" w:rsidRDefault="000C36E6" w:rsidP="000C36E6">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78C4AB30" w14:textId="7500D414" w:rsidR="000C36E6" w:rsidRDefault="000C36E6" w:rsidP="000C36E6">
            <w:pPr>
              <w:jc w:val="both"/>
              <w:cnfStyle w:val="000000000000" w:firstRow="0" w:lastRow="0" w:firstColumn="0" w:lastColumn="0" w:oddVBand="0" w:evenVBand="0" w:oddHBand="0" w:evenHBand="0" w:firstRowFirstColumn="0" w:firstRowLastColumn="0" w:lastRowFirstColumn="0" w:lastRowLastColumn="0"/>
              <w:rPr>
                <w:rStyle w:val="Ppogrubienie"/>
                <w:rFonts w:asciiTheme="minorHAnsi" w:hAnsiTheme="minorHAnsi" w:cstheme="minorHAnsi"/>
                <w:b w:val="0"/>
                <w:sz w:val="18"/>
                <w:szCs w:val="18"/>
              </w:rPr>
            </w:pPr>
          </w:p>
        </w:tc>
        <w:tc>
          <w:tcPr>
            <w:tcW w:w="1846" w:type="dxa"/>
          </w:tcPr>
          <w:p w14:paraId="2BE846C0" w14:textId="77777777" w:rsidR="000C36E6" w:rsidRDefault="000C36E6" w:rsidP="000C36E6">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tc>
        <w:tc>
          <w:tcPr>
            <w:tcW w:w="1276" w:type="dxa"/>
          </w:tcPr>
          <w:p w14:paraId="08EF0666" w14:textId="6CEA2BA9" w:rsidR="000C36E6" w:rsidRPr="00CC73BF" w:rsidRDefault="00E3345B" w:rsidP="000C36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SN</w:t>
            </w:r>
          </w:p>
        </w:tc>
        <w:tc>
          <w:tcPr>
            <w:tcW w:w="4678" w:type="dxa"/>
          </w:tcPr>
          <w:p w14:paraId="54D537F1" w14:textId="3110EA19" w:rsidR="000C36E6" w:rsidRPr="009F5E53" w:rsidRDefault="00E3345B" w:rsidP="00E3345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Z uzasadnienia projektu oraz z dokumentu OSR (ocena skutków regulacji) wynika, że przedmiotowy projekt był oceniany tylko z perspektywy sądów powszechnych. Został przesłany</w:t>
            </w:r>
            <w:r w:rsidR="00D14A09">
              <w:rPr>
                <w:rFonts w:asciiTheme="minorHAnsi" w:hAnsiTheme="minorHAnsi" w:cstheme="minorHAnsi"/>
                <w:sz w:val="18"/>
                <w:szCs w:val="18"/>
              </w:rPr>
              <w:t xml:space="preserve"> </w:t>
            </w:r>
            <w:r w:rsidRPr="00E3345B">
              <w:rPr>
                <w:rFonts w:asciiTheme="minorHAnsi" w:hAnsiTheme="minorHAnsi" w:cstheme="minorHAnsi"/>
                <w:sz w:val="18"/>
                <w:szCs w:val="18"/>
              </w:rPr>
              <w:t>do zaopiniowania przez szereg podmiotów, w tym Sąd Najwyższy. Brak wśród nich reprezentacji sądów administracyjnych, stanowiących pion odrębny od sądownictwa powszechnego. Ponieważ niektóre przepisy projektu dotyczą funkcjonowania sądów administracyjnych, uzasadnione byłoby zwrócenie się przez projektodawcę o opinię również do Naczelnego Sądu Administracyjnego.</w:t>
            </w:r>
          </w:p>
        </w:tc>
        <w:tc>
          <w:tcPr>
            <w:tcW w:w="3402" w:type="dxa"/>
            <w:gridSpan w:val="2"/>
          </w:tcPr>
          <w:p w14:paraId="7423CB26" w14:textId="3414C7F9" w:rsidR="00A50123" w:rsidRDefault="00EE28BD" w:rsidP="00E3345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50123">
              <w:rPr>
                <w:rFonts w:asciiTheme="minorHAnsi" w:hAnsiTheme="minorHAnsi" w:cstheme="minorHAnsi"/>
                <w:b/>
                <w:sz w:val="18"/>
                <w:szCs w:val="18"/>
              </w:rPr>
              <w:t>Uwaga zasadna</w:t>
            </w:r>
          </w:p>
          <w:p w14:paraId="12CFFDEF" w14:textId="3D620342" w:rsidR="000C36E6" w:rsidRPr="001E2B2C" w:rsidRDefault="00E3345B" w:rsidP="00E3345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3345B">
              <w:rPr>
                <w:rFonts w:asciiTheme="minorHAnsi" w:hAnsiTheme="minorHAnsi" w:cstheme="minorHAnsi"/>
                <w:sz w:val="18"/>
                <w:szCs w:val="18"/>
              </w:rPr>
              <w:t>Zasadnym jest przesłanie w kolejnej turze konsultacji międzyresortowych projektu ustawy o wyrażenie opinii przez Naczelny Sąd Administracyjny.</w:t>
            </w:r>
          </w:p>
        </w:tc>
        <w:tc>
          <w:tcPr>
            <w:tcW w:w="3481" w:type="dxa"/>
            <w:gridSpan w:val="2"/>
          </w:tcPr>
          <w:p w14:paraId="504D6415" w14:textId="77777777" w:rsidR="000C36E6" w:rsidRPr="009B2533" w:rsidRDefault="000C36E6" w:rsidP="000C36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tr w:rsidR="00787817" w:rsidRPr="009B2533" w14:paraId="67CA5B0C" w14:textId="77777777" w:rsidTr="00787817">
        <w:trPr>
          <w:gridAfter w:val="1"/>
          <w:cnfStyle w:val="000000100000" w:firstRow="0" w:lastRow="0" w:firstColumn="0" w:lastColumn="0" w:oddVBand="0" w:evenVBand="0" w:oddHBand="1" w:evenHBand="0" w:firstRowFirstColumn="0" w:firstRowLastColumn="0" w:lastRowFirstColumn="0" w:lastRowLastColumn="0"/>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1DEF56C8" w14:textId="77777777" w:rsidR="000C36E6" w:rsidRPr="009B2533" w:rsidRDefault="000C36E6" w:rsidP="000C36E6">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01E0FD2B" w14:textId="0DF23B42" w:rsidR="000C36E6" w:rsidRDefault="006808A9" w:rsidP="000C36E6">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Art. 41</w:t>
            </w:r>
          </w:p>
        </w:tc>
        <w:tc>
          <w:tcPr>
            <w:tcW w:w="1846" w:type="dxa"/>
          </w:tcPr>
          <w:p w14:paraId="4678E279" w14:textId="77777777" w:rsid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Art. 41</w:t>
            </w:r>
          </w:p>
          <w:p w14:paraId="4E6FB8DA" w14:textId="0BE0B47D"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6808A9">
              <w:rPr>
                <w:rFonts w:asciiTheme="minorHAnsi" w:hAnsiTheme="minorHAnsi" w:cstheme="minorHAnsi"/>
                <w:bCs/>
                <w:sz w:val="18"/>
                <w:szCs w:val="18"/>
              </w:rPr>
              <w:t>W ustawie z dnia 13 czerwca 2003 r. o udzielaniu cudzoziemcom ochrony na terytorium Rzeczypospolitej Polskiej (Dz. U. z 2025 r. poz. 223, 389, 619 i 621) wprowadza się następujące zmiany:</w:t>
            </w:r>
          </w:p>
          <w:p w14:paraId="2F1360A2"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156EEDBD"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6808A9">
              <w:rPr>
                <w:rFonts w:asciiTheme="minorHAnsi" w:hAnsiTheme="minorHAnsi" w:cstheme="minorHAnsi"/>
                <w:bCs/>
                <w:sz w:val="18"/>
                <w:szCs w:val="18"/>
              </w:rPr>
              <w:t xml:space="preserve">1) w art. 40 w ust. 2 w pkt 6 kropkę zastępuje </w:t>
            </w:r>
            <w:r w:rsidRPr="006808A9">
              <w:rPr>
                <w:rFonts w:asciiTheme="minorHAnsi" w:hAnsiTheme="minorHAnsi" w:cstheme="minorHAnsi"/>
                <w:bCs/>
                <w:sz w:val="18"/>
                <w:szCs w:val="18"/>
              </w:rPr>
              <w:lastRenderedPageBreak/>
              <w:t>się średnikiem i dodaje się pkt 7 i 8 w brzmieniu:</w:t>
            </w:r>
          </w:p>
          <w:p w14:paraId="5BA318B1"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1AF71E83"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6808A9">
              <w:rPr>
                <w:rFonts w:asciiTheme="minorHAnsi" w:hAnsiTheme="minorHAnsi" w:cstheme="minorHAnsi"/>
                <w:bCs/>
                <w:sz w:val="18"/>
                <w:szCs w:val="18"/>
              </w:rPr>
              <w:t>„7) odmówił przedstawienia informacji niezbędnych do ustalenia stanu faktycznego;</w:t>
            </w:r>
          </w:p>
          <w:p w14:paraId="155A43C3"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42E63DD9"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6808A9">
              <w:rPr>
                <w:rFonts w:asciiTheme="minorHAnsi" w:hAnsiTheme="minorHAnsi" w:cstheme="minorHAnsi"/>
                <w:bCs/>
                <w:sz w:val="18"/>
                <w:szCs w:val="18"/>
              </w:rPr>
              <w:t>8) odmówił udostępnienia dowodów potwierdzających okoliczności wskazane w uzasadnieniu wniosku o udzielenie ochrony międzynarodowej.”;</w:t>
            </w:r>
          </w:p>
          <w:p w14:paraId="15DF758B"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38AD0274"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6808A9">
              <w:rPr>
                <w:rFonts w:asciiTheme="minorHAnsi" w:hAnsiTheme="minorHAnsi" w:cstheme="minorHAnsi"/>
                <w:bCs/>
                <w:sz w:val="18"/>
                <w:szCs w:val="18"/>
              </w:rPr>
              <w:t>2) w art. 88b ust. 1 otrzymuje brzmienie:</w:t>
            </w:r>
          </w:p>
          <w:p w14:paraId="6043F561"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2A2970E4"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6808A9">
              <w:rPr>
                <w:rFonts w:asciiTheme="minorHAnsi" w:hAnsiTheme="minorHAnsi" w:cstheme="minorHAnsi"/>
                <w:bCs/>
                <w:sz w:val="18"/>
                <w:szCs w:val="18"/>
              </w:rPr>
              <w:t>„1. Sąd rejonowy właściwy ze względu na siedzibę wnioskującego organu Straży Granicznej, wydaje postanowienie o umieszczeniu wnioskodawcy lub osoby, w której imieniu wnioskodawca występuje, w strzeżonym ośrodku lub o zastosowaniu wobec niej</w:t>
            </w:r>
          </w:p>
          <w:p w14:paraId="12DCAED3"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372B9FE2"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6808A9">
              <w:rPr>
                <w:rFonts w:asciiTheme="minorHAnsi" w:hAnsiTheme="minorHAnsi" w:cstheme="minorHAnsi"/>
                <w:bCs/>
                <w:sz w:val="18"/>
                <w:szCs w:val="18"/>
              </w:rPr>
              <w:t xml:space="preserve">aresztu dla cudzoziemców. Sąd wydaje postanowienie po wysłuchaniu wnioskodawcy lub </w:t>
            </w:r>
            <w:r w:rsidRPr="006808A9">
              <w:rPr>
                <w:rFonts w:asciiTheme="minorHAnsi" w:hAnsiTheme="minorHAnsi" w:cstheme="minorHAnsi"/>
                <w:bCs/>
                <w:sz w:val="18"/>
                <w:szCs w:val="18"/>
              </w:rPr>
              <w:lastRenderedPageBreak/>
              <w:t>osoby, w której imieniu wnioskodawca występuje.”;</w:t>
            </w:r>
          </w:p>
          <w:p w14:paraId="1FA162AB"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0D52EB21"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6808A9">
              <w:rPr>
                <w:rFonts w:asciiTheme="minorHAnsi" w:hAnsiTheme="minorHAnsi" w:cstheme="minorHAnsi"/>
                <w:bCs/>
                <w:sz w:val="18"/>
                <w:szCs w:val="18"/>
              </w:rPr>
              <w:t>3) w art. 89n dodaje się ust. 4 i 5 w brzmieniu:</w:t>
            </w:r>
          </w:p>
          <w:p w14:paraId="4112FC86"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106E689D"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6808A9">
              <w:rPr>
                <w:rFonts w:asciiTheme="minorHAnsi" w:hAnsiTheme="minorHAnsi" w:cstheme="minorHAnsi"/>
                <w:bCs/>
                <w:sz w:val="18"/>
                <w:szCs w:val="18"/>
              </w:rPr>
              <w:t xml:space="preserve">„4. Szef Urzędu niezwłocznie informuje Komendanta Głównego Straży Granicznej o wydaniu dokumentu podróży, o którym mowa w ust. 1, cudzoziemcowi posiadającemu ważne zezwolenie na podróż, o którym mowa w art. 36 ust. 1 i 44 ust. 1 rozporządzenia Parlamentu Europejskiego i Rady (UE) 2018/1240 z dnia 12 września 2018 r. ustanawiającego europejski system informacji o podróży oraz zezwoleń na podróż (ETIAS) i zmieniającego rozporządzenia (UE) nr 1077/2011, (UE) nr 515/2014, (UE) 2016/399, (UE) 2016/1624 i (UE) 2017/2226 (Dz. Urz. UE L 236 z 19.09.2018, str. 1, z </w:t>
            </w:r>
            <w:proofErr w:type="spellStart"/>
            <w:r w:rsidRPr="006808A9">
              <w:rPr>
                <w:rFonts w:asciiTheme="minorHAnsi" w:hAnsiTheme="minorHAnsi" w:cstheme="minorHAnsi"/>
                <w:bCs/>
                <w:sz w:val="18"/>
                <w:szCs w:val="18"/>
              </w:rPr>
              <w:t>późn</w:t>
            </w:r>
            <w:proofErr w:type="spellEnd"/>
            <w:r w:rsidRPr="006808A9">
              <w:rPr>
                <w:rFonts w:asciiTheme="minorHAnsi" w:hAnsiTheme="minorHAnsi" w:cstheme="minorHAnsi"/>
                <w:bCs/>
                <w:sz w:val="18"/>
                <w:szCs w:val="18"/>
              </w:rPr>
              <w:t>. zm.9)), zwanego dalej „rozporządzeniem 2018/1240.</w:t>
            </w:r>
          </w:p>
          <w:p w14:paraId="76B010E5"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5B85146E"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6808A9">
              <w:rPr>
                <w:rFonts w:asciiTheme="minorHAnsi" w:hAnsiTheme="minorHAnsi" w:cstheme="minorHAnsi"/>
                <w:bCs/>
                <w:sz w:val="18"/>
                <w:szCs w:val="18"/>
              </w:rPr>
              <w:t xml:space="preserve">5. W przypadku, o którym mowa w art. </w:t>
            </w:r>
            <w:r w:rsidRPr="006808A9">
              <w:rPr>
                <w:rFonts w:asciiTheme="minorHAnsi" w:hAnsiTheme="minorHAnsi" w:cstheme="minorHAnsi"/>
                <w:bCs/>
                <w:sz w:val="18"/>
                <w:szCs w:val="18"/>
              </w:rPr>
              <w:lastRenderedPageBreak/>
              <w:t>55 ust. 6 rozporządzenia nr 2018/1240, Szef Urzędu po wydaniu karty pobytu, jej wymianie lub wydaniu kolejnej karty pobytu cudzoziemcowi przekazuje niezwłocznie, na jego wniosek, Komendantowi Głównemu Straży Granicznej, informacje o posiadaniu przez cudzoziemca, któremu została wydana lub wymieniona karta pobytu, ważnego zezwolenia na podróż, o którym mowa w art. 36 ust. 1 lub art. 44 ust.1 rozporządzenia 2018/1240.”;</w:t>
            </w:r>
          </w:p>
          <w:p w14:paraId="1B6DA7E4"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58CE86D4"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6808A9">
              <w:rPr>
                <w:rFonts w:asciiTheme="minorHAnsi" w:hAnsiTheme="minorHAnsi" w:cstheme="minorHAnsi"/>
                <w:bCs/>
                <w:sz w:val="18"/>
                <w:szCs w:val="18"/>
              </w:rPr>
              <w:t>4) w art. 110 po ust. 8a dodaje się ust. 8b w brzmieniu:</w:t>
            </w:r>
          </w:p>
          <w:p w14:paraId="06176B48" w14:textId="77777777" w:rsidR="006808A9" w:rsidRPr="006808A9"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2F5D0B2D" w14:textId="4B7B4AB9" w:rsidR="000C36E6" w:rsidRDefault="006808A9" w:rsidP="006808A9">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6808A9">
              <w:rPr>
                <w:rFonts w:asciiTheme="minorHAnsi" w:hAnsiTheme="minorHAnsi" w:cstheme="minorHAnsi"/>
                <w:bCs/>
                <w:sz w:val="18"/>
                <w:szCs w:val="18"/>
              </w:rPr>
              <w:t xml:space="preserve">„8b. W przypadku, o którym mowa w art. 55 ust. 6 rozporządzenia nr 2018/1240, Szef Urzędu po wydaniu cudzoziemcowi zaświadczenia, o którym mowa w ust. 5, przekazuje niezwłocznie, na jego wniosek, Komendantowi Głównemu Straży Granicznej informacje o posiadaniu przez </w:t>
            </w:r>
            <w:r w:rsidRPr="006808A9">
              <w:rPr>
                <w:rFonts w:asciiTheme="minorHAnsi" w:hAnsiTheme="minorHAnsi" w:cstheme="minorHAnsi"/>
                <w:bCs/>
                <w:sz w:val="18"/>
                <w:szCs w:val="18"/>
              </w:rPr>
              <w:lastRenderedPageBreak/>
              <w:t>cudzoziemca, któremu zostało wydane zaświadczenie, ważnego zezwolenia na podróż, o którym mowa w art. 36 ust. 1 lub art. 44 ust. 1 rozporządzenia 2018/1240.”.</w:t>
            </w:r>
          </w:p>
        </w:tc>
        <w:tc>
          <w:tcPr>
            <w:tcW w:w="1276" w:type="dxa"/>
          </w:tcPr>
          <w:p w14:paraId="1F828BCD" w14:textId="143E1928" w:rsidR="000C36E6" w:rsidRPr="00CC73BF" w:rsidRDefault="00E86B13" w:rsidP="000C36E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lastRenderedPageBreak/>
              <w:t>SIP</w:t>
            </w:r>
          </w:p>
        </w:tc>
        <w:tc>
          <w:tcPr>
            <w:tcW w:w="4678" w:type="dxa"/>
          </w:tcPr>
          <w:p w14:paraId="5BE365AD"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86B13">
              <w:rPr>
                <w:rFonts w:asciiTheme="minorHAnsi" w:hAnsiTheme="minorHAnsi" w:cstheme="minorHAnsi"/>
                <w:sz w:val="18"/>
                <w:szCs w:val="18"/>
              </w:rPr>
              <w:t>Art. 41 projektu ustawy dot. zmiany ustawy o udzielaniu cudzoziemcom ochrony na terytorium Rzeczpospolitej Polskiej (dalej jako: „</w:t>
            </w:r>
            <w:proofErr w:type="spellStart"/>
            <w:r w:rsidRPr="00E86B13">
              <w:rPr>
                <w:rFonts w:asciiTheme="minorHAnsi" w:hAnsiTheme="minorHAnsi" w:cstheme="minorHAnsi"/>
                <w:sz w:val="18"/>
                <w:szCs w:val="18"/>
              </w:rPr>
              <w:t>u.u.c.o</w:t>
            </w:r>
            <w:proofErr w:type="spellEnd"/>
            <w:r w:rsidRPr="00E86B13">
              <w:rPr>
                <w:rFonts w:asciiTheme="minorHAnsi" w:hAnsiTheme="minorHAnsi" w:cstheme="minorHAnsi"/>
                <w:sz w:val="18"/>
                <w:szCs w:val="18"/>
              </w:rPr>
              <w:t>.”)</w:t>
            </w:r>
          </w:p>
          <w:p w14:paraId="3DC077D6"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1BC22C5A"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sidRPr="00E86B13">
              <w:rPr>
                <w:rFonts w:asciiTheme="minorHAnsi" w:hAnsiTheme="minorHAnsi" w:cstheme="minorHAnsi"/>
                <w:b/>
                <w:bCs/>
                <w:sz w:val="18"/>
                <w:szCs w:val="18"/>
              </w:rPr>
              <w:t>Umorzenie postępowania</w:t>
            </w:r>
          </w:p>
          <w:p w14:paraId="032C49D9"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5519B271"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86B13">
              <w:rPr>
                <w:rFonts w:asciiTheme="minorHAnsi" w:hAnsiTheme="minorHAnsi" w:cstheme="minorHAnsi"/>
                <w:sz w:val="18"/>
                <w:szCs w:val="18"/>
              </w:rPr>
              <w:t xml:space="preserve">Projektowana regulacja prawna dodaje dwie przesłanki uznania wniosku o udzielenie ochrony międzynarodowej za wycofany w sposób dorozumiany, co prowadzi do umorzenia wskazanego postępowania. Są to: (1) odmówienie przedstawienia informacji niezbędnych do ustalenia stanu faktycznego (dot. art. 40 ust. 2 pkt 7 projektowanej </w:t>
            </w:r>
            <w:proofErr w:type="spellStart"/>
            <w:r w:rsidRPr="00E86B13">
              <w:rPr>
                <w:rFonts w:asciiTheme="minorHAnsi" w:hAnsiTheme="minorHAnsi" w:cstheme="minorHAnsi"/>
                <w:sz w:val="18"/>
                <w:szCs w:val="18"/>
              </w:rPr>
              <w:t>u.u.c.o</w:t>
            </w:r>
            <w:proofErr w:type="spellEnd"/>
            <w:r w:rsidRPr="00E86B13">
              <w:rPr>
                <w:rFonts w:asciiTheme="minorHAnsi" w:hAnsiTheme="minorHAnsi" w:cstheme="minorHAnsi"/>
                <w:sz w:val="18"/>
                <w:szCs w:val="18"/>
              </w:rPr>
              <w:t xml:space="preserve">.); (2) odmówienie udostępnienia dowodów potwierdzających okoliczności wskazane w uzasadnieniu wniosku o udzielenie </w:t>
            </w:r>
            <w:r w:rsidRPr="00E86B13">
              <w:rPr>
                <w:rFonts w:asciiTheme="minorHAnsi" w:hAnsiTheme="minorHAnsi" w:cstheme="minorHAnsi"/>
                <w:sz w:val="18"/>
                <w:szCs w:val="18"/>
              </w:rPr>
              <w:lastRenderedPageBreak/>
              <w:t xml:space="preserve">ochrony międzynarodowej (dot. art. 40 ust. 2 pkt 8 projektowanej </w:t>
            </w:r>
            <w:proofErr w:type="spellStart"/>
            <w:r w:rsidRPr="00E86B13">
              <w:rPr>
                <w:rFonts w:asciiTheme="minorHAnsi" w:hAnsiTheme="minorHAnsi" w:cstheme="minorHAnsi"/>
                <w:sz w:val="18"/>
                <w:szCs w:val="18"/>
              </w:rPr>
              <w:t>u.u.c.o</w:t>
            </w:r>
            <w:proofErr w:type="spellEnd"/>
            <w:r w:rsidRPr="00E86B13">
              <w:rPr>
                <w:rFonts w:asciiTheme="minorHAnsi" w:hAnsiTheme="minorHAnsi" w:cstheme="minorHAnsi"/>
                <w:sz w:val="18"/>
                <w:szCs w:val="18"/>
              </w:rPr>
              <w:t>.).</w:t>
            </w:r>
          </w:p>
          <w:p w14:paraId="55DF8420"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7ADC9FC1"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86B13">
              <w:rPr>
                <w:rFonts w:asciiTheme="minorHAnsi" w:hAnsiTheme="minorHAnsi" w:cstheme="minorHAnsi"/>
                <w:b/>
                <w:bCs/>
                <w:sz w:val="18"/>
                <w:szCs w:val="18"/>
              </w:rPr>
              <w:t>Proponowane zmiany w aktualnym brzmieniu są niezgodne z art. 28 ust. 1 lit a</w:t>
            </w:r>
            <w:r w:rsidRPr="00E86B13">
              <w:rPr>
                <w:rFonts w:asciiTheme="minorHAnsi" w:hAnsiTheme="minorHAnsi" w:cstheme="minorHAnsi"/>
                <w:sz w:val="18"/>
                <w:szCs w:val="18"/>
              </w:rPr>
              <w:t xml:space="preserve"> Dyrektywy Parlamentu Europejskiego i Rady 2013/32/UE z dnia 26 czerwca 2013 r. w sprawie wspólnych procedur udzielania i cofania ochrony międzynarodowej (wersja przekształcona, dalej jako: </w:t>
            </w:r>
            <w:r w:rsidRPr="00E86B13">
              <w:rPr>
                <w:rFonts w:asciiTheme="minorHAnsi" w:hAnsiTheme="minorHAnsi" w:cstheme="minorHAnsi"/>
                <w:b/>
                <w:bCs/>
                <w:sz w:val="18"/>
                <w:szCs w:val="18"/>
              </w:rPr>
              <w:t>„Dyrektywa 2013/32/UE”).</w:t>
            </w:r>
          </w:p>
          <w:p w14:paraId="7CE9B109"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2C39A546"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86B13">
              <w:rPr>
                <w:rFonts w:asciiTheme="minorHAnsi" w:hAnsiTheme="minorHAnsi" w:cstheme="minorHAnsi"/>
                <w:sz w:val="18"/>
                <w:szCs w:val="18"/>
              </w:rPr>
              <w:t>Dyrektywa 2013/32/UE w sposób wyczerpujący reguluje sytuacje kiedy dopuszczalne jest przyjęcie domniemania, ze wnioskodawca w sposób dorozumiany wycofał wniosek o udzielenie ochrony międzynarodowej. Ustawodawca krajowy nie może tym samym wprowadzić innych, nieznanych dyrektywie przesłanek uzasadniających uznanie wniosku o udzielenie ochrony międzynarodowej za wycofany w sposób dorozumiany (por. analogicznie wyrok TSUE, C-483/20, par. 23 dot. wyczerpującego charakteru przesłanek uznania wniosku o udzielenie ochrony międzynarodowej za niedopuszczalny; wyrok TSUE, C-36/20 PPU, par. 104 dot. wyczerpującego charakteru przesłanek uzasadniających detencję osób ubiegających się o udzielenie ochrony międzynarodowej). Innymi słowy, katalog sytuacji pozwalających uznać wniosek za wycofany w sposób dorozumiany został określony na poziomie unijnym i państwa członkowskie nie mogą go rozszerzać.</w:t>
            </w:r>
          </w:p>
          <w:p w14:paraId="3A8643C6"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18DF0C27"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86B13">
              <w:rPr>
                <w:rFonts w:asciiTheme="minorHAnsi" w:hAnsiTheme="minorHAnsi" w:cstheme="minorHAnsi"/>
                <w:sz w:val="18"/>
                <w:szCs w:val="18"/>
              </w:rPr>
              <w:t xml:space="preserve">Po pierwsze, Dyrektywa 2013/32/UE nie przewiduje możliwości uznania wniosku za niedopuszczalny w przypadku odmowy przedstawienia dowodów potwierdzających okoliczności wskazane we wniosku o udzielenie ochrony międzynarodowej. Tym samym </w:t>
            </w:r>
            <w:r w:rsidRPr="00E86B13">
              <w:rPr>
                <w:rFonts w:asciiTheme="minorHAnsi" w:hAnsiTheme="minorHAnsi" w:cstheme="minorHAnsi"/>
                <w:b/>
                <w:bCs/>
                <w:sz w:val="18"/>
                <w:szCs w:val="18"/>
              </w:rPr>
              <w:t xml:space="preserve">projektowany art. 40 ust. 2 pkt 8 </w:t>
            </w:r>
            <w:proofErr w:type="spellStart"/>
            <w:r w:rsidRPr="00E86B13">
              <w:rPr>
                <w:rFonts w:asciiTheme="minorHAnsi" w:hAnsiTheme="minorHAnsi" w:cstheme="minorHAnsi"/>
                <w:b/>
                <w:bCs/>
                <w:sz w:val="18"/>
                <w:szCs w:val="18"/>
              </w:rPr>
              <w:t>u.u.c.o</w:t>
            </w:r>
            <w:proofErr w:type="spellEnd"/>
            <w:r w:rsidRPr="00E86B13">
              <w:rPr>
                <w:rFonts w:asciiTheme="minorHAnsi" w:hAnsiTheme="minorHAnsi" w:cstheme="minorHAnsi"/>
                <w:b/>
                <w:bCs/>
                <w:sz w:val="18"/>
                <w:szCs w:val="18"/>
              </w:rPr>
              <w:t>. wykracza tym samym poza ramy dopuszczalne Dyrektywą 2013/32/UE i jako taki jest z nią niezgodny.</w:t>
            </w:r>
            <w:r w:rsidRPr="00E86B13">
              <w:rPr>
                <w:rFonts w:asciiTheme="minorHAnsi" w:hAnsiTheme="minorHAnsi" w:cstheme="minorHAnsi"/>
                <w:sz w:val="18"/>
                <w:szCs w:val="18"/>
              </w:rPr>
              <w:t xml:space="preserve"> Ustawodawca unijny celowo posługuje się różnymi pojęciami: „dostarczenia informacji” oraz „przedstawienia</w:t>
            </w:r>
            <w:r>
              <w:rPr>
                <w:rFonts w:asciiTheme="minorHAnsi" w:hAnsiTheme="minorHAnsi" w:cstheme="minorHAnsi"/>
                <w:sz w:val="18"/>
                <w:szCs w:val="18"/>
              </w:rPr>
              <w:t xml:space="preserve"> </w:t>
            </w:r>
            <w:r w:rsidRPr="00E86B13">
              <w:rPr>
                <w:rFonts w:asciiTheme="minorHAnsi" w:hAnsiTheme="minorHAnsi" w:cstheme="minorHAnsi"/>
                <w:sz w:val="18"/>
                <w:szCs w:val="18"/>
              </w:rPr>
              <w:t xml:space="preserve">dowodów” (np. art. 42 ust. 2 lit a Dyrektywy 2013/32/UE), których nie można utożsamiać. Zgodnie z zasadą racjonalnego prawodawcy różnymi terminami nie oznacza się tego samego pojęcia. Tym samym nie można przyjąć, że intencją art. 28 ust. 1 lit a Dyrektywy 2013/32/UE było objęcie także odmowy przedstawienia dowodów przez wnioskodawcę. Przepis ten wyraźnie wskazuje jedynie na odmowę dostarczenia określonych informacji jako przesłankę przyjęcia dorozumianego wycofania wniosku. Zgodnie z przepisami Dyrektywy 2013/32/UE odmowa przekazania dokumentów </w:t>
            </w:r>
            <w:r w:rsidRPr="00E86B13">
              <w:rPr>
                <w:rFonts w:asciiTheme="minorHAnsi" w:hAnsiTheme="minorHAnsi" w:cstheme="minorHAnsi"/>
                <w:sz w:val="18"/>
                <w:szCs w:val="18"/>
              </w:rPr>
              <w:lastRenderedPageBreak/>
              <w:t xml:space="preserve">może mieć znaczenie dla oceny wiarygodności wnioskodawcy (zgodnie z art. 42 ust. 2 Dyrektywy 2013/32/UE), jednak nie może stanowić podstawy uznania wniosku o udzielenie ochrony międzynarodowej za wycofany w sposób dorozumiany. W związku z powyższym, </w:t>
            </w:r>
            <w:r w:rsidRPr="00E86B13">
              <w:rPr>
                <w:rFonts w:asciiTheme="minorHAnsi" w:hAnsiTheme="minorHAnsi" w:cstheme="minorHAnsi"/>
                <w:b/>
                <w:bCs/>
                <w:sz w:val="18"/>
                <w:szCs w:val="18"/>
              </w:rPr>
              <w:t xml:space="preserve">projektowany art. 40 ust. 2 pkt 8 </w:t>
            </w:r>
            <w:proofErr w:type="spellStart"/>
            <w:r w:rsidRPr="00E86B13">
              <w:rPr>
                <w:rFonts w:asciiTheme="minorHAnsi" w:hAnsiTheme="minorHAnsi" w:cstheme="minorHAnsi"/>
                <w:b/>
                <w:bCs/>
                <w:sz w:val="18"/>
                <w:szCs w:val="18"/>
              </w:rPr>
              <w:t>u.u.c.o</w:t>
            </w:r>
            <w:proofErr w:type="spellEnd"/>
            <w:r w:rsidRPr="00E86B13">
              <w:rPr>
                <w:rFonts w:asciiTheme="minorHAnsi" w:hAnsiTheme="minorHAnsi" w:cstheme="minorHAnsi"/>
                <w:b/>
                <w:bCs/>
                <w:sz w:val="18"/>
                <w:szCs w:val="18"/>
              </w:rPr>
              <w:t>. winien zostać wykreślony jako sprzeczny z prawem UE.</w:t>
            </w:r>
          </w:p>
          <w:p w14:paraId="3FE1EEC3"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59918A53"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86B13">
              <w:rPr>
                <w:rFonts w:asciiTheme="minorHAnsi" w:hAnsiTheme="minorHAnsi" w:cstheme="minorHAnsi"/>
                <w:sz w:val="18"/>
                <w:szCs w:val="18"/>
              </w:rPr>
              <w:t xml:space="preserve">Po drugie, art. 28 ust. 1 lit. a Dyrektywy 2013/32/UE dopuszcza możliwość uznania wniosku o udzielenie ochrony międzynarodowej za wycofany w sposób dorozumiany jedynie po </w:t>
            </w:r>
            <w:r w:rsidRPr="00E86B13">
              <w:rPr>
                <w:rFonts w:asciiTheme="minorHAnsi" w:hAnsiTheme="minorHAnsi" w:cstheme="minorHAnsi"/>
                <w:b/>
                <w:bCs/>
                <w:sz w:val="18"/>
                <w:szCs w:val="18"/>
              </w:rPr>
              <w:t>kumulatywnym spełnieniu dwóch przesłanek:</w:t>
            </w:r>
          </w:p>
          <w:p w14:paraId="3F748A0A"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74E06D15"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86B13">
              <w:rPr>
                <w:rFonts w:asciiTheme="minorHAnsi" w:hAnsiTheme="minorHAnsi" w:cstheme="minorHAnsi"/>
                <w:sz w:val="18"/>
                <w:szCs w:val="18"/>
              </w:rPr>
              <w:t>(1) wnioskodawca nie odpowiedział na żądania dostarczenia informacji mających znaczenie z punktu widzenia wniosku o udzielenie ochrony międzynarodowej, oraz</w:t>
            </w:r>
          </w:p>
          <w:p w14:paraId="60C5BB75"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1CB56906"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86B13">
              <w:rPr>
                <w:rFonts w:asciiTheme="minorHAnsi" w:hAnsiTheme="minorHAnsi" w:cstheme="minorHAnsi"/>
                <w:sz w:val="18"/>
                <w:szCs w:val="18"/>
              </w:rPr>
              <w:t xml:space="preserve">(2) </w:t>
            </w:r>
            <w:r w:rsidRPr="00E86B13">
              <w:rPr>
                <w:rFonts w:asciiTheme="minorHAnsi" w:hAnsiTheme="minorHAnsi" w:cstheme="minorHAnsi"/>
                <w:b/>
                <w:bCs/>
                <w:sz w:val="18"/>
                <w:szCs w:val="18"/>
              </w:rPr>
              <w:t>wnioskodawca nie wykazał w rozsądnym terminie, że to zaniechanie było spowodowane okolicznościami, na które nie miał wpływu.</w:t>
            </w:r>
          </w:p>
          <w:p w14:paraId="768AC5C5"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6E3A08C4" w14:textId="44D2186B" w:rsidR="000C36E6" w:rsidRPr="009F5E5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86B13">
              <w:rPr>
                <w:rFonts w:asciiTheme="minorHAnsi" w:hAnsiTheme="minorHAnsi" w:cstheme="minorHAnsi"/>
                <w:sz w:val="18"/>
                <w:szCs w:val="18"/>
              </w:rPr>
              <w:t xml:space="preserve">W projektowanym art. 40 ust. 2 pkt 7 </w:t>
            </w:r>
            <w:proofErr w:type="spellStart"/>
            <w:r w:rsidRPr="00E86B13">
              <w:rPr>
                <w:rFonts w:asciiTheme="minorHAnsi" w:hAnsiTheme="minorHAnsi" w:cstheme="minorHAnsi"/>
                <w:sz w:val="18"/>
                <w:szCs w:val="18"/>
              </w:rPr>
              <w:t>u.u.c.o</w:t>
            </w:r>
            <w:proofErr w:type="spellEnd"/>
            <w:r w:rsidRPr="00E86B13">
              <w:rPr>
                <w:rFonts w:asciiTheme="minorHAnsi" w:hAnsiTheme="minorHAnsi" w:cstheme="minorHAnsi"/>
                <w:sz w:val="18"/>
                <w:szCs w:val="18"/>
              </w:rPr>
              <w:t xml:space="preserve">. ustawodawca </w:t>
            </w:r>
            <w:r w:rsidRPr="00E86B13">
              <w:rPr>
                <w:rFonts w:asciiTheme="minorHAnsi" w:hAnsiTheme="minorHAnsi" w:cstheme="minorHAnsi"/>
                <w:b/>
                <w:bCs/>
                <w:sz w:val="18"/>
                <w:szCs w:val="18"/>
              </w:rPr>
              <w:t>pominął drugą z powyższych przesłanek</w:t>
            </w:r>
            <w:r w:rsidRPr="00E86B13">
              <w:rPr>
                <w:rFonts w:asciiTheme="minorHAnsi" w:hAnsiTheme="minorHAnsi" w:cstheme="minorHAnsi"/>
                <w:sz w:val="18"/>
                <w:szCs w:val="18"/>
              </w:rPr>
              <w:t xml:space="preserve">. Aby projektowana regulacja była zgodna z Dyrektywą 2013/32/UE do projektowanego przepisu należy dodać analogiczny warunek jak w obecnym art. 40 ust. 2 pkt 6 </w:t>
            </w:r>
            <w:proofErr w:type="spellStart"/>
            <w:r w:rsidRPr="00E86B13">
              <w:rPr>
                <w:rFonts w:asciiTheme="minorHAnsi" w:hAnsiTheme="minorHAnsi" w:cstheme="minorHAnsi"/>
                <w:sz w:val="18"/>
                <w:szCs w:val="18"/>
              </w:rPr>
              <w:t>u.u.c.o</w:t>
            </w:r>
            <w:proofErr w:type="spellEnd"/>
            <w:r w:rsidRPr="00E86B13">
              <w:rPr>
                <w:rFonts w:asciiTheme="minorHAnsi" w:hAnsiTheme="minorHAnsi" w:cstheme="minorHAnsi"/>
                <w:sz w:val="18"/>
                <w:szCs w:val="18"/>
              </w:rPr>
              <w:t xml:space="preserve">. (dotyczącym niestawienia się na przesłuchanie). Innymi słowy </w:t>
            </w:r>
            <w:r w:rsidRPr="00E86B13">
              <w:rPr>
                <w:rFonts w:asciiTheme="minorHAnsi" w:hAnsiTheme="minorHAnsi" w:cstheme="minorHAnsi"/>
                <w:b/>
                <w:bCs/>
                <w:sz w:val="18"/>
                <w:szCs w:val="18"/>
              </w:rPr>
              <w:t>przed średnikiem należy dodać następujący zapis „i nie wykazał w terminie 7 dni od daty upływu terminu na przedstawienie niezbędnych informacji, że niedopełnienie tego obowiązku było spowodowane okolicznościami, za które nie ponosi odpowiedzialności.”</w:t>
            </w:r>
            <w:r w:rsidRPr="00E86B13">
              <w:rPr>
                <w:rFonts w:asciiTheme="minorHAnsi" w:hAnsiTheme="minorHAnsi" w:cstheme="minorHAnsi"/>
                <w:sz w:val="18"/>
                <w:szCs w:val="18"/>
              </w:rPr>
              <w:t xml:space="preserve"> Dopiero po uzupełnieniu przepisu o taki bądź analogiczny warunek dający wnioskodawcy możliwość usprawiedliwienia ewentualnego braku odpowiedzi na wezwanie projektowana regulacja krajowa będzie zgodna z art. 28 ust. 1 lit. a Dyrektywy 2013/32/UE.</w:t>
            </w:r>
          </w:p>
        </w:tc>
        <w:tc>
          <w:tcPr>
            <w:tcW w:w="3402" w:type="dxa"/>
            <w:gridSpan w:val="2"/>
          </w:tcPr>
          <w:p w14:paraId="77094D6D" w14:textId="797B2867" w:rsidR="00E86B13" w:rsidRDefault="00E54D1E"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lastRenderedPageBreak/>
              <w:t>U</w:t>
            </w:r>
            <w:r w:rsidRPr="00E86B13">
              <w:rPr>
                <w:rFonts w:asciiTheme="minorHAnsi" w:hAnsiTheme="minorHAnsi" w:cstheme="minorHAnsi"/>
                <w:b/>
                <w:bCs/>
                <w:sz w:val="18"/>
                <w:szCs w:val="18"/>
              </w:rPr>
              <w:t>względniono</w:t>
            </w:r>
          </w:p>
          <w:p w14:paraId="3AEC528C"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0BE214E6" w14:textId="77777777" w:rsidR="00E86B13" w:rsidRPr="00E86B13" w:rsidRDefault="00E86B13" w:rsidP="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436F4A7A" w14:textId="26AC0C1B" w:rsidR="00E86B13" w:rsidRPr="00E86B13" w:rsidRDefault="00E86B13">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c>
          <w:tcPr>
            <w:tcW w:w="3481" w:type="dxa"/>
            <w:gridSpan w:val="2"/>
          </w:tcPr>
          <w:p w14:paraId="1F890D27" w14:textId="77777777" w:rsidR="000C36E6" w:rsidRPr="009B2533" w:rsidRDefault="000C36E6" w:rsidP="000C36E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r>
      <w:tr w:rsidR="00787817" w:rsidRPr="009B2533" w14:paraId="2B088DBF" w14:textId="77777777" w:rsidTr="00787817">
        <w:trPr>
          <w:gridAfter w:val="1"/>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5913B8F2" w14:textId="77777777" w:rsidR="000C36E6" w:rsidRPr="009B2533" w:rsidRDefault="000C36E6" w:rsidP="000C36E6">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64AAF0BB" w14:textId="4B341765" w:rsidR="000C36E6" w:rsidRDefault="005C3BEA" w:rsidP="000C36E6">
            <w:pPr>
              <w:jc w:val="both"/>
              <w:cnfStyle w:val="000000000000" w:firstRow="0" w:lastRow="0" w:firstColumn="0" w:lastColumn="0" w:oddVBand="0" w:evenVBand="0" w:oddHBand="0"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Art. 41</w:t>
            </w:r>
          </w:p>
        </w:tc>
        <w:tc>
          <w:tcPr>
            <w:tcW w:w="1846" w:type="dxa"/>
          </w:tcPr>
          <w:p w14:paraId="1C391678" w14:textId="77777777" w:rsidR="000C36E6" w:rsidRDefault="005C3BEA" w:rsidP="000C36E6">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 xml:space="preserve">Art. 41 </w:t>
            </w:r>
          </w:p>
          <w:p w14:paraId="135C0B3A"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5C3BEA">
              <w:rPr>
                <w:rFonts w:asciiTheme="minorHAnsi" w:hAnsiTheme="minorHAnsi" w:cstheme="minorHAnsi"/>
                <w:bCs/>
                <w:sz w:val="18"/>
                <w:szCs w:val="18"/>
              </w:rPr>
              <w:t>W ustawie z dnia 13 czerwca 2003 r. o udzielaniu cudzoziemcom ochrony na terytorium Rzeczypospolitej Polskiej (Dz. U. z 2025 r. poz. 223, 389, 619 i 621) wprowadza się następujące zmiany:</w:t>
            </w:r>
          </w:p>
          <w:p w14:paraId="4D276AF7"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7C3F56B9"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5C3BEA">
              <w:rPr>
                <w:rFonts w:asciiTheme="minorHAnsi" w:hAnsiTheme="minorHAnsi" w:cstheme="minorHAnsi"/>
                <w:bCs/>
                <w:sz w:val="18"/>
                <w:szCs w:val="18"/>
              </w:rPr>
              <w:t>1) w art. 40 w ust. 2 w pkt 6 kropkę zastępuje się średnikiem i dodaje się pkt 7 i 8 w brzmieniu:</w:t>
            </w:r>
          </w:p>
          <w:p w14:paraId="24EF04F9"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009E916A"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5C3BEA">
              <w:rPr>
                <w:rFonts w:asciiTheme="minorHAnsi" w:hAnsiTheme="minorHAnsi" w:cstheme="minorHAnsi"/>
                <w:bCs/>
                <w:sz w:val="18"/>
                <w:szCs w:val="18"/>
              </w:rPr>
              <w:t>„7) odmówił przedstawienia informacji niezbędnych do ustalenia stanu faktycznego;</w:t>
            </w:r>
          </w:p>
          <w:p w14:paraId="5E3D3186"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6CA1CD5A"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5C3BEA">
              <w:rPr>
                <w:rFonts w:asciiTheme="minorHAnsi" w:hAnsiTheme="minorHAnsi" w:cstheme="minorHAnsi"/>
                <w:bCs/>
                <w:sz w:val="18"/>
                <w:szCs w:val="18"/>
              </w:rPr>
              <w:t>8) odmówił udostępnienia dowodów potwierdzających okoliczności wskazane w uzasadnieniu wniosku o udzielenie ochrony międzynarodowej.”;</w:t>
            </w:r>
          </w:p>
          <w:p w14:paraId="164FDBAD"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10AB3792"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5C3BEA">
              <w:rPr>
                <w:rFonts w:asciiTheme="minorHAnsi" w:hAnsiTheme="minorHAnsi" w:cstheme="minorHAnsi"/>
                <w:bCs/>
                <w:sz w:val="18"/>
                <w:szCs w:val="18"/>
              </w:rPr>
              <w:lastRenderedPageBreak/>
              <w:t>2) w art. 88b ust. 1 otrzymuje brzmienie:</w:t>
            </w:r>
          </w:p>
          <w:p w14:paraId="137F869A"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1E5B7C04"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5C3BEA">
              <w:rPr>
                <w:rFonts w:asciiTheme="minorHAnsi" w:hAnsiTheme="minorHAnsi" w:cstheme="minorHAnsi"/>
                <w:bCs/>
                <w:sz w:val="18"/>
                <w:szCs w:val="18"/>
              </w:rPr>
              <w:t>„1. Sąd rejonowy właściwy ze względu na siedzibę wnioskującego organu Straży Granicznej, wydaje postanowienie o umieszczeniu wnioskodawcy lub osoby, w której imieniu wnioskodawca występuje, w strzeżonym ośrodku lub o zastosowaniu wobec niej</w:t>
            </w:r>
          </w:p>
          <w:p w14:paraId="36B17687"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511CE10C"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5C3BEA">
              <w:rPr>
                <w:rFonts w:asciiTheme="minorHAnsi" w:hAnsiTheme="minorHAnsi" w:cstheme="minorHAnsi"/>
                <w:bCs/>
                <w:sz w:val="18"/>
                <w:szCs w:val="18"/>
              </w:rPr>
              <w:t>aresztu dla cudzoziemców. Sąd wydaje postanowienie po wysłuchaniu wnioskodawcy lub osoby, w której imieniu wnioskodawca występuje.”;</w:t>
            </w:r>
          </w:p>
          <w:p w14:paraId="5BF2788D"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0007A858"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5C3BEA">
              <w:rPr>
                <w:rFonts w:asciiTheme="minorHAnsi" w:hAnsiTheme="minorHAnsi" w:cstheme="minorHAnsi"/>
                <w:bCs/>
                <w:sz w:val="18"/>
                <w:szCs w:val="18"/>
              </w:rPr>
              <w:t>3) w art. 89n dodaje się ust. 4 i 5 w brzmieniu:</w:t>
            </w:r>
          </w:p>
          <w:p w14:paraId="40D1F9C2"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52674D63"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5C3BEA">
              <w:rPr>
                <w:rFonts w:asciiTheme="minorHAnsi" w:hAnsiTheme="minorHAnsi" w:cstheme="minorHAnsi"/>
                <w:bCs/>
                <w:sz w:val="18"/>
                <w:szCs w:val="18"/>
              </w:rPr>
              <w:t xml:space="preserve">„4. Szef Urzędu niezwłocznie informuje Komendanta Głównego Straży Granicznej o wydaniu dokumentu podróży, o którym mowa w ust. 1, cudzoziemcowi posiadającemu ważne zezwolenie na podróż, o którym mowa w art. </w:t>
            </w:r>
            <w:r w:rsidRPr="005C3BEA">
              <w:rPr>
                <w:rFonts w:asciiTheme="minorHAnsi" w:hAnsiTheme="minorHAnsi" w:cstheme="minorHAnsi"/>
                <w:bCs/>
                <w:sz w:val="18"/>
                <w:szCs w:val="18"/>
              </w:rPr>
              <w:lastRenderedPageBreak/>
              <w:t xml:space="preserve">36 ust. 1 i 44 ust. 1 rozporządzenia Parlamentu Europejskiego i Rady (UE) 2018/1240 z dnia 12 września 2018 r. ustanawiającego europejski system informacji o podróży oraz zezwoleń na podróż (ETIAS) i zmieniającego rozporządzenia (UE) nr 1077/2011, (UE) nr 515/2014, (UE) 2016/399, (UE) 2016/1624 i (UE) 2017/2226 (Dz. Urz. UE L 236 z 19.09.2018, str. 1, z </w:t>
            </w:r>
            <w:proofErr w:type="spellStart"/>
            <w:r w:rsidRPr="005C3BEA">
              <w:rPr>
                <w:rFonts w:asciiTheme="minorHAnsi" w:hAnsiTheme="minorHAnsi" w:cstheme="minorHAnsi"/>
                <w:bCs/>
                <w:sz w:val="18"/>
                <w:szCs w:val="18"/>
              </w:rPr>
              <w:t>późn</w:t>
            </w:r>
            <w:proofErr w:type="spellEnd"/>
            <w:r w:rsidRPr="005C3BEA">
              <w:rPr>
                <w:rFonts w:asciiTheme="minorHAnsi" w:hAnsiTheme="minorHAnsi" w:cstheme="minorHAnsi"/>
                <w:bCs/>
                <w:sz w:val="18"/>
                <w:szCs w:val="18"/>
              </w:rPr>
              <w:t>. zm.9)), zwanego dalej „rozporządzeniem 2018/1240.</w:t>
            </w:r>
          </w:p>
          <w:p w14:paraId="6010A222"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7928E404"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5C3BEA">
              <w:rPr>
                <w:rFonts w:asciiTheme="minorHAnsi" w:hAnsiTheme="minorHAnsi" w:cstheme="minorHAnsi"/>
                <w:bCs/>
                <w:sz w:val="18"/>
                <w:szCs w:val="18"/>
              </w:rPr>
              <w:t xml:space="preserve">5. W przypadku, o którym mowa w art. 55 ust. 6 rozporządzenia nr 2018/1240, Szef Urzędu po wydaniu karty pobytu, jej wymianie lub wydaniu kolejnej karty pobytu cudzoziemcowi przekazuje niezwłocznie, na jego wniosek, Komendantowi Głównemu Straży Granicznej, informacje o posiadaniu przez cudzoziemca, któremu została wydana lub wymieniona karta pobytu, ważnego </w:t>
            </w:r>
            <w:r w:rsidRPr="005C3BEA">
              <w:rPr>
                <w:rFonts w:asciiTheme="minorHAnsi" w:hAnsiTheme="minorHAnsi" w:cstheme="minorHAnsi"/>
                <w:bCs/>
                <w:sz w:val="18"/>
                <w:szCs w:val="18"/>
              </w:rPr>
              <w:lastRenderedPageBreak/>
              <w:t>zezwolenia na podróż, o którym mowa w art. 36 ust. 1 lub art. 44 ust.1 rozporządzenia 2018/1240.”;</w:t>
            </w:r>
          </w:p>
          <w:p w14:paraId="30C05C59"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5EA39593"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5C3BEA">
              <w:rPr>
                <w:rFonts w:asciiTheme="minorHAnsi" w:hAnsiTheme="minorHAnsi" w:cstheme="minorHAnsi"/>
                <w:bCs/>
                <w:sz w:val="18"/>
                <w:szCs w:val="18"/>
              </w:rPr>
              <w:t>4) w art. 110 po ust. 8a dodaje się ust. 8b w brzmieniu:</w:t>
            </w:r>
          </w:p>
          <w:p w14:paraId="44AE2109" w14:textId="77777777" w:rsidR="005C3BEA" w:rsidRP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0CE22774" w14:textId="6736410A" w:rsidR="005C3BEA" w:rsidRDefault="005C3BEA" w:rsidP="005C3BEA">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5C3BEA">
              <w:rPr>
                <w:rFonts w:asciiTheme="minorHAnsi" w:hAnsiTheme="minorHAnsi" w:cstheme="minorHAnsi"/>
                <w:bCs/>
                <w:sz w:val="18"/>
                <w:szCs w:val="18"/>
              </w:rPr>
              <w:t>„8b. W przypadku, o którym mowa w art. 55 ust. 6 rozporządzenia nr 2018/1240, Szef Urzędu po wydaniu cudzoziemcowi zaświadczenia, o którym mowa w ust. 5, przekazuje niezwłocznie, na jego wniosek, Komendantowi Głównemu Straży Granicznej informacje o posiadaniu przez cudzoziemca, któremu zostało wydane zaświadczenie, ważnego zezwolenia na podróż, o którym mowa w art. 36 ust. 1 lub art. 44 ust. 1 rozporządzenia 2018/1240.”.</w:t>
            </w:r>
          </w:p>
        </w:tc>
        <w:tc>
          <w:tcPr>
            <w:tcW w:w="1276" w:type="dxa"/>
          </w:tcPr>
          <w:p w14:paraId="5B1047BC" w14:textId="61B62160" w:rsidR="000C36E6" w:rsidRPr="00CC73BF" w:rsidRDefault="005C3BEA" w:rsidP="000C36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lastRenderedPageBreak/>
              <w:t>RPD</w:t>
            </w:r>
          </w:p>
        </w:tc>
        <w:tc>
          <w:tcPr>
            <w:tcW w:w="4678" w:type="dxa"/>
          </w:tcPr>
          <w:p w14:paraId="67A2B532" w14:textId="6E9FF40D" w:rsidR="000C36E6" w:rsidRDefault="005C3BEA" w:rsidP="000C36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Zastrzeżenia Rzecznika Praw Dziecka budzi art. 41 projektu ustawy, zmieniający art. 40 ust. 2 ustawy z dnia 13 czerwca 2003 roku o udzielaniu cudzoziemcom ochrony na terytorium Rzeczypospolitej Polskiej (Dz. U. z 2025 roku poz. 223</w:t>
            </w:r>
            <w:r w:rsidR="0066777E">
              <w:rPr>
                <w:rFonts w:asciiTheme="minorHAnsi" w:hAnsiTheme="minorHAnsi" w:cstheme="minorHAnsi"/>
                <w:sz w:val="18"/>
                <w:szCs w:val="18"/>
              </w:rPr>
              <w:t>,</w:t>
            </w:r>
            <w:r w:rsidRPr="005C3BEA">
              <w:rPr>
                <w:rFonts w:asciiTheme="minorHAnsi" w:hAnsiTheme="minorHAnsi" w:cstheme="minorHAnsi"/>
                <w:sz w:val="18"/>
                <w:szCs w:val="18"/>
              </w:rPr>
              <w:t xml:space="preserve"> z </w:t>
            </w:r>
            <w:proofErr w:type="spellStart"/>
            <w:r w:rsidRPr="005C3BEA">
              <w:rPr>
                <w:rFonts w:asciiTheme="minorHAnsi" w:hAnsiTheme="minorHAnsi" w:cstheme="minorHAnsi"/>
                <w:sz w:val="18"/>
                <w:szCs w:val="18"/>
              </w:rPr>
              <w:t>późn</w:t>
            </w:r>
            <w:proofErr w:type="spellEnd"/>
            <w:r w:rsidRPr="005C3BEA">
              <w:rPr>
                <w:rFonts w:asciiTheme="minorHAnsi" w:hAnsiTheme="minorHAnsi" w:cstheme="minorHAnsi"/>
                <w:sz w:val="18"/>
                <w:szCs w:val="18"/>
              </w:rPr>
              <w:t>. zm., dalej „ustawa o udzielaniu cudzoziemcom ochrony), poprzez dodanie nowych przesłanek umorzenia postępowania w sprawie udzielenia ochrony międzynarodowej.</w:t>
            </w:r>
          </w:p>
          <w:p w14:paraId="00FBC05E" w14:textId="77777777" w:rsidR="005C3BEA" w:rsidRDefault="005C3BEA" w:rsidP="000C36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7D0559C4"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1. Wykroczenie poza określony zakres przedmiotowy nowelizacji</w:t>
            </w:r>
          </w:p>
          <w:p w14:paraId="5151AB1D"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451E5B90"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Proponowane zmiany wykraczają poza przedmiotowy zakres ustawy, który zgodnie z uzasadnieniem ma służyć wdrożeniu rozporządzenia 2018/1240. Nowelizacja art. 40 ustawy o udzielaniu ochrony cudzoziemcom nie znajduje uzasadnienia we wdrażanych przepisach unijnych, co narusza zasady techniki prawodawczej (§3 ust. 2 Rozporządzenia Prezesa Rady</w:t>
            </w:r>
          </w:p>
          <w:p w14:paraId="38AB8FF6"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28BE9261"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Ministrów z dnia 20 czerwca 2002 roku w sprawie "Zasad techniki prawodawczej" (Dz.U. z 2016 r. poz. 283)).</w:t>
            </w:r>
          </w:p>
          <w:p w14:paraId="32026E0D"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2244C842"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2. Niezgodność proponowanych rozwiązań z obowiązującymi przepisami prawa Unii</w:t>
            </w:r>
          </w:p>
          <w:p w14:paraId="43C35628"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37CD0FA1"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Europejskiej</w:t>
            </w:r>
          </w:p>
          <w:p w14:paraId="50DD57D2"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67F064E"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Projektodawca proponuje dodanie dwóch nowych przesłanek umożliwiających uznanie, że wnioskodawca w sposób dorozumiany wycofał wniosek o udzielenie ochrony międzynarodowej:</w:t>
            </w:r>
          </w:p>
          <w:p w14:paraId="6221B134"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4198140C"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„7) odmówił przedstawienia informacji niezbędnych do ustalenia stanu faktycznego”;</w:t>
            </w:r>
          </w:p>
          <w:p w14:paraId="0245E961"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4F16D99F"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„8) odmówił udostępnienia dowodów potwierdzających okoliczności wskazane w uzasadnieniu wniosku o udzielenie ochrony międzynarodowej.”</w:t>
            </w:r>
          </w:p>
          <w:p w14:paraId="3AA7891F"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48444B5E"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W zaproponowanym brzmieniu przepisy te są niezgodne z Dyrektywą Parlamentu</w:t>
            </w:r>
          </w:p>
          <w:p w14:paraId="7F0C3E92"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13C956AF"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Europejskiego i Rady 2013/32/UE z dnia 26 czerwca 2013 roku (tzw. Dyrektywa Proceduralna). Dyrektywa ta dopuszcza możliwość uznania wniosku za wycofany jedynie w ściśle określonych sytuacjach.</w:t>
            </w:r>
          </w:p>
          <w:p w14:paraId="2E0F43ED"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1AADB876"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Zgodnie z art. 28 ust. 1 lit a Dyrektywy Proceduralnej nieprzedstawienie przez wnioskodawcę określonych informacji niezbędnych do ustalenia stanu faktycznego może uzasadniać umorzenie postępowania jedynie przy spełnieniu dodatkowych warunków:</w:t>
            </w:r>
          </w:p>
          <w:p w14:paraId="158A46C9"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74CA3E2B"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 wnioskodawca otrzymał wezwanie do przedstawienia konkretnych informacji, niezbędnych do ustalenia ściśle określonych okoliczności faktycznych wskazanych w art. 4 dyrektywy 2011/95/UE;</w:t>
            </w:r>
          </w:p>
          <w:p w14:paraId="0DBFFDD2"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319264D6" w14:textId="77777777" w:rsid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 nie odpowiedział na to wezwanie we wskazanym terminie;</w:t>
            </w:r>
          </w:p>
          <w:p w14:paraId="3D13173B" w14:textId="77777777" w:rsid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1E303E78"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 w rozsądnym terminie nie wykazał, iż niedostarczenie tych informacji spowodowane było okolicznościami, na które nie miał wpływu.</w:t>
            </w:r>
          </w:p>
          <w:p w14:paraId="3BD94E49"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1A9D09B2"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Proponowana regulacja, nie uwzględnia więc sytuacji, w których wnioskodawca może nie być wstanie przedstawić wymaganych informacji ze względu na obiektywne przeszkody trwałe tj. gdy ich po prostu nie posiada lub przemijające np. gdy w chwili wystosowania wezwanie przebywał w szpitalu.</w:t>
            </w:r>
          </w:p>
          <w:p w14:paraId="1589B241"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E88311E"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Odnosząc się do drugiej z proponowanych przez projektodawcę przesłanek tj. sytuacji, gdy wnioskodawca „odmówił udostępnienia dowodów potwierdzających okoliczności wskazane w uzasadnieniu wniosku o udzielenie ochrony międzynarodowej” Dyrektywa Proceduralna w ogóle nie przewiduje możliwości uznania, że wnioskodawca wycofał wniosek na tej podstawie.</w:t>
            </w:r>
          </w:p>
          <w:p w14:paraId="29D12D02"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8B868C9"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3. Niedysponowanie dowodami przez Wnioskodawcę, nie może prowadzić do umorzenia postępowania</w:t>
            </w:r>
          </w:p>
          <w:p w14:paraId="3598D6AA"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437003F6"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lastRenderedPageBreak/>
              <w:t>Proponowana przesłanka umorzenia postępowania z powodu nieprzedstawienia dowodów potwierdzających okoliczności wskazane we wniosku jest niezgodna z zasadami logiki i doświadczenia życiowego. W praktyce wielu wnioskodawców nie dysponuje dokumentami potwierdzającymi prześladowania czy też zagrożenie doznania poważnej krzywdy, na które się powołują, a sam ten fakt nie może przesądzać o odmowie udzielenia ochrony międzynarodowej, tym bardziej zaś o odmowie merytorycznego rozpatrzenia wniosku.</w:t>
            </w:r>
          </w:p>
          <w:p w14:paraId="3B54C3CB"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672E1E73" w14:textId="73615A52" w:rsid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Jak wskazuje Wysoki Komisarz Narodów Zjednoczonych ds. Uchodźców „Ogólna zasada prawa stanowi, że ciężar dowodu spoczywa na osobie przedkładającej sprawę. Często jednak osoba ubiegająca się o status uchodźcy nie może wesprzeć swoich twierdzeń dokumentami ani innymi dowodami; przypadki, w których jest w stanie dostarczyć dowody potwierdzające jej oświadczenia należą raczej do wyjątków, niż są regułą. W większości przypadków osoba uciekająca przed prześladowaniem przybywa z rzeczami najniezbędniejszymi, często nawet bez dokumentów osobistych. […] Wymaganie dowodów nie powinno być zbyt ściśle</w:t>
            </w:r>
            <w:r>
              <w:rPr>
                <w:rFonts w:asciiTheme="minorHAnsi" w:hAnsiTheme="minorHAnsi" w:cstheme="minorHAnsi"/>
                <w:sz w:val="18"/>
                <w:szCs w:val="18"/>
              </w:rPr>
              <w:t xml:space="preserve"> </w:t>
            </w:r>
            <w:r w:rsidRPr="005C3BEA">
              <w:rPr>
                <w:rFonts w:asciiTheme="minorHAnsi" w:hAnsiTheme="minorHAnsi" w:cstheme="minorHAnsi"/>
                <w:sz w:val="18"/>
                <w:szCs w:val="18"/>
              </w:rPr>
              <w:t>stosowane wobec zrozumiałych trudności z ich uzyskaniem szczególnej sytuacji, w której znajduje się osoba ubiegająca się o status uchodźcy.”</w:t>
            </w:r>
          </w:p>
          <w:p w14:paraId="78D2F639" w14:textId="503CD1FB" w:rsid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E727D53"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Zarówno prawo krajowe jak i unijne przewidują możliwość uznania okoliczności wskazanych przez wnioskodawcę za udowodnione, nawet jeśli nie są one poparte dokumentami, pod warunkiem spełnienia określonych przesłanek.</w:t>
            </w:r>
          </w:p>
          <w:p w14:paraId="693EC1FA"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27A47215"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 xml:space="preserve">W art. 42 ustawy o udzielaniu ochrony międzynarodowej określono jakie warunki winny zostać spełnione, aby okoliczności wskazane w uzasadnieniu wniosku o udzielenie ochrony międzynarodowej uznać za udowodnione w sytuacji, gdy wnioskodawca nie posiada dowodów na ich potwierdzenie. Analogicznie, w art. 4 ust. 5 Dyrektywy Parlamentu Europejskiego i Rady 2011/95/UE z dnia 13 grudnia 2011 roku w sprawie norm dotyczących kwalifikowania obywateli państw trzecich lub bezpaństwowców jako beneficjentów ochrony międzynarodowej, jednolitego statusu uchodźców lub osób kwalifikujących się do otrzymania ochrony uzupełniającej oraz zakresu udzielanej ochrony (wersja przekształcona), wskazano, że „W przypadku gdy państwo członkowskie stosuje zasadę, że obowiązkiem wnioskodawcy jest uzasadnienie wniosku o udzielenie ochrony </w:t>
            </w:r>
            <w:r w:rsidRPr="005C3BEA">
              <w:rPr>
                <w:rFonts w:asciiTheme="minorHAnsi" w:hAnsiTheme="minorHAnsi" w:cstheme="minorHAnsi"/>
                <w:sz w:val="18"/>
                <w:szCs w:val="18"/>
              </w:rPr>
              <w:lastRenderedPageBreak/>
              <w:t>międzynarodowej, i gdy niektóre treści oświadczeń wnioskodawcy nie są poparte dokumentami ani innymi dowodami, potwierdzenie takich treści nie jest konieczne pod następującymi warunkami (…)”.</w:t>
            </w:r>
          </w:p>
          <w:p w14:paraId="6AB9566F"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6335D31D"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Nie sposób więc uznać, że osoba uciekająca np. przed prześladowaniem ze strony władz swojego kraju i nie będąca w stanie przedstawić dowodów na owo prześladowanie w sposób dorozumiany wycofuje wniosek. W takiej sytuacji konieczne jest dokonanie merytorycznej oceny wniosku poprzez analizę okoliczności wskazanych w przywołanych przepisach m.in. oświadczeń cudzoziemca i ogólnodostępnych informacji o kraju jego pochodzenia.</w:t>
            </w:r>
          </w:p>
          <w:p w14:paraId="22F0E3DE"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48506BF7" w14:textId="728D01F0" w:rsid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4. Wpływ proponowanej nowelizacji na sytuacje małoletnich ubiegających się o ochronę międzynarodową</w:t>
            </w:r>
          </w:p>
          <w:p w14:paraId="269056DD" w14:textId="0A612DBC" w:rsid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654696EC"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Wprowadzenie nowych przesłanek umorzenia postępowania w sprawie udzielenia ochrony międzynarodowej dotknie wszystkich wnioskodawców, w tym także małoletnich.</w:t>
            </w:r>
          </w:p>
          <w:p w14:paraId="6018D93D"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3452DC84"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W sposób szczególny na skutki projektowanych przepisów narażeni będą małoletni cudzoziemcy bez opieki, którzy w toku postępowania zależni są od działań podejmowanych przez kuratorów wyznaczonych do ich reprezentacji.</w:t>
            </w:r>
          </w:p>
          <w:p w14:paraId="69E2883F"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3291BFFD"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Rzecznik Praw Dziecka kilkukrotnie wskazywał na systemowe problemy dotyczące reprezentacji tej grupy cudzoziemców, w tym na bierną postawę kuratorów, których działania często ograniczają się do uczestnictwa w czynnościach podpisania wniosku oraz przesłuchania statusowego. Wprowadzenie projektowanych przepisów może więc skutkować negatywnymi konsekwencjami dla dzieci, których realny wpływ na przebieg postępowania jest ograniczony.</w:t>
            </w:r>
          </w:p>
          <w:p w14:paraId="1C7F245B"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4A2698F"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Mając na uwadze powyższe argumenty, Rzecznik Praw Dziecka wnosi o rezygnację ze zmian proponowanych w art. 41 projektu ustawy o udziale Rzeczypospolitej Polskiej w europejskim systemie informacji o podróży oraz zezwoleń na podróż (ETIAS) (UC104). Zmiany te wymagają osobnego procesu legislacyjnego, z odpowiednio określonym celem i zakresem przedmiotowym oraz adekwatnej analizy skutków proponowanych regulacji.</w:t>
            </w:r>
          </w:p>
          <w:p w14:paraId="75B87D1F"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41A4F6DD"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 xml:space="preserve">W odniesieniu do projektowanego art. 40 ust. 2 pkt 7 ustawy o udzielaniu cudzoziemcom ochrony wprowadzenie tej regulacji wymagałoby dodania dodatkowych gwarancji, </w:t>
            </w:r>
            <w:r w:rsidRPr="005C3BEA">
              <w:rPr>
                <w:rFonts w:asciiTheme="minorHAnsi" w:hAnsiTheme="minorHAnsi" w:cstheme="minorHAnsi"/>
                <w:sz w:val="18"/>
                <w:szCs w:val="18"/>
              </w:rPr>
              <w:lastRenderedPageBreak/>
              <w:t>zgodnie z przywołanymi przepisami prawa UE. Z kolei proponowany pkt 8 nie daje się uzasadnić z perspektywy istoty postępowania w sprawie udzielenia ochrony</w:t>
            </w:r>
          </w:p>
          <w:p w14:paraId="709F45A3"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4D2449C8" w14:textId="293F77C0" w:rsid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C3BEA">
              <w:rPr>
                <w:rFonts w:asciiTheme="minorHAnsi" w:hAnsiTheme="minorHAnsi" w:cstheme="minorHAnsi"/>
                <w:sz w:val="18"/>
                <w:szCs w:val="18"/>
              </w:rPr>
              <w:t>międzynarodowej i pozostaje w całości niezgodny z obowiązującym prawem Unii Europejskiej i jako taki nie powinien zostać wprowadzony.</w:t>
            </w:r>
          </w:p>
          <w:p w14:paraId="5FCD7413" w14:textId="77777777" w:rsid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1A9CD2C9" w14:textId="6F530AAD" w:rsidR="005C3BEA" w:rsidRPr="009F5E53"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c>
          <w:tcPr>
            <w:tcW w:w="3402" w:type="dxa"/>
            <w:gridSpan w:val="2"/>
          </w:tcPr>
          <w:p w14:paraId="03D1CF96" w14:textId="436A0654" w:rsidR="005C3BEA" w:rsidRDefault="00E54D1E"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lastRenderedPageBreak/>
              <w:t>U</w:t>
            </w:r>
            <w:r w:rsidRPr="005C3BEA">
              <w:rPr>
                <w:rFonts w:asciiTheme="minorHAnsi" w:hAnsiTheme="minorHAnsi" w:cstheme="minorHAnsi"/>
                <w:b/>
                <w:bCs/>
                <w:sz w:val="18"/>
                <w:szCs w:val="18"/>
              </w:rPr>
              <w:t>względniono</w:t>
            </w:r>
          </w:p>
          <w:p w14:paraId="23154DDD" w14:textId="77777777" w:rsidR="005C3BEA" w:rsidRPr="005C3BEA" w:rsidRDefault="005C3BEA" w:rsidP="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0D4F3A8C" w14:textId="6D30DF08" w:rsidR="005C3BEA" w:rsidRPr="005C3BEA" w:rsidRDefault="005C3BE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c>
          <w:tcPr>
            <w:tcW w:w="3481" w:type="dxa"/>
            <w:gridSpan w:val="2"/>
          </w:tcPr>
          <w:p w14:paraId="3385B1F3" w14:textId="77777777" w:rsidR="000C36E6" w:rsidRPr="009B2533" w:rsidRDefault="000C36E6" w:rsidP="000C36E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tr w:rsidR="00787817" w:rsidRPr="009B2533" w14:paraId="5D24BE8A" w14:textId="77777777" w:rsidTr="00BD2562">
        <w:trPr>
          <w:cnfStyle w:val="000000100000" w:firstRow="0" w:lastRow="0" w:firstColumn="0" w:lastColumn="0" w:oddVBand="0" w:evenVBand="0" w:oddHBand="1" w:evenHBand="0" w:firstRowFirstColumn="0" w:firstRowLastColumn="0" w:lastRowFirstColumn="0" w:lastRowLastColumn="0"/>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58103D3D" w14:textId="77777777" w:rsidR="00A5753C" w:rsidRPr="009B2533" w:rsidRDefault="00A5753C" w:rsidP="00A5753C">
            <w:pPr>
              <w:pStyle w:val="Akapitzlist"/>
              <w:numPr>
                <w:ilvl w:val="0"/>
                <w:numId w:val="3"/>
              </w:numPr>
              <w:ind w:left="313"/>
              <w:jc w:val="both"/>
              <w:rPr>
                <w:rFonts w:asciiTheme="minorHAnsi" w:hAnsiTheme="minorHAnsi" w:cstheme="minorHAnsi"/>
                <w:bCs w:val="0"/>
                <w:vanish/>
                <w:sz w:val="18"/>
                <w:szCs w:val="18"/>
              </w:rPr>
            </w:pPr>
          </w:p>
        </w:tc>
        <w:tc>
          <w:tcPr>
            <w:tcW w:w="15499" w:type="dxa"/>
            <w:gridSpan w:val="9"/>
          </w:tcPr>
          <w:p w14:paraId="020A3876" w14:textId="4539B6FD" w:rsidR="00A5753C" w:rsidRDefault="00A5753C" w:rsidP="00A5753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t>OSR</w:t>
            </w:r>
          </w:p>
        </w:tc>
      </w:tr>
      <w:tr w:rsidR="00787817" w:rsidRPr="009B2533" w14:paraId="35E5EF93" w14:textId="77777777" w:rsidTr="00787817">
        <w:trPr>
          <w:gridAfter w:val="1"/>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5C5F6AE5" w14:textId="77777777" w:rsidR="00A5753C" w:rsidRPr="009B2533" w:rsidRDefault="00A5753C" w:rsidP="00A5753C">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5394ADC7" w14:textId="77777777" w:rsidR="00A5753C" w:rsidRDefault="00A5753C" w:rsidP="00A5753C">
            <w:pPr>
              <w:jc w:val="both"/>
              <w:cnfStyle w:val="000000000000" w:firstRow="0" w:lastRow="0" w:firstColumn="0" w:lastColumn="0" w:oddVBand="0" w:evenVBand="0" w:oddHBand="0" w:evenHBand="0" w:firstRowFirstColumn="0" w:firstRowLastColumn="0" w:lastRowFirstColumn="0" w:lastRowLastColumn="0"/>
              <w:rPr>
                <w:rStyle w:val="Ppogrubienie"/>
                <w:rFonts w:asciiTheme="minorHAnsi" w:hAnsiTheme="minorHAnsi" w:cstheme="minorHAnsi"/>
                <w:b w:val="0"/>
                <w:sz w:val="18"/>
                <w:szCs w:val="18"/>
              </w:rPr>
            </w:pPr>
          </w:p>
        </w:tc>
        <w:tc>
          <w:tcPr>
            <w:tcW w:w="1846" w:type="dxa"/>
          </w:tcPr>
          <w:p w14:paraId="09DB9C4A" w14:textId="3860DF86" w:rsidR="00A5753C" w:rsidRDefault="00A5753C" w:rsidP="00A5753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OSR</w:t>
            </w:r>
          </w:p>
        </w:tc>
        <w:tc>
          <w:tcPr>
            <w:tcW w:w="1276" w:type="dxa"/>
          </w:tcPr>
          <w:p w14:paraId="49077310" w14:textId="01E0C2A7" w:rsidR="00A5753C" w:rsidRDefault="00A5753C" w:rsidP="00A5753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 xml:space="preserve">Prezes Urzędu Ochrony Danych Osobowych </w:t>
            </w:r>
          </w:p>
        </w:tc>
        <w:tc>
          <w:tcPr>
            <w:tcW w:w="4678" w:type="dxa"/>
          </w:tcPr>
          <w:p w14:paraId="03BC5935" w14:textId="77777777" w:rsidR="00A5753C" w:rsidRPr="00391496"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91496">
              <w:rPr>
                <w:rFonts w:asciiTheme="minorHAnsi" w:eastAsia="Times New Roman" w:hAnsiTheme="minorHAnsi" w:cstheme="minorHAnsi"/>
                <w:color w:val="000000"/>
                <w:sz w:val="18"/>
                <w:szCs w:val="18"/>
                <w:lang w:eastAsia="pl-PL"/>
              </w:rPr>
              <w:t>W związku z projektem ustawy o systemie ETIAS Prezes Urzędu Ochrony Danych Osobowych wnosi o uwzględnienie w jej przepisach regulacji dotyczących zapewnienia środków finansowych niezbędnych do wykonywania zadań wynikających z realizacji przepisów rozporządzenia 2018/1240 oraz przepisów krajowych.</w:t>
            </w:r>
          </w:p>
          <w:p w14:paraId="6BB6F558" w14:textId="77777777" w:rsidR="00A5753C" w:rsidRPr="00391496"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91496">
              <w:rPr>
                <w:rFonts w:asciiTheme="minorHAnsi" w:eastAsia="Times New Roman" w:hAnsiTheme="minorHAnsi" w:cstheme="minorHAnsi"/>
                <w:color w:val="000000"/>
                <w:sz w:val="18"/>
                <w:szCs w:val="18"/>
                <w:lang w:eastAsia="pl-PL"/>
              </w:rPr>
              <w:t>W obecnym kształcie projekt przewiduje zapewnienie finansowania wyłącznie dla organów administracji rządowej – Ministra Spraw Wewnętrznych i Administracji,</w:t>
            </w:r>
          </w:p>
          <w:p w14:paraId="64EF242B" w14:textId="77777777" w:rsidR="00A5753C" w:rsidRPr="00391496"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91496">
              <w:rPr>
                <w:rFonts w:asciiTheme="minorHAnsi" w:eastAsia="Times New Roman" w:hAnsiTheme="minorHAnsi" w:cstheme="minorHAnsi"/>
                <w:color w:val="000000"/>
                <w:sz w:val="18"/>
                <w:szCs w:val="18"/>
                <w:lang w:eastAsia="pl-PL"/>
              </w:rPr>
              <w:t>Komendanta Głównego Straży Granicznej oraz Szefa Urzędu do Spraw Cudzoziemców – pomijając Prezesa UODO, mimo że organ właściwy w sprawie ochrony danych osobowych będzie również odpowiedzialny za wykonywanie zadań ustawowych i unijnych w ramach funkcjonowania systemu ETIAS.</w:t>
            </w:r>
          </w:p>
          <w:p w14:paraId="454B7D22" w14:textId="77777777" w:rsidR="00A5753C" w:rsidRPr="00391496"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91496">
              <w:rPr>
                <w:rFonts w:asciiTheme="minorHAnsi" w:eastAsia="Times New Roman" w:hAnsiTheme="minorHAnsi" w:cstheme="minorHAnsi"/>
                <w:color w:val="000000"/>
                <w:sz w:val="18"/>
                <w:szCs w:val="18"/>
                <w:lang w:eastAsia="pl-PL"/>
              </w:rPr>
              <w:t>Należy podkreślić, że zgodnie z art. 66 ust. 5 rozporządzenia 2018/1240 ustanawiającego ETIAS państwa członkowskie są prawnie zobowiązane zapewnić swoim organom nadzorczym ustanowionym zgodnie z art. 51 ust. 1 rozporządzenia 2016/679 zasoby i wiedzę fachową wystarczające do tego, by organy te mogły wypełniać zadania powierzone im zgodnie rozporządzeniem w sprawie ETIAS.</w:t>
            </w:r>
          </w:p>
          <w:p w14:paraId="7C0C5053" w14:textId="77777777" w:rsidR="00A5753C" w:rsidRPr="00391496"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91496">
              <w:rPr>
                <w:rFonts w:asciiTheme="minorHAnsi" w:eastAsia="Times New Roman" w:hAnsiTheme="minorHAnsi" w:cstheme="minorHAnsi"/>
                <w:color w:val="000000"/>
                <w:sz w:val="18"/>
                <w:szCs w:val="18"/>
                <w:lang w:eastAsia="pl-PL"/>
              </w:rPr>
              <w:t xml:space="preserve">Ponadto, zgodnie z decyzją wykonawczą Komisji Europejskiej z dnia 17 grudnia 2024 r. ustanawiającą sprawozdanie z oceny stosowania dorobku </w:t>
            </w:r>
            <w:proofErr w:type="spellStart"/>
            <w:r w:rsidRPr="00391496">
              <w:rPr>
                <w:rFonts w:asciiTheme="minorHAnsi" w:eastAsia="Times New Roman" w:hAnsiTheme="minorHAnsi" w:cstheme="minorHAnsi"/>
                <w:color w:val="000000"/>
                <w:sz w:val="18"/>
                <w:szCs w:val="18"/>
                <w:lang w:eastAsia="pl-PL"/>
              </w:rPr>
              <w:t>Schengen</w:t>
            </w:r>
            <w:proofErr w:type="spellEnd"/>
            <w:r w:rsidRPr="00391496">
              <w:rPr>
                <w:rFonts w:asciiTheme="minorHAnsi" w:eastAsia="Times New Roman" w:hAnsiTheme="minorHAnsi" w:cstheme="minorHAnsi"/>
                <w:color w:val="000000"/>
                <w:sz w:val="18"/>
                <w:szCs w:val="18"/>
                <w:lang w:eastAsia="pl-PL"/>
              </w:rPr>
              <w:t xml:space="preserve"> przez Polskę w 2024 r. Polska została zobowiązana zapewnić Urzędowi Ochrony Danych Osobowych odpowiednie zasoby do wykonywania jego zadań w ramach dorobku </w:t>
            </w:r>
            <w:proofErr w:type="spellStart"/>
            <w:r w:rsidRPr="00391496">
              <w:rPr>
                <w:rFonts w:asciiTheme="minorHAnsi" w:eastAsia="Times New Roman" w:hAnsiTheme="minorHAnsi" w:cstheme="minorHAnsi"/>
                <w:color w:val="000000"/>
                <w:sz w:val="18"/>
                <w:szCs w:val="18"/>
                <w:lang w:eastAsia="pl-PL"/>
              </w:rPr>
              <w:t>Schengen</w:t>
            </w:r>
            <w:proofErr w:type="spellEnd"/>
            <w:r w:rsidRPr="00391496">
              <w:rPr>
                <w:rFonts w:asciiTheme="minorHAnsi" w:eastAsia="Times New Roman" w:hAnsiTheme="minorHAnsi" w:cstheme="minorHAnsi"/>
                <w:color w:val="000000"/>
                <w:sz w:val="18"/>
                <w:szCs w:val="18"/>
                <w:lang w:eastAsia="pl-PL"/>
              </w:rPr>
              <w:t>, w szczególności w kontekście rosnącego obciążenia związanego z wdrażaniem kolejnych wielkoskalowych systemów informacyjnych UE.</w:t>
            </w:r>
          </w:p>
          <w:p w14:paraId="55E7246B" w14:textId="77777777" w:rsidR="00A5753C" w:rsidRPr="00391496" w:rsidRDefault="00A5753C" w:rsidP="00A5753C">
            <w:pPr>
              <w:pStyle w:val="NormalnyWeb"/>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391496">
              <w:rPr>
                <w:rFonts w:asciiTheme="minorHAnsi" w:hAnsiTheme="minorHAnsi" w:cstheme="minorHAnsi"/>
                <w:color w:val="000000"/>
                <w:sz w:val="18"/>
                <w:szCs w:val="18"/>
              </w:rPr>
              <w:lastRenderedPageBreak/>
              <w:t>Jednocześnie należy zwrócić uwagę, że projekt ustawy przewiduje mechanizm korygujący wydatki budżetowe, zgodnie z którym w przypadku, gdy po trzech kwartałach wydatki przekroczą 75% rocznego limitu, wielkość wydatków w IV kwartale podlega automatycznemu zmniejszeniu, z określeniem ograniczeń dla „poszczególnych zadań realizowanych na podstawie ustawy”. Zastosowanie takiej regulacji do Prezesa Urzędu Ochrony Danych Osobowych, jako organu niezależnego, byłoby nieproporcjonalne i niezgodne z art. 52 ust. 4 rozporządzenia 2016/679 oraz art. 44 ust. 4 dyrektywy 2016/680. Zasada niezależności, o której mowa w przepisach prawa unijnego, obejmuje nie tylko niezależność funkcjonalną i organizacyjną, ale również swobodę planowania i realizacji zadań, w tym elastyczność w dysponowaniu środkami finansowymi przyznanymi w ustawie budżetowej.</w:t>
            </w:r>
          </w:p>
          <w:p w14:paraId="1F6CF284" w14:textId="77777777" w:rsidR="00A5753C" w:rsidRPr="00391496"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91496">
              <w:rPr>
                <w:rFonts w:asciiTheme="minorHAnsi" w:eastAsia="Times New Roman" w:hAnsiTheme="minorHAnsi" w:cstheme="minorHAnsi"/>
                <w:color w:val="000000"/>
                <w:sz w:val="18"/>
                <w:szCs w:val="18"/>
                <w:lang w:eastAsia="pl-PL"/>
              </w:rPr>
              <w:t>Na szczególne podkreślenie zasługuje również fakt, że projektowana regulacja, w odróżnieniu od ustawy o ochronie danych osobowych oraz ustawy o ochronie danych osobowych przetwarzanych w związku z zapobieganiem i zwalczaniem przestępczości zawiera odniesienie do „poszczególnych zadań realizowanych na podstawie ustawy”, co może w praktyce prowadzić do sytuacji, w której konkretne ustawowe kompetencje organu nadzorczego będą musiały zostać ograniczone ze względu na sztywny mechanizm budżetowy – niezależnie od ich znaczenia czy aktualnej sytuacji operacyjnej. Taka konstrukcja pozostaje w sprzeczności z formą działalności organu nadzorczego, który powinien mieć możliwość elastycznego reagowania na pojawiające się potrzeby – w tym np. przeprowadzanie kontroli, wydawanie zaleceń czy rozpatrywanie skarg – także w ostatnim kwartale roku budżetowego.</w:t>
            </w:r>
          </w:p>
          <w:p w14:paraId="31A07D08" w14:textId="77777777" w:rsidR="00A5753C" w:rsidRPr="00391496"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91496">
              <w:rPr>
                <w:rFonts w:asciiTheme="minorHAnsi" w:eastAsia="Times New Roman" w:hAnsiTheme="minorHAnsi" w:cstheme="minorHAnsi"/>
                <w:color w:val="000000"/>
                <w:sz w:val="18"/>
                <w:szCs w:val="18"/>
                <w:lang w:eastAsia="pl-PL"/>
              </w:rPr>
              <w:t>W związku z powyższym, Prezes Urzędu Ochrony Danych Osobowych postuluje, aby: w projekcie ustawy przewidziano środki finansowe dla Prezesa Urzędu Ochrony Danych Osobowych, w odrębnym przepisie odnoszącym się do skutków finansowych ustawy oraz nie stosowano do Prezesa UODO mechanizmu korygującego wydatki w brzmieniu przewidzianym dla organów administracji rządowej, lecz biorąc pod uwagę niezależny charakter organu wprowadzono do projektu ustawy alternatywny mechanizm korygujący wydatki, oparty na modelu przyjętym w art. 180 ustawy o usługach płatniczych12, w następującym brzmieniu:</w:t>
            </w:r>
          </w:p>
          <w:p w14:paraId="74E975E4" w14:textId="77777777" w:rsidR="00A5753C" w:rsidRPr="00391496"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91496">
              <w:rPr>
                <w:rFonts w:asciiTheme="minorHAnsi" w:eastAsia="Times New Roman" w:hAnsiTheme="minorHAnsi" w:cstheme="minorHAnsi"/>
                <w:color w:val="000000"/>
                <w:sz w:val="18"/>
                <w:szCs w:val="18"/>
                <w:lang w:eastAsia="pl-PL"/>
              </w:rPr>
              <w:lastRenderedPageBreak/>
              <w:t>„W przypadku zagrożenia przekroczenia limitu wydatków na dany rok budżetowy zostanie zastosowany mechanizm korygujący polegający na:</w:t>
            </w:r>
          </w:p>
          <w:p w14:paraId="3B5CB1CD" w14:textId="77777777" w:rsidR="00A5753C" w:rsidRPr="00391496"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91496">
              <w:rPr>
                <w:rFonts w:asciiTheme="minorHAnsi" w:eastAsia="Times New Roman" w:hAnsiTheme="minorHAnsi" w:cstheme="minorHAnsi"/>
                <w:color w:val="000000"/>
                <w:sz w:val="18"/>
                <w:szCs w:val="18"/>
                <w:lang w:eastAsia="pl-PL"/>
              </w:rPr>
              <w:t>1. ograniczeniu kosztów rzeczowych Prezesa Urzędu Ochrony Danych Osobowych związanych z realizacją zadań wynikających ze sprawowania nadzoru nad Europejskim Systemem Informacji o Podróży oraz Zezwoleń na Podróż, lub</w:t>
            </w:r>
          </w:p>
          <w:p w14:paraId="420EF4A3" w14:textId="77777777" w:rsidR="00A5753C" w:rsidRPr="00391496"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91496">
              <w:rPr>
                <w:rFonts w:asciiTheme="minorHAnsi" w:eastAsia="Times New Roman" w:hAnsiTheme="minorHAnsi" w:cstheme="minorHAnsi"/>
                <w:color w:val="000000"/>
                <w:sz w:val="18"/>
                <w:szCs w:val="18"/>
                <w:lang w:eastAsia="pl-PL"/>
              </w:rPr>
              <w:t>2. racjonalizacji częstotliwości wykonywania czynności w ramach nadzoru Prezesa Urzędu Ochrony Danych Osobowych nad Europejskim Systemem Informacji o Podróży oraz Zezwoleń na Podróż”.</w:t>
            </w:r>
          </w:p>
          <w:p w14:paraId="52CBF638" w14:textId="77777777" w:rsidR="00A5753C" w:rsidRPr="00391496"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91496">
              <w:rPr>
                <w:rFonts w:asciiTheme="minorHAnsi" w:eastAsia="Times New Roman" w:hAnsiTheme="minorHAnsi" w:cstheme="minorHAnsi"/>
                <w:color w:val="000000"/>
                <w:sz w:val="18"/>
                <w:szCs w:val="18"/>
                <w:lang w:eastAsia="pl-PL"/>
              </w:rPr>
              <w:t>Powyższa treść artykułu jest zgodna z art. 50 ust. 4 pkt 1 ustawy o finansach publicznych13, który wymaga wskazania mechanizmów korygujących wydatki w przypadku zagrożenia przekroczeniem limitu budżetowego. W odróżnieniu od sztywnego ograniczenia poszczególnych zadań proponowane rozwiązanie umożliwia elastyczne dostosowanie skali działań nadzorczych Prezesa UODO, bez naruszania zasady niezależności organu. Zastosowanie takiej konstrukcji pozwoli na zapewnienie zgodności z zasadą niezależności organu nadzorczego oraz zapewni mu niezbędną elastyczność działania przy jednoczesnym utrzymaniu przejrzystości i kontroli nad realizacją wydatków budżetowych.</w:t>
            </w:r>
          </w:p>
          <w:p w14:paraId="4BD8A6FE" w14:textId="77777777" w:rsidR="00A5753C" w:rsidRDefault="00A5753C" w:rsidP="00A5753C">
            <w:pPr>
              <w:pStyle w:val="Normalny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391496">
              <w:rPr>
                <w:rFonts w:asciiTheme="minorHAnsi" w:hAnsiTheme="minorHAnsi" w:cstheme="minorHAnsi"/>
                <w:color w:val="000000"/>
                <w:sz w:val="18"/>
                <w:szCs w:val="18"/>
              </w:rPr>
              <w:t xml:space="preserve">W tym miejscu wskazać należy, że system ETIAS, jako jeden z wielkoskalowych systemów informacyjnych UE, podlega mechanizmowi skoordynowanego nadzoru przewidzianemu w rozporządzeniu 2018/1240, co oznacza, że Prezes Urzędu Ochrony Danych Osobowych zobowiązany jest do aktywnego wykonywania zadań nadzorczych nie tylko na poziomie krajowym, lecz również w ramach współpracy międzynarodowej z organami nadzorczymi pozostałych państw członkowskich oraz Europejską Radą Ochrony Danych. Zakres tych zadań wymaga zabezpieczenia odpowiednich zasobów kadrowych – zarówno ilościowych, jak i jakościowych. W szczególności konieczne jest: pozyskanie pracowników merytorycznych odpowiedzialnych za przeprowadzanie kontroli, w tym analizę zgodności operacji przetwarzania danych w systemie ETIAS z przepisami prawa unijnego i krajowego, ekspertów do rozpatrywania naruszeń ochrony danych osobowych, ekspertów do rozpatrywania skarg obywateli państw trzecich, którzy będą </w:t>
            </w:r>
            <w:r w:rsidRPr="00391496">
              <w:rPr>
                <w:rFonts w:asciiTheme="minorHAnsi" w:hAnsiTheme="minorHAnsi" w:cstheme="minorHAnsi"/>
                <w:color w:val="000000"/>
                <w:sz w:val="18"/>
                <w:szCs w:val="18"/>
              </w:rPr>
              <w:lastRenderedPageBreak/>
              <w:t>kierować zapytania i skargi do Prezesa UODO jako organu właściwego w sprawie ochrony danych osobowych, prawników wyspecjalizowanych w prawie unijnym i</w:t>
            </w:r>
            <w:r>
              <w:rPr>
                <w:rFonts w:asciiTheme="minorHAnsi" w:hAnsiTheme="minorHAnsi" w:cstheme="minorHAnsi"/>
                <w:color w:val="000000"/>
                <w:sz w:val="18"/>
                <w:szCs w:val="18"/>
              </w:rPr>
              <w:t xml:space="preserve"> </w:t>
            </w:r>
            <w:r w:rsidRPr="00391496">
              <w:rPr>
                <w:rFonts w:asciiTheme="minorHAnsi" w:hAnsiTheme="minorHAnsi" w:cstheme="minorHAnsi"/>
                <w:color w:val="000000"/>
                <w:sz w:val="18"/>
                <w:szCs w:val="18"/>
              </w:rPr>
              <w:t>administracyjnym odpowiedzialnych za analizę aktów prawnych UE, opiniowanie krajowych projektów legislacyjnych wdrażających system ETIAS oraz uczestnictwo w procedurach legislacyjnych, pozyskanie specjalistów zaangażowanych w mechanizm skoordynowanego nadzoru, w tym pracowników reprezentujących organ w pracach grup eksperckich, a także uczestniczących w procedurach podejmowania wspólnych decyzji w ramach Europejskiej Rady Ochrony Danych.</w:t>
            </w:r>
          </w:p>
          <w:p w14:paraId="565F028A" w14:textId="46E149CA" w:rsidR="00A5753C" w:rsidRPr="003C6A93" w:rsidRDefault="00A5753C" w:rsidP="00A5753C">
            <w:pPr>
              <w:pStyle w:val="Normalny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Pr>
                <w:rFonts w:asciiTheme="minorHAnsi" w:hAnsiTheme="minorHAnsi" w:cstheme="minorHAnsi"/>
                <w:color w:val="000000"/>
                <w:sz w:val="18"/>
                <w:szCs w:val="18"/>
              </w:rPr>
              <w:t xml:space="preserve"> </w:t>
            </w:r>
            <w:r w:rsidRPr="003C6A93">
              <w:rPr>
                <w:rFonts w:asciiTheme="minorHAnsi" w:hAnsiTheme="minorHAnsi" w:cstheme="minorHAnsi"/>
                <w:color w:val="000000"/>
                <w:sz w:val="18"/>
                <w:szCs w:val="18"/>
              </w:rPr>
              <w:t>Z uwagi na rozbudowaną architekturę systemu ETIAS, jego powiązania z innymi wielkoskalowymi systemami UE (np. VIS, SIS, EES), oraz profilowanie podróżnych i automatyczne podejmowanie decyzji, Prezes UODO musi dysponować odpowiednim zapleczem kadrowym, które umożliwi bieżące wykonywanie zadań nadzorczych w środowisku technologicznym wysokiego ryzyka. Co istotne, kontrole muszą być prowadzone zgodnie z międzynarodowymi standardami audytu, co wynika zarówno z unijnego rozporządzenia, jak i projektu ustawy.</w:t>
            </w:r>
          </w:p>
          <w:p w14:paraId="15F13A08" w14:textId="77777777" w:rsidR="00A5753C" w:rsidRPr="003C6A93"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C6A93">
              <w:rPr>
                <w:rFonts w:asciiTheme="minorHAnsi" w:eastAsia="Times New Roman" w:hAnsiTheme="minorHAnsi" w:cstheme="minorHAnsi"/>
                <w:color w:val="000000"/>
                <w:sz w:val="18"/>
                <w:szCs w:val="18"/>
                <w:lang w:eastAsia="pl-PL"/>
              </w:rPr>
              <w:t>W związku z powyższym konieczne jest zatrudnienie nowych pracowników na stanowiskach kontrolnych, skargowych, analitycznych i legislacyjnych oraz zapewnienie elastyczności organizacyjnej, umożliwiającej dostosowanie skali działań nadzorczych do rzeczywistego obciążenia oraz zmian w środowisku prawnym i operacyjnym.</w:t>
            </w:r>
          </w:p>
          <w:p w14:paraId="624C0CD6" w14:textId="77777777" w:rsidR="00A5753C" w:rsidRPr="003C6A93"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C6A93">
              <w:rPr>
                <w:rFonts w:asciiTheme="minorHAnsi" w:eastAsia="Times New Roman" w:hAnsiTheme="minorHAnsi" w:cstheme="minorHAnsi"/>
                <w:color w:val="000000"/>
                <w:sz w:val="18"/>
                <w:szCs w:val="18"/>
                <w:lang w:eastAsia="pl-PL"/>
              </w:rPr>
              <w:t>Należy podkreślić, że zgodnie z art. 66 ust. 5 rozporządzenia 2018/1240 ustanawiającego ETIAS państwa członkowskie są zobowiązane przez unijnego prawodawcę do zapewnienia swoim organom nadzorczym ustanowionym zgodnie z art. 51 ust. 1 rozporządzenia 2016/679 zasobów i wiedzy fachowej</w:t>
            </w:r>
          </w:p>
          <w:p w14:paraId="1A9555F8" w14:textId="77777777" w:rsidR="00A5753C" w:rsidRPr="003C6A93"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C6A93">
              <w:rPr>
                <w:rFonts w:asciiTheme="minorHAnsi" w:eastAsia="Times New Roman" w:hAnsiTheme="minorHAnsi" w:cstheme="minorHAnsi"/>
                <w:color w:val="000000"/>
                <w:sz w:val="18"/>
                <w:szCs w:val="18"/>
                <w:lang w:eastAsia="pl-PL"/>
              </w:rPr>
              <w:t>wystarczającej do tego, by organy te mogły wypełniać zadania powierzone im zgodnie z tym rozporządzeniem.</w:t>
            </w:r>
          </w:p>
          <w:p w14:paraId="6E0FD7F8" w14:textId="77777777" w:rsidR="00A5753C" w:rsidRPr="003C6A93"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C6A93">
              <w:rPr>
                <w:rFonts w:asciiTheme="minorHAnsi" w:eastAsia="Times New Roman" w:hAnsiTheme="minorHAnsi" w:cstheme="minorHAnsi"/>
                <w:color w:val="000000"/>
                <w:sz w:val="18"/>
                <w:szCs w:val="18"/>
                <w:lang w:eastAsia="pl-PL"/>
              </w:rPr>
              <w:t xml:space="preserve">Przy stale rosnącej liczbie zgłoszeń w obszarze IT i </w:t>
            </w:r>
            <w:proofErr w:type="spellStart"/>
            <w:r w:rsidRPr="003C6A93">
              <w:rPr>
                <w:rFonts w:asciiTheme="minorHAnsi" w:eastAsia="Times New Roman" w:hAnsiTheme="minorHAnsi" w:cstheme="minorHAnsi"/>
                <w:color w:val="000000"/>
                <w:sz w:val="18"/>
                <w:szCs w:val="18"/>
                <w:lang w:eastAsia="pl-PL"/>
              </w:rPr>
              <w:t>cyberbezpieczeństwa</w:t>
            </w:r>
            <w:proofErr w:type="spellEnd"/>
            <w:r w:rsidRPr="003C6A93">
              <w:rPr>
                <w:rFonts w:asciiTheme="minorHAnsi" w:eastAsia="Times New Roman" w:hAnsiTheme="minorHAnsi" w:cstheme="minorHAnsi"/>
                <w:color w:val="000000"/>
                <w:sz w:val="18"/>
                <w:szCs w:val="18"/>
                <w:lang w:eastAsia="pl-PL"/>
              </w:rPr>
              <w:t xml:space="preserve"> w skali kraju oraz ograniczonych zasobach kadrowych i finansowych, realizacja wszystkich przypisanych zadań w sposób terminowy i merytorycznie </w:t>
            </w:r>
            <w:r w:rsidRPr="003C6A93">
              <w:rPr>
                <w:rFonts w:asciiTheme="minorHAnsi" w:eastAsia="Times New Roman" w:hAnsiTheme="minorHAnsi" w:cstheme="minorHAnsi"/>
                <w:color w:val="000000"/>
                <w:sz w:val="18"/>
                <w:szCs w:val="18"/>
                <w:lang w:eastAsia="pl-PL"/>
              </w:rPr>
              <w:lastRenderedPageBreak/>
              <w:t xml:space="preserve">adekwatny do </w:t>
            </w:r>
            <w:proofErr w:type="spellStart"/>
            <w:r w:rsidRPr="003C6A93">
              <w:rPr>
                <w:rFonts w:asciiTheme="minorHAnsi" w:eastAsia="Times New Roman" w:hAnsiTheme="minorHAnsi" w:cstheme="minorHAnsi"/>
                <w:color w:val="000000"/>
                <w:sz w:val="18"/>
                <w:szCs w:val="18"/>
                <w:lang w:eastAsia="pl-PL"/>
              </w:rPr>
              <w:t>ryzyk</w:t>
            </w:r>
            <w:proofErr w:type="spellEnd"/>
            <w:r w:rsidRPr="003C6A93">
              <w:rPr>
                <w:rFonts w:asciiTheme="minorHAnsi" w:eastAsia="Times New Roman" w:hAnsiTheme="minorHAnsi" w:cstheme="minorHAnsi"/>
                <w:color w:val="000000"/>
                <w:sz w:val="18"/>
                <w:szCs w:val="18"/>
                <w:lang w:eastAsia="pl-PL"/>
              </w:rPr>
              <w:t xml:space="preserve"> wielkoskalowych systemów informacyjnych UE staje się coraz trudniejsza.</w:t>
            </w:r>
          </w:p>
          <w:p w14:paraId="70DD2CDE" w14:textId="77777777" w:rsidR="00A5753C" w:rsidRPr="003C6A93"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C6A93">
              <w:rPr>
                <w:rFonts w:asciiTheme="minorHAnsi" w:eastAsia="Times New Roman" w:hAnsiTheme="minorHAnsi" w:cstheme="minorHAnsi"/>
                <w:color w:val="000000"/>
                <w:sz w:val="18"/>
                <w:szCs w:val="18"/>
                <w:lang w:eastAsia="pl-PL"/>
              </w:rPr>
              <w:t xml:space="preserve">W związku z tym przyznanie dodatkowych środków finansowych jest uzasadnione zarówno z punktu widzenia obowiązującego prawa unijnego, jak i potrzeby zapewnienia sprawnego i skutecznego nadzoru nad systemem, który przetwarzać będzie dane setek milionów podróżnych. Proponowane finansowanie ma na celu zagwarantowanie wysokiej jakości realizacji zadań UODO, przy jednoczesnym zachowaniu niezależności operacyjnej organu oraz zdolności do współpracy na poziomie europejskim, zgodnie z wymogami mechanizmu współpracy w ramach ETIAS i pozostałych instrumentów dorobku </w:t>
            </w:r>
            <w:proofErr w:type="spellStart"/>
            <w:r w:rsidRPr="003C6A93">
              <w:rPr>
                <w:rFonts w:asciiTheme="minorHAnsi" w:eastAsia="Times New Roman" w:hAnsiTheme="minorHAnsi" w:cstheme="minorHAnsi"/>
                <w:color w:val="000000"/>
                <w:sz w:val="18"/>
                <w:szCs w:val="18"/>
                <w:lang w:eastAsia="pl-PL"/>
              </w:rPr>
              <w:t>Schengen</w:t>
            </w:r>
            <w:proofErr w:type="spellEnd"/>
            <w:r w:rsidRPr="003C6A93">
              <w:rPr>
                <w:rFonts w:asciiTheme="minorHAnsi" w:eastAsia="Times New Roman" w:hAnsiTheme="minorHAnsi" w:cstheme="minorHAnsi"/>
                <w:color w:val="000000"/>
                <w:sz w:val="18"/>
                <w:szCs w:val="18"/>
                <w:lang w:eastAsia="pl-PL"/>
              </w:rPr>
              <w:t>.</w:t>
            </w:r>
          </w:p>
          <w:p w14:paraId="4D006F49" w14:textId="77777777" w:rsidR="00A5753C" w:rsidRPr="003C6A93" w:rsidRDefault="00A5753C" w:rsidP="00A5753C">
            <w:pPr>
              <w:pStyle w:val="NormalnyWeb"/>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3C6A93">
              <w:rPr>
                <w:rFonts w:asciiTheme="minorHAnsi" w:hAnsiTheme="minorHAnsi" w:cstheme="minorHAnsi"/>
                <w:color w:val="000000"/>
                <w:sz w:val="18"/>
                <w:szCs w:val="18"/>
              </w:rPr>
              <w:t xml:space="preserve">Ponadto do zadań Prezesa UODO należy również przeprowadzenie kontroli zarówno przed uruchomieniem systemu na wniosek Komendanta Głównego Straży Granicznej, jak i przynajmniej raz na trzy lata kontroli (audytu) operacji przetwarzania danych w krajowej infrastrukturze granicznej, zgodnie z odpowiednimi międzynarodowymi standardami przeprowadzania kontroli (w tym kontrole na miejscu, delegacje krajowe i zagraniczne). Co więcej organ nadzorczy zobowiązany jest również do prowadzenia postępowań związanych z kontrolą naruszeń, jak i monitorowania, czy przetwarzanie danych osobowych w KSI ETIAS odbywa się zgodnie z prawem. Działania te prowadzone są w ramach postępowania skargowego, pośredniego dostępu, przyjmowania dokumentacji dotyczącej decyzji o sprostowaniu lub usunięciu danych, kontroli przekazywania danych do państw trzecich, nadzoru nad profilami dostępu (w celu zapewnienia, by wszystkie uprawnione organy utworzyły i udostępniły organom nadzorczym właściwym w sprawach ochrony danych osobowych profile określające funkcje i obowiązki osób uprawnionych do operacji na danych), udzielania wsparcia w przypadku sporów dotyczących decyzji administracyjnych związanych z ETIAS, pomocy osobom, których dane dotyczą (udzielanie pomocy i porad w zakresie wykonywania prawa do sprostowania, uzupełnienia, usunięcia lub ograniczenia przetwarzania danych, zapewnienie dostępności pomocy przez cały czas trwania postępowania w sprawie ochrony praw), współpracy transgranicznej (między organami właściwymi w sprawie ochrony danych osobowych tj. państwa przekazującego dane i państwa rozpatrującego wniosek osoby), monitorowania legalności przetwarzania danych w ETIAS, w tym przesyłania </w:t>
            </w:r>
            <w:r w:rsidRPr="003C6A93">
              <w:rPr>
                <w:rFonts w:asciiTheme="minorHAnsi" w:hAnsiTheme="minorHAnsi" w:cstheme="minorHAnsi"/>
                <w:color w:val="000000"/>
                <w:sz w:val="18"/>
                <w:szCs w:val="18"/>
              </w:rPr>
              <w:lastRenderedPageBreak/>
              <w:t>danych do i z systemu, dostępu do informacji i infrastruktury (otrzymywanie żądanych informacji o działaniach organów dostępowych, dostęp do rejestrów operacji oraz do wszystkich pomieszczeń związanych z systemem.</w:t>
            </w:r>
          </w:p>
          <w:p w14:paraId="24BA145F" w14:textId="77777777" w:rsidR="00A5753C" w:rsidRPr="003C6A93"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C6A93">
              <w:rPr>
                <w:rFonts w:asciiTheme="minorHAnsi" w:eastAsia="Times New Roman" w:hAnsiTheme="minorHAnsi" w:cstheme="minorHAnsi"/>
                <w:color w:val="000000"/>
                <w:sz w:val="18"/>
                <w:szCs w:val="18"/>
                <w:lang w:eastAsia="pl-PL"/>
              </w:rPr>
              <w:t>Warto w tym miejscu wskazać, iż podmioty podlegające nadzorowi UODO w ETIAS to: Straż Graniczna (1 KGSG + 9 Oddziałów Straży Granicznej; jednostki operacyjne), wojewodowie (16), Szef Urzędu do Spraw Cudzoziemców (1), Policja (2400 jednostek, jednostki operacyjne), Służba Celno-Skarbowa (16), Minister Spraw Wewnętrznych (1), Minister Spraw Zagranicznych (1), konsulowie (248 urzędów konsularnych) (delegacje zagraniczne), Rada do Spraw Uchodźców (1), Centralne Biuro Antykorupcyjne (12 delegatur, jednostki operacyjne), Służba Ochrony Państwa (15 delegatur, jednostki operacyjne), Żandarmeria Wojskowa (45 placówek, jednostki operacyjne), Krajowa Administracja Skarbowa (16 urzędów, jednostki operacyjne).</w:t>
            </w:r>
          </w:p>
          <w:p w14:paraId="11AC339E" w14:textId="77777777" w:rsidR="00A5753C" w:rsidRPr="003C6A93"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C6A93">
              <w:rPr>
                <w:rFonts w:asciiTheme="minorHAnsi" w:eastAsia="Times New Roman" w:hAnsiTheme="minorHAnsi" w:cstheme="minorHAnsi"/>
                <w:color w:val="000000"/>
                <w:sz w:val="18"/>
                <w:szCs w:val="18"/>
                <w:lang w:eastAsia="pl-PL"/>
              </w:rPr>
              <w:t>Projekt ustawy nakłada na Prezesa UODO zobowiązanie do publikacji co roku informacji o liczbie wniosków o sprostowanie, uzupełnienie, usunięcie lub ograniczenie przetwarzania danych ETIAS (art. 37 ust. 2 pkt 3).</w:t>
            </w:r>
          </w:p>
          <w:p w14:paraId="6740A652" w14:textId="77777777" w:rsidR="00A5753C" w:rsidRPr="003C6A93" w:rsidRDefault="00A5753C" w:rsidP="00A5753C">
            <w:pPr>
              <w:pStyle w:val="NormalnyWeb"/>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3C6A93">
              <w:rPr>
                <w:rFonts w:asciiTheme="minorHAnsi" w:hAnsiTheme="minorHAnsi" w:cstheme="minorHAnsi"/>
                <w:color w:val="000000"/>
                <w:sz w:val="18"/>
                <w:szCs w:val="18"/>
              </w:rPr>
              <w:t xml:space="preserve">Mechanizm Skoordynowanego Nadzoru niesie za sobą obowiązek współpracy na forum międzynarodowym (kilku delegacji rocznie) w celu wymiany informacji i wzajemnej pomocy przy kontrolach i inspekcjach, analizy problemów interpretacyjnych i praktycznych związanych z rozporządzeniem ETIAS oraz niezależnym nadzorem, formułowaniem wspólnych rozwiązań i działań zwiększających świadomość w zakresie ochrony danych, spotkań co najmniej dwa razy w roku w ramach Europejskiej Rady Ochrony Danych (EROD), sporządzania wspólnego sprawozdania co 2 lata dla Parlamentu Europejskiego, Rady Unii Europejskiej, Komisji Europejskiej, </w:t>
            </w:r>
            <w:proofErr w:type="spellStart"/>
            <w:r w:rsidRPr="003C6A93">
              <w:rPr>
                <w:rFonts w:asciiTheme="minorHAnsi" w:hAnsiTheme="minorHAnsi" w:cstheme="minorHAnsi"/>
                <w:color w:val="000000"/>
                <w:sz w:val="18"/>
                <w:szCs w:val="18"/>
              </w:rPr>
              <w:t>Frontexu</w:t>
            </w:r>
            <w:proofErr w:type="spellEnd"/>
            <w:r w:rsidRPr="003C6A93">
              <w:rPr>
                <w:rFonts w:asciiTheme="minorHAnsi" w:hAnsiTheme="minorHAnsi" w:cstheme="minorHAnsi"/>
                <w:color w:val="000000"/>
                <w:sz w:val="18"/>
                <w:szCs w:val="18"/>
              </w:rPr>
              <w:t xml:space="preserve"> i </w:t>
            </w:r>
            <w:proofErr w:type="spellStart"/>
            <w:r w:rsidRPr="003C6A93">
              <w:rPr>
                <w:rFonts w:asciiTheme="minorHAnsi" w:hAnsiTheme="minorHAnsi" w:cstheme="minorHAnsi"/>
                <w:color w:val="000000"/>
                <w:sz w:val="18"/>
                <w:szCs w:val="18"/>
              </w:rPr>
              <w:t>eu</w:t>
            </w:r>
            <w:proofErr w:type="spellEnd"/>
            <w:r w:rsidRPr="003C6A93">
              <w:rPr>
                <w:rFonts w:asciiTheme="minorHAnsi" w:hAnsiTheme="minorHAnsi" w:cstheme="minorHAnsi"/>
                <w:color w:val="000000"/>
                <w:sz w:val="18"/>
                <w:szCs w:val="18"/>
              </w:rPr>
              <w:noBreakHyphen/>
              <w:t>LISA – z oddzielnym rozdziałem dla każdego państwa członkowskiego.</w:t>
            </w:r>
          </w:p>
          <w:p w14:paraId="36399226" w14:textId="77777777" w:rsidR="00A5753C" w:rsidRPr="003C6A93"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C6A93">
              <w:rPr>
                <w:rFonts w:asciiTheme="minorHAnsi" w:eastAsia="Times New Roman" w:hAnsiTheme="minorHAnsi" w:cstheme="minorHAnsi"/>
                <w:color w:val="000000"/>
                <w:sz w:val="18"/>
                <w:szCs w:val="18"/>
                <w:lang w:eastAsia="pl-PL"/>
              </w:rPr>
              <w:t xml:space="preserve">Biorąc pod uwagę powyższe uwarunkowania Prezes Urzędu Ochrony Danych Osobowych w tabeli załączonej do niniejszego pisma oszacował, że dla rzeczywistej realizacji przypisanych mu zadań wynikających z rozporządzenia 2018/1240 oraz projektowanej ustawy konieczne będzie utworzenie w UODO dodatkowo 4 etatów. Oceniając zakres </w:t>
            </w:r>
            <w:r w:rsidRPr="003C6A93">
              <w:rPr>
                <w:rFonts w:asciiTheme="minorHAnsi" w:eastAsia="Times New Roman" w:hAnsiTheme="minorHAnsi" w:cstheme="minorHAnsi"/>
                <w:color w:val="000000"/>
                <w:sz w:val="18"/>
                <w:szCs w:val="18"/>
                <w:lang w:eastAsia="pl-PL"/>
              </w:rPr>
              <w:lastRenderedPageBreak/>
              <w:t>obowiązków wynikających z projektowanej ustawy wskazać należy, że liczba ta nie wydaje się nadmiernie wygórowana.</w:t>
            </w:r>
          </w:p>
          <w:p w14:paraId="3DD5FEC9" w14:textId="2C72ECE9" w:rsidR="00A5753C" w:rsidRPr="00CA6A27" w:rsidRDefault="00A5753C" w:rsidP="00A5753C">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3C6A93">
              <w:rPr>
                <w:rFonts w:asciiTheme="minorHAnsi" w:eastAsia="Times New Roman" w:hAnsiTheme="minorHAnsi" w:cstheme="minorHAnsi"/>
                <w:color w:val="000000"/>
                <w:sz w:val="18"/>
                <w:szCs w:val="18"/>
                <w:lang w:eastAsia="pl-PL"/>
              </w:rPr>
              <w:t>Powyższe informacje znalazły swój wyraz w dołączonym do niniejszego pisma projekcie – Załącznik do Oceny Skutków Regulacji projektu ustawy, w którym przedstawione zostały stosowne wyliczenia. Uprzejmie przekazuję je w załączeniu. Wyrażam głęboką nadzieję, że powyższe informacje spotkają się ze strony Pana Ministra ze zrozumieniem i akceptacją wynikających z nich wniosków co do konieczności przeznaczenia środków budżetowych na wykonanie przez organ nadzorczy zadań planowanych dla niego w ustawie o udziale</w:t>
            </w:r>
            <w:r>
              <w:rPr>
                <w:rFonts w:asciiTheme="minorHAnsi" w:eastAsia="Times New Roman" w:hAnsiTheme="minorHAnsi" w:cstheme="minorHAnsi"/>
                <w:color w:val="000000"/>
                <w:sz w:val="18"/>
                <w:szCs w:val="18"/>
                <w:lang w:eastAsia="pl-PL"/>
              </w:rPr>
              <w:t xml:space="preserve"> </w:t>
            </w:r>
            <w:r w:rsidRPr="003C6A93">
              <w:rPr>
                <w:rFonts w:asciiTheme="minorHAnsi" w:eastAsia="Times New Roman" w:hAnsiTheme="minorHAnsi" w:cstheme="minorHAnsi"/>
                <w:color w:val="000000"/>
                <w:sz w:val="18"/>
                <w:szCs w:val="18"/>
                <w:lang w:eastAsia="pl-PL"/>
              </w:rPr>
              <w:t>Rzeczypospolitej Polskiej w europejskim systemie informacji o podróży oraz zezwoleń na podróż (ETIAS).</w:t>
            </w:r>
          </w:p>
        </w:tc>
        <w:tc>
          <w:tcPr>
            <w:tcW w:w="3402" w:type="dxa"/>
            <w:gridSpan w:val="2"/>
          </w:tcPr>
          <w:p w14:paraId="5572FEA1" w14:textId="77777777" w:rsidR="001E536C" w:rsidRDefault="00EE28BD" w:rsidP="001E536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lastRenderedPageBreak/>
              <w:t>Przesłano</w:t>
            </w:r>
            <w:r w:rsidR="000215F7">
              <w:rPr>
                <w:rFonts w:asciiTheme="minorHAnsi" w:hAnsiTheme="minorHAnsi" w:cstheme="minorHAnsi"/>
                <w:sz w:val="18"/>
                <w:szCs w:val="18"/>
              </w:rPr>
              <w:t xml:space="preserve"> zapytanie do </w:t>
            </w:r>
            <w:r>
              <w:rPr>
                <w:rFonts w:asciiTheme="minorHAnsi" w:hAnsiTheme="minorHAnsi" w:cstheme="minorHAnsi"/>
                <w:sz w:val="18"/>
                <w:szCs w:val="18"/>
              </w:rPr>
              <w:t xml:space="preserve">UODO, w celu </w:t>
            </w:r>
            <w:r w:rsidR="00745B39">
              <w:rPr>
                <w:rFonts w:asciiTheme="minorHAnsi" w:hAnsiTheme="minorHAnsi" w:cstheme="minorHAnsi"/>
                <w:sz w:val="18"/>
                <w:szCs w:val="18"/>
              </w:rPr>
              <w:t>oszacowania</w:t>
            </w:r>
            <w:r>
              <w:rPr>
                <w:rFonts w:asciiTheme="minorHAnsi" w:hAnsiTheme="minorHAnsi" w:cstheme="minorHAnsi"/>
                <w:sz w:val="18"/>
                <w:szCs w:val="18"/>
              </w:rPr>
              <w:t xml:space="preserve"> dokładnych potrzeb związanych z utworzeniem nowych miejsc pracy w UODO </w:t>
            </w:r>
            <w:r w:rsidR="00745B39">
              <w:rPr>
                <w:rFonts w:asciiTheme="minorHAnsi" w:hAnsiTheme="minorHAnsi" w:cstheme="minorHAnsi"/>
                <w:sz w:val="18"/>
                <w:szCs w:val="18"/>
              </w:rPr>
              <w:t>na potrzeby</w:t>
            </w:r>
            <w:r>
              <w:rPr>
                <w:rFonts w:asciiTheme="minorHAnsi" w:hAnsiTheme="minorHAnsi" w:cstheme="minorHAnsi"/>
                <w:sz w:val="18"/>
                <w:szCs w:val="18"/>
              </w:rPr>
              <w:t xml:space="preserve"> </w:t>
            </w:r>
            <w:r w:rsidRPr="003C6A93">
              <w:rPr>
                <w:rFonts w:asciiTheme="minorHAnsi" w:eastAsia="Times New Roman" w:hAnsiTheme="minorHAnsi" w:cstheme="minorHAnsi"/>
                <w:color w:val="000000"/>
                <w:sz w:val="18"/>
                <w:szCs w:val="18"/>
                <w:lang w:eastAsia="pl-PL"/>
              </w:rPr>
              <w:t>wykonani</w:t>
            </w:r>
            <w:r>
              <w:rPr>
                <w:rFonts w:asciiTheme="minorHAnsi" w:eastAsia="Times New Roman" w:hAnsiTheme="minorHAnsi" w:cstheme="minorHAnsi"/>
                <w:color w:val="000000"/>
                <w:sz w:val="18"/>
                <w:szCs w:val="18"/>
                <w:lang w:eastAsia="pl-PL"/>
              </w:rPr>
              <w:t>a</w:t>
            </w:r>
            <w:r w:rsidRPr="003C6A93">
              <w:rPr>
                <w:rFonts w:asciiTheme="minorHAnsi" w:eastAsia="Times New Roman" w:hAnsiTheme="minorHAnsi" w:cstheme="minorHAnsi"/>
                <w:color w:val="000000"/>
                <w:sz w:val="18"/>
                <w:szCs w:val="18"/>
                <w:lang w:eastAsia="pl-PL"/>
              </w:rPr>
              <w:t xml:space="preserve"> przez organ nadzorczy zadań planowanych dla niego w ustawie o udziale</w:t>
            </w:r>
            <w:r>
              <w:rPr>
                <w:rFonts w:asciiTheme="minorHAnsi" w:eastAsia="Times New Roman" w:hAnsiTheme="minorHAnsi" w:cstheme="minorHAnsi"/>
                <w:color w:val="000000"/>
                <w:sz w:val="18"/>
                <w:szCs w:val="18"/>
                <w:lang w:eastAsia="pl-PL"/>
              </w:rPr>
              <w:t xml:space="preserve"> </w:t>
            </w:r>
            <w:r w:rsidRPr="003C6A93">
              <w:rPr>
                <w:rFonts w:asciiTheme="minorHAnsi" w:eastAsia="Times New Roman" w:hAnsiTheme="minorHAnsi" w:cstheme="minorHAnsi"/>
                <w:color w:val="000000"/>
                <w:sz w:val="18"/>
                <w:szCs w:val="18"/>
                <w:lang w:eastAsia="pl-PL"/>
              </w:rPr>
              <w:t>Rzeczypospolitej Polskiej w europejskim systemie informacji o podróży oraz zezwoleń na podróż (ETIAS).</w:t>
            </w:r>
            <w:r w:rsidR="000215F7">
              <w:rPr>
                <w:rFonts w:asciiTheme="minorHAnsi" w:hAnsiTheme="minorHAnsi" w:cstheme="minorHAnsi"/>
                <w:sz w:val="18"/>
                <w:szCs w:val="18"/>
              </w:rPr>
              <w:t xml:space="preserve"> </w:t>
            </w:r>
          </w:p>
          <w:p w14:paraId="73DB2387" w14:textId="77777777" w:rsidR="001E536C" w:rsidRDefault="001E536C" w:rsidP="001E536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59C33EB" w14:textId="379F4307" w:rsidR="001E536C" w:rsidRPr="00BF4C5D" w:rsidRDefault="001E536C" w:rsidP="001E536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sz w:val="18"/>
                <w:szCs w:val="18"/>
              </w:rPr>
              <w:t xml:space="preserve">Na skutek uwag </w:t>
            </w:r>
            <w:proofErr w:type="spellStart"/>
            <w:r>
              <w:rPr>
                <w:rFonts w:asciiTheme="minorHAnsi" w:hAnsiTheme="minorHAnsi" w:cstheme="minorHAnsi"/>
                <w:sz w:val="18"/>
                <w:szCs w:val="18"/>
              </w:rPr>
              <w:t>MFiG</w:t>
            </w:r>
            <w:proofErr w:type="spellEnd"/>
            <w:r>
              <w:rPr>
                <w:rFonts w:asciiTheme="minorHAnsi" w:hAnsiTheme="minorHAnsi" w:cstheme="minorHAnsi"/>
                <w:sz w:val="18"/>
                <w:szCs w:val="18"/>
              </w:rPr>
              <w:t xml:space="preserve"> </w:t>
            </w:r>
            <w:r>
              <w:rPr>
                <w:rFonts w:asciiTheme="minorHAnsi" w:hAnsiTheme="minorHAnsi" w:cstheme="minorHAnsi"/>
                <w:bCs/>
                <w:sz w:val="18"/>
                <w:szCs w:val="18"/>
              </w:rPr>
              <w:t>PUODO wycofał się ze swojej wcze</w:t>
            </w:r>
            <w:r>
              <w:rPr>
                <w:rFonts w:asciiTheme="minorHAnsi" w:hAnsiTheme="minorHAnsi" w:cstheme="minorHAnsi"/>
                <w:bCs/>
                <w:sz w:val="18"/>
                <w:szCs w:val="18"/>
              </w:rPr>
              <w:t>śniejszej uwagi i zrezygnował z </w:t>
            </w:r>
            <w:r>
              <w:rPr>
                <w:rFonts w:asciiTheme="minorHAnsi" w:hAnsiTheme="minorHAnsi" w:cstheme="minorHAnsi"/>
                <w:bCs/>
                <w:sz w:val="18"/>
                <w:szCs w:val="18"/>
              </w:rPr>
              <w:t>wnioskowania o zwiększenie limitu wydatków. Dokonano aktualizacji OSR.</w:t>
            </w:r>
          </w:p>
        </w:tc>
        <w:tc>
          <w:tcPr>
            <w:tcW w:w="3481" w:type="dxa"/>
            <w:gridSpan w:val="2"/>
          </w:tcPr>
          <w:p w14:paraId="6480A279" w14:textId="77777777" w:rsidR="00A5753C" w:rsidRPr="009B2533" w:rsidRDefault="00A5753C" w:rsidP="00A5753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tr w:rsidR="00787817" w:rsidRPr="009B2533" w14:paraId="3AB2AEA1" w14:textId="77777777" w:rsidTr="00787817">
        <w:trPr>
          <w:gridAfter w:val="1"/>
          <w:cnfStyle w:val="000000100000" w:firstRow="0" w:lastRow="0" w:firstColumn="0" w:lastColumn="0" w:oddVBand="0" w:evenVBand="0" w:oddHBand="1" w:evenHBand="0" w:firstRowFirstColumn="0" w:firstRowLastColumn="0" w:lastRowFirstColumn="0" w:lastRowLastColumn="0"/>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2A370FCD" w14:textId="77777777" w:rsidR="00A5753C" w:rsidRPr="009B2533" w:rsidRDefault="00A5753C" w:rsidP="00A5753C">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1D65F68E" w14:textId="77777777" w:rsidR="00A5753C" w:rsidRDefault="00A5753C" w:rsidP="00A5753C">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p>
        </w:tc>
        <w:tc>
          <w:tcPr>
            <w:tcW w:w="1846" w:type="dxa"/>
          </w:tcPr>
          <w:p w14:paraId="6BB05936" w14:textId="0A62133C" w:rsidR="00A5753C" w:rsidRDefault="00A5753C" w:rsidP="00A5753C">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OSR</w:t>
            </w:r>
          </w:p>
        </w:tc>
        <w:tc>
          <w:tcPr>
            <w:tcW w:w="1276" w:type="dxa"/>
          </w:tcPr>
          <w:p w14:paraId="675B4C39" w14:textId="2E76A5C8" w:rsidR="00A5753C" w:rsidRDefault="00A5753C" w:rsidP="00A5753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ZUS</w:t>
            </w:r>
          </w:p>
        </w:tc>
        <w:tc>
          <w:tcPr>
            <w:tcW w:w="4678" w:type="dxa"/>
          </w:tcPr>
          <w:p w14:paraId="3590C829" w14:textId="0742CF6F" w:rsidR="00A5753C" w:rsidRPr="005F426B" w:rsidRDefault="00A5753C" w:rsidP="00A5753C">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5F426B">
              <w:rPr>
                <w:rFonts w:asciiTheme="minorHAnsi" w:eastAsia="Times New Roman" w:hAnsiTheme="minorHAnsi" w:cstheme="minorHAnsi"/>
                <w:color w:val="000000"/>
                <w:sz w:val="18"/>
                <w:szCs w:val="18"/>
                <w:lang w:eastAsia="pl-PL"/>
              </w:rPr>
              <w:t>Sygnalizujemy, że realizacja projektowanych regulacji będzie pociągać za sobą wydatki po stronie Zakładu, związane z modyfikacją i dostosowaniem systemów informatycznych Zakładu, jak również wzrost kosztów związanych z utrzymaniem tych systemów. Wydatki na ten cel będą musiały zostać pokryte w ramach w planu finansowego Zakładu. Wymagane jest uzupełnienie treści OSR o taką informację.</w:t>
            </w:r>
          </w:p>
          <w:p w14:paraId="34881E38" w14:textId="0E5B8FE2" w:rsidR="00A5753C" w:rsidRPr="00391496" w:rsidRDefault="00A5753C" w:rsidP="00A5753C">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r w:rsidRPr="005F426B">
              <w:rPr>
                <w:rFonts w:asciiTheme="minorHAnsi" w:eastAsia="Times New Roman" w:hAnsiTheme="minorHAnsi" w:cstheme="minorHAnsi"/>
                <w:color w:val="000000"/>
                <w:sz w:val="18"/>
                <w:szCs w:val="18"/>
                <w:lang w:eastAsia="pl-PL"/>
              </w:rPr>
              <w:t>Natomiast ze względu na fakt, że środki finansowe na realizację projektu ustawy nie będą możliwe do sfinansowania w 2026 r. ze środków własnych Zakładu, gdyż projekt planu finansowego ZUS na 2026 rok został już przekazany do Ministerstwa Finansów, wymagane będzie zwiększenie środków z odpisu FUS na pokrycie zwiększonych zadań lub przekazanie środków z budżetu państwa na realizację tego zadania.</w:t>
            </w:r>
          </w:p>
        </w:tc>
        <w:tc>
          <w:tcPr>
            <w:tcW w:w="3402" w:type="dxa"/>
            <w:gridSpan w:val="2"/>
          </w:tcPr>
          <w:p w14:paraId="64FC1951" w14:textId="0D39D1A1" w:rsidR="007C74A7" w:rsidRPr="005F426B" w:rsidRDefault="007C74A7" w:rsidP="0066777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bookmarkStart w:id="2" w:name="_GoBack"/>
            <w:bookmarkEnd w:id="2"/>
            <w:r>
              <w:rPr>
                <w:rFonts w:asciiTheme="minorHAnsi" w:hAnsiTheme="minorHAnsi" w:cstheme="minorHAnsi"/>
                <w:sz w:val="18"/>
                <w:szCs w:val="18"/>
              </w:rPr>
              <w:t xml:space="preserve">Przesłano zapytanie do ZUS, w celu oszacowania dokładnych potrzeb </w:t>
            </w:r>
            <w:r w:rsidR="0066777E">
              <w:rPr>
                <w:rFonts w:asciiTheme="minorHAnsi" w:hAnsiTheme="minorHAnsi" w:cstheme="minorHAnsi"/>
                <w:sz w:val="18"/>
                <w:szCs w:val="18"/>
              </w:rPr>
              <w:t>w zakresie</w:t>
            </w:r>
            <w:r>
              <w:rPr>
                <w:rFonts w:asciiTheme="minorHAnsi" w:hAnsiTheme="minorHAnsi" w:cstheme="minorHAnsi"/>
                <w:sz w:val="18"/>
                <w:szCs w:val="18"/>
              </w:rPr>
              <w:t xml:space="preserve"> </w:t>
            </w:r>
            <w:r w:rsidRPr="003C6A93">
              <w:rPr>
                <w:rFonts w:asciiTheme="minorHAnsi" w:eastAsia="Times New Roman" w:hAnsiTheme="minorHAnsi" w:cstheme="minorHAnsi"/>
                <w:color w:val="000000"/>
                <w:sz w:val="18"/>
                <w:szCs w:val="18"/>
                <w:lang w:eastAsia="pl-PL"/>
              </w:rPr>
              <w:t>wykonani</w:t>
            </w:r>
            <w:r>
              <w:rPr>
                <w:rFonts w:asciiTheme="minorHAnsi" w:eastAsia="Times New Roman" w:hAnsiTheme="minorHAnsi" w:cstheme="minorHAnsi"/>
                <w:color w:val="000000"/>
                <w:sz w:val="18"/>
                <w:szCs w:val="18"/>
                <w:lang w:eastAsia="pl-PL"/>
              </w:rPr>
              <w:t>a</w:t>
            </w:r>
            <w:r w:rsidRPr="003C6A93">
              <w:rPr>
                <w:rFonts w:asciiTheme="minorHAnsi" w:eastAsia="Times New Roman" w:hAnsiTheme="minorHAnsi" w:cstheme="minorHAnsi"/>
                <w:color w:val="000000"/>
                <w:sz w:val="18"/>
                <w:szCs w:val="18"/>
                <w:lang w:eastAsia="pl-PL"/>
              </w:rPr>
              <w:t xml:space="preserve"> przez organ nadzorczy zadań planowanych dla niego w ustawie o udziale</w:t>
            </w:r>
            <w:r>
              <w:rPr>
                <w:rFonts w:asciiTheme="minorHAnsi" w:eastAsia="Times New Roman" w:hAnsiTheme="minorHAnsi" w:cstheme="minorHAnsi"/>
                <w:color w:val="000000"/>
                <w:sz w:val="18"/>
                <w:szCs w:val="18"/>
                <w:lang w:eastAsia="pl-PL"/>
              </w:rPr>
              <w:t xml:space="preserve"> </w:t>
            </w:r>
            <w:r w:rsidRPr="003C6A93">
              <w:rPr>
                <w:rFonts w:asciiTheme="minorHAnsi" w:eastAsia="Times New Roman" w:hAnsiTheme="minorHAnsi" w:cstheme="minorHAnsi"/>
                <w:color w:val="000000"/>
                <w:sz w:val="18"/>
                <w:szCs w:val="18"/>
                <w:lang w:eastAsia="pl-PL"/>
              </w:rPr>
              <w:t>Rzeczypospolitej Polskiej w europejskim systemie informacji o podróży oraz zezwoleń na podróż (ETIAS).</w:t>
            </w:r>
            <w:r>
              <w:rPr>
                <w:rFonts w:asciiTheme="minorHAnsi" w:hAnsiTheme="minorHAnsi" w:cstheme="minorHAnsi"/>
                <w:sz w:val="18"/>
                <w:szCs w:val="18"/>
              </w:rPr>
              <w:t xml:space="preserve">  Otrzymano informację i dokonano </w:t>
            </w:r>
            <w:r w:rsidR="00AC52A5">
              <w:rPr>
                <w:rFonts w:asciiTheme="minorHAnsi" w:hAnsiTheme="minorHAnsi" w:cstheme="minorHAnsi"/>
                <w:sz w:val="18"/>
                <w:szCs w:val="18"/>
              </w:rPr>
              <w:t xml:space="preserve">aktualizacji </w:t>
            </w:r>
            <w:r w:rsidR="0066777E">
              <w:rPr>
                <w:rFonts w:asciiTheme="minorHAnsi" w:hAnsiTheme="minorHAnsi" w:cstheme="minorHAnsi"/>
                <w:sz w:val="18"/>
                <w:szCs w:val="18"/>
              </w:rPr>
              <w:br/>
            </w:r>
            <w:r w:rsidR="00AC52A5">
              <w:rPr>
                <w:rFonts w:asciiTheme="minorHAnsi" w:hAnsiTheme="minorHAnsi" w:cstheme="minorHAnsi"/>
                <w:sz w:val="18"/>
                <w:szCs w:val="18"/>
              </w:rPr>
              <w:t xml:space="preserve">w projekcie ustawy, </w:t>
            </w:r>
            <w:r>
              <w:rPr>
                <w:rFonts w:asciiTheme="minorHAnsi" w:hAnsiTheme="minorHAnsi" w:cstheme="minorHAnsi"/>
                <w:sz w:val="18"/>
                <w:szCs w:val="18"/>
              </w:rPr>
              <w:t>uzasadnieni</w:t>
            </w:r>
            <w:r w:rsidR="00AC52A5">
              <w:rPr>
                <w:rFonts w:asciiTheme="minorHAnsi" w:hAnsiTheme="minorHAnsi" w:cstheme="minorHAnsi"/>
                <w:sz w:val="18"/>
                <w:szCs w:val="18"/>
              </w:rPr>
              <w:t>u</w:t>
            </w:r>
            <w:r>
              <w:rPr>
                <w:rFonts w:asciiTheme="minorHAnsi" w:hAnsiTheme="minorHAnsi" w:cstheme="minorHAnsi"/>
                <w:sz w:val="18"/>
                <w:szCs w:val="18"/>
              </w:rPr>
              <w:t xml:space="preserve">, OSR </w:t>
            </w:r>
            <w:r w:rsidR="0066777E">
              <w:rPr>
                <w:rFonts w:asciiTheme="minorHAnsi" w:hAnsiTheme="minorHAnsi" w:cstheme="minorHAnsi"/>
                <w:sz w:val="18"/>
                <w:szCs w:val="18"/>
              </w:rPr>
              <w:br/>
            </w:r>
            <w:r>
              <w:rPr>
                <w:rFonts w:asciiTheme="minorHAnsi" w:hAnsiTheme="minorHAnsi" w:cstheme="minorHAnsi"/>
                <w:sz w:val="18"/>
                <w:szCs w:val="18"/>
              </w:rPr>
              <w:t>i załącznik</w:t>
            </w:r>
            <w:r w:rsidR="00AC52A5">
              <w:rPr>
                <w:rFonts w:asciiTheme="minorHAnsi" w:hAnsiTheme="minorHAnsi" w:cstheme="minorHAnsi"/>
                <w:sz w:val="18"/>
                <w:szCs w:val="18"/>
              </w:rPr>
              <w:t>u</w:t>
            </w:r>
            <w:r>
              <w:rPr>
                <w:rFonts w:asciiTheme="minorHAnsi" w:hAnsiTheme="minorHAnsi" w:cstheme="minorHAnsi"/>
                <w:sz w:val="18"/>
                <w:szCs w:val="18"/>
              </w:rPr>
              <w:t>.</w:t>
            </w:r>
          </w:p>
        </w:tc>
        <w:tc>
          <w:tcPr>
            <w:tcW w:w="3481" w:type="dxa"/>
            <w:gridSpan w:val="2"/>
          </w:tcPr>
          <w:p w14:paraId="36642380" w14:textId="77777777" w:rsidR="00A5753C" w:rsidRPr="009B2533" w:rsidRDefault="00A5753C" w:rsidP="00A5753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r>
      <w:tr w:rsidR="00787817" w:rsidRPr="009B2533" w14:paraId="2CAC0D67" w14:textId="77777777" w:rsidTr="00787817">
        <w:trPr>
          <w:gridAfter w:val="1"/>
          <w:wAfter w:w="45" w:type="dxa"/>
          <w:trHeight w:val="453"/>
          <w:hidden/>
        </w:trPr>
        <w:tc>
          <w:tcPr>
            <w:cnfStyle w:val="001000000000" w:firstRow="0" w:lastRow="0" w:firstColumn="1" w:lastColumn="0" w:oddVBand="0" w:evenVBand="0" w:oddHBand="0" w:evenHBand="0" w:firstRowFirstColumn="0" w:firstRowLastColumn="0" w:lastRowFirstColumn="0" w:lastRowLastColumn="0"/>
            <w:tcW w:w="355" w:type="dxa"/>
          </w:tcPr>
          <w:p w14:paraId="37957D8A" w14:textId="77777777" w:rsidR="00A5753C" w:rsidRPr="009B2533" w:rsidRDefault="00A5753C" w:rsidP="00A5753C">
            <w:pPr>
              <w:pStyle w:val="Akapitzlist"/>
              <w:numPr>
                <w:ilvl w:val="0"/>
                <w:numId w:val="3"/>
              </w:numPr>
              <w:ind w:left="313"/>
              <w:jc w:val="both"/>
              <w:rPr>
                <w:rFonts w:asciiTheme="minorHAnsi" w:hAnsiTheme="minorHAnsi" w:cstheme="minorHAnsi"/>
                <w:bCs w:val="0"/>
                <w:vanish/>
                <w:sz w:val="18"/>
                <w:szCs w:val="18"/>
              </w:rPr>
            </w:pPr>
          </w:p>
        </w:tc>
        <w:tc>
          <w:tcPr>
            <w:tcW w:w="771" w:type="dxa"/>
          </w:tcPr>
          <w:p w14:paraId="7CFDFB62" w14:textId="77777777" w:rsidR="00A5753C" w:rsidRDefault="00A5753C" w:rsidP="00A5753C">
            <w:pPr>
              <w:jc w:val="both"/>
              <w:cnfStyle w:val="000000000000" w:firstRow="0" w:lastRow="0" w:firstColumn="0" w:lastColumn="0" w:oddVBand="0" w:evenVBand="0" w:oddHBand="0" w:evenHBand="0" w:firstRowFirstColumn="0" w:firstRowLastColumn="0" w:lastRowFirstColumn="0" w:lastRowLastColumn="0"/>
              <w:rPr>
                <w:rStyle w:val="Ppogrubienie"/>
                <w:rFonts w:asciiTheme="minorHAnsi" w:hAnsiTheme="minorHAnsi" w:cstheme="minorHAnsi"/>
                <w:b w:val="0"/>
                <w:sz w:val="18"/>
                <w:szCs w:val="18"/>
              </w:rPr>
            </w:pPr>
          </w:p>
        </w:tc>
        <w:tc>
          <w:tcPr>
            <w:tcW w:w="1846" w:type="dxa"/>
          </w:tcPr>
          <w:p w14:paraId="36A1E027" w14:textId="1D759E77" w:rsidR="00A5753C" w:rsidRDefault="00A5753C" w:rsidP="00A5753C">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36188B">
              <w:rPr>
                <w:rFonts w:asciiTheme="minorHAnsi" w:hAnsiTheme="minorHAnsi" w:cstheme="minorHAnsi"/>
                <w:bCs/>
                <w:sz w:val="18"/>
                <w:szCs w:val="18"/>
              </w:rPr>
              <w:t>OSR</w:t>
            </w:r>
          </w:p>
        </w:tc>
        <w:tc>
          <w:tcPr>
            <w:tcW w:w="1276" w:type="dxa"/>
          </w:tcPr>
          <w:p w14:paraId="7B211440" w14:textId="297E14FA" w:rsidR="00A5753C" w:rsidRPr="000C702C" w:rsidRDefault="00A5753C" w:rsidP="00A5753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9A1C9B">
              <w:rPr>
                <w:rFonts w:asciiTheme="minorHAnsi" w:hAnsiTheme="minorHAnsi" w:cstheme="minorHAnsi"/>
                <w:color w:val="000000" w:themeColor="text1"/>
                <w:sz w:val="18"/>
                <w:szCs w:val="18"/>
              </w:rPr>
              <w:t>Wojewoda Zachodniopomorski</w:t>
            </w:r>
          </w:p>
        </w:tc>
        <w:tc>
          <w:tcPr>
            <w:tcW w:w="4678" w:type="dxa"/>
          </w:tcPr>
          <w:p w14:paraId="15AF6D6D" w14:textId="5C725259" w:rsidR="00A5753C" w:rsidRPr="009A1C9B" w:rsidRDefault="00A5753C" w:rsidP="00A5753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W</w:t>
            </w:r>
            <w:r w:rsidRPr="009A1C9B">
              <w:rPr>
                <w:rFonts w:asciiTheme="minorHAnsi" w:hAnsiTheme="minorHAnsi" w:cstheme="minorHAnsi"/>
                <w:sz w:val="18"/>
                <w:szCs w:val="18"/>
              </w:rPr>
              <w:t xml:space="preserve"> dokumencie Ocena Skutków Regulacji pkt 6 Wpływ na sektor ﬁnansów publicznych nie ujęto konieczności zwiększenia zatrudnienia wynikającej z realizacji przez wojewodów nowych zadań przewidzianych w projekcie ustawy.</w:t>
            </w:r>
          </w:p>
          <w:p w14:paraId="0605A79F" w14:textId="77777777" w:rsidR="00A5753C" w:rsidRPr="009A1C9B" w:rsidRDefault="00A5753C" w:rsidP="00A5753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21FC3B02" w14:textId="77777777" w:rsidR="00A5753C" w:rsidRPr="009A1C9B" w:rsidRDefault="00A5753C" w:rsidP="00A5753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9A1C9B">
              <w:rPr>
                <w:rFonts w:asciiTheme="minorHAnsi" w:hAnsiTheme="minorHAnsi" w:cstheme="minorHAnsi"/>
                <w:sz w:val="18"/>
                <w:szCs w:val="18"/>
              </w:rPr>
              <w:t>Do realizacji nowych zadań wojewody wynikających z projektu ustawy, w ocenie tutejszego Urzędu potrzebny jest co najmniej jeden dodatkowy etat. Koszt roczny utworzenia dodatkowego jednego etatu w Zachodniopomorskim Urzędzie Wojewódzkim w Szczecinie wynosi: - koszty osobowe utworzenia jednego etatu: 138 tys. zł</w:t>
            </w:r>
          </w:p>
          <w:p w14:paraId="647070B3" w14:textId="77777777" w:rsidR="00A5753C" w:rsidRPr="009A1C9B" w:rsidRDefault="00A5753C" w:rsidP="00A5753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48A06CFA" w14:textId="77777777" w:rsidR="00A5753C" w:rsidRPr="009A1C9B" w:rsidRDefault="00A5753C" w:rsidP="00A5753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9A1C9B">
              <w:rPr>
                <w:rFonts w:asciiTheme="minorHAnsi" w:hAnsiTheme="minorHAnsi" w:cstheme="minorHAnsi"/>
                <w:sz w:val="18"/>
                <w:szCs w:val="18"/>
              </w:rPr>
              <w:t>- koszty rzeczowe utworzenia jednego etatu: 18 tys. zł</w:t>
            </w:r>
          </w:p>
          <w:p w14:paraId="4D818684" w14:textId="77777777" w:rsidR="00A5753C" w:rsidRPr="009A1C9B" w:rsidRDefault="00A5753C" w:rsidP="00A5753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3F12E485" w14:textId="7D124BAB" w:rsidR="00A5753C" w:rsidRPr="004610F0" w:rsidRDefault="00A5753C" w:rsidP="00A5753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9A1C9B">
              <w:rPr>
                <w:rFonts w:asciiTheme="minorHAnsi" w:hAnsiTheme="minorHAnsi" w:cstheme="minorHAnsi"/>
                <w:sz w:val="18"/>
                <w:szCs w:val="18"/>
              </w:rPr>
              <w:lastRenderedPageBreak/>
              <w:t>W związku z powyższym wnoszę o uzupełnienie Oceny Skutków Regulacji dla projektu ustawy o udziale Rzeczypospolitej Polskiej w europejskim systemie informacji o podróży oraz zezwoleń na podróż (ETIAS) -UC104 w wyżej wskazanym zakresie.</w:t>
            </w:r>
          </w:p>
        </w:tc>
        <w:tc>
          <w:tcPr>
            <w:tcW w:w="3402" w:type="dxa"/>
            <w:gridSpan w:val="2"/>
          </w:tcPr>
          <w:p w14:paraId="3474C280" w14:textId="1D7AF29F" w:rsidR="00820E94" w:rsidRPr="00820E94" w:rsidRDefault="00820E94" w:rsidP="00A5753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820E94">
              <w:rPr>
                <w:rFonts w:asciiTheme="minorHAnsi" w:hAnsiTheme="minorHAnsi" w:cstheme="minorHAnsi"/>
                <w:b/>
                <w:bCs/>
                <w:sz w:val="18"/>
                <w:szCs w:val="18"/>
              </w:rPr>
              <w:lastRenderedPageBreak/>
              <w:t>Nie uwzględniono.</w:t>
            </w:r>
          </w:p>
          <w:p w14:paraId="2BF8A811" w14:textId="05F6495F" w:rsidR="00820E94" w:rsidRPr="00820E94" w:rsidRDefault="009E3E8C" w:rsidP="00820E9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9373A5">
              <w:rPr>
                <w:rFonts w:asciiTheme="minorHAnsi" w:hAnsiTheme="minorHAnsi" w:cstheme="minorHAnsi"/>
                <w:bCs/>
                <w:sz w:val="18"/>
                <w:szCs w:val="18"/>
              </w:rPr>
              <w:t>Właściw</w:t>
            </w:r>
            <w:r w:rsidR="000B41B3" w:rsidRPr="009373A5">
              <w:rPr>
                <w:rFonts w:asciiTheme="minorHAnsi" w:hAnsiTheme="minorHAnsi" w:cstheme="minorHAnsi"/>
                <w:bCs/>
                <w:sz w:val="18"/>
                <w:szCs w:val="18"/>
              </w:rPr>
              <w:t>e</w:t>
            </w:r>
            <w:r w:rsidRPr="009373A5">
              <w:rPr>
                <w:rFonts w:asciiTheme="minorHAnsi" w:hAnsiTheme="minorHAnsi" w:cstheme="minorHAnsi"/>
                <w:bCs/>
                <w:sz w:val="18"/>
                <w:szCs w:val="18"/>
              </w:rPr>
              <w:t xml:space="preserve"> urz</w:t>
            </w:r>
            <w:r w:rsidR="000B41B3" w:rsidRPr="009373A5">
              <w:rPr>
                <w:rFonts w:asciiTheme="minorHAnsi" w:hAnsiTheme="minorHAnsi" w:cstheme="minorHAnsi"/>
                <w:bCs/>
                <w:sz w:val="18"/>
                <w:szCs w:val="18"/>
              </w:rPr>
              <w:t>ędy</w:t>
            </w:r>
            <w:r w:rsidR="00FF6171">
              <w:rPr>
                <w:rFonts w:asciiTheme="minorHAnsi" w:hAnsiTheme="minorHAnsi" w:cstheme="minorHAnsi"/>
                <w:bCs/>
                <w:sz w:val="18"/>
                <w:szCs w:val="18"/>
              </w:rPr>
              <w:t xml:space="preserve"> w</w:t>
            </w:r>
            <w:r w:rsidRPr="009373A5">
              <w:rPr>
                <w:rFonts w:asciiTheme="minorHAnsi" w:hAnsiTheme="minorHAnsi" w:cstheme="minorHAnsi"/>
                <w:bCs/>
                <w:sz w:val="18"/>
                <w:szCs w:val="18"/>
              </w:rPr>
              <w:t>ojewódzki</w:t>
            </w:r>
            <w:r w:rsidR="00FF6171">
              <w:rPr>
                <w:rFonts w:asciiTheme="minorHAnsi" w:hAnsiTheme="minorHAnsi" w:cstheme="minorHAnsi"/>
                <w:bCs/>
                <w:sz w:val="18"/>
                <w:szCs w:val="18"/>
              </w:rPr>
              <w:t>e</w:t>
            </w:r>
            <w:r w:rsidRPr="009373A5">
              <w:rPr>
                <w:rFonts w:asciiTheme="minorHAnsi" w:hAnsiTheme="minorHAnsi" w:cstheme="minorHAnsi"/>
                <w:bCs/>
                <w:sz w:val="18"/>
                <w:szCs w:val="18"/>
              </w:rPr>
              <w:t xml:space="preserve"> został</w:t>
            </w:r>
            <w:r w:rsidR="000B41B3" w:rsidRPr="009373A5">
              <w:rPr>
                <w:rFonts w:asciiTheme="minorHAnsi" w:hAnsiTheme="minorHAnsi" w:cstheme="minorHAnsi"/>
                <w:bCs/>
                <w:sz w:val="18"/>
                <w:szCs w:val="18"/>
              </w:rPr>
              <w:t>y</w:t>
            </w:r>
            <w:r w:rsidRPr="009373A5">
              <w:rPr>
                <w:rFonts w:asciiTheme="minorHAnsi" w:hAnsiTheme="minorHAnsi" w:cstheme="minorHAnsi"/>
                <w:bCs/>
                <w:sz w:val="18"/>
                <w:szCs w:val="18"/>
              </w:rPr>
              <w:t xml:space="preserve"> rozpytan</w:t>
            </w:r>
            <w:r w:rsidR="000B41B3" w:rsidRPr="009373A5">
              <w:rPr>
                <w:rFonts w:asciiTheme="minorHAnsi" w:hAnsiTheme="minorHAnsi" w:cstheme="minorHAnsi"/>
                <w:bCs/>
                <w:sz w:val="18"/>
                <w:szCs w:val="18"/>
              </w:rPr>
              <w:t>e</w:t>
            </w:r>
            <w:r w:rsidRPr="009373A5">
              <w:rPr>
                <w:rFonts w:asciiTheme="minorHAnsi" w:hAnsiTheme="minorHAnsi" w:cstheme="minorHAnsi"/>
                <w:bCs/>
                <w:sz w:val="18"/>
                <w:szCs w:val="18"/>
              </w:rPr>
              <w:t xml:space="preserve"> w celu pozyskania </w:t>
            </w:r>
            <w:r w:rsidR="00953FF8" w:rsidRPr="009373A5">
              <w:rPr>
                <w:rFonts w:asciiTheme="minorHAnsi" w:hAnsiTheme="minorHAnsi" w:cstheme="minorHAnsi"/>
                <w:bCs/>
                <w:sz w:val="18"/>
                <w:szCs w:val="18"/>
              </w:rPr>
              <w:t>szczegółowych</w:t>
            </w:r>
            <w:r w:rsidRPr="009373A5">
              <w:rPr>
                <w:rFonts w:asciiTheme="minorHAnsi" w:hAnsiTheme="minorHAnsi" w:cstheme="minorHAnsi"/>
                <w:bCs/>
                <w:sz w:val="18"/>
                <w:szCs w:val="18"/>
              </w:rPr>
              <w:t xml:space="preserve"> informacji. </w:t>
            </w:r>
            <w:r w:rsidR="00820E94">
              <w:rPr>
                <w:rFonts w:asciiTheme="minorHAnsi" w:hAnsiTheme="minorHAnsi" w:cstheme="minorHAnsi"/>
                <w:bCs/>
                <w:sz w:val="18"/>
                <w:szCs w:val="18"/>
              </w:rPr>
              <w:t>W</w:t>
            </w:r>
            <w:r w:rsidRPr="009373A5">
              <w:rPr>
                <w:rFonts w:asciiTheme="minorHAnsi" w:hAnsiTheme="minorHAnsi" w:cstheme="minorHAnsi"/>
                <w:bCs/>
                <w:sz w:val="18"/>
                <w:szCs w:val="18"/>
              </w:rPr>
              <w:t>ysłan</w:t>
            </w:r>
            <w:r w:rsidR="00820E94">
              <w:rPr>
                <w:rFonts w:asciiTheme="minorHAnsi" w:hAnsiTheme="minorHAnsi" w:cstheme="minorHAnsi"/>
                <w:bCs/>
                <w:sz w:val="18"/>
                <w:szCs w:val="18"/>
              </w:rPr>
              <w:t>o</w:t>
            </w:r>
            <w:r w:rsidRPr="009373A5">
              <w:rPr>
                <w:rFonts w:asciiTheme="minorHAnsi" w:hAnsiTheme="minorHAnsi" w:cstheme="minorHAnsi"/>
                <w:bCs/>
                <w:sz w:val="18"/>
                <w:szCs w:val="18"/>
              </w:rPr>
              <w:t xml:space="preserve"> </w:t>
            </w:r>
            <w:r w:rsidR="00953FF8" w:rsidRPr="009373A5">
              <w:rPr>
                <w:rFonts w:asciiTheme="minorHAnsi" w:hAnsiTheme="minorHAnsi" w:cstheme="minorHAnsi"/>
                <w:bCs/>
                <w:sz w:val="18"/>
                <w:szCs w:val="18"/>
              </w:rPr>
              <w:t>zapytania do</w:t>
            </w:r>
            <w:r w:rsidR="00820E94">
              <w:rPr>
                <w:rFonts w:asciiTheme="minorHAnsi" w:hAnsiTheme="minorHAnsi" w:cstheme="minorHAnsi"/>
                <w:bCs/>
                <w:sz w:val="18"/>
                <w:szCs w:val="18"/>
              </w:rPr>
              <w:t xml:space="preserve"> UW w </w:t>
            </w:r>
            <w:r w:rsidRPr="009373A5">
              <w:rPr>
                <w:rFonts w:asciiTheme="minorHAnsi" w:hAnsiTheme="minorHAnsi" w:cstheme="minorHAnsi"/>
                <w:bCs/>
                <w:sz w:val="18"/>
                <w:szCs w:val="18"/>
              </w:rPr>
              <w:t>całej Polsce, cel</w:t>
            </w:r>
            <w:r w:rsidR="00403F6A" w:rsidRPr="009373A5">
              <w:rPr>
                <w:rFonts w:asciiTheme="minorHAnsi" w:hAnsiTheme="minorHAnsi" w:cstheme="minorHAnsi"/>
                <w:bCs/>
                <w:sz w:val="18"/>
                <w:szCs w:val="18"/>
              </w:rPr>
              <w:t>em zebrani</w:t>
            </w:r>
            <w:r w:rsidR="00953FF8" w:rsidRPr="009373A5">
              <w:rPr>
                <w:rFonts w:asciiTheme="minorHAnsi" w:hAnsiTheme="minorHAnsi" w:cstheme="minorHAnsi"/>
                <w:bCs/>
                <w:sz w:val="18"/>
                <w:szCs w:val="18"/>
              </w:rPr>
              <w:t>a</w:t>
            </w:r>
            <w:r w:rsidR="00403F6A" w:rsidRPr="009373A5">
              <w:rPr>
                <w:rFonts w:asciiTheme="minorHAnsi" w:hAnsiTheme="minorHAnsi" w:cstheme="minorHAnsi"/>
                <w:bCs/>
                <w:sz w:val="18"/>
                <w:szCs w:val="18"/>
              </w:rPr>
              <w:t xml:space="preserve"> rzetelnych </w:t>
            </w:r>
            <w:r w:rsidR="00953FF8" w:rsidRPr="009373A5">
              <w:rPr>
                <w:rFonts w:asciiTheme="minorHAnsi" w:hAnsiTheme="minorHAnsi" w:cstheme="minorHAnsi"/>
                <w:bCs/>
                <w:sz w:val="18"/>
                <w:szCs w:val="18"/>
              </w:rPr>
              <w:t xml:space="preserve">informacji w zakresie </w:t>
            </w:r>
            <w:r w:rsidR="00403F6A" w:rsidRPr="009373A5">
              <w:rPr>
                <w:rFonts w:asciiTheme="minorHAnsi" w:hAnsiTheme="minorHAnsi" w:cstheme="minorHAnsi"/>
                <w:bCs/>
                <w:sz w:val="18"/>
                <w:szCs w:val="18"/>
              </w:rPr>
              <w:t>potrzeb</w:t>
            </w:r>
            <w:r w:rsidR="00953FF8" w:rsidRPr="009373A5">
              <w:rPr>
                <w:rFonts w:asciiTheme="minorHAnsi" w:hAnsiTheme="minorHAnsi" w:cstheme="minorHAnsi"/>
                <w:bCs/>
                <w:sz w:val="18"/>
                <w:szCs w:val="18"/>
              </w:rPr>
              <w:t xml:space="preserve"> finansowych</w:t>
            </w:r>
            <w:r w:rsidR="00403F6A" w:rsidRPr="009373A5">
              <w:rPr>
                <w:rFonts w:asciiTheme="minorHAnsi" w:hAnsiTheme="minorHAnsi" w:cstheme="minorHAnsi"/>
                <w:bCs/>
                <w:sz w:val="18"/>
                <w:szCs w:val="18"/>
              </w:rPr>
              <w:t xml:space="preserve"> U</w:t>
            </w:r>
            <w:r w:rsidRPr="009373A5">
              <w:rPr>
                <w:rFonts w:asciiTheme="minorHAnsi" w:hAnsiTheme="minorHAnsi" w:cstheme="minorHAnsi"/>
                <w:bCs/>
                <w:sz w:val="18"/>
                <w:szCs w:val="18"/>
              </w:rPr>
              <w:t>rzędów Wojew</w:t>
            </w:r>
            <w:r w:rsidR="00403F6A" w:rsidRPr="009373A5">
              <w:rPr>
                <w:rFonts w:asciiTheme="minorHAnsi" w:hAnsiTheme="minorHAnsi" w:cstheme="minorHAnsi"/>
                <w:bCs/>
                <w:sz w:val="18"/>
                <w:szCs w:val="18"/>
              </w:rPr>
              <w:t>ódzkich</w:t>
            </w:r>
            <w:r w:rsidR="00820E94">
              <w:rPr>
                <w:rFonts w:asciiTheme="minorHAnsi" w:hAnsiTheme="minorHAnsi" w:cstheme="minorHAnsi"/>
                <w:bCs/>
                <w:sz w:val="18"/>
                <w:szCs w:val="18"/>
              </w:rPr>
              <w:t xml:space="preserve"> wynikających z projektowanej regulacji, jednak zgodnie z </w:t>
            </w:r>
            <w:r w:rsidR="0066777E">
              <w:rPr>
                <w:rFonts w:asciiTheme="minorHAnsi" w:hAnsiTheme="minorHAnsi" w:cstheme="minorHAnsi"/>
                <w:bCs/>
                <w:sz w:val="18"/>
                <w:szCs w:val="18"/>
              </w:rPr>
              <w:t xml:space="preserve">informacjami otrzymanymi od </w:t>
            </w:r>
            <w:proofErr w:type="spellStart"/>
            <w:r w:rsidR="0066777E">
              <w:rPr>
                <w:rFonts w:asciiTheme="minorHAnsi" w:hAnsiTheme="minorHAnsi" w:cstheme="minorHAnsi"/>
                <w:bCs/>
                <w:sz w:val="18"/>
                <w:szCs w:val="18"/>
              </w:rPr>
              <w:t>MFi</w:t>
            </w:r>
            <w:r w:rsidR="00820E94" w:rsidRPr="00820E94">
              <w:rPr>
                <w:rFonts w:asciiTheme="minorHAnsi" w:hAnsiTheme="minorHAnsi" w:cstheme="minorHAnsi"/>
                <w:bCs/>
                <w:sz w:val="18"/>
                <w:szCs w:val="18"/>
              </w:rPr>
              <w:t>G</w:t>
            </w:r>
            <w:proofErr w:type="spellEnd"/>
            <w:r w:rsidR="00820E94" w:rsidRPr="00820E94">
              <w:rPr>
                <w:rFonts w:asciiTheme="minorHAnsi" w:hAnsiTheme="minorHAnsi" w:cstheme="minorHAnsi"/>
                <w:bCs/>
                <w:sz w:val="18"/>
                <w:szCs w:val="18"/>
              </w:rPr>
              <w:t>, przedstawione w OSR informacje nie uzasadniają zwiększenia liczby etatów</w:t>
            </w:r>
            <w:r w:rsidR="00820E94">
              <w:rPr>
                <w:rFonts w:asciiTheme="minorHAnsi" w:hAnsiTheme="minorHAnsi" w:cstheme="minorHAnsi"/>
                <w:bCs/>
                <w:sz w:val="18"/>
                <w:szCs w:val="18"/>
              </w:rPr>
              <w:t xml:space="preserve"> w </w:t>
            </w:r>
            <w:r w:rsidR="00820E94" w:rsidRPr="00820E94">
              <w:rPr>
                <w:rFonts w:asciiTheme="minorHAnsi" w:hAnsiTheme="minorHAnsi" w:cstheme="minorHAnsi"/>
                <w:bCs/>
                <w:sz w:val="18"/>
                <w:szCs w:val="18"/>
              </w:rPr>
              <w:t>urzędach wojewódzkich.</w:t>
            </w:r>
          </w:p>
          <w:p w14:paraId="4533ADBB" w14:textId="37C4920F" w:rsidR="00820E94" w:rsidRPr="00820E94" w:rsidRDefault="00820E94" w:rsidP="00820E9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820E94">
              <w:rPr>
                <w:rFonts w:asciiTheme="minorHAnsi" w:hAnsiTheme="minorHAnsi" w:cstheme="minorHAnsi"/>
                <w:bCs/>
                <w:sz w:val="18"/>
                <w:szCs w:val="18"/>
              </w:rPr>
              <w:t>Wnioskowanie o nowe etaty powinno mieć</w:t>
            </w:r>
            <w:r>
              <w:rPr>
                <w:rFonts w:asciiTheme="minorHAnsi" w:hAnsiTheme="minorHAnsi" w:cstheme="minorHAnsi"/>
                <w:bCs/>
                <w:sz w:val="18"/>
                <w:szCs w:val="18"/>
              </w:rPr>
              <w:t xml:space="preserve"> </w:t>
            </w:r>
            <w:r w:rsidRPr="00820E94">
              <w:rPr>
                <w:rFonts w:asciiTheme="minorHAnsi" w:hAnsiTheme="minorHAnsi" w:cstheme="minorHAnsi"/>
                <w:bCs/>
                <w:sz w:val="18"/>
                <w:szCs w:val="18"/>
              </w:rPr>
              <w:t xml:space="preserve">miejsce dopiero w przypadku możliwie </w:t>
            </w:r>
            <w:r w:rsidRPr="00820E94">
              <w:rPr>
                <w:rFonts w:asciiTheme="minorHAnsi" w:hAnsiTheme="minorHAnsi" w:cstheme="minorHAnsi"/>
                <w:bCs/>
                <w:sz w:val="18"/>
                <w:szCs w:val="18"/>
              </w:rPr>
              <w:lastRenderedPageBreak/>
              <w:t>pełnej obsady obecnie posiadanych</w:t>
            </w:r>
            <w:r>
              <w:rPr>
                <w:rFonts w:asciiTheme="minorHAnsi" w:hAnsiTheme="minorHAnsi" w:cstheme="minorHAnsi"/>
                <w:bCs/>
                <w:sz w:val="18"/>
                <w:szCs w:val="18"/>
              </w:rPr>
              <w:t xml:space="preserve"> </w:t>
            </w:r>
            <w:r w:rsidRPr="00820E94">
              <w:rPr>
                <w:rFonts w:asciiTheme="minorHAnsi" w:hAnsiTheme="minorHAnsi" w:cstheme="minorHAnsi"/>
                <w:bCs/>
                <w:sz w:val="18"/>
                <w:szCs w:val="18"/>
              </w:rPr>
              <w:t>etatów i znaczącego wzrostu ilości zadań.</w:t>
            </w:r>
          </w:p>
          <w:p w14:paraId="52D5932A" w14:textId="6F82BF82" w:rsidR="00095E11" w:rsidRPr="00820E94" w:rsidRDefault="00820E94" w:rsidP="00DE0F5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820E94">
              <w:rPr>
                <w:rFonts w:asciiTheme="minorHAnsi" w:hAnsiTheme="minorHAnsi" w:cstheme="minorHAnsi"/>
                <w:bCs/>
                <w:sz w:val="18"/>
                <w:szCs w:val="18"/>
              </w:rPr>
              <w:t>W konsekwencji powyższego,</w:t>
            </w:r>
            <w:r w:rsidR="00FF6171">
              <w:rPr>
                <w:rFonts w:asciiTheme="minorHAnsi" w:hAnsiTheme="minorHAnsi" w:cstheme="minorHAnsi"/>
                <w:bCs/>
                <w:sz w:val="18"/>
                <w:szCs w:val="18"/>
              </w:rPr>
              <w:t xml:space="preserve"> zgodnie z uwagą MFi</w:t>
            </w:r>
            <w:r>
              <w:rPr>
                <w:rFonts w:asciiTheme="minorHAnsi" w:hAnsiTheme="minorHAnsi" w:cstheme="minorHAnsi"/>
                <w:bCs/>
                <w:sz w:val="18"/>
                <w:szCs w:val="18"/>
              </w:rPr>
              <w:t>G,</w:t>
            </w:r>
            <w:r w:rsidRPr="00820E94">
              <w:rPr>
                <w:rFonts w:asciiTheme="minorHAnsi" w:hAnsiTheme="minorHAnsi" w:cstheme="minorHAnsi"/>
                <w:bCs/>
                <w:sz w:val="18"/>
                <w:szCs w:val="18"/>
              </w:rPr>
              <w:t xml:space="preserve"> usunięto z projektu ustawy art. 64-73, które określa</w:t>
            </w:r>
            <w:r w:rsidR="00DE0F5B">
              <w:rPr>
                <w:rFonts w:asciiTheme="minorHAnsi" w:hAnsiTheme="minorHAnsi" w:cstheme="minorHAnsi"/>
                <w:bCs/>
                <w:sz w:val="18"/>
                <w:szCs w:val="18"/>
              </w:rPr>
              <w:t>ły</w:t>
            </w:r>
            <w:r w:rsidRPr="00820E94">
              <w:rPr>
                <w:rFonts w:asciiTheme="minorHAnsi" w:hAnsiTheme="minorHAnsi" w:cstheme="minorHAnsi"/>
                <w:bCs/>
                <w:sz w:val="18"/>
                <w:szCs w:val="18"/>
              </w:rPr>
              <w:t xml:space="preserve"> maksymalny limit wydatków budżetu państwa dla poszczególnych wojewodów.</w:t>
            </w:r>
          </w:p>
        </w:tc>
        <w:tc>
          <w:tcPr>
            <w:tcW w:w="3481" w:type="dxa"/>
            <w:gridSpan w:val="2"/>
          </w:tcPr>
          <w:p w14:paraId="667B8BB8" w14:textId="77777777" w:rsidR="00A5753C" w:rsidRPr="009B2533" w:rsidRDefault="00A5753C" w:rsidP="00A5753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tbl>
    <w:p w14:paraId="4337851B" w14:textId="29C5AE2C" w:rsidR="001573A3" w:rsidRPr="009B2533" w:rsidRDefault="001573A3" w:rsidP="00327676">
      <w:pPr>
        <w:pStyle w:val="Tekstpodstawowy"/>
        <w:jc w:val="both"/>
        <w:rPr>
          <w:rFonts w:asciiTheme="minorHAnsi" w:hAnsiTheme="minorHAnsi" w:cstheme="minorHAnsi"/>
          <w:sz w:val="18"/>
          <w:szCs w:val="18"/>
        </w:rPr>
      </w:pPr>
    </w:p>
    <w:sectPr w:rsidR="001573A3" w:rsidRPr="009B2533" w:rsidSect="00CC5687">
      <w:headerReference w:type="default" r:id="rId8"/>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0C77E" w14:textId="77777777" w:rsidR="001E582B" w:rsidRDefault="001E582B" w:rsidP="002D0BE9">
      <w:pPr>
        <w:spacing w:after="0" w:line="240" w:lineRule="auto"/>
      </w:pPr>
      <w:r>
        <w:separator/>
      </w:r>
    </w:p>
  </w:endnote>
  <w:endnote w:type="continuationSeparator" w:id="0">
    <w:p w14:paraId="60F1D87F" w14:textId="77777777" w:rsidR="001E582B" w:rsidRDefault="001E582B" w:rsidP="002D0BE9">
      <w:pPr>
        <w:spacing w:after="0" w:line="240" w:lineRule="auto"/>
      </w:pPr>
      <w:r>
        <w:continuationSeparator/>
      </w:r>
    </w:p>
  </w:endnote>
  <w:endnote w:type="continuationNotice" w:id="1">
    <w:p w14:paraId="0584669B" w14:textId="77777777" w:rsidR="001E582B" w:rsidRDefault="001E58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EE"/>
    <w:family w:val="swiss"/>
    <w:pitch w:val="variable"/>
    <w:sig w:usb0="E10002FF" w:usb1="5000ECFF" w:usb2="00000021"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56B22" w14:textId="77777777" w:rsidR="001E582B" w:rsidRDefault="001E582B" w:rsidP="002D0BE9">
      <w:pPr>
        <w:spacing w:after="0" w:line="240" w:lineRule="auto"/>
      </w:pPr>
      <w:r>
        <w:separator/>
      </w:r>
    </w:p>
  </w:footnote>
  <w:footnote w:type="continuationSeparator" w:id="0">
    <w:p w14:paraId="55070E23" w14:textId="77777777" w:rsidR="001E582B" w:rsidRDefault="001E582B" w:rsidP="002D0BE9">
      <w:pPr>
        <w:spacing w:after="0" w:line="240" w:lineRule="auto"/>
      </w:pPr>
      <w:r>
        <w:continuationSeparator/>
      </w:r>
    </w:p>
  </w:footnote>
  <w:footnote w:type="continuationNotice" w:id="1">
    <w:p w14:paraId="0DDC4474" w14:textId="77777777" w:rsidR="001E582B" w:rsidRDefault="001E582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16F9D" w14:textId="27110D42" w:rsidR="00787817" w:rsidRDefault="001E536C">
    <w:pPr>
      <w:pStyle w:val="Nagwek"/>
    </w:pPr>
    <w:r>
      <w:t>Załącznik nr 1 do Raportu z konsultacji publicznych i opiniowania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8473C"/>
    <w:multiLevelType w:val="hybridMultilevel"/>
    <w:tmpl w:val="DF5EAFA0"/>
    <w:lvl w:ilvl="0" w:tplc="1804AA4A">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227771"/>
    <w:multiLevelType w:val="hybridMultilevel"/>
    <w:tmpl w:val="09D819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8720F5"/>
    <w:multiLevelType w:val="hybridMultilevel"/>
    <w:tmpl w:val="13F88C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A5A3228"/>
    <w:multiLevelType w:val="hybridMultilevel"/>
    <w:tmpl w:val="2ED864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0BB569E"/>
    <w:multiLevelType w:val="hybridMultilevel"/>
    <w:tmpl w:val="44168C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6400685"/>
    <w:multiLevelType w:val="hybridMultilevel"/>
    <w:tmpl w:val="8676C5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B50323D"/>
    <w:multiLevelType w:val="hybridMultilevel"/>
    <w:tmpl w:val="4316100C"/>
    <w:lvl w:ilvl="0" w:tplc="6EEE31FE">
      <w:start w:val="4"/>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490228D6"/>
    <w:multiLevelType w:val="hybridMultilevel"/>
    <w:tmpl w:val="A3FC6978"/>
    <w:lvl w:ilvl="0" w:tplc="5108034E">
      <w:start w:val="1"/>
      <w:numFmt w:val="decimal"/>
      <w:lvlText w:val="%1)"/>
      <w:lvlJc w:val="left"/>
      <w:pPr>
        <w:ind w:left="644"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BB32B6"/>
    <w:multiLevelType w:val="hybridMultilevel"/>
    <w:tmpl w:val="9F68E51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E68495C"/>
    <w:multiLevelType w:val="hybridMultilevel"/>
    <w:tmpl w:val="8AA8F7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EDB081C"/>
    <w:multiLevelType w:val="hybridMultilevel"/>
    <w:tmpl w:val="DC7C0F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4EB3130"/>
    <w:multiLevelType w:val="hybridMultilevel"/>
    <w:tmpl w:val="1DBC38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54104DD"/>
    <w:multiLevelType w:val="hybridMultilevel"/>
    <w:tmpl w:val="09D819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8"/>
  </w:num>
  <w:num w:numId="3">
    <w:abstractNumId w:val="12"/>
  </w:num>
  <w:num w:numId="4">
    <w:abstractNumId w:val="7"/>
  </w:num>
  <w:num w:numId="5">
    <w:abstractNumId w:val="4"/>
  </w:num>
  <w:num w:numId="6">
    <w:abstractNumId w:val="10"/>
  </w:num>
  <w:num w:numId="7">
    <w:abstractNumId w:val="0"/>
  </w:num>
  <w:num w:numId="8">
    <w:abstractNumId w:val="11"/>
  </w:num>
  <w:num w:numId="9">
    <w:abstractNumId w:val="5"/>
  </w:num>
  <w:num w:numId="10">
    <w:abstractNumId w:val="6"/>
  </w:num>
  <w:num w:numId="11">
    <w:abstractNumId w:val="9"/>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687"/>
    <w:rsid w:val="0000104B"/>
    <w:rsid w:val="00006785"/>
    <w:rsid w:val="00007F52"/>
    <w:rsid w:val="00013627"/>
    <w:rsid w:val="00013FB9"/>
    <w:rsid w:val="000144AF"/>
    <w:rsid w:val="000215F7"/>
    <w:rsid w:val="000235C8"/>
    <w:rsid w:val="00023EA5"/>
    <w:rsid w:val="00025781"/>
    <w:rsid w:val="00026F19"/>
    <w:rsid w:val="0002785E"/>
    <w:rsid w:val="00030351"/>
    <w:rsid w:val="0003324D"/>
    <w:rsid w:val="00036EF5"/>
    <w:rsid w:val="0003746E"/>
    <w:rsid w:val="00041301"/>
    <w:rsid w:val="000424E2"/>
    <w:rsid w:val="00044813"/>
    <w:rsid w:val="00047FD1"/>
    <w:rsid w:val="00051E00"/>
    <w:rsid w:val="00052010"/>
    <w:rsid w:val="0005368C"/>
    <w:rsid w:val="00055D6E"/>
    <w:rsid w:val="00056387"/>
    <w:rsid w:val="000612C6"/>
    <w:rsid w:val="00066C35"/>
    <w:rsid w:val="00066C51"/>
    <w:rsid w:val="0007164F"/>
    <w:rsid w:val="000717AF"/>
    <w:rsid w:val="000729F3"/>
    <w:rsid w:val="00072F2E"/>
    <w:rsid w:val="000736C3"/>
    <w:rsid w:val="000757F5"/>
    <w:rsid w:val="00080002"/>
    <w:rsid w:val="00080B11"/>
    <w:rsid w:val="00084FC4"/>
    <w:rsid w:val="0008570D"/>
    <w:rsid w:val="000879EA"/>
    <w:rsid w:val="00087B2E"/>
    <w:rsid w:val="00087CA4"/>
    <w:rsid w:val="000912CA"/>
    <w:rsid w:val="00093537"/>
    <w:rsid w:val="0009391A"/>
    <w:rsid w:val="00094390"/>
    <w:rsid w:val="00095E11"/>
    <w:rsid w:val="00096EAC"/>
    <w:rsid w:val="00097B34"/>
    <w:rsid w:val="00097C6F"/>
    <w:rsid w:val="000A0014"/>
    <w:rsid w:val="000A02FD"/>
    <w:rsid w:val="000A05FC"/>
    <w:rsid w:val="000A12C9"/>
    <w:rsid w:val="000A6248"/>
    <w:rsid w:val="000A7F5D"/>
    <w:rsid w:val="000B07C5"/>
    <w:rsid w:val="000B0D55"/>
    <w:rsid w:val="000B2DD8"/>
    <w:rsid w:val="000B41B3"/>
    <w:rsid w:val="000B4621"/>
    <w:rsid w:val="000B7EBD"/>
    <w:rsid w:val="000C36E6"/>
    <w:rsid w:val="000C38A0"/>
    <w:rsid w:val="000C7012"/>
    <w:rsid w:val="000C702C"/>
    <w:rsid w:val="000D058D"/>
    <w:rsid w:val="000D1B4B"/>
    <w:rsid w:val="000D2FA7"/>
    <w:rsid w:val="000D3050"/>
    <w:rsid w:val="000D34E3"/>
    <w:rsid w:val="000D3725"/>
    <w:rsid w:val="000E229C"/>
    <w:rsid w:val="000E327F"/>
    <w:rsid w:val="000E39C2"/>
    <w:rsid w:val="000E45CA"/>
    <w:rsid w:val="000E4635"/>
    <w:rsid w:val="000E65E9"/>
    <w:rsid w:val="000E68D6"/>
    <w:rsid w:val="000E6E96"/>
    <w:rsid w:val="000E7CC2"/>
    <w:rsid w:val="000F29D2"/>
    <w:rsid w:val="000F324A"/>
    <w:rsid w:val="000F3900"/>
    <w:rsid w:val="000F5502"/>
    <w:rsid w:val="0010124E"/>
    <w:rsid w:val="00102806"/>
    <w:rsid w:val="001041F8"/>
    <w:rsid w:val="00105850"/>
    <w:rsid w:val="00106A75"/>
    <w:rsid w:val="00106DBD"/>
    <w:rsid w:val="00107035"/>
    <w:rsid w:val="00107DDD"/>
    <w:rsid w:val="00110619"/>
    <w:rsid w:val="0011126B"/>
    <w:rsid w:val="00112218"/>
    <w:rsid w:val="00113647"/>
    <w:rsid w:val="00114DC1"/>
    <w:rsid w:val="00116ED1"/>
    <w:rsid w:val="00130F53"/>
    <w:rsid w:val="00131A8D"/>
    <w:rsid w:val="001330B8"/>
    <w:rsid w:val="0013329E"/>
    <w:rsid w:val="00133E15"/>
    <w:rsid w:val="00134913"/>
    <w:rsid w:val="00136F49"/>
    <w:rsid w:val="00136FB9"/>
    <w:rsid w:val="00140704"/>
    <w:rsid w:val="00142BF2"/>
    <w:rsid w:val="001469B4"/>
    <w:rsid w:val="00150D03"/>
    <w:rsid w:val="00153A88"/>
    <w:rsid w:val="001540A4"/>
    <w:rsid w:val="00156753"/>
    <w:rsid w:val="00156F93"/>
    <w:rsid w:val="001573A3"/>
    <w:rsid w:val="0016101E"/>
    <w:rsid w:val="00161FE4"/>
    <w:rsid w:val="0016222D"/>
    <w:rsid w:val="00162CC1"/>
    <w:rsid w:val="0016506F"/>
    <w:rsid w:val="001650BC"/>
    <w:rsid w:val="001659D5"/>
    <w:rsid w:val="00166C07"/>
    <w:rsid w:val="00170A89"/>
    <w:rsid w:val="00172BAF"/>
    <w:rsid w:val="001839C1"/>
    <w:rsid w:val="001848EA"/>
    <w:rsid w:val="00184CD6"/>
    <w:rsid w:val="00190E65"/>
    <w:rsid w:val="001928FC"/>
    <w:rsid w:val="00193B52"/>
    <w:rsid w:val="00194E5A"/>
    <w:rsid w:val="0019653C"/>
    <w:rsid w:val="00197974"/>
    <w:rsid w:val="001A01FA"/>
    <w:rsid w:val="001A0CCE"/>
    <w:rsid w:val="001A20FB"/>
    <w:rsid w:val="001A3C6D"/>
    <w:rsid w:val="001A49E5"/>
    <w:rsid w:val="001A7399"/>
    <w:rsid w:val="001A763D"/>
    <w:rsid w:val="001A7E2A"/>
    <w:rsid w:val="001B126A"/>
    <w:rsid w:val="001B30FD"/>
    <w:rsid w:val="001B57F9"/>
    <w:rsid w:val="001B60A2"/>
    <w:rsid w:val="001C084E"/>
    <w:rsid w:val="001C206C"/>
    <w:rsid w:val="001C559A"/>
    <w:rsid w:val="001D0462"/>
    <w:rsid w:val="001D1038"/>
    <w:rsid w:val="001D520A"/>
    <w:rsid w:val="001D5313"/>
    <w:rsid w:val="001E04DC"/>
    <w:rsid w:val="001E0C0E"/>
    <w:rsid w:val="001E1EE3"/>
    <w:rsid w:val="001E2B2C"/>
    <w:rsid w:val="001E3080"/>
    <w:rsid w:val="001E536C"/>
    <w:rsid w:val="001E582B"/>
    <w:rsid w:val="001E762B"/>
    <w:rsid w:val="001E7864"/>
    <w:rsid w:val="001F7342"/>
    <w:rsid w:val="001F79DB"/>
    <w:rsid w:val="00200115"/>
    <w:rsid w:val="002013CD"/>
    <w:rsid w:val="00202D22"/>
    <w:rsid w:val="00203FA7"/>
    <w:rsid w:val="0020409B"/>
    <w:rsid w:val="002058EC"/>
    <w:rsid w:val="002059B8"/>
    <w:rsid w:val="0020681E"/>
    <w:rsid w:val="00207348"/>
    <w:rsid w:val="0021347A"/>
    <w:rsid w:val="00216C02"/>
    <w:rsid w:val="0022478B"/>
    <w:rsid w:val="00225FF5"/>
    <w:rsid w:val="00235C8D"/>
    <w:rsid w:val="00235FD5"/>
    <w:rsid w:val="00241EC3"/>
    <w:rsid w:val="0024545F"/>
    <w:rsid w:val="00246914"/>
    <w:rsid w:val="002476C5"/>
    <w:rsid w:val="002532CB"/>
    <w:rsid w:val="002538AB"/>
    <w:rsid w:val="00261414"/>
    <w:rsid w:val="002640E4"/>
    <w:rsid w:val="00270908"/>
    <w:rsid w:val="0027104D"/>
    <w:rsid w:val="00272B94"/>
    <w:rsid w:val="002741C6"/>
    <w:rsid w:val="00275339"/>
    <w:rsid w:val="00275CD8"/>
    <w:rsid w:val="0027691F"/>
    <w:rsid w:val="002861C4"/>
    <w:rsid w:val="002933CA"/>
    <w:rsid w:val="00294B23"/>
    <w:rsid w:val="002A0C00"/>
    <w:rsid w:val="002A1A96"/>
    <w:rsid w:val="002A5CB3"/>
    <w:rsid w:val="002A604C"/>
    <w:rsid w:val="002A64B8"/>
    <w:rsid w:val="002B4B89"/>
    <w:rsid w:val="002C0469"/>
    <w:rsid w:val="002C1B42"/>
    <w:rsid w:val="002C3098"/>
    <w:rsid w:val="002C4684"/>
    <w:rsid w:val="002C4E33"/>
    <w:rsid w:val="002C5D17"/>
    <w:rsid w:val="002C786C"/>
    <w:rsid w:val="002C7B6C"/>
    <w:rsid w:val="002D0BE9"/>
    <w:rsid w:val="002D19C0"/>
    <w:rsid w:val="002D44E2"/>
    <w:rsid w:val="002D7C98"/>
    <w:rsid w:val="002E341D"/>
    <w:rsid w:val="002E3B6D"/>
    <w:rsid w:val="002F1F1E"/>
    <w:rsid w:val="002F260B"/>
    <w:rsid w:val="002F5B06"/>
    <w:rsid w:val="00300B4F"/>
    <w:rsid w:val="003045B8"/>
    <w:rsid w:val="00304CBE"/>
    <w:rsid w:val="00305FB5"/>
    <w:rsid w:val="003060C4"/>
    <w:rsid w:val="00312124"/>
    <w:rsid w:val="003175A0"/>
    <w:rsid w:val="00317ED4"/>
    <w:rsid w:val="00321C57"/>
    <w:rsid w:val="003220F8"/>
    <w:rsid w:val="0032458E"/>
    <w:rsid w:val="003248FC"/>
    <w:rsid w:val="00327676"/>
    <w:rsid w:val="00334094"/>
    <w:rsid w:val="00334B41"/>
    <w:rsid w:val="00344819"/>
    <w:rsid w:val="00345110"/>
    <w:rsid w:val="00351B38"/>
    <w:rsid w:val="00355AA0"/>
    <w:rsid w:val="00357877"/>
    <w:rsid w:val="00357DAE"/>
    <w:rsid w:val="0036188B"/>
    <w:rsid w:val="00361F5D"/>
    <w:rsid w:val="003661F5"/>
    <w:rsid w:val="00366293"/>
    <w:rsid w:val="00370149"/>
    <w:rsid w:val="00370188"/>
    <w:rsid w:val="003706A7"/>
    <w:rsid w:val="00371C13"/>
    <w:rsid w:val="003738C5"/>
    <w:rsid w:val="00373F42"/>
    <w:rsid w:val="003757EB"/>
    <w:rsid w:val="00377F42"/>
    <w:rsid w:val="00377FA0"/>
    <w:rsid w:val="00383E4A"/>
    <w:rsid w:val="00384942"/>
    <w:rsid w:val="0038526B"/>
    <w:rsid w:val="003877A1"/>
    <w:rsid w:val="003910E8"/>
    <w:rsid w:val="00391496"/>
    <w:rsid w:val="003973BE"/>
    <w:rsid w:val="003A0EFD"/>
    <w:rsid w:val="003A18F1"/>
    <w:rsid w:val="003A36D8"/>
    <w:rsid w:val="003A6EFC"/>
    <w:rsid w:val="003A7817"/>
    <w:rsid w:val="003B0CBE"/>
    <w:rsid w:val="003B2674"/>
    <w:rsid w:val="003B26CB"/>
    <w:rsid w:val="003B2B51"/>
    <w:rsid w:val="003B358E"/>
    <w:rsid w:val="003B5A67"/>
    <w:rsid w:val="003C0758"/>
    <w:rsid w:val="003C133E"/>
    <w:rsid w:val="003C29B0"/>
    <w:rsid w:val="003C34C9"/>
    <w:rsid w:val="003C5B1B"/>
    <w:rsid w:val="003C5F88"/>
    <w:rsid w:val="003C6652"/>
    <w:rsid w:val="003C6A93"/>
    <w:rsid w:val="003D0A2B"/>
    <w:rsid w:val="003D0F4A"/>
    <w:rsid w:val="003D21F8"/>
    <w:rsid w:val="003D4910"/>
    <w:rsid w:val="003D66F0"/>
    <w:rsid w:val="003E221C"/>
    <w:rsid w:val="003E231C"/>
    <w:rsid w:val="003E3C75"/>
    <w:rsid w:val="003E44B5"/>
    <w:rsid w:val="003E4E7F"/>
    <w:rsid w:val="003E69E7"/>
    <w:rsid w:val="003F19E8"/>
    <w:rsid w:val="003F1CA1"/>
    <w:rsid w:val="003F37DA"/>
    <w:rsid w:val="003F3DEB"/>
    <w:rsid w:val="003F4390"/>
    <w:rsid w:val="003F590A"/>
    <w:rsid w:val="003F6FBA"/>
    <w:rsid w:val="003F708B"/>
    <w:rsid w:val="00400423"/>
    <w:rsid w:val="00401B9A"/>
    <w:rsid w:val="00402404"/>
    <w:rsid w:val="00403F6A"/>
    <w:rsid w:val="00404AE5"/>
    <w:rsid w:val="00406EA6"/>
    <w:rsid w:val="00410E82"/>
    <w:rsid w:val="004140B5"/>
    <w:rsid w:val="004142A5"/>
    <w:rsid w:val="0041449D"/>
    <w:rsid w:val="004146B3"/>
    <w:rsid w:val="0041581B"/>
    <w:rsid w:val="00417B58"/>
    <w:rsid w:val="00421E0A"/>
    <w:rsid w:val="004221E8"/>
    <w:rsid w:val="004231CE"/>
    <w:rsid w:val="00423E7B"/>
    <w:rsid w:val="00424C63"/>
    <w:rsid w:val="0042596B"/>
    <w:rsid w:val="004271B8"/>
    <w:rsid w:val="00430153"/>
    <w:rsid w:val="00435340"/>
    <w:rsid w:val="004403D9"/>
    <w:rsid w:val="0044054F"/>
    <w:rsid w:val="004423A2"/>
    <w:rsid w:val="00446EC7"/>
    <w:rsid w:val="004550E4"/>
    <w:rsid w:val="00456905"/>
    <w:rsid w:val="004610F0"/>
    <w:rsid w:val="004615DA"/>
    <w:rsid w:val="004620C9"/>
    <w:rsid w:val="00464F45"/>
    <w:rsid w:val="00465482"/>
    <w:rsid w:val="00466E55"/>
    <w:rsid w:val="00467BD8"/>
    <w:rsid w:val="00470058"/>
    <w:rsid w:val="00473C90"/>
    <w:rsid w:val="0048462D"/>
    <w:rsid w:val="00486268"/>
    <w:rsid w:val="004866EC"/>
    <w:rsid w:val="004872E3"/>
    <w:rsid w:val="00490D95"/>
    <w:rsid w:val="00493CEC"/>
    <w:rsid w:val="0049632A"/>
    <w:rsid w:val="004A0974"/>
    <w:rsid w:val="004A460A"/>
    <w:rsid w:val="004A56CE"/>
    <w:rsid w:val="004A7567"/>
    <w:rsid w:val="004A779A"/>
    <w:rsid w:val="004A7F16"/>
    <w:rsid w:val="004B157C"/>
    <w:rsid w:val="004B26D8"/>
    <w:rsid w:val="004B4575"/>
    <w:rsid w:val="004B458F"/>
    <w:rsid w:val="004C067E"/>
    <w:rsid w:val="004C11A3"/>
    <w:rsid w:val="004C1D28"/>
    <w:rsid w:val="004C2EAB"/>
    <w:rsid w:val="004C33F3"/>
    <w:rsid w:val="004C54B5"/>
    <w:rsid w:val="004D09D9"/>
    <w:rsid w:val="004D3946"/>
    <w:rsid w:val="004D675D"/>
    <w:rsid w:val="004D6CC6"/>
    <w:rsid w:val="004E0024"/>
    <w:rsid w:val="004E22FA"/>
    <w:rsid w:val="004E43D5"/>
    <w:rsid w:val="004E675F"/>
    <w:rsid w:val="004E7C1D"/>
    <w:rsid w:val="004E7D27"/>
    <w:rsid w:val="004F2706"/>
    <w:rsid w:val="004F2D9C"/>
    <w:rsid w:val="004F3575"/>
    <w:rsid w:val="004F5923"/>
    <w:rsid w:val="004F6967"/>
    <w:rsid w:val="005001E8"/>
    <w:rsid w:val="005009DB"/>
    <w:rsid w:val="00501E01"/>
    <w:rsid w:val="00502D2A"/>
    <w:rsid w:val="00504138"/>
    <w:rsid w:val="005057F6"/>
    <w:rsid w:val="005069A3"/>
    <w:rsid w:val="00507C42"/>
    <w:rsid w:val="00507E5E"/>
    <w:rsid w:val="00515D51"/>
    <w:rsid w:val="00523B47"/>
    <w:rsid w:val="00525256"/>
    <w:rsid w:val="00526B14"/>
    <w:rsid w:val="00530DC9"/>
    <w:rsid w:val="00532C27"/>
    <w:rsid w:val="00536C71"/>
    <w:rsid w:val="00537F5C"/>
    <w:rsid w:val="00542216"/>
    <w:rsid w:val="00543FD0"/>
    <w:rsid w:val="00546A4C"/>
    <w:rsid w:val="00547210"/>
    <w:rsid w:val="005564FB"/>
    <w:rsid w:val="0055690F"/>
    <w:rsid w:val="00557120"/>
    <w:rsid w:val="00560492"/>
    <w:rsid w:val="00560E4F"/>
    <w:rsid w:val="0056508D"/>
    <w:rsid w:val="00565C26"/>
    <w:rsid w:val="005661E6"/>
    <w:rsid w:val="00566BD7"/>
    <w:rsid w:val="00571118"/>
    <w:rsid w:val="0057182C"/>
    <w:rsid w:val="0057342C"/>
    <w:rsid w:val="005738CD"/>
    <w:rsid w:val="00573E54"/>
    <w:rsid w:val="00574AA7"/>
    <w:rsid w:val="00576F5E"/>
    <w:rsid w:val="00580864"/>
    <w:rsid w:val="00580E34"/>
    <w:rsid w:val="00581228"/>
    <w:rsid w:val="00581C5E"/>
    <w:rsid w:val="005859C0"/>
    <w:rsid w:val="00586E86"/>
    <w:rsid w:val="00587FB1"/>
    <w:rsid w:val="005915E7"/>
    <w:rsid w:val="005920F7"/>
    <w:rsid w:val="00595CC0"/>
    <w:rsid w:val="005A0230"/>
    <w:rsid w:val="005A0E94"/>
    <w:rsid w:val="005A2A98"/>
    <w:rsid w:val="005A5234"/>
    <w:rsid w:val="005B14E6"/>
    <w:rsid w:val="005B27E8"/>
    <w:rsid w:val="005B57A3"/>
    <w:rsid w:val="005B6D80"/>
    <w:rsid w:val="005B7144"/>
    <w:rsid w:val="005B72DE"/>
    <w:rsid w:val="005B74BD"/>
    <w:rsid w:val="005B76AB"/>
    <w:rsid w:val="005B7DCE"/>
    <w:rsid w:val="005C08DF"/>
    <w:rsid w:val="005C2817"/>
    <w:rsid w:val="005C3BEA"/>
    <w:rsid w:val="005C69E8"/>
    <w:rsid w:val="005C7C32"/>
    <w:rsid w:val="005D0E8D"/>
    <w:rsid w:val="005D2A8A"/>
    <w:rsid w:val="005D59CB"/>
    <w:rsid w:val="005D6E21"/>
    <w:rsid w:val="005D7060"/>
    <w:rsid w:val="005D74FD"/>
    <w:rsid w:val="005D7A30"/>
    <w:rsid w:val="005E03B9"/>
    <w:rsid w:val="005E63EA"/>
    <w:rsid w:val="005E6B36"/>
    <w:rsid w:val="005F211A"/>
    <w:rsid w:val="005F2C58"/>
    <w:rsid w:val="005F426B"/>
    <w:rsid w:val="005F49B7"/>
    <w:rsid w:val="005F57C9"/>
    <w:rsid w:val="005F6D86"/>
    <w:rsid w:val="005F756A"/>
    <w:rsid w:val="005F7B2E"/>
    <w:rsid w:val="005F7F0A"/>
    <w:rsid w:val="00600C7C"/>
    <w:rsid w:val="00601825"/>
    <w:rsid w:val="00603D10"/>
    <w:rsid w:val="00613AB7"/>
    <w:rsid w:val="0061404D"/>
    <w:rsid w:val="00614163"/>
    <w:rsid w:val="00616BFA"/>
    <w:rsid w:val="00620E25"/>
    <w:rsid w:val="00621A76"/>
    <w:rsid w:val="0063098A"/>
    <w:rsid w:val="00636A8C"/>
    <w:rsid w:val="00636F1C"/>
    <w:rsid w:val="00641ABE"/>
    <w:rsid w:val="00643001"/>
    <w:rsid w:val="006464D3"/>
    <w:rsid w:val="00651D47"/>
    <w:rsid w:val="0065420A"/>
    <w:rsid w:val="00654DED"/>
    <w:rsid w:val="006557F2"/>
    <w:rsid w:val="00655C4C"/>
    <w:rsid w:val="0066009A"/>
    <w:rsid w:val="0066088C"/>
    <w:rsid w:val="00664149"/>
    <w:rsid w:val="006645DA"/>
    <w:rsid w:val="006646FC"/>
    <w:rsid w:val="0066777E"/>
    <w:rsid w:val="0067112E"/>
    <w:rsid w:val="00676242"/>
    <w:rsid w:val="006808A9"/>
    <w:rsid w:val="00685E97"/>
    <w:rsid w:val="006914E5"/>
    <w:rsid w:val="00691DDB"/>
    <w:rsid w:val="0069457E"/>
    <w:rsid w:val="006956E8"/>
    <w:rsid w:val="0069672E"/>
    <w:rsid w:val="0069680B"/>
    <w:rsid w:val="006A09D9"/>
    <w:rsid w:val="006A5C31"/>
    <w:rsid w:val="006A71FF"/>
    <w:rsid w:val="006B0F59"/>
    <w:rsid w:val="006B5700"/>
    <w:rsid w:val="006B690F"/>
    <w:rsid w:val="006B6940"/>
    <w:rsid w:val="006C0F18"/>
    <w:rsid w:val="006C17CD"/>
    <w:rsid w:val="006C1F56"/>
    <w:rsid w:val="006C6167"/>
    <w:rsid w:val="006C6703"/>
    <w:rsid w:val="006C6F9E"/>
    <w:rsid w:val="006D0175"/>
    <w:rsid w:val="006D7B97"/>
    <w:rsid w:val="006E004B"/>
    <w:rsid w:val="006E0067"/>
    <w:rsid w:val="006E0805"/>
    <w:rsid w:val="006E0AD5"/>
    <w:rsid w:val="006E2E58"/>
    <w:rsid w:val="006E4594"/>
    <w:rsid w:val="006E4C08"/>
    <w:rsid w:val="006E68CF"/>
    <w:rsid w:val="006E6AA8"/>
    <w:rsid w:val="006E708E"/>
    <w:rsid w:val="006F0034"/>
    <w:rsid w:val="006F12C0"/>
    <w:rsid w:val="006F1D00"/>
    <w:rsid w:val="006F38B1"/>
    <w:rsid w:val="006F491C"/>
    <w:rsid w:val="006F5372"/>
    <w:rsid w:val="006F6B89"/>
    <w:rsid w:val="0070069F"/>
    <w:rsid w:val="00703908"/>
    <w:rsid w:val="00707943"/>
    <w:rsid w:val="007116F0"/>
    <w:rsid w:val="00712D65"/>
    <w:rsid w:val="007142C2"/>
    <w:rsid w:val="0071697C"/>
    <w:rsid w:val="00717ED7"/>
    <w:rsid w:val="00720DFB"/>
    <w:rsid w:val="007213CC"/>
    <w:rsid w:val="0072181A"/>
    <w:rsid w:val="007249F0"/>
    <w:rsid w:val="00725E0B"/>
    <w:rsid w:val="0073389F"/>
    <w:rsid w:val="007352AD"/>
    <w:rsid w:val="007359FE"/>
    <w:rsid w:val="00735C05"/>
    <w:rsid w:val="0073635C"/>
    <w:rsid w:val="007371C1"/>
    <w:rsid w:val="007374EA"/>
    <w:rsid w:val="00742823"/>
    <w:rsid w:val="00745B39"/>
    <w:rsid w:val="0074652A"/>
    <w:rsid w:val="00746FE8"/>
    <w:rsid w:val="00747D86"/>
    <w:rsid w:val="00753B71"/>
    <w:rsid w:val="00753ECE"/>
    <w:rsid w:val="00753FF8"/>
    <w:rsid w:val="007546D8"/>
    <w:rsid w:val="00754E0B"/>
    <w:rsid w:val="00755B74"/>
    <w:rsid w:val="007576CE"/>
    <w:rsid w:val="00761641"/>
    <w:rsid w:val="007619E3"/>
    <w:rsid w:val="0077028B"/>
    <w:rsid w:val="00772EB7"/>
    <w:rsid w:val="00772FBA"/>
    <w:rsid w:val="00774F3A"/>
    <w:rsid w:val="007750EE"/>
    <w:rsid w:val="007828FE"/>
    <w:rsid w:val="0078530C"/>
    <w:rsid w:val="00786913"/>
    <w:rsid w:val="00786F75"/>
    <w:rsid w:val="00787817"/>
    <w:rsid w:val="00790C66"/>
    <w:rsid w:val="0079260A"/>
    <w:rsid w:val="007A0E15"/>
    <w:rsid w:val="007A164C"/>
    <w:rsid w:val="007A5A60"/>
    <w:rsid w:val="007B1960"/>
    <w:rsid w:val="007B199A"/>
    <w:rsid w:val="007B1F50"/>
    <w:rsid w:val="007B29F6"/>
    <w:rsid w:val="007B44BF"/>
    <w:rsid w:val="007B57A2"/>
    <w:rsid w:val="007B598A"/>
    <w:rsid w:val="007C0D05"/>
    <w:rsid w:val="007C1686"/>
    <w:rsid w:val="007C2103"/>
    <w:rsid w:val="007C3A2A"/>
    <w:rsid w:val="007C3BA8"/>
    <w:rsid w:val="007C3DFB"/>
    <w:rsid w:val="007C57F3"/>
    <w:rsid w:val="007C74A7"/>
    <w:rsid w:val="007C753E"/>
    <w:rsid w:val="007D2A35"/>
    <w:rsid w:val="007D2FBF"/>
    <w:rsid w:val="007D47D5"/>
    <w:rsid w:val="007D65DA"/>
    <w:rsid w:val="007D6DFE"/>
    <w:rsid w:val="007E53A8"/>
    <w:rsid w:val="007F1B9C"/>
    <w:rsid w:val="007F5285"/>
    <w:rsid w:val="007F55AA"/>
    <w:rsid w:val="007F5E7B"/>
    <w:rsid w:val="007F6F32"/>
    <w:rsid w:val="007F7285"/>
    <w:rsid w:val="00801152"/>
    <w:rsid w:val="00810968"/>
    <w:rsid w:val="00810CDE"/>
    <w:rsid w:val="008113A6"/>
    <w:rsid w:val="00811A68"/>
    <w:rsid w:val="00815454"/>
    <w:rsid w:val="0081569A"/>
    <w:rsid w:val="00815E23"/>
    <w:rsid w:val="00820E94"/>
    <w:rsid w:val="00822EDA"/>
    <w:rsid w:val="00825C73"/>
    <w:rsid w:val="00830C9F"/>
    <w:rsid w:val="00832177"/>
    <w:rsid w:val="0084202C"/>
    <w:rsid w:val="00845383"/>
    <w:rsid w:val="00852461"/>
    <w:rsid w:val="00852772"/>
    <w:rsid w:val="008533F6"/>
    <w:rsid w:val="008547DA"/>
    <w:rsid w:val="00854C11"/>
    <w:rsid w:val="0085555D"/>
    <w:rsid w:val="00855B36"/>
    <w:rsid w:val="0085641E"/>
    <w:rsid w:val="00857CEF"/>
    <w:rsid w:val="00862A53"/>
    <w:rsid w:val="00865A95"/>
    <w:rsid w:val="008706B0"/>
    <w:rsid w:val="00870A2B"/>
    <w:rsid w:val="00871A1D"/>
    <w:rsid w:val="00872154"/>
    <w:rsid w:val="0087447A"/>
    <w:rsid w:val="008747DD"/>
    <w:rsid w:val="00874BFB"/>
    <w:rsid w:val="0087533F"/>
    <w:rsid w:val="00877D22"/>
    <w:rsid w:val="00882E3D"/>
    <w:rsid w:val="008906FB"/>
    <w:rsid w:val="00890C34"/>
    <w:rsid w:val="00892F81"/>
    <w:rsid w:val="0089333E"/>
    <w:rsid w:val="0089461A"/>
    <w:rsid w:val="00895901"/>
    <w:rsid w:val="0089696D"/>
    <w:rsid w:val="0089791E"/>
    <w:rsid w:val="008A37FB"/>
    <w:rsid w:val="008A587C"/>
    <w:rsid w:val="008A5AF1"/>
    <w:rsid w:val="008A5B96"/>
    <w:rsid w:val="008A6800"/>
    <w:rsid w:val="008A75FC"/>
    <w:rsid w:val="008A7827"/>
    <w:rsid w:val="008B254E"/>
    <w:rsid w:val="008C1270"/>
    <w:rsid w:val="008C3ADA"/>
    <w:rsid w:val="008C4197"/>
    <w:rsid w:val="008C7043"/>
    <w:rsid w:val="008D08B3"/>
    <w:rsid w:val="008D25C3"/>
    <w:rsid w:val="008D27BB"/>
    <w:rsid w:val="008D343D"/>
    <w:rsid w:val="008D496E"/>
    <w:rsid w:val="008D531D"/>
    <w:rsid w:val="008D5592"/>
    <w:rsid w:val="008E3C38"/>
    <w:rsid w:val="008E5219"/>
    <w:rsid w:val="008E5C7C"/>
    <w:rsid w:val="008E5CE3"/>
    <w:rsid w:val="008E6EAD"/>
    <w:rsid w:val="008E71B8"/>
    <w:rsid w:val="008F1D3B"/>
    <w:rsid w:val="008F2CC3"/>
    <w:rsid w:val="008F3265"/>
    <w:rsid w:val="008F55E2"/>
    <w:rsid w:val="0090708F"/>
    <w:rsid w:val="00910712"/>
    <w:rsid w:val="009114FA"/>
    <w:rsid w:val="0091185E"/>
    <w:rsid w:val="00913C35"/>
    <w:rsid w:val="00915344"/>
    <w:rsid w:val="0091553B"/>
    <w:rsid w:val="00915BFF"/>
    <w:rsid w:val="00915D1C"/>
    <w:rsid w:val="00920A07"/>
    <w:rsid w:val="0092334F"/>
    <w:rsid w:val="009242DA"/>
    <w:rsid w:val="00924642"/>
    <w:rsid w:val="00924AB2"/>
    <w:rsid w:val="00926A52"/>
    <w:rsid w:val="00930015"/>
    <w:rsid w:val="009326A4"/>
    <w:rsid w:val="00932EB0"/>
    <w:rsid w:val="009334DD"/>
    <w:rsid w:val="00933CB5"/>
    <w:rsid w:val="00936FE2"/>
    <w:rsid w:val="009373A5"/>
    <w:rsid w:val="00937FB8"/>
    <w:rsid w:val="00941198"/>
    <w:rsid w:val="00942C33"/>
    <w:rsid w:val="0095146A"/>
    <w:rsid w:val="00953FF8"/>
    <w:rsid w:val="00954F2A"/>
    <w:rsid w:val="00956799"/>
    <w:rsid w:val="0096001B"/>
    <w:rsid w:val="00960201"/>
    <w:rsid w:val="0096033E"/>
    <w:rsid w:val="0096086D"/>
    <w:rsid w:val="009609D3"/>
    <w:rsid w:val="00960EC6"/>
    <w:rsid w:val="00962BA7"/>
    <w:rsid w:val="009639A7"/>
    <w:rsid w:val="00964916"/>
    <w:rsid w:val="00967119"/>
    <w:rsid w:val="00971378"/>
    <w:rsid w:val="0097145A"/>
    <w:rsid w:val="00971B41"/>
    <w:rsid w:val="00973D32"/>
    <w:rsid w:val="00974C05"/>
    <w:rsid w:val="00976186"/>
    <w:rsid w:val="009766AB"/>
    <w:rsid w:val="00976935"/>
    <w:rsid w:val="00976F35"/>
    <w:rsid w:val="00977819"/>
    <w:rsid w:val="0098215D"/>
    <w:rsid w:val="00991451"/>
    <w:rsid w:val="00995818"/>
    <w:rsid w:val="009A1C9B"/>
    <w:rsid w:val="009A581C"/>
    <w:rsid w:val="009A6B14"/>
    <w:rsid w:val="009B2533"/>
    <w:rsid w:val="009B2BAB"/>
    <w:rsid w:val="009B582C"/>
    <w:rsid w:val="009C2BE9"/>
    <w:rsid w:val="009C789F"/>
    <w:rsid w:val="009D5CE8"/>
    <w:rsid w:val="009D5E0B"/>
    <w:rsid w:val="009E100F"/>
    <w:rsid w:val="009E13AE"/>
    <w:rsid w:val="009E162B"/>
    <w:rsid w:val="009E1E6B"/>
    <w:rsid w:val="009E3E8C"/>
    <w:rsid w:val="009E4698"/>
    <w:rsid w:val="009E4F00"/>
    <w:rsid w:val="009E53D4"/>
    <w:rsid w:val="009E6382"/>
    <w:rsid w:val="009F09FA"/>
    <w:rsid w:val="009F2368"/>
    <w:rsid w:val="009F28FE"/>
    <w:rsid w:val="009F3CFB"/>
    <w:rsid w:val="009F5E53"/>
    <w:rsid w:val="00A0345D"/>
    <w:rsid w:val="00A0466F"/>
    <w:rsid w:val="00A057C2"/>
    <w:rsid w:val="00A1211D"/>
    <w:rsid w:val="00A12303"/>
    <w:rsid w:val="00A133EF"/>
    <w:rsid w:val="00A14D26"/>
    <w:rsid w:val="00A158B1"/>
    <w:rsid w:val="00A166BE"/>
    <w:rsid w:val="00A21D27"/>
    <w:rsid w:val="00A252CE"/>
    <w:rsid w:val="00A2555F"/>
    <w:rsid w:val="00A25AAC"/>
    <w:rsid w:val="00A25BFB"/>
    <w:rsid w:val="00A2674C"/>
    <w:rsid w:val="00A2764B"/>
    <w:rsid w:val="00A314A0"/>
    <w:rsid w:val="00A32E52"/>
    <w:rsid w:val="00A33AE7"/>
    <w:rsid w:val="00A3467E"/>
    <w:rsid w:val="00A3776F"/>
    <w:rsid w:val="00A378CC"/>
    <w:rsid w:val="00A40433"/>
    <w:rsid w:val="00A40735"/>
    <w:rsid w:val="00A408DE"/>
    <w:rsid w:val="00A424BE"/>
    <w:rsid w:val="00A428AE"/>
    <w:rsid w:val="00A42DE7"/>
    <w:rsid w:val="00A42DFC"/>
    <w:rsid w:val="00A475A8"/>
    <w:rsid w:val="00A50123"/>
    <w:rsid w:val="00A5126B"/>
    <w:rsid w:val="00A52C4A"/>
    <w:rsid w:val="00A5753C"/>
    <w:rsid w:val="00A605BE"/>
    <w:rsid w:val="00A60EA7"/>
    <w:rsid w:val="00A6152B"/>
    <w:rsid w:val="00A621AA"/>
    <w:rsid w:val="00A63893"/>
    <w:rsid w:val="00A66BD7"/>
    <w:rsid w:val="00A70636"/>
    <w:rsid w:val="00A70B15"/>
    <w:rsid w:val="00A736FC"/>
    <w:rsid w:val="00A745E5"/>
    <w:rsid w:val="00A757E4"/>
    <w:rsid w:val="00A76756"/>
    <w:rsid w:val="00A7719D"/>
    <w:rsid w:val="00A778AA"/>
    <w:rsid w:val="00A77C15"/>
    <w:rsid w:val="00A82AD6"/>
    <w:rsid w:val="00A83B70"/>
    <w:rsid w:val="00A852BF"/>
    <w:rsid w:val="00A901AF"/>
    <w:rsid w:val="00A95BB8"/>
    <w:rsid w:val="00A9620F"/>
    <w:rsid w:val="00A969F7"/>
    <w:rsid w:val="00AA3C7E"/>
    <w:rsid w:val="00AA4110"/>
    <w:rsid w:val="00AA4CAD"/>
    <w:rsid w:val="00AA55B6"/>
    <w:rsid w:val="00AA7E81"/>
    <w:rsid w:val="00AB0950"/>
    <w:rsid w:val="00AB1912"/>
    <w:rsid w:val="00AB290B"/>
    <w:rsid w:val="00AB5166"/>
    <w:rsid w:val="00AB620A"/>
    <w:rsid w:val="00AC13F4"/>
    <w:rsid w:val="00AC1667"/>
    <w:rsid w:val="00AC170B"/>
    <w:rsid w:val="00AC1C32"/>
    <w:rsid w:val="00AC3041"/>
    <w:rsid w:val="00AC3E68"/>
    <w:rsid w:val="00AC52A5"/>
    <w:rsid w:val="00AC52AC"/>
    <w:rsid w:val="00AC6DA9"/>
    <w:rsid w:val="00AD09B1"/>
    <w:rsid w:val="00AD0B0A"/>
    <w:rsid w:val="00AD4590"/>
    <w:rsid w:val="00AE4010"/>
    <w:rsid w:val="00AF2641"/>
    <w:rsid w:val="00AF2774"/>
    <w:rsid w:val="00AF33CF"/>
    <w:rsid w:val="00B00AEC"/>
    <w:rsid w:val="00B11B26"/>
    <w:rsid w:val="00B12486"/>
    <w:rsid w:val="00B12F9C"/>
    <w:rsid w:val="00B14B5E"/>
    <w:rsid w:val="00B1728C"/>
    <w:rsid w:val="00B17336"/>
    <w:rsid w:val="00B200F8"/>
    <w:rsid w:val="00B2049C"/>
    <w:rsid w:val="00B2072E"/>
    <w:rsid w:val="00B20D5D"/>
    <w:rsid w:val="00B218CA"/>
    <w:rsid w:val="00B26787"/>
    <w:rsid w:val="00B26B70"/>
    <w:rsid w:val="00B330BC"/>
    <w:rsid w:val="00B367F8"/>
    <w:rsid w:val="00B41B01"/>
    <w:rsid w:val="00B41CAC"/>
    <w:rsid w:val="00B41D10"/>
    <w:rsid w:val="00B41E5A"/>
    <w:rsid w:val="00B42D75"/>
    <w:rsid w:val="00B438B8"/>
    <w:rsid w:val="00B43D4B"/>
    <w:rsid w:val="00B44EF3"/>
    <w:rsid w:val="00B46C12"/>
    <w:rsid w:val="00B471E7"/>
    <w:rsid w:val="00B53809"/>
    <w:rsid w:val="00B55117"/>
    <w:rsid w:val="00B5514E"/>
    <w:rsid w:val="00B554BD"/>
    <w:rsid w:val="00B569C4"/>
    <w:rsid w:val="00B604D2"/>
    <w:rsid w:val="00B60F3C"/>
    <w:rsid w:val="00B631CB"/>
    <w:rsid w:val="00B64254"/>
    <w:rsid w:val="00B646AD"/>
    <w:rsid w:val="00B64F40"/>
    <w:rsid w:val="00B70FF4"/>
    <w:rsid w:val="00B7532C"/>
    <w:rsid w:val="00B75A21"/>
    <w:rsid w:val="00B80E75"/>
    <w:rsid w:val="00B81D8E"/>
    <w:rsid w:val="00B82597"/>
    <w:rsid w:val="00B84F41"/>
    <w:rsid w:val="00B90186"/>
    <w:rsid w:val="00B9235E"/>
    <w:rsid w:val="00B926A6"/>
    <w:rsid w:val="00B93439"/>
    <w:rsid w:val="00B9412E"/>
    <w:rsid w:val="00B96F02"/>
    <w:rsid w:val="00BA1C04"/>
    <w:rsid w:val="00BA3B08"/>
    <w:rsid w:val="00BA441C"/>
    <w:rsid w:val="00BA6096"/>
    <w:rsid w:val="00BA7469"/>
    <w:rsid w:val="00BB513B"/>
    <w:rsid w:val="00BB5445"/>
    <w:rsid w:val="00BC0EA0"/>
    <w:rsid w:val="00BC345B"/>
    <w:rsid w:val="00BC644F"/>
    <w:rsid w:val="00BC7376"/>
    <w:rsid w:val="00BD04A1"/>
    <w:rsid w:val="00BD153F"/>
    <w:rsid w:val="00BD2562"/>
    <w:rsid w:val="00BD49BB"/>
    <w:rsid w:val="00BD5157"/>
    <w:rsid w:val="00BD6BE1"/>
    <w:rsid w:val="00BD7D35"/>
    <w:rsid w:val="00BE2B1D"/>
    <w:rsid w:val="00BE33A0"/>
    <w:rsid w:val="00BF281B"/>
    <w:rsid w:val="00BF3B67"/>
    <w:rsid w:val="00BF4C5D"/>
    <w:rsid w:val="00BF508D"/>
    <w:rsid w:val="00BF5DBD"/>
    <w:rsid w:val="00BF6571"/>
    <w:rsid w:val="00BF6740"/>
    <w:rsid w:val="00C0143F"/>
    <w:rsid w:val="00C03729"/>
    <w:rsid w:val="00C04DE5"/>
    <w:rsid w:val="00C06BE9"/>
    <w:rsid w:val="00C10E3D"/>
    <w:rsid w:val="00C11B1F"/>
    <w:rsid w:val="00C120FB"/>
    <w:rsid w:val="00C12848"/>
    <w:rsid w:val="00C16763"/>
    <w:rsid w:val="00C21088"/>
    <w:rsid w:val="00C211BB"/>
    <w:rsid w:val="00C22940"/>
    <w:rsid w:val="00C239C2"/>
    <w:rsid w:val="00C241DE"/>
    <w:rsid w:val="00C245CF"/>
    <w:rsid w:val="00C25C62"/>
    <w:rsid w:val="00C27AEC"/>
    <w:rsid w:val="00C32252"/>
    <w:rsid w:val="00C337C4"/>
    <w:rsid w:val="00C3555C"/>
    <w:rsid w:val="00C355A3"/>
    <w:rsid w:val="00C370CD"/>
    <w:rsid w:val="00C4407E"/>
    <w:rsid w:val="00C45141"/>
    <w:rsid w:val="00C45A87"/>
    <w:rsid w:val="00C46EB8"/>
    <w:rsid w:val="00C50EBF"/>
    <w:rsid w:val="00C517DF"/>
    <w:rsid w:val="00C53359"/>
    <w:rsid w:val="00C53FE0"/>
    <w:rsid w:val="00C618C3"/>
    <w:rsid w:val="00C66149"/>
    <w:rsid w:val="00C7000E"/>
    <w:rsid w:val="00C70547"/>
    <w:rsid w:val="00C70D86"/>
    <w:rsid w:val="00C71662"/>
    <w:rsid w:val="00C76536"/>
    <w:rsid w:val="00C76749"/>
    <w:rsid w:val="00C767BA"/>
    <w:rsid w:val="00C772E7"/>
    <w:rsid w:val="00C80887"/>
    <w:rsid w:val="00C820A5"/>
    <w:rsid w:val="00C83274"/>
    <w:rsid w:val="00C9045A"/>
    <w:rsid w:val="00C93A44"/>
    <w:rsid w:val="00C9401A"/>
    <w:rsid w:val="00C95015"/>
    <w:rsid w:val="00CA19D4"/>
    <w:rsid w:val="00CA2AD2"/>
    <w:rsid w:val="00CA5DDF"/>
    <w:rsid w:val="00CA5EEE"/>
    <w:rsid w:val="00CA6A27"/>
    <w:rsid w:val="00CA6A55"/>
    <w:rsid w:val="00CA6C89"/>
    <w:rsid w:val="00CA77C2"/>
    <w:rsid w:val="00CB086F"/>
    <w:rsid w:val="00CB368F"/>
    <w:rsid w:val="00CB4D12"/>
    <w:rsid w:val="00CB51B4"/>
    <w:rsid w:val="00CB55D6"/>
    <w:rsid w:val="00CC1753"/>
    <w:rsid w:val="00CC4AF2"/>
    <w:rsid w:val="00CC5687"/>
    <w:rsid w:val="00CC5CC0"/>
    <w:rsid w:val="00CC73BF"/>
    <w:rsid w:val="00CD1DCB"/>
    <w:rsid w:val="00CD4D56"/>
    <w:rsid w:val="00CD5CF6"/>
    <w:rsid w:val="00CE0352"/>
    <w:rsid w:val="00CE035F"/>
    <w:rsid w:val="00CE1E12"/>
    <w:rsid w:val="00CE2F3F"/>
    <w:rsid w:val="00CE73FB"/>
    <w:rsid w:val="00CF0BD2"/>
    <w:rsid w:val="00CF259B"/>
    <w:rsid w:val="00CF2BBE"/>
    <w:rsid w:val="00CF2CB2"/>
    <w:rsid w:val="00CF49FE"/>
    <w:rsid w:val="00CF7EAC"/>
    <w:rsid w:val="00D019D1"/>
    <w:rsid w:val="00D02043"/>
    <w:rsid w:val="00D02721"/>
    <w:rsid w:val="00D03686"/>
    <w:rsid w:val="00D03FF3"/>
    <w:rsid w:val="00D04425"/>
    <w:rsid w:val="00D045E3"/>
    <w:rsid w:val="00D06FDA"/>
    <w:rsid w:val="00D07A49"/>
    <w:rsid w:val="00D108ED"/>
    <w:rsid w:val="00D109D4"/>
    <w:rsid w:val="00D11E9D"/>
    <w:rsid w:val="00D12CD4"/>
    <w:rsid w:val="00D141B7"/>
    <w:rsid w:val="00D14A09"/>
    <w:rsid w:val="00D15278"/>
    <w:rsid w:val="00D161D7"/>
    <w:rsid w:val="00D164C2"/>
    <w:rsid w:val="00D17EB2"/>
    <w:rsid w:val="00D24DDF"/>
    <w:rsid w:val="00D257E3"/>
    <w:rsid w:val="00D259A0"/>
    <w:rsid w:val="00D36D47"/>
    <w:rsid w:val="00D40801"/>
    <w:rsid w:val="00D42F5A"/>
    <w:rsid w:val="00D43072"/>
    <w:rsid w:val="00D433DF"/>
    <w:rsid w:val="00D46718"/>
    <w:rsid w:val="00D46B57"/>
    <w:rsid w:val="00D50026"/>
    <w:rsid w:val="00D503BB"/>
    <w:rsid w:val="00D50B4E"/>
    <w:rsid w:val="00D54CAA"/>
    <w:rsid w:val="00D5586C"/>
    <w:rsid w:val="00D60BF0"/>
    <w:rsid w:val="00D63D88"/>
    <w:rsid w:val="00D65EE5"/>
    <w:rsid w:val="00D674A4"/>
    <w:rsid w:val="00D701DF"/>
    <w:rsid w:val="00D71DEA"/>
    <w:rsid w:val="00D738B8"/>
    <w:rsid w:val="00D80285"/>
    <w:rsid w:val="00D8181A"/>
    <w:rsid w:val="00D82A0B"/>
    <w:rsid w:val="00D83AC0"/>
    <w:rsid w:val="00D85871"/>
    <w:rsid w:val="00D85BA4"/>
    <w:rsid w:val="00D87231"/>
    <w:rsid w:val="00D91091"/>
    <w:rsid w:val="00D91551"/>
    <w:rsid w:val="00D945BF"/>
    <w:rsid w:val="00D94B54"/>
    <w:rsid w:val="00D94F9B"/>
    <w:rsid w:val="00D95808"/>
    <w:rsid w:val="00D966AE"/>
    <w:rsid w:val="00D97600"/>
    <w:rsid w:val="00DA0140"/>
    <w:rsid w:val="00DA0327"/>
    <w:rsid w:val="00DA11E3"/>
    <w:rsid w:val="00DA51E3"/>
    <w:rsid w:val="00DA5D5A"/>
    <w:rsid w:val="00DA7431"/>
    <w:rsid w:val="00DA7956"/>
    <w:rsid w:val="00DB3586"/>
    <w:rsid w:val="00DB39EE"/>
    <w:rsid w:val="00DB5A90"/>
    <w:rsid w:val="00DB7436"/>
    <w:rsid w:val="00DC428E"/>
    <w:rsid w:val="00DC4CA5"/>
    <w:rsid w:val="00DD36C3"/>
    <w:rsid w:val="00DD49C7"/>
    <w:rsid w:val="00DD49FA"/>
    <w:rsid w:val="00DE018F"/>
    <w:rsid w:val="00DE0538"/>
    <w:rsid w:val="00DE0F5B"/>
    <w:rsid w:val="00DE3667"/>
    <w:rsid w:val="00DE3780"/>
    <w:rsid w:val="00DE5577"/>
    <w:rsid w:val="00DE7A6E"/>
    <w:rsid w:val="00DF1B70"/>
    <w:rsid w:val="00DF2822"/>
    <w:rsid w:val="00DF4583"/>
    <w:rsid w:val="00E00083"/>
    <w:rsid w:val="00E027BA"/>
    <w:rsid w:val="00E05626"/>
    <w:rsid w:val="00E0777D"/>
    <w:rsid w:val="00E10ED1"/>
    <w:rsid w:val="00E11764"/>
    <w:rsid w:val="00E12F60"/>
    <w:rsid w:val="00E12FE0"/>
    <w:rsid w:val="00E146BC"/>
    <w:rsid w:val="00E15547"/>
    <w:rsid w:val="00E17EB5"/>
    <w:rsid w:val="00E207F8"/>
    <w:rsid w:val="00E213EA"/>
    <w:rsid w:val="00E22606"/>
    <w:rsid w:val="00E252B6"/>
    <w:rsid w:val="00E2605A"/>
    <w:rsid w:val="00E302EA"/>
    <w:rsid w:val="00E3158C"/>
    <w:rsid w:val="00E32B1D"/>
    <w:rsid w:val="00E3345B"/>
    <w:rsid w:val="00E34DA8"/>
    <w:rsid w:val="00E41181"/>
    <w:rsid w:val="00E419E4"/>
    <w:rsid w:val="00E42747"/>
    <w:rsid w:val="00E43BB9"/>
    <w:rsid w:val="00E4525A"/>
    <w:rsid w:val="00E45A66"/>
    <w:rsid w:val="00E45AB9"/>
    <w:rsid w:val="00E45BE8"/>
    <w:rsid w:val="00E4786D"/>
    <w:rsid w:val="00E50732"/>
    <w:rsid w:val="00E507D8"/>
    <w:rsid w:val="00E521BF"/>
    <w:rsid w:val="00E536C4"/>
    <w:rsid w:val="00E53D43"/>
    <w:rsid w:val="00E54D1E"/>
    <w:rsid w:val="00E55EF0"/>
    <w:rsid w:val="00E561DB"/>
    <w:rsid w:val="00E602A6"/>
    <w:rsid w:val="00E61F36"/>
    <w:rsid w:val="00E62C11"/>
    <w:rsid w:val="00E6348C"/>
    <w:rsid w:val="00E63D55"/>
    <w:rsid w:val="00E66382"/>
    <w:rsid w:val="00E67DC7"/>
    <w:rsid w:val="00E73638"/>
    <w:rsid w:val="00E74392"/>
    <w:rsid w:val="00E7480C"/>
    <w:rsid w:val="00E74825"/>
    <w:rsid w:val="00E847A2"/>
    <w:rsid w:val="00E86425"/>
    <w:rsid w:val="00E86B13"/>
    <w:rsid w:val="00E87ED5"/>
    <w:rsid w:val="00E90A96"/>
    <w:rsid w:val="00E920C1"/>
    <w:rsid w:val="00E947C7"/>
    <w:rsid w:val="00E95B04"/>
    <w:rsid w:val="00E961C0"/>
    <w:rsid w:val="00E973E9"/>
    <w:rsid w:val="00EA02DA"/>
    <w:rsid w:val="00EA34DB"/>
    <w:rsid w:val="00EA42B2"/>
    <w:rsid w:val="00EA6A3B"/>
    <w:rsid w:val="00EA6F3E"/>
    <w:rsid w:val="00EB2264"/>
    <w:rsid w:val="00EB4688"/>
    <w:rsid w:val="00EB5F75"/>
    <w:rsid w:val="00EB6122"/>
    <w:rsid w:val="00EB689A"/>
    <w:rsid w:val="00EC0B23"/>
    <w:rsid w:val="00EC0E4A"/>
    <w:rsid w:val="00EC0FCD"/>
    <w:rsid w:val="00EC1B75"/>
    <w:rsid w:val="00EC2E16"/>
    <w:rsid w:val="00ED014E"/>
    <w:rsid w:val="00ED022B"/>
    <w:rsid w:val="00ED108F"/>
    <w:rsid w:val="00ED2F3F"/>
    <w:rsid w:val="00ED4CAA"/>
    <w:rsid w:val="00ED58EF"/>
    <w:rsid w:val="00ED7FD3"/>
    <w:rsid w:val="00EE0A1A"/>
    <w:rsid w:val="00EE2309"/>
    <w:rsid w:val="00EE28BD"/>
    <w:rsid w:val="00EE3ED5"/>
    <w:rsid w:val="00EF2641"/>
    <w:rsid w:val="00EF40EF"/>
    <w:rsid w:val="00EF4F06"/>
    <w:rsid w:val="00F021C2"/>
    <w:rsid w:val="00F0370B"/>
    <w:rsid w:val="00F03D22"/>
    <w:rsid w:val="00F054A5"/>
    <w:rsid w:val="00F0707E"/>
    <w:rsid w:val="00F07B62"/>
    <w:rsid w:val="00F10531"/>
    <w:rsid w:val="00F10CD0"/>
    <w:rsid w:val="00F10EB7"/>
    <w:rsid w:val="00F13294"/>
    <w:rsid w:val="00F13BF2"/>
    <w:rsid w:val="00F15618"/>
    <w:rsid w:val="00F25767"/>
    <w:rsid w:val="00F32408"/>
    <w:rsid w:val="00F33405"/>
    <w:rsid w:val="00F34C80"/>
    <w:rsid w:val="00F34EC6"/>
    <w:rsid w:val="00F35A82"/>
    <w:rsid w:val="00F35D4D"/>
    <w:rsid w:val="00F41BB3"/>
    <w:rsid w:val="00F42109"/>
    <w:rsid w:val="00F4225C"/>
    <w:rsid w:val="00F530C8"/>
    <w:rsid w:val="00F53BFD"/>
    <w:rsid w:val="00F5617B"/>
    <w:rsid w:val="00F610E8"/>
    <w:rsid w:val="00F62EDD"/>
    <w:rsid w:val="00F63160"/>
    <w:rsid w:val="00F65746"/>
    <w:rsid w:val="00F6642A"/>
    <w:rsid w:val="00F6687A"/>
    <w:rsid w:val="00F67F1A"/>
    <w:rsid w:val="00F70F37"/>
    <w:rsid w:val="00F71E1F"/>
    <w:rsid w:val="00F71F4B"/>
    <w:rsid w:val="00F73878"/>
    <w:rsid w:val="00F73E52"/>
    <w:rsid w:val="00F75D23"/>
    <w:rsid w:val="00F8023D"/>
    <w:rsid w:val="00F84EB3"/>
    <w:rsid w:val="00F8537A"/>
    <w:rsid w:val="00F86E8D"/>
    <w:rsid w:val="00F87C6D"/>
    <w:rsid w:val="00F93396"/>
    <w:rsid w:val="00F969A7"/>
    <w:rsid w:val="00F9718B"/>
    <w:rsid w:val="00FA1A88"/>
    <w:rsid w:val="00FA1D8D"/>
    <w:rsid w:val="00FA2BBD"/>
    <w:rsid w:val="00FA2DF2"/>
    <w:rsid w:val="00FA4490"/>
    <w:rsid w:val="00FB1AE3"/>
    <w:rsid w:val="00FB28D1"/>
    <w:rsid w:val="00FB28FF"/>
    <w:rsid w:val="00FB3743"/>
    <w:rsid w:val="00FB3E2E"/>
    <w:rsid w:val="00FB44D8"/>
    <w:rsid w:val="00FB4815"/>
    <w:rsid w:val="00FB6A03"/>
    <w:rsid w:val="00FB6E42"/>
    <w:rsid w:val="00FB7595"/>
    <w:rsid w:val="00FC0478"/>
    <w:rsid w:val="00FC0862"/>
    <w:rsid w:val="00FC146B"/>
    <w:rsid w:val="00FC1DC7"/>
    <w:rsid w:val="00FC431D"/>
    <w:rsid w:val="00FC61DF"/>
    <w:rsid w:val="00FC67C2"/>
    <w:rsid w:val="00FC757E"/>
    <w:rsid w:val="00FC7694"/>
    <w:rsid w:val="00FD3CD4"/>
    <w:rsid w:val="00FD52CE"/>
    <w:rsid w:val="00FD5987"/>
    <w:rsid w:val="00FD608D"/>
    <w:rsid w:val="00FD6B6C"/>
    <w:rsid w:val="00FE0D56"/>
    <w:rsid w:val="00FE1BBF"/>
    <w:rsid w:val="00FE2488"/>
    <w:rsid w:val="00FE2CF2"/>
    <w:rsid w:val="00FE3679"/>
    <w:rsid w:val="00FF6171"/>
    <w:rsid w:val="00FF6260"/>
    <w:rsid w:val="00FF7E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D79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ato" w:eastAsiaTheme="minorHAnsi" w:hAnsi="Lato"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65A95"/>
  </w:style>
  <w:style w:type="paragraph" w:styleId="Nagwek3">
    <w:name w:val="heading 3"/>
    <w:basedOn w:val="Normalny"/>
    <w:next w:val="Normalny"/>
    <w:link w:val="Nagwek3Znak"/>
    <w:uiPriority w:val="9"/>
    <w:semiHidden/>
    <w:unhideWhenUsed/>
    <w:qFormat/>
    <w:rsid w:val="0016101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CC56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34"/>
    <w:qFormat/>
    <w:rsid w:val="00CC5687"/>
    <w:pPr>
      <w:ind w:left="720"/>
      <w:contextualSpacing/>
    </w:pPr>
  </w:style>
  <w:style w:type="table" w:styleId="Zwykatabela1">
    <w:name w:val="Plain Table 1"/>
    <w:basedOn w:val="Standardowy"/>
    <w:uiPriority w:val="41"/>
    <w:rsid w:val="00A969F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BDD6EE" w:themeFill="accent1" w:themeFillTint="66"/>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iatkatabelijasna">
    <w:name w:val="Grid Table Light"/>
    <w:basedOn w:val="Standardowy"/>
    <w:uiPriority w:val="40"/>
    <w:rsid w:val="00A969F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listy4akcent5">
    <w:name w:val="List Table 4 Accent 5"/>
    <w:basedOn w:val="Standardowy"/>
    <w:uiPriority w:val="49"/>
    <w:rsid w:val="00A969F7"/>
    <w:pPr>
      <w:spacing w:after="0" w:line="240" w:lineRule="auto"/>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Ppogrubienie">
    <w:name w:val="_P_ – pogrubienie"/>
    <w:basedOn w:val="Domylnaczcionkaakapitu"/>
    <w:uiPriority w:val="1"/>
    <w:qFormat/>
    <w:rsid w:val="00007F52"/>
    <w:rPr>
      <w:b/>
    </w:rPr>
  </w:style>
  <w:style w:type="paragraph" w:styleId="Tekstkomentarza">
    <w:name w:val="annotation text"/>
    <w:basedOn w:val="Normalny"/>
    <w:link w:val="TekstkomentarzaZnak"/>
    <w:uiPriority w:val="99"/>
    <w:unhideWhenUsed/>
    <w:qFormat/>
    <w:rsid w:val="00007F52"/>
    <w:pPr>
      <w:widowControl w:val="0"/>
      <w:autoSpaceDE w:val="0"/>
      <w:autoSpaceDN w:val="0"/>
      <w:adjustRightInd w:val="0"/>
      <w:spacing w:after="0" w:line="40" w:lineRule="atLeast"/>
      <w:jc w:val="both"/>
    </w:pPr>
    <w:rPr>
      <w:rFonts w:ascii="Helvetica" w:eastAsia="Times New Roman" w:hAnsi="Helvetica" w:cs="Helvetica"/>
      <w:color w:val="000000"/>
      <w:sz w:val="20"/>
      <w:szCs w:val="20"/>
      <w:lang w:eastAsia="pl-PL"/>
    </w:rPr>
  </w:style>
  <w:style w:type="character" w:customStyle="1" w:styleId="TekstkomentarzaZnak">
    <w:name w:val="Tekst komentarza Znak"/>
    <w:basedOn w:val="Domylnaczcionkaakapitu"/>
    <w:link w:val="Tekstkomentarza"/>
    <w:uiPriority w:val="99"/>
    <w:qFormat/>
    <w:rsid w:val="00007F52"/>
    <w:rPr>
      <w:rFonts w:ascii="Helvetica" w:eastAsia="Times New Roman" w:hAnsi="Helvetica" w:cs="Helvetica"/>
      <w:color w:val="000000"/>
      <w:sz w:val="20"/>
      <w:szCs w:val="20"/>
      <w:lang w:eastAsia="pl-PL"/>
    </w:rPr>
  </w:style>
  <w:style w:type="paragraph" w:customStyle="1" w:styleId="USTustnpkodeksu">
    <w:name w:val="UST(§) – ust. (§ np. kodeksu)"/>
    <w:basedOn w:val="Normalny"/>
    <w:uiPriority w:val="12"/>
    <w:qFormat/>
    <w:rsid w:val="009F3CFB"/>
    <w:pPr>
      <w:suppressAutoHyphens/>
      <w:autoSpaceDE w:val="0"/>
      <w:autoSpaceDN w:val="0"/>
      <w:adjustRightInd w:val="0"/>
      <w:spacing w:after="0" w:line="360" w:lineRule="auto"/>
      <w:ind w:firstLine="510"/>
      <w:jc w:val="both"/>
    </w:pPr>
    <w:rPr>
      <w:rFonts w:ascii="Times" w:eastAsiaTheme="minorEastAsia" w:hAnsi="Times" w:cs="Arial"/>
      <w:bCs/>
      <w:sz w:val="24"/>
      <w:szCs w:val="20"/>
      <w:lang w:eastAsia="pl-PL"/>
    </w:rPr>
  </w:style>
  <w:style w:type="character" w:styleId="Odwoaniedokomentarza">
    <w:name w:val="annotation reference"/>
    <w:basedOn w:val="Domylnaczcionkaakapitu"/>
    <w:uiPriority w:val="99"/>
    <w:semiHidden/>
    <w:unhideWhenUsed/>
    <w:rsid w:val="00AB5166"/>
    <w:rPr>
      <w:sz w:val="16"/>
      <w:szCs w:val="16"/>
    </w:rPr>
  </w:style>
  <w:style w:type="paragraph" w:customStyle="1" w:styleId="Default">
    <w:name w:val="Default"/>
    <w:rsid w:val="00C245CF"/>
    <w:pPr>
      <w:autoSpaceDE w:val="0"/>
      <w:autoSpaceDN w:val="0"/>
      <w:adjustRightInd w:val="0"/>
      <w:spacing w:after="0" w:line="240" w:lineRule="auto"/>
    </w:pPr>
    <w:rPr>
      <w:rFonts w:cs="Lato"/>
      <w:color w:val="000000"/>
      <w:sz w:val="24"/>
      <w:szCs w:val="24"/>
    </w:rPr>
  </w:style>
  <w:style w:type="paragraph" w:styleId="Tekstdymka">
    <w:name w:val="Balloon Text"/>
    <w:basedOn w:val="Normalny"/>
    <w:link w:val="TekstdymkaZnak"/>
    <w:uiPriority w:val="99"/>
    <w:semiHidden/>
    <w:unhideWhenUsed/>
    <w:rsid w:val="00EA6F3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A6F3E"/>
    <w:rPr>
      <w:rFonts w:ascii="Segoe UI" w:hAnsi="Segoe UI" w:cs="Segoe UI"/>
      <w:sz w:val="18"/>
      <w:szCs w:val="18"/>
    </w:rPr>
  </w:style>
  <w:style w:type="table" w:styleId="Tabelalisty4akcent1">
    <w:name w:val="List Table 4 Accent 1"/>
    <w:basedOn w:val="Standardowy"/>
    <w:uiPriority w:val="49"/>
    <w:rsid w:val="0069680B"/>
    <w:pPr>
      <w:spacing w:after="0" w:line="240" w:lineRule="auto"/>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listy4akcent4">
    <w:name w:val="List Table 4 Accent 4"/>
    <w:basedOn w:val="Standardowy"/>
    <w:uiPriority w:val="49"/>
    <w:rsid w:val="007B29F6"/>
    <w:pPr>
      <w:spacing w:after="0" w:line="240" w:lineRule="auto"/>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listy3akcent4">
    <w:name w:val="List Table 3 Accent 4"/>
    <w:basedOn w:val="Standardowy"/>
    <w:uiPriority w:val="48"/>
    <w:rsid w:val="007249F0"/>
    <w:pPr>
      <w:spacing w:after="0" w:line="240" w:lineRule="auto"/>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character" w:styleId="Hipercze">
    <w:name w:val="Hyperlink"/>
    <w:basedOn w:val="Domylnaczcionkaakapitu"/>
    <w:uiPriority w:val="99"/>
    <w:unhideWhenUsed/>
    <w:rsid w:val="001E04DC"/>
    <w:rPr>
      <w:color w:val="0563C1" w:themeColor="hyperlink"/>
      <w:u w:val="single"/>
    </w:rPr>
  </w:style>
  <w:style w:type="paragraph" w:styleId="Tekstpodstawowy">
    <w:name w:val="Body Text"/>
    <w:basedOn w:val="Normalny"/>
    <w:link w:val="TekstpodstawowyZnak"/>
    <w:uiPriority w:val="99"/>
    <w:unhideWhenUsed/>
    <w:rsid w:val="00664149"/>
    <w:pPr>
      <w:spacing w:after="120"/>
    </w:pPr>
  </w:style>
  <w:style w:type="character" w:customStyle="1" w:styleId="TekstpodstawowyZnak">
    <w:name w:val="Tekst podstawowy Znak"/>
    <w:basedOn w:val="Domylnaczcionkaakapitu"/>
    <w:link w:val="Tekstpodstawowy"/>
    <w:uiPriority w:val="99"/>
    <w:rsid w:val="00664149"/>
  </w:style>
  <w:style w:type="paragraph" w:styleId="Tematkomentarza">
    <w:name w:val="annotation subject"/>
    <w:basedOn w:val="Tekstkomentarza"/>
    <w:next w:val="Tekstkomentarza"/>
    <w:link w:val="TematkomentarzaZnak"/>
    <w:uiPriority w:val="99"/>
    <w:semiHidden/>
    <w:unhideWhenUsed/>
    <w:rsid w:val="00B43D4B"/>
    <w:pPr>
      <w:widowControl/>
      <w:autoSpaceDE/>
      <w:autoSpaceDN/>
      <w:adjustRightInd/>
      <w:spacing w:after="160" w:line="240" w:lineRule="auto"/>
      <w:jc w:val="left"/>
    </w:pPr>
    <w:rPr>
      <w:rFonts w:ascii="Lato" w:eastAsiaTheme="minorHAnsi" w:hAnsi="Lato" w:cstheme="minorBidi"/>
      <w:b/>
      <w:bCs/>
      <w:color w:val="auto"/>
      <w:lang w:eastAsia="en-US"/>
    </w:rPr>
  </w:style>
  <w:style w:type="character" w:customStyle="1" w:styleId="TematkomentarzaZnak">
    <w:name w:val="Temat komentarza Znak"/>
    <w:basedOn w:val="TekstkomentarzaZnak"/>
    <w:link w:val="Tematkomentarza"/>
    <w:uiPriority w:val="99"/>
    <w:semiHidden/>
    <w:rsid w:val="00B43D4B"/>
    <w:rPr>
      <w:rFonts w:ascii="Helvetica" w:eastAsia="Times New Roman" w:hAnsi="Helvetica" w:cs="Helvetica"/>
      <w:b/>
      <w:bCs/>
      <w:color w:val="000000"/>
      <w:sz w:val="20"/>
      <w:szCs w:val="20"/>
      <w:lang w:eastAsia="pl-PL"/>
    </w:rPr>
  </w:style>
  <w:style w:type="paragraph" w:customStyle="1" w:styleId="TYTDZPRZEDMprzedmiotregulacjitytuulubdziau">
    <w:name w:val="TYT(DZ)_PRZEDM – przedmiot regulacji tytułu lub działu"/>
    <w:next w:val="Normalny"/>
    <w:uiPriority w:val="9"/>
    <w:qFormat/>
    <w:rsid w:val="004A7567"/>
    <w:pPr>
      <w:keepNext/>
      <w:suppressAutoHyphens/>
      <w:spacing w:before="120" w:after="0" w:line="360" w:lineRule="auto"/>
      <w:jc w:val="center"/>
    </w:pPr>
    <w:rPr>
      <w:rFonts w:ascii="Times" w:eastAsia="Times New Roman" w:hAnsi="Times" w:cs="Times New Roman"/>
      <w:b/>
      <w:sz w:val="24"/>
      <w:szCs w:val="26"/>
      <w:lang w:eastAsia="pl-PL"/>
    </w:rPr>
  </w:style>
  <w:style w:type="paragraph" w:customStyle="1" w:styleId="ARTartustawynprozporzdzenia">
    <w:name w:val="ART(§) – art. ustawy (§ np. rozporządzenia)"/>
    <w:uiPriority w:val="11"/>
    <w:qFormat/>
    <w:rsid w:val="00FD3CD4"/>
    <w:pPr>
      <w:suppressAutoHyphens/>
      <w:autoSpaceDE w:val="0"/>
      <w:autoSpaceDN w:val="0"/>
      <w:adjustRightInd w:val="0"/>
      <w:spacing w:before="120" w:after="0" w:line="360" w:lineRule="auto"/>
      <w:ind w:firstLine="510"/>
      <w:jc w:val="both"/>
    </w:pPr>
    <w:rPr>
      <w:rFonts w:ascii="Times" w:eastAsiaTheme="minorEastAsia" w:hAnsi="Times" w:cs="Arial"/>
      <w:sz w:val="24"/>
      <w:szCs w:val="20"/>
      <w:lang w:eastAsia="pl-PL"/>
    </w:rPr>
  </w:style>
  <w:style w:type="paragraph" w:customStyle="1" w:styleId="PKTpunkt">
    <w:name w:val="PKT – punkt"/>
    <w:uiPriority w:val="13"/>
    <w:qFormat/>
    <w:rsid w:val="00FD3CD4"/>
    <w:pPr>
      <w:spacing w:after="0" w:line="360" w:lineRule="auto"/>
      <w:ind w:left="510" w:hanging="510"/>
      <w:jc w:val="both"/>
    </w:pPr>
    <w:rPr>
      <w:rFonts w:ascii="Times" w:eastAsiaTheme="minorEastAsia" w:hAnsi="Times" w:cs="Arial"/>
      <w:bCs/>
      <w:sz w:val="24"/>
      <w:szCs w:val="20"/>
      <w:lang w:eastAsia="pl-PL"/>
    </w:rPr>
  </w:style>
  <w:style w:type="table" w:styleId="Tabelalisty4akcent6">
    <w:name w:val="List Table 4 Accent 6"/>
    <w:basedOn w:val="Standardowy"/>
    <w:uiPriority w:val="49"/>
    <w:rsid w:val="00C337C4"/>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Odwoanieprzypisudolnego">
    <w:name w:val="footnote reference"/>
    <w:uiPriority w:val="99"/>
    <w:semiHidden/>
    <w:rsid w:val="00D045E3"/>
    <w:rPr>
      <w:rFonts w:cs="Times New Roman"/>
      <w:vertAlign w:val="superscript"/>
    </w:rPr>
  </w:style>
  <w:style w:type="character" w:customStyle="1" w:styleId="IGindeksgrny">
    <w:name w:val="_IG_ – indeks górny"/>
    <w:basedOn w:val="Domylnaczcionkaakapitu"/>
    <w:uiPriority w:val="2"/>
    <w:qFormat/>
    <w:rsid w:val="00D045E3"/>
    <w:rPr>
      <w:b w:val="0"/>
      <w:i w:val="0"/>
      <w:vanish w:val="0"/>
      <w:spacing w:val="0"/>
      <w:vertAlign w:val="superscript"/>
    </w:rPr>
  </w:style>
  <w:style w:type="character" w:customStyle="1" w:styleId="IDindeksdolny">
    <w:name w:val="_ID_ – indeks dolny"/>
    <w:basedOn w:val="Domylnaczcionkaakapitu"/>
    <w:uiPriority w:val="3"/>
    <w:qFormat/>
    <w:rsid w:val="00D045E3"/>
    <w:rPr>
      <w:b w:val="0"/>
      <w:i w:val="0"/>
      <w:vanish w:val="0"/>
      <w:spacing w:val="0"/>
      <w:vertAlign w:val="subscript"/>
    </w:rPr>
  </w:style>
  <w:style w:type="character" w:customStyle="1" w:styleId="Teksttreci">
    <w:name w:val="Tekst treści_"/>
    <w:basedOn w:val="Domylnaczcionkaakapitu"/>
    <w:qFormat/>
    <w:rsid w:val="00E302EA"/>
    <w:rPr>
      <w:b w:val="0"/>
      <w:bCs w:val="0"/>
      <w:i w:val="0"/>
      <w:iCs w:val="0"/>
      <w:caps w:val="0"/>
      <w:smallCaps w:val="0"/>
      <w:strike w:val="0"/>
      <w:dstrike w:val="0"/>
      <w:u w:val="none"/>
    </w:rPr>
  </w:style>
  <w:style w:type="character" w:customStyle="1" w:styleId="TeksttreciPogrubienie">
    <w:name w:val="Tekst treści + Pogrubienie"/>
    <w:basedOn w:val="Teksttreci"/>
    <w:qFormat/>
    <w:rsid w:val="00E302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pl"/>
    </w:rPr>
  </w:style>
  <w:style w:type="paragraph" w:styleId="Nagwek">
    <w:name w:val="header"/>
    <w:basedOn w:val="Normalny"/>
    <w:link w:val="NagwekZnak"/>
    <w:uiPriority w:val="99"/>
    <w:unhideWhenUsed/>
    <w:rsid w:val="002D0B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D0BE9"/>
  </w:style>
  <w:style w:type="paragraph" w:styleId="Stopka">
    <w:name w:val="footer"/>
    <w:basedOn w:val="Normalny"/>
    <w:link w:val="StopkaZnak"/>
    <w:uiPriority w:val="99"/>
    <w:unhideWhenUsed/>
    <w:rsid w:val="002D0B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D0BE9"/>
  </w:style>
  <w:style w:type="paragraph" w:styleId="Tekstprzypisudolnego">
    <w:name w:val="footnote text"/>
    <w:basedOn w:val="Normalny"/>
    <w:link w:val="TekstprzypisudolnegoZnak"/>
    <w:rsid w:val="004C11A3"/>
    <w:pPr>
      <w:spacing w:after="0" w:line="240" w:lineRule="auto"/>
    </w:pPr>
    <w:rPr>
      <w:rFonts w:ascii="Times New Roman" w:eastAsia="Times New Roman" w:hAnsi="Times New Roman" w:cs="Times New Roman"/>
      <w:color w:val="000000"/>
      <w:sz w:val="24"/>
      <w:szCs w:val="24"/>
      <w:lang w:val="pl" w:eastAsia="pl-PL"/>
    </w:rPr>
  </w:style>
  <w:style w:type="character" w:customStyle="1" w:styleId="TekstprzypisudolnegoZnak">
    <w:name w:val="Tekst przypisu dolnego Znak"/>
    <w:basedOn w:val="Domylnaczcionkaakapitu"/>
    <w:link w:val="Tekstprzypisudolnego"/>
    <w:rsid w:val="004C11A3"/>
    <w:rPr>
      <w:rFonts w:ascii="Times New Roman" w:eastAsia="Times New Roman" w:hAnsi="Times New Roman" w:cs="Times New Roman"/>
      <w:color w:val="000000"/>
      <w:sz w:val="24"/>
      <w:szCs w:val="24"/>
      <w:lang w:val="pl" w:eastAsia="pl-PL"/>
    </w:rPr>
  </w:style>
  <w:style w:type="character" w:customStyle="1" w:styleId="xteksttreci4">
    <w:name w:val="x_teksttreci4"/>
    <w:basedOn w:val="Domylnaczcionkaakapitu"/>
    <w:rsid w:val="004C11A3"/>
  </w:style>
  <w:style w:type="character" w:customStyle="1" w:styleId="AkapitzlistZnak">
    <w:name w:val="Akapit z listą Znak"/>
    <w:basedOn w:val="Domylnaczcionkaakapitu"/>
    <w:link w:val="Akapitzlist"/>
    <w:uiPriority w:val="34"/>
    <w:rsid w:val="005A0E94"/>
  </w:style>
  <w:style w:type="paragraph" w:styleId="Tekstprzypisukocowego">
    <w:name w:val="endnote text"/>
    <w:basedOn w:val="Normalny"/>
    <w:link w:val="TekstprzypisukocowegoZnak"/>
    <w:uiPriority w:val="99"/>
    <w:semiHidden/>
    <w:unhideWhenUsed/>
    <w:rsid w:val="009B2BA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B2BAB"/>
    <w:rPr>
      <w:sz w:val="20"/>
      <w:szCs w:val="20"/>
    </w:rPr>
  </w:style>
  <w:style w:type="character" w:styleId="Odwoanieprzypisukocowego">
    <w:name w:val="endnote reference"/>
    <w:basedOn w:val="Domylnaczcionkaakapitu"/>
    <w:uiPriority w:val="99"/>
    <w:semiHidden/>
    <w:unhideWhenUsed/>
    <w:rsid w:val="009B2BAB"/>
    <w:rPr>
      <w:vertAlign w:val="superscript"/>
    </w:rPr>
  </w:style>
  <w:style w:type="paragraph" w:customStyle="1" w:styleId="Teksttreci0">
    <w:name w:val="Tekst treści"/>
    <w:basedOn w:val="Normalny"/>
    <w:qFormat/>
    <w:rsid w:val="00084FC4"/>
    <w:pPr>
      <w:shd w:val="clear" w:color="auto" w:fill="FFFFFF"/>
      <w:spacing w:after="0" w:line="240" w:lineRule="auto"/>
      <w:ind w:hanging="500"/>
    </w:pPr>
    <w:rPr>
      <w:rFonts w:ascii="Times New Roman" w:eastAsia="Times New Roman" w:hAnsi="Times New Roman" w:cs="Times New Roman"/>
      <w:color w:val="000000"/>
      <w:sz w:val="24"/>
      <w:szCs w:val="24"/>
      <w:lang w:val="pl" w:eastAsia="pl-PL"/>
    </w:rPr>
  </w:style>
  <w:style w:type="paragraph" w:styleId="NormalnyWeb">
    <w:name w:val="Normal (Web)"/>
    <w:basedOn w:val="Normalny"/>
    <w:uiPriority w:val="99"/>
    <w:unhideWhenUsed/>
    <w:rsid w:val="008A37F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C12848"/>
    <w:pPr>
      <w:spacing w:after="0" w:line="240" w:lineRule="auto"/>
    </w:pPr>
  </w:style>
  <w:style w:type="character" w:customStyle="1" w:styleId="Nagwek3Znak">
    <w:name w:val="Nagłówek 3 Znak"/>
    <w:basedOn w:val="Domylnaczcionkaakapitu"/>
    <w:link w:val="Nagwek3"/>
    <w:uiPriority w:val="9"/>
    <w:semiHidden/>
    <w:rsid w:val="0016101E"/>
    <w:rPr>
      <w:rFonts w:asciiTheme="majorHAnsi" w:eastAsiaTheme="majorEastAsia" w:hAnsiTheme="majorHAnsi" w:cstheme="majorBidi"/>
      <w:color w:val="1F4D78" w:themeColor="accent1" w:themeShade="7F"/>
      <w:sz w:val="24"/>
      <w:szCs w:val="24"/>
    </w:rPr>
  </w:style>
  <w:style w:type="character" w:customStyle="1" w:styleId="Nierozpoznanawzmianka1">
    <w:name w:val="Nierozpoznana wzmianka1"/>
    <w:basedOn w:val="Domylnaczcionkaakapitu"/>
    <w:uiPriority w:val="99"/>
    <w:semiHidden/>
    <w:unhideWhenUsed/>
    <w:rsid w:val="003B2B51"/>
    <w:rPr>
      <w:color w:val="605E5C"/>
      <w:shd w:val="clear" w:color="auto" w:fill="E1DFDD"/>
    </w:rPr>
  </w:style>
  <w:style w:type="paragraph" w:customStyle="1" w:styleId="xmsonormal">
    <w:name w:val="x_msonormal"/>
    <w:basedOn w:val="Normalny"/>
    <w:rsid w:val="009242DA"/>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0300">
      <w:bodyDiv w:val="1"/>
      <w:marLeft w:val="0"/>
      <w:marRight w:val="0"/>
      <w:marTop w:val="0"/>
      <w:marBottom w:val="0"/>
      <w:divBdr>
        <w:top w:val="none" w:sz="0" w:space="0" w:color="auto"/>
        <w:left w:val="none" w:sz="0" w:space="0" w:color="auto"/>
        <w:bottom w:val="none" w:sz="0" w:space="0" w:color="auto"/>
        <w:right w:val="none" w:sz="0" w:space="0" w:color="auto"/>
      </w:divBdr>
    </w:div>
    <w:div w:id="70740251">
      <w:bodyDiv w:val="1"/>
      <w:marLeft w:val="0"/>
      <w:marRight w:val="0"/>
      <w:marTop w:val="0"/>
      <w:marBottom w:val="0"/>
      <w:divBdr>
        <w:top w:val="none" w:sz="0" w:space="0" w:color="auto"/>
        <w:left w:val="none" w:sz="0" w:space="0" w:color="auto"/>
        <w:bottom w:val="none" w:sz="0" w:space="0" w:color="auto"/>
        <w:right w:val="none" w:sz="0" w:space="0" w:color="auto"/>
      </w:divBdr>
    </w:div>
    <w:div w:id="103767325">
      <w:bodyDiv w:val="1"/>
      <w:marLeft w:val="0"/>
      <w:marRight w:val="0"/>
      <w:marTop w:val="0"/>
      <w:marBottom w:val="0"/>
      <w:divBdr>
        <w:top w:val="none" w:sz="0" w:space="0" w:color="auto"/>
        <w:left w:val="none" w:sz="0" w:space="0" w:color="auto"/>
        <w:bottom w:val="none" w:sz="0" w:space="0" w:color="auto"/>
        <w:right w:val="none" w:sz="0" w:space="0" w:color="auto"/>
      </w:divBdr>
    </w:div>
    <w:div w:id="121579642">
      <w:bodyDiv w:val="1"/>
      <w:marLeft w:val="0"/>
      <w:marRight w:val="0"/>
      <w:marTop w:val="0"/>
      <w:marBottom w:val="0"/>
      <w:divBdr>
        <w:top w:val="none" w:sz="0" w:space="0" w:color="auto"/>
        <w:left w:val="none" w:sz="0" w:space="0" w:color="auto"/>
        <w:bottom w:val="none" w:sz="0" w:space="0" w:color="auto"/>
        <w:right w:val="none" w:sz="0" w:space="0" w:color="auto"/>
      </w:divBdr>
    </w:div>
    <w:div w:id="124810960">
      <w:bodyDiv w:val="1"/>
      <w:marLeft w:val="0"/>
      <w:marRight w:val="0"/>
      <w:marTop w:val="0"/>
      <w:marBottom w:val="0"/>
      <w:divBdr>
        <w:top w:val="none" w:sz="0" w:space="0" w:color="auto"/>
        <w:left w:val="none" w:sz="0" w:space="0" w:color="auto"/>
        <w:bottom w:val="none" w:sz="0" w:space="0" w:color="auto"/>
        <w:right w:val="none" w:sz="0" w:space="0" w:color="auto"/>
      </w:divBdr>
    </w:div>
    <w:div w:id="172887277">
      <w:bodyDiv w:val="1"/>
      <w:marLeft w:val="0"/>
      <w:marRight w:val="0"/>
      <w:marTop w:val="0"/>
      <w:marBottom w:val="0"/>
      <w:divBdr>
        <w:top w:val="none" w:sz="0" w:space="0" w:color="auto"/>
        <w:left w:val="none" w:sz="0" w:space="0" w:color="auto"/>
        <w:bottom w:val="none" w:sz="0" w:space="0" w:color="auto"/>
        <w:right w:val="none" w:sz="0" w:space="0" w:color="auto"/>
      </w:divBdr>
    </w:div>
    <w:div w:id="182936914">
      <w:bodyDiv w:val="1"/>
      <w:marLeft w:val="0"/>
      <w:marRight w:val="0"/>
      <w:marTop w:val="0"/>
      <w:marBottom w:val="0"/>
      <w:divBdr>
        <w:top w:val="none" w:sz="0" w:space="0" w:color="auto"/>
        <w:left w:val="none" w:sz="0" w:space="0" w:color="auto"/>
        <w:bottom w:val="none" w:sz="0" w:space="0" w:color="auto"/>
        <w:right w:val="none" w:sz="0" w:space="0" w:color="auto"/>
      </w:divBdr>
    </w:div>
    <w:div w:id="191117408">
      <w:bodyDiv w:val="1"/>
      <w:marLeft w:val="0"/>
      <w:marRight w:val="0"/>
      <w:marTop w:val="0"/>
      <w:marBottom w:val="0"/>
      <w:divBdr>
        <w:top w:val="none" w:sz="0" w:space="0" w:color="auto"/>
        <w:left w:val="none" w:sz="0" w:space="0" w:color="auto"/>
        <w:bottom w:val="none" w:sz="0" w:space="0" w:color="auto"/>
        <w:right w:val="none" w:sz="0" w:space="0" w:color="auto"/>
      </w:divBdr>
    </w:div>
    <w:div w:id="201791607">
      <w:bodyDiv w:val="1"/>
      <w:marLeft w:val="0"/>
      <w:marRight w:val="0"/>
      <w:marTop w:val="0"/>
      <w:marBottom w:val="0"/>
      <w:divBdr>
        <w:top w:val="none" w:sz="0" w:space="0" w:color="auto"/>
        <w:left w:val="none" w:sz="0" w:space="0" w:color="auto"/>
        <w:bottom w:val="none" w:sz="0" w:space="0" w:color="auto"/>
        <w:right w:val="none" w:sz="0" w:space="0" w:color="auto"/>
      </w:divBdr>
    </w:div>
    <w:div w:id="235819629">
      <w:bodyDiv w:val="1"/>
      <w:marLeft w:val="0"/>
      <w:marRight w:val="0"/>
      <w:marTop w:val="0"/>
      <w:marBottom w:val="0"/>
      <w:divBdr>
        <w:top w:val="none" w:sz="0" w:space="0" w:color="auto"/>
        <w:left w:val="none" w:sz="0" w:space="0" w:color="auto"/>
        <w:bottom w:val="none" w:sz="0" w:space="0" w:color="auto"/>
        <w:right w:val="none" w:sz="0" w:space="0" w:color="auto"/>
      </w:divBdr>
    </w:div>
    <w:div w:id="241065550">
      <w:bodyDiv w:val="1"/>
      <w:marLeft w:val="0"/>
      <w:marRight w:val="0"/>
      <w:marTop w:val="0"/>
      <w:marBottom w:val="0"/>
      <w:divBdr>
        <w:top w:val="none" w:sz="0" w:space="0" w:color="auto"/>
        <w:left w:val="none" w:sz="0" w:space="0" w:color="auto"/>
        <w:bottom w:val="none" w:sz="0" w:space="0" w:color="auto"/>
        <w:right w:val="none" w:sz="0" w:space="0" w:color="auto"/>
      </w:divBdr>
    </w:div>
    <w:div w:id="242108452">
      <w:bodyDiv w:val="1"/>
      <w:marLeft w:val="0"/>
      <w:marRight w:val="0"/>
      <w:marTop w:val="0"/>
      <w:marBottom w:val="0"/>
      <w:divBdr>
        <w:top w:val="none" w:sz="0" w:space="0" w:color="auto"/>
        <w:left w:val="none" w:sz="0" w:space="0" w:color="auto"/>
        <w:bottom w:val="none" w:sz="0" w:space="0" w:color="auto"/>
        <w:right w:val="none" w:sz="0" w:space="0" w:color="auto"/>
      </w:divBdr>
    </w:div>
    <w:div w:id="245916386">
      <w:bodyDiv w:val="1"/>
      <w:marLeft w:val="0"/>
      <w:marRight w:val="0"/>
      <w:marTop w:val="0"/>
      <w:marBottom w:val="0"/>
      <w:divBdr>
        <w:top w:val="none" w:sz="0" w:space="0" w:color="auto"/>
        <w:left w:val="none" w:sz="0" w:space="0" w:color="auto"/>
        <w:bottom w:val="none" w:sz="0" w:space="0" w:color="auto"/>
        <w:right w:val="none" w:sz="0" w:space="0" w:color="auto"/>
      </w:divBdr>
    </w:div>
    <w:div w:id="268200823">
      <w:bodyDiv w:val="1"/>
      <w:marLeft w:val="0"/>
      <w:marRight w:val="0"/>
      <w:marTop w:val="0"/>
      <w:marBottom w:val="0"/>
      <w:divBdr>
        <w:top w:val="none" w:sz="0" w:space="0" w:color="auto"/>
        <w:left w:val="none" w:sz="0" w:space="0" w:color="auto"/>
        <w:bottom w:val="none" w:sz="0" w:space="0" w:color="auto"/>
        <w:right w:val="none" w:sz="0" w:space="0" w:color="auto"/>
      </w:divBdr>
    </w:div>
    <w:div w:id="317004947">
      <w:bodyDiv w:val="1"/>
      <w:marLeft w:val="0"/>
      <w:marRight w:val="0"/>
      <w:marTop w:val="0"/>
      <w:marBottom w:val="0"/>
      <w:divBdr>
        <w:top w:val="none" w:sz="0" w:space="0" w:color="auto"/>
        <w:left w:val="none" w:sz="0" w:space="0" w:color="auto"/>
        <w:bottom w:val="none" w:sz="0" w:space="0" w:color="auto"/>
        <w:right w:val="none" w:sz="0" w:space="0" w:color="auto"/>
      </w:divBdr>
    </w:div>
    <w:div w:id="359628339">
      <w:bodyDiv w:val="1"/>
      <w:marLeft w:val="0"/>
      <w:marRight w:val="0"/>
      <w:marTop w:val="0"/>
      <w:marBottom w:val="0"/>
      <w:divBdr>
        <w:top w:val="none" w:sz="0" w:space="0" w:color="auto"/>
        <w:left w:val="none" w:sz="0" w:space="0" w:color="auto"/>
        <w:bottom w:val="none" w:sz="0" w:space="0" w:color="auto"/>
        <w:right w:val="none" w:sz="0" w:space="0" w:color="auto"/>
      </w:divBdr>
    </w:div>
    <w:div w:id="363529425">
      <w:bodyDiv w:val="1"/>
      <w:marLeft w:val="0"/>
      <w:marRight w:val="0"/>
      <w:marTop w:val="0"/>
      <w:marBottom w:val="0"/>
      <w:divBdr>
        <w:top w:val="none" w:sz="0" w:space="0" w:color="auto"/>
        <w:left w:val="none" w:sz="0" w:space="0" w:color="auto"/>
        <w:bottom w:val="none" w:sz="0" w:space="0" w:color="auto"/>
        <w:right w:val="none" w:sz="0" w:space="0" w:color="auto"/>
      </w:divBdr>
    </w:div>
    <w:div w:id="379673346">
      <w:bodyDiv w:val="1"/>
      <w:marLeft w:val="0"/>
      <w:marRight w:val="0"/>
      <w:marTop w:val="0"/>
      <w:marBottom w:val="0"/>
      <w:divBdr>
        <w:top w:val="none" w:sz="0" w:space="0" w:color="auto"/>
        <w:left w:val="none" w:sz="0" w:space="0" w:color="auto"/>
        <w:bottom w:val="none" w:sz="0" w:space="0" w:color="auto"/>
        <w:right w:val="none" w:sz="0" w:space="0" w:color="auto"/>
      </w:divBdr>
    </w:div>
    <w:div w:id="409353249">
      <w:bodyDiv w:val="1"/>
      <w:marLeft w:val="0"/>
      <w:marRight w:val="0"/>
      <w:marTop w:val="0"/>
      <w:marBottom w:val="0"/>
      <w:divBdr>
        <w:top w:val="none" w:sz="0" w:space="0" w:color="auto"/>
        <w:left w:val="none" w:sz="0" w:space="0" w:color="auto"/>
        <w:bottom w:val="none" w:sz="0" w:space="0" w:color="auto"/>
        <w:right w:val="none" w:sz="0" w:space="0" w:color="auto"/>
      </w:divBdr>
    </w:div>
    <w:div w:id="418332351">
      <w:bodyDiv w:val="1"/>
      <w:marLeft w:val="0"/>
      <w:marRight w:val="0"/>
      <w:marTop w:val="0"/>
      <w:marBottom w:val="0"/>
      <w:divBdr>
        <w:top w:val="none" w:sz="0" w:space="0" w:color="auto"/>
        <w:left w:val="none" w:sz="0" w:space="0" w:color="auto"/>
        <w:bottom w:val="none" w:sz="0" w:space="0" w:color="auto"/>
        <w:right w:val="none" w:sz="0" w:space="0" w:color="auto"/>
      </w:divBdr>
    </w:div>
    <w:div w:id="420415295">
      <w:bodyDiv w:val="1"/>
      <w:marLeft w:val="0"/>
      <w:marRight w:val="0"/>
      <w:marTop w:val="0"/>
      <w:marBottom w:val="0"/>
      <w:divBdr>
        <w:top w:val="none" w:sz="0" w:space="0" w:color="auto"/>
        <w:left w:val="none" w:sz="0" w:space="0" w:color="auto"/>
        <w:bottom w:val="none" w:sz="0" w:space="0" w:color="auto"/>
        <w:right w:val="none" w:sz="0" w:space="0" w:color="auto"/>
      </w:divBdr>
    </w:div>
    <w:div w:id="438835251">
      <w:bodyDiv w:val="1"/>
      <w:marLeft w:val="0"/>
      <w:marRight w:val="0"/>
      <w:marTop w:val="0"/>
      <w:marBottom w:val="0"/>
      <w:divBdr>
        <w:top w:val="none" w:sz="0" w:space="0" w:color="auto"/>
        <w:left w:val="none" w:sz="0" w:space="0" w:color="auto"/>
        <w:bottom w:val="none" w:sz="0" w:space="0" w:color="auto"/>
        <w:right w:val="none" w:sz="0" w:space="0" w:color="auto"/>
      </w:divBdr>
    </w:div>
    <w:div w:id="449396241">
      <w:bodyDiv w:val="1"/>
      <w:marLeft w:val="0"/>
      <w:marRight w:val="0"/>
      <w:marTop w:val="0"/>
      <w:marBottom w:val="0"/>
      <w:divBdr>
        <w:top w:val="none" w:sz="0" w:space="0" w:color="auto"/>
        <w:left w:val="none" w:sz="0" w:space="0" w:color="auto"/>
        <w:bottom w:val="none" w:sz="0" w:space="0" w:color="auto"/>
        <w:right w:val="none" w:sz="0" w:space="0" w:color="auto"/>
      </w:divBdr>
    </w:div>
    <w:div w:id="485168565">
      <w:bodyDiv w:val="1"/>
      <w:marLeft w:val="0"/>
      <w:marRight w:val="0"/>
      <w:marTop w:val="0"/>
      <w:marBottom w:val="0"/>
      <w:divBdr>
        <w:top w:val="none" w:sz="0" w:space="0" w:color="auto"/>
        <w:left w:val="none" w:sz="0" w:space="0" w:color="auto"/>
        <w:bottom w:val="none" w:sz="0" w:space="0" w:color="auto"/>
        <w:right w:val="none" w:sz="0" w:space="0" w:color="auto"/>
      </w:divBdr>
    </w:div>
    <w:div w:id="485322593">
      <w:bodyDiv w:val="1"/>
      <w:marLeft w:val="0"/>
      <w:marRight w:val="0"/>
      <w:marTop w:val="0"/>
      <w:marBottom w:val="0"/>
      <w:divBdr>
        <w:top w:val="none" w:sz="0" w:space="0" w:color="auto"/>
        <w:left w:val="none" w:sz="0" w:space="0" w:color="auto"/>
        <w:bottom w:val="none" w:sz="0" w:space="0" w:color="auto"/>
        <w:right w:val="none" w:sz="0" w:space="0" w:color="auto"/>
      </w:divBdr>
    </w:div>
    <w:div w:id="495925109">
      <w:bodyDiv w:val="1"/>
      <w:marLeft w:val="0"/>
      <w:marRight w:val="0"/>
      <w:marTop w:val="0"/>
      <w:marBottom w:val="0"/>
      <w:divBdr>
        <w:top w:val="none" w:sz="0" w:space="0" w:color="auto"/>
        <w:left w:val="none" w:sz="0" w:space="0" w:color="auto"/>
        <w:bottom w:val="none" w:sz="0" w:space="0" w:color="auto"/>
        <w:right w:val="none" w:sz="0" w:space="0" w:color="auto"/>
      </w:divBdr>
    </w:div>
    <w:div w:id="550506476">
      <w:bodyDiv w:val="1"/>
      <w:marLeft w:val="0"/>
      <w:marRight w:val="0"/>
      <w:marTop w:val="0"/>
      <w:marBottom w:val="0"/>
      <w:divBdr>
        <w:top w:val="none" w:sz="0" w:space="0" w:color="auto"/>
        <w:left w:val="none" w:sz="0" w:space="0" w:color="auto"/>
        <w:bottom w:val="none" w:sz="0" w:space="0" w:color="auto"/>
        <w:right w:val="none" w:sz="0" w:space="0" w:color="auto"/>
      </w:divBdr>
    </w:div>
    <w:div w:id="625157368">
      <w:bodyDiv w:val="1"/>
      <w:marLeft w:val="0"/>
      <w:marRight w:val="0"/>
      <w:marTop w:val="0"/>
      <w:marBottom w:val="0"/>
      <w:divBdr>
        <w:top w:val="none" w:sz="0" w:space="0" w:color="auto"/>
        <w:left w:val="none" w:sz="0" w:space="0" w:color="auto"/>
        <w:bottom w:val="none" w:sz="0" w:space="0" w:color="auto"/>
        <w:right w:val="none" w:sz="0" w:space="0" w:color="auto"/>
      </w:divBdr>
    </w:div>
    <w:div w:id="651447058">
      <w:bodyDiv w:val="1"/>
      <w:marLeft w:val="0"/>
      <w:marRight w:val="0"/>
      <w:marTop w:val="0"/>
      <w:marBottom w:val="0"/>
      <w:divBdr>
        <w:top w:val="none" w:sz="0" w:space="0" w:color="auto"/>
        <w:left w:val="none" w:sz="0" w:space="0" w:color="auto"/>
        <w:bottom w:val="none" w:sz="0" w:space="0" w:color="auto"/>
        <w:right w:val="none" w:sz="0" w:space="0" w:color="auto"/>
      </w:divBdr>
    </w:div>
    <w:div w:id="717709024">
      <w:bodyDiv w:val="1"/>
      <w:marLeft w:val="0"/>
      <w:marRight w:val="0"/>
      <w:marTop w:val="0"/>
      <w:marBottom w:val="0"/>
      <w:divBdr>
        <w:top w:val="none" w:sz="0" w:space="0" w:color="auto"/>
        <w:left w:val="none" w:sz="0" w:space="0" w:color="auto"/>
        <w:bottom w:val="none" w:sz="0" w:space="0" w:color="auto"/>
        <w:right w:val="none" w:sz="0" w:space="0" w:color="auto"/>
      </w:divBdr>
    </w:div>
    <w:div w:id="718866003">
      <w:bodyDiv w:val="1"/>
      <w:marLeft w:val="0"/>
      <w:marRight w:val="0"/>
      <w:marTop w:val="0"/>
      <w:marBottom w:val="0"/>
      <w:divBdr>
        <w:top w:val="none" w:sz="0" w:space="0" w:color="auto"/>
        <w:left w:val="none" w:sz="0" w:space="0" w:color="auto"/>
        <w:bottom w:val="none" w:sz="0" w:space="0" w:color="auto"/>
        <w:right w:val="none" w:sz="0" w:space="0" w:color="auto"/>
      </w:divBdr>
      <w:divsChild>
        <w:div w:id="50546193">
          <w:marLeft w:val="0"/>
          <w:marRight w:val="0"/>
          <w:marTop w:val="0"/>
          <w:marBottom w:val="0"/>
          <w:divBdr>
            <w:top w:val="none" w:sz="0" w:space="0" w:color="auto"/>
            <w:left w:val="none" w:sz="0" w:space="0" w:color="auto"/>
            <w:bottom w:val="none" w:sz="0" w:space="0" w:color="auto"/>
            <w:right w:val="none" w:sz="0" w:space="0" w:color="auto"/>
          </w:divBdr>
        </w:div>
        <w:div w:id="104468999">
          <w:marLeft w:val="0"/>
          <w:marRight w:val="0"/>
          <w:marTop w:val="0"/>
          <w:marBottom w:val="0"/>
          <w:divBdr>
            <w:top w:val="none" w:sz="0" w:space="0" w:color="auto"/>
            <w:left w:val="none" w:sz="0" w:space="0" w:color="auto"/>
            <w:bottom w:val="none" w:sz="0" w:space="0" w:color="auto"/>
            <w:right w:val="none" w:sz="0" w:space="0" w:color="auto"/>
          </w:divBdr>
        </w:div>
      </w:divsChild>
    </w:div>
    <w:div w:id="744760267">
      <w:bodyDiv w:val="1"/>
      <w:marLeft w:val="0"/>
      <w:marRight w:val="0"/>
      <w:marTop w:val="0"/>
      <w:marBottom w:val="0"/>
      <w:divBdr>
        <w:top w:val="none" w:sz="0" w:space="0" w:color="auto"/>
        <w:left w:val="none" w:sz="0" w:space="0" w:color="auto"/>
        <w:bottom w:val="none" w:sz="0" w:space="0" w:color="auto"/>
        <w:right w:val="none" w:sz="0" w:space="0" w:color="auto"/>
      </w:divBdr>
    </w:div>
    <w:div w:id="749741790">
      <w:bodyDiv w:val="1"/>
      <w:marLeft w:val="0"/>
      <w:marRight w:val="0"/>
      <w:marTop w:val="0"/>
      <w:marBottom w:val="0"/>
      <w:divBdr>
        <w:top w:val="none" w:sz="0" w:space="0" w:color="auto"/>
        <w:left w:val="none" w:sz="0" w:space="0" w:color="auto"/>
        <w:bottom w:val="none" w:sz="0" w:space="0" w:color="auto"/>
        <w:right w:val="none" w:sz="0" w:space="0" w:color="auto"/>
      </w:divBdr>
    </w:div>
    <w:div w:id="791707220">
      <w:bodyDiv w:val="1"/>
      <w:marLeft w:val="0"/>
      <w:marRight w:val="0"/>
      <w:marTop w:val="0"/>
      <w:marBottom w:val="0"/>
      <w:divBdr>
        <w:top w:val="none" w:sz="0" w:space="0" w:color="auto"/>
        <w:left w:val="none" w:sz="0" w:space="0" w:color="auto"/>
        <w:bottom w:val="none" w:sz="0" w:space="0" w:color="auto"/>
        <w:right w:val="none" w:sz="0" w:space="0" w:color="auto"/>
      </w:divBdr>
    </w:div>
    <w:div w:id="795179002">
      <w:bodyDiv w:val="1"/>
      <w:marLeft w:val="0"/>
      <w:marRight w:val="0"/>
      <w:marTop w:val="0"/>
      <w:marBottom w:val="0"/>
      <w:divBdr>
        <w:top w:val="none" w:sz="0" w:space="0" w:color="auto"/>
        <w:left w:val="none" w:sz="0" w:space="0" w:color="auto"/>
        <w:bottom w:val="none" w:sz="0" w:space="0" w:color="auto"/>
        <w:right w:val="none" w:sz="0" w:space="0" w:color="auto"/>
      </w:divBdr>
    </w:div>
    <w:div w:id="796218055">
      <w:bodyDiv w:val="1"/>
      <w:marLeft w:val="0"/>
      <w:marRight w:val="0"/>
      <w:marTop w:val="0"/>
      <w:marBottom w:val="0"/>
      <w:divBdr>
        <w:top w:val="none" w:sz="0" w:space="0" w:color="auto"/>
        <w:left w:val="none" w:sz="0" w:space="0" w:color="auto"/>
        <w:bottom w:val="none" w:sz="0" w:space="0" w:color="auto"/>
        <w:right w:val="none" w:sz="0" w:space="0" w:color="auto"/>
      </w:divBdr>
    </w:div>
    <w:div w:id="841967895">
      <w:bodyDiv w:val="1"/>
      <w:marLeft w:val="0"/>
      <w:marRight w:val="0"/>
      <w:marTop w:val="0"/>
      <w:marBottom w:val="0"/>
      <w:divBdr>
        <w:top w:val="none" w:sz="0" w:space="0" w:color="auto"/>
        <w:left w:val="none" w:sz="0" w:space="0" w:color="auto"/>
        <w:bottom w:val="none" w:sz="0" w:space="0" w:color="auto"/>
        <w:right w:val="none" w:sz="0" w:space="0" w:color="auto"/>
      </w:divBdr>
    </w:div>
    <w:div w:id="852259775">
      <w:bodyDiv w:val="1"/>
      <w:marLeft w:val="0"/>
      <w:marRight w:val="0"/>
      <w:marTop w:val="0"/>
      <w:marBottom w:val="0"/>
      <w:divBdr>
        <w:top w:val="none" w:sz="0" w:space="0" w:color="auto"/>
        <w:left w:val="none" w:sz="0" w:space="0" w:color="auto"/>
        <w:bottom w:val="none" w:sz="0" w:space="0" w:color="auto"/>
        <w:right w:val="none" w:sz="0" w:space="0" w:color="auto"/>
      </w:divBdr>
    </w:div>
    <w:div w:id="862744609">
      <w:bodyDiv w:val="1"/>
      <w:marLeft w:val="0"/>
      <w:marRight w:val="0"/>
      <w:marTop w:val="0"/>
      <w:marBottom w:val="0"/>
      <w:divBdr>
        <w:top w:val="none" w:sz="0" w:space="0" w:color="auto"/>
        <w:left w:val="none" w:sz="0" w:space="0" w:color="auto"/>
        <w:bottom w:val="none" w:sz="0" w:space="0" w:color="auto"/>
        <w:right w:val="none" w:sz="0" w:space="0" w:color="auto"/>
      </w:divBdr>
    </w:div>
    <w:div w:id="892616806">
      <w:bodyDiv w:val="1"/>
      <w:marLeft w:val="0"/>
      <w:marRight w:val="0"/>
      <w:marTop w:val="0"/>
      <w:marBottom w:val="0"/>
      <w:divBdr>
        <w:top w:val="none" w:sz="0" w:space="0" w:color="auto"/>
        <w:left w:val="none" w:sz="0" w:space="0" w:color="auto"/>
        <w:bottom w:val="none" w:sz="0" w:space="0" w:color="auto"/>
        <w:right w:val="none" w:sz="0" w:space="0" w:color="auto"/>
      </w:divBdr>
    </w:div>
    <w:div w:id="935673123">
      <w:bodyDiv w:val="1"/>
      <w:marLeft w:val="0"/>
      <w:marRight w:val="0"/>
      <w:marTop w:val="0"/>
      <w:marBottom w:val="0"/>
      <w:divBdr>
        <w:top w:val="none" w:sz="0" w:space="0" w:color="auto"/>
        <w:left w:val="none" w:sz="0" w:space="0" w:color="auto"/>
        <w:bottom w:val="none" w:sz="0" w:space="0" w:color="auto"/>
        <w:right w:val="none" w:sz="0" w:space="0" w:color="auto"/>
      </w:divBdr>
    </w:div>
    <w:div w:id="947082327">
      <w:bodyDiv w:val="1"/>
      <w:marLeft w:val="0"/>
      <w:marRight w:val="0"/>
      <w:marTop w:val="0"/>
      <w:marBottom w:val="0"/>
      <w:divBdr>
        <w:top w:val="none" w:sz="0" w:space="0" w:color="auto"/>
        <w:left w:val="none" w:sz="0" w:space="0" w:color="auto"/>
        <w:bottom w:val="none" w:sz="0" w:space="0" w:color="auto"/>
        <w:right w:val="none" w:sz="0" w:space="0" w:color="auto"/>
      </w:divBdr>
    </w:div>
    <w:div w:id="949236174">
      <w:bodyDiv w:val="1"/>
      <w:marLeft w:val="0"/>
      <w:marRight w:val="0"/>
      <w:marTop w:val="0"/>
      <w:marBottom w:val="0"/>
      <w:divBdr>
        <w:top w:val="none" w:sz="0" w:space="0" w:color="auto"/>
        <w:left w:val="none" w:sz="0" w:space="0" w:color="auto"/>
        <w:bottom w:val="none" w:sz="0" w:space="0" w:color="auto"/>
        <w:right w:val="none" w:sz="0" w:space="0" w:color="auto"/>
      </w:divBdr>
    </w:div>
    <w:div w:id="981153509">
      <w:bodyDiv w:val="1"/>
      <w:marLeft w:val="0"/>
      <w:marRight w:val="0"/>
      <w:marTop w:val="0"/>
      <w:marBottom w:val="0"/>
      <w:divBdr>
        <w:top w:val="none" w:sz="0" w:space="0" w:color="auto"/>
        <w:left w:val="none" w:sz="0" w:space="0" w:color="auto"/>
        <w:bottom w:val="none" w:sz="0" w:space="0" w:color="auto"/>
        <w:right w:val="none" w:sz="0" w:space="0" w:color="auto"/>
      </w:divBdr>
    </w:div>
    <w:div w:id="985865527">
      <w:bodyDiv w:val="1"/>
      <w:marLeft w:val="0"/>
      <w:marRight w:val="0"/>
      <w:marTop w:val="0"/>
      <w:marBottom w:val="0"/>
      <w:divBdr>
        <w:top w:val="none" w:sz="0" w:space="0" w:color="auto"/>
        <w:left w:val="none" w:sz="0" w:space="0" w:color="auto"/>
        <w:bottom w:val="none" w:sz="0" w:space="0" w:color="auto"/>
        <w:right w:val="none" w:sz="0" w:space="0" w:color="auto"/>
      </w:divBdr>
    </w:div>
    <w:div w:id="1003506914">
      <w:bodyDiv w:val="1"/>
      <w:marLeft w:val="0"/>
      <w:marRight w:val="0"/>
      <w:marTop w:val="0"/>
      <w:marBottom w:val="0"/>
      <w:divBdr>
        <w:top w:val="none" w:sz="0" w:space="0" w:color="auto"/>
        <w:left w:val="none" w:sz="0" w:space="0" w:color="auto"/>
        <w:bottom w:val="none" w:sz="0" w:space="0" w:color="auto"/>
        <w:right w:val="none" w:sz="0" w:space="0" w:color="auto"/>
      </w:divBdr>
    </w:div>
    <w:div w:id="1068773057">
      <w:bodyDiv w:val="1"/>
      <w:marLeft w:val="0"/>
      <w:marRight w:val="0"/>
      <w:marTop w:val="0"/>
      <w:marBottom w:val="0"/>
      <w:divBdr>
        <w:top w:val="none" w:sz="0" w:space="0" w:color="auto"/>
        <w:left w:val="none" w:sz="0" w:space="0" w:color="auto"/>
        <w:bottom w:val="none" w:sz="0" w:space="0" w:color="auto"/>
        <w:right w:val="none" w:sz="0" w:space="0" w:color="auto"/>
      </w:divBdr>
    </w:div>
    <w:div w:id="1072578090">
      <w:bodyDiv w:val="1"/>
      <w:marLeft w:val="0"/>
      <w:marRight w:val="0"/>
      <w:marTop w:val="0"/>
      <w:marBottom w:val="0"/>
      <w:divBdr>
        <w:top w:val="none" w:sz="0" w:space="0" w:color="auto"/>
        <w:left w:val="none" w:sz="0" w:space="0" w:color="auto"/>
        <w:bottom w:val="none" w:sz="0" w:space="0" w:color="auto"/>
        <w:right w:val="none" w:sz="0" w:space="0" w:color="auto"/>
      </w:divBdr>
    </w:div>
    <w:div w:id="1076171867">
      <w:bodyDiv w:val="1"/>
      <w:marLeft w:val="0"/>
      <w:marRight w:val="0"/>
      <w:marTop w:val="0"/>
      <w:marBottom w:val="0"/>
      <w:divBdr>
        <w:top w:val="none" w:sz="0" w:space="0" w:color="auto"/>
        <w:left w:val="none" w:sz="0" w:space="0" w:color="auto"/>
        <w:bottom w:val="none" w:sz="0" w:space="0" w:color="auto"/>
        <w:right w:val="none" w:sz="0" w:space="0" w:color="auto"/>
      </w:divBdr>
    </w:div>
    <w:div w:id="1082071421">
      <w:bodyDiv w:val="1"/>
      <w:marLeft w:val="0"/>
      <w:marRight w:val="0"/>
      <w:marTop w:val="0"/>
      <w:marBottom w:val="0"/>
      <w:divBdr>
        <w:top w:val="none" w:sz="0" w:space="0" w:color="auto"/>
        <w:left w:val="none" w:sz="0" w:space="0" w:color="auto"/>
        <w:bottom w:val="none" w:sz="0" w:space="0" w:color="auto"/>
        <w:right w:val="none" w:sz="0" w:space="0" w:color="auto"/>
      </w:divBdr>
    </w:div>
    <w:div w:id="1180660595">
      <w:bodyDiv w:val="1"/>
      <w:marLeft w:val="0"/>
      <w:marRight w:val="0"/>
      <w:marTop w:val="0"/>
      <w:marBottom w:val="0"/>
      <w:divBdr>
        <w:top w:val="none" w:sz="0" w:space="0" w:color="auto"/>
        <w:left w:val="none" w:sz="0" w:space="0" w:color="auto"/>
        <w:bottom w:val="none" w:sz="0" w:space="0" w:color="auto"/>
        <w:right w:val="none" w:sz="0" w:space="0" w:color="auto"/>
      </w:divBdr>
    </w:div>
    <w:div w:id="1225605895">
      <w:bodyDiv w:val="1"/>
      <w:marLeft w:val="0"/>
      <w:marRight w:val="0"/>
      <w:marTop w:val="0"/>
      <w:marBottom w:val="0"/>
      <w:divBdr>
        <w:top w:val="none" w:sz="0" w:space="0" w:color="auto"/>
        <w:left w:val="none" w:sz="0" w:space="0" w:color="auto"/>
        <w:bottom w:val="none" w:sz="0" w:space="0" w:color="auto"/>
        <w:right w:val="none" w:sz="0" w:space="0" w:color="auto"/>
      </w:divBdr>
    </w:div>
    <w:div w:id="1234199792">
      <w:bodyDiv w:val="1"/>
      <w:marLeft w:val="0"/>
      <w:marRight w:val="0"/>
      <w:marTop w:val="0"/>
      <w:marBottom w:val="0"/>
      <w:divBdr>
        <w:top w:val="none" w:sz="0" w:space="0" w:color="auto"/>
        <w:left w:val="none" w:sz="0" w:space="0" w:color="auto"/>
        <w:bottom w:val="none" w:sz="0" w:space="0" w:color="auto"/>
        <w:right w:val="none" w:sz="0" w:space="0" w:color="auto"/>
      </w:divBdr>
    </w:div>
    <w:div w:id="1240208969">
      <w:bodyDiv w:val="1"/>
      <w:marLeft w:val="0"/>
      <w:marRight w:val="0"/>
      <w:marTop w:val="0"/>
      <w:marBottom w:val="0"/>
      <w:divBdr>
        <w:top w:val="none" w:sz="0" w:space="0" w:color="auto"/>
        <w:left w:val="none" w:sz="0" w:space="0" w:color="auto"/>
        <w:bottom w:val="none" w:sz="0" w:space="0" w:color="auto"/>
        <w:right w:val="none" w:sz="0" w:space="0" w:color="auto"/>
      </w:divBdr>
    </w:div>
    <w:div w:id="1254556477">
      <w:bodyDiv w:val="1"/>
      <w:marLeft w:val="0"/>
      <w:marRight w:val="0"/>
      <w:marTop w:val="0"/>
      <w:marBottom w:val="0"/>
      <w:divBdr>
        <w:top w:val="none" w:sz="0" w:space="0" w:color="auto"/>
        <w:left w:val="none" w:sz="0" w:space="0" w:color="auto"/>
        <w:bottom w:val="none" w:sz="0" w:space="0" w:color="auto"/>
        <w:right w:val="none" w:sz="0" w:space="0" w:color="auto"/>
      </w:divBdr>
    </w:div>
    <w:div w:id="1288656970">
      <w:bodyDiv w:val="1"/>
      <w:marLeft w:val="0"/>
      <w:marRight w:val="0"/>
      <w:marTop w:val="0"/>
      <w:marBottom w:val="0"/>
      <w:divBdr>
        <w:top w:val="none" w:sz="0" w:space="0" w:color="auto"/>
        <w:left w:val="none" w:sz="0" w:space="0" w:color="auto"/>
        <w:bottom w:val="none" w:sz="0" w:space="0" w:color="auto"/>
        <w:right w:val="none" w:sz="0" w:space="0" w:color="auto"/>
      </w:divBdr>
    </w:div>
    <w:div w:id="1313943793">
      <w:bodyDiv w:val="1"/>
      <w:marLeft w:val="0"/>
      <w:marRight w:val="0"/>
      <w:marTop w:val="0"/>
      <w:marBottom w:val="0"/>
      <w:divBdr>
        <w:top w:val="none" w:sz="0" w:space="0" w:color="auto"/>
        <w:left w:val="none" w:sz="0" w:space="0" w:color="auto"/>
        <w:bottom w:val="none" w:sz="0" w:space="0" w:color="auto"/>
        <w:right w:val="none" w:sz="0" w:space="0" w:color="auto"/>
      </w:divBdr>
    </w:div>
    <w:div w:id="1314985645">
      <w:bodyDiv w:val="1"/>
      <w:marLeft w:val="0"/>
      <w:marRight w:val="0"/>
      <w:marTop w:val="0"/>
      <w:marBottom w:val="0"/>
      <w:divBdr>
        <w:top w:val="none" w:sz="0" w:space="0" w:color="auto"/>
        <w:left w:val="none" w:sz="0" w:space="0" w:color="auto"/>
        <w:bottom w:val="none" w:sz="0" w:space="0" w:color="auto"/>
        <w:right w:val="none" w:sz="0" w:space="0" w:color="auto"/>
      </w:divBdr>
    </w:div>
    <w:div w:id="1320845135">
      <w:bodyDiv w:val="1"/>
      <w:marLeft w:val="0"/>
      <w:marRight w:val="0"/>
      <w:marTop w:val="0"/>
      <w:marBottom w:val="0"/>
      <w:divBdr>
        <w:top w:val="none" w:sz="0" w:space="0" w:color="auto"/>
        <w:left w:val="none" w:sz="0" w:space="0" w:color="auto"/>
        <w:bottom w:val="none" w:sz="0" w:space="0" w:color="auto"/>
        <w:right w:val="none" w:sz="0" w:space="0" w:color="auto"/>
      </w:divBdr>
    </w:div>
    <w:div w:id="1432579999">
      <w:bodyDiv w:val="1"/>
      <w:marLeft w:val="0"/>
      <w:marRight w:val="0"/>
      <w:marTop w:val="0"/>
      <w:marBottom w:val="0"/>
      <w:divBdr>
        <w:top w:val="none" w:sz="0" w:space="0" w:color="auto"/>
        <w:left w:val="none" w:sz="0" w:space="0" w:color="auto"/>
        <w:bottom w:val="none" w:sz="0" w:space="0" w:color="auto"/>
        <w:right w:val="none" w:sz="0" w:space="0" w:color="auto"/>
      </w:divBdr>
    </w:div>
    <w:div w:id="1470395051">
      <w:bodyDiv w:val="1"/>
      <w:marLeft w:val="0"/>
      <w:marRight w:val="0"/>
      <w:marTop w:val="0"/>
      <w:marBottom w:val="0"/>
      <w:divBdr>
        <w:top w:val="none" w:sz="0" w:space="0" w:color="auto"/>
        <w:left w:val="none" w:sz="0" w:space="0" w:color="auto"/>
        <w:bottom w:val="none" w:sz="0" w:space="0" w:color="auto"/>
        <w:right w:val="none" w:sz="0" w:space="0" w:color="auto"/>
      </w:divBdr>
    </w:div>
    <w:div w:id="1474056644">
      <w:bodyDiv w:val="1"/>
      <w:marLeft w:val="0"/>
      <w:marRight w:val="0"/>
      <w:marTop w:val="0"/>
      <w:marBottom w:val="0"/>
      <w:divBdr>
        <w:top w:val="none" w:sz="0" w:space="0" w:color="auto"/>
        <w:left w:val="none" w:sz="0" w:space="0" w:color="auto"/>
        <w:bottom w:val="none" w:sz="0" w:space="0" w:color="auto"/>
        <w:right w:val="none" w:sz="0" w:space="0" w:color="auto"/>
      </w:divBdr>
    </w:div>
    <w:div w:id="1565217485">
      <w:bodyDiv w:val="1"/>
      <w:marLeft w:val="0"/>
      <w:marRight w:val="0"/>
      <w:marTop w:val="0"/>
      <w:marBottom w:val="0"/>
      <w:divBdr>
        <w:top w:val="none" w:sz="0" w:space="0" w:color="auto"/>
        <w:left w:val="none" w:sz="0" w:space="0" w:color="auto"/>
        <w:bottom w:val="none" w:sz="0" w:space="0" w:color="auto"/>
        <w:right w:val="none" w:sz="0" w:space="0" w:color="auto"/>
      </w:divBdr>
    </w:div>
    <w:div w:id="1575580134">
      <w:bodyDiv w:val="1"/>
      <w:marLeft w:val="0"/>
      <w:marRight w:val="0"/>
      <w:marTop w:val="0"/>
      <w:marBottom w:val="0"/>
      <w:divBdr>
        <w:top w:val="none" w:sz="0" w:space="0" w:color="auto"/>
        <w:left w:val="none" w:sz="0" w:space="0" w:color="auto"/>
        <w:bottom w:val="none" w:sz="0" w:space="0" w:color="auto"/>
        <w:right w:val="none" w:sz="0" w:space="0" w:color="auto"/>
      </w:divBdr>
    </w:div>
    <w:div w:id="1579828639">
      <w:bodyDiv w:val="1"/>
      <w:marLeft w:val="0"/>
      <w:marRight w:val="0"/>
      <w:marTop w:val="0"/>
      <w:marBottom w:val="0"/>
      <w:divBdr>
        <w:top w:val="none" w:sz="0" w:space="0" w:color="auto"/>
        <w:left w:val="none" w:sz="0" w:space="0" w:color="auto"/>
        <w:bottom w:val="none" w:sz="0" w:space="0" w:color="auto"/>
        <w:right w:val="none" w:sz="0" w:space="0" w:color="auto"/>
      </w:divBdr>
    </w:div>
    <w:div w:id="1583904559">
      <w:bodyDiv w:val="1"/>
      <w:marLeft w:val="0"/>
      <w:marRight w:val="0"/>
      <w:marTop w:val="0"/>
      <w:marBottom w:val="0"/>
      <w:divBdr>
        <w:top w:val="none" w:sz="0" w:space="0" w:color="auto"/>
        <w:left w:val="none" w:sz="0" w:space="0" w:color="auto"/>
        <w:bottom w:val="none" w:sz="0" w:space="0" w:color="auto"/>
        <w:right w:val="none" w:sz="0" w:space="0" w:color="auto"/>
      </w:divBdr>
    </w:div>
    <w:div w:id="1595628058">
      <w:bodyDiv w:val="1"/>
      <w:marLeft w:val="0"/>
      <w:marRight w:val="0"/>
      <w:marTop w:val="0"/>
      <w:marBottom w:val="0"/>
      <w:divBdr>
        <w:top w:val="none" w:sz="0" w:space="0" w:color="auto"/>
        <w:left w:val="none" w:sz="0" w:space="0" w:color="auto"/>
        <w:bottom w:val="none" w:sz="0" w:space="0" w:color="auto"/>
        <w:right w:val="none" w:sz="0" w:space="0" w:color="auto"/>
      </w:divBdr>
    </w:div>
    <w:div w:id="1626737499">
      <w:bodyDiv w:val="1"/>
      <w:marLeft w:val="0"/>
      <w:marRight w:val="0"/>
      <w:marTop w:val="0"/>
      <w:marBottom w:val="0"/>
      <w:divBdr>
        <w:top w:val="none" w:sz="0" w:space="0" w:color="auto"/>
        <w:left w:val="none" w:sz="0" w:space="0" w:color="auto"/>
        <w:bottom w:val="none" w:sz="0" w:space="0" w:color="auto"/>
        <w:right w:val="none" w:sz="0" w:space="0" w:color="auto"/>
      </w:divBdr>
    </w:div>
    <w:div w:id="1654092979">
      <w:bodyDiv w:val="1"/>
      <w:marLeft w:val="0"/>
      <w:marRight w:val="0"/>
      <w:marTop w:val="0"/>
      <w:marBottom w:val="0"/>
      <w:divBdr>
        <w:top w:val="none" w:sz="0" w:space="0" w:color="auto"/>
        <w:left w:val="none" w:sz="0" w:space="0" w:color="auto"/>
        <w:bottom w:val="none" w:sz="0" w:space="0" w:color="auto"/>
        <w:right w:val="none" w:sz="0" w:space="0" w:color="auto"/>
      </w:divBdr>
    </w:div>
    <w:div w:id="1656566371">
      <w:bodyDiv w:val="1"/>
      <w:marLeft w:val="0"/>
      <w:marRight w:val="0"/>
      <w:marTop w:val="0"/>
      <w:marBottom w:val="0"/>
      <w:divBdr>
        <w:top w:val="none" w:sz="0" w:space="0" w:color="auto"/>
        <w:left w:val="none" w:sz="0" w:space="0" w:color="auto"/>
        <w:bottom w:val="none" w:sz="0" w:space="0" w:color="auto"/>
        <w:right w:val="none" w:sz="0" w:space="0" w:color="auto"/>
      </w:divBdr>
    </w:div>
    <w:div w:id="1668702778">
      <w:bodyDiv w:val="1"/>
      <w:marLeft w:val="0"/>
      <w:marRight w:val="0"/>
      <w:marTop w:val="0"/>
      <w:marBottom w:val="0"/>
      <w:divBdr>
        <w:top w:val="none" w:sz="0" w:space="0" w:color="auto"/>
        <w:left w:val="none" w:sz="0" w:space="0" w:color="auto"/>
        <w:bottom w:val="none" w:sz="0" w:space="0" w:color="auto"/>
        <w:right w:val="none" w:sz="0" w:space="0" w:color="auto"/>
      </w:divBdr>
    </w:div>
    <w:div w:id="1681349486">
      <w:bodyDiv w:val="1"/>
      <w:marLeft w:val="0"/>
      <w:marRight w:val="0"/>
      <w:marTop w:val="0"/>
      <w:marBottom w:val="0"/>
      <w:divBdr>
        <w:top w:val="none" w:sz="0" w:space="0" w:color="auto"/>
        <w:left w:val="none" w:sz="0" w:space="0" w:color="auto"/>
        <w:bottom w:val="none" w:sz="0" w:space="0" w:color="auto"/>
        <w:right w:val="none" w:sz="0" w:space="0" w:color="auto"/>
      </w:divBdr>
    </w:div>
    <w:div w:id="1681661598">
      <w:bodyDiv w:val="1"/>
      <w:marLeft w:val="0"/>
      <w:marRight w:val="0"/>
      <w:marTop w:val="0"/>
      <w:marBottom w:val="0"/>
      <w:divBdr>
        <w:top w:val="none" w:sz="0" w:space="0" w:color="auto"/>
        <w:left w:val="none" w:sz="0" w:space="0" w:color="auto"/>
        <w:bottom w:val="none" w:sz="0" w:space="0" w:color="auto"/>
        <w:right w:val="none" w:sz="0" w:space="0" w:color="auto"/>
      </w:divBdr>
    </w:div>
    <w:div w:id="1701003475">
      <w:bodyDiv w:val="1"/>
      <w:marLeft w:val="0"/>
      <w:marRight w:val="0"/>
      <w:marTop w:val="0"/>
      <w:marBottom w:val="0"/>
      <w:divBdr>
        <w:top w:val="none" w:sz="0" w:space="0" w:color="auto"/>
        <w:left w:val="none" w:sz="0" w:space="0" w:color="auto"/>
        <w:bottom w:val="none" w:sz="0" w:space="0" w:color="auto"/>
        <w:right w:val="none" w:sz="0" w:space="0" w:color="auto"/>
      </w:divBdr>
    </w:div>
    <w:div w:id="1722244370">
      <w:bodyDiv w:val="1"/>
      <w:marLeft w:val="0"/>
      <w:marRight w:val="0"/>
      <w:marTop w:val="0"/>
      <w:marBottom w:val="0"/>
      <w:divBdr>
        <w:top w:val="none" w:sz="0" w:space="0" w:color="auto"/>
        <w:left w:val="none" w:sz="0" w:space="0" w:color="auto"/>
        <w:bottom w:val="none" w:sz="0" w:space="0" w:color="auto"/>
        <w:right w:val="none" w:sz="0" w:space="0" w:color="auto"/>
      </w:divBdr>
    </w:div>
    <w:div w:id="1739477918">
      <w:bodyDiv w:val="1"/>
      <w:marLeft w:val="0"/>
      <w:marRight w:val="0"/>
      <w:marTop w:val="0"/>
      <w:marBottom w:val="0"/>
      <w:divBdr>
        <w:top w:val="none" w:sz="0" w:space="0" w:color="auto"/>
        <w:left w:val="none" w:sz="0" w:space="0" w:color="auto"/>
        <w:bottom w:val="none" w:sz="0" w:space="0" w:color="auto"/>
        <w:right w:val="none" w:sz="0" w:space="0" w:color="auto"/>
      </w:divBdr>
    </w:div>
    <w:div w:id="1751727775">
      <w:bodyDiv w:val="1"/>
      <w:marLeft w:val="0"/>
      <w:marRight w:val="0"/>
      <w:marTop w:val="0"/>
      <w:marBottom w:val="0"/>
      <w:divBdr>
        <w:top w:val="none" w:sz="0" w:space="0" w:color="auto"/>
        <w:left w:val="none" w:sz="0" w:space="0" w:color="auto"/>
        <w:bottom w:val="none" w:sz="0" w:space="0" w:color="auto"/>
        <w:right w:val="none" w:sz="0" w:space="0" w:color="auto"/>
      </w:divBdr>
    </w:div>
    <w:div w:id="1773436587">
      <w:bodyDiv w:val="1"/>
      <w:marLeft w:val="0"/>
      <w:marRight w:val="0"/>
      <w:marTop w:val="0"/>
      <w:marBottom w:val="0"/>
      <w:divBdr>
        <w:top w:val="none" w:sz="0" w:space="0" w:color="auto"/>
        <w:left w:val="none" w:sz="0" w:space="0" w:color="auto"/>
        <w:bottom w:val="none" w:sz="0" w:space="0" w:color="auto"/>
        <w:right w:val="none" w:sz="0" w:space="0" w:color="auto"/>
      </w:divBdr>
    </w:div>
    <w:div w:id="1777208501">
      <w:bodyDiv w:val="1"/>
      <w:marLeft w:val="0"/>
      <w:marRight w:val="0"/>
      <w:marTop w:val="0"/>
      <w:marBottom w:val="0"/>
      <w:divBdr>
        <w:top w:val="none" w:sz="0" w:space="0" w:color="auto"/>
        <w:left w:val="none" w:sz="0" w:space="0" w:color="auto"/>
        <w:bottom w:val="none" w:sz="0" w:space="0" w:color="auto"/>
        <w:right w:val="none" w:sz="0" w:space="0" w:color="auto"/>
      </w:divBdr>
    </w:div>
    <w:div w:id="1830362551">
      <w:bodyDiv w:val="1"/>
      <w:marLeft w:val="0"/>
      <w:marRight w:val="0"/>
      <w:marTop w:val="0"/>
      <w:marBottom w:val="0"/>
      <w:divBdr>
        <w:top w:val="none" w:sz="0" w:space="0" w:color="auto"/>
        <w:left w:val="none" w:sz="0" w:space="0" w:color="auto"/>
        <w:bottom w:val="none" w:sz="0" w:space="0" w:color="auto"/>
        <w:right w:val="none" w:sz="0" w:space="0" w:color="auto"/>
      </w:divBdr>
    </w:div>
    <w:div w:id="1862008923">
      <w:bodyDiv w:val="1"/>
      <w:marLeft w:val="0"/>
      <w:marRight w:val="0"/>
      <w:marTop w:val="0"/>
      <w:marBottom w:val="0"/>
      <w:divBdr>
        <w:top w:val="none" w:sz="0" w:space="0" w:color="auto"/>
        <w:left w:val="none" w:sz="0" w:space="0" w:color="auto"/>
        <w:bottom w:val="none" w:sz="0" w:space="0" w:color="auto"/>
        <w:right w:val="none" w:sz="0" w:space="0" w:color="auto"/>
      </w:divBdr>
    </w:div>
    <w:div w:id="1868061124">
      <w:bodyDiv w:val="1"/>
      <w:marLeft w:val="0"/>
      <w:marRight w:val="0"/>
      <w:marTop w:val="0"/>
      <w:marBottom w:val="0"/>
      <w:divBdr>
        <w:top w:val="none" w:sz="0" w:space="0" w:color="auto"/>
        <w:left w:val="none" w:sz="0" w:space="0" w:color="auto"/>
        <w:bottom w:val="none" w:sz="0" w:space="0" w:color="auto"/>
        <w:right w:val="none" w:sz="0" w:space="0" w:color="auto"/>
      </w:divBdr>
    </w:div>
    <w:div w:id="1870797102">
      <w:bodyDiv w:val="1"/>
      <w:marLeft w:val="0"/>
      <w:marRight w:val="0"/>
      <w:marTop w:val="0"/>
      <w:marBottom w:val="0"/>
      <w:divBdr>
        <w:top w:val="none" w:sz="0" w:space="0" w:color="auto"/>
        <w:left w:val="none" w:sz="0" w:space="0" w:color="auto"/>
        <w:bottom w:val="none" w:sz="0" w:space="0" w:color="auto"/>
        <w:right w:val="none" w:sz="0" w:space="0" w:color="auto"/>
      </w:divBdr>
    </w:div>
    <w:div w:id="1880584544">
      <w:bodyDiv w:val="1"/>
      <w:marLeft w:val="0"/>
      <w:marRight w:val="0"/>
      <w:marTop w:val="0"/>
      <w:marBottom w:val="0"/>
      <w:divBdr>
        <w:top w:val="none" w:sz="0" w:space="0" w:color="auto"/>
        <w:left w:val="none" w:sz="0" w:space="0" w:color="auto"/>
        <w:bottom w:val="none" w:sz="0" w:space="0" w:color="auto"/>
        <w:right w:val="none" w:sz="0" w:space="0" w:color="auto"/>
      </w:divBdr>
    </w:div>
    <w:div w:id="1930043270">
      <w:bodyDiv w:val="1"/>
      <w:marLeft w:val="0"/>
      <w:marRight w:val="0"/>
      <w:marTop w:val="0"/>
      <w:marBottom w:val="0"/>
      <w:divBdr>
        <w:top w:val="none" w:sz="0" w:space="0" w:color="auto"/>
        <w:left w:val="none" w:sz="0" w:space="0" w:color="auto"/>
        <w:bottom w:val="none" w:sz="0" w:space="0" w:color="auto"/>
        <w:right w:val="none" w:sz="0" w:space="0" w:color="auto"/>
      </w:divBdr>
    </w:div>
    <w:div w:id="1939025106">
      <w:bodyDiv w:val="1"/>
      <w:marLeft w:val="0"/>
      <w:marRight w:val="0"/>
      <w:marTop w:val="0"/>
      <w:marBottom w:val="0"/>
      <w:divBdr>
        <w:top w:val="none" w:sz="0" w:space="0" w:color="auto"/>
        <w:left w:val="none" w:sz="0" w:space="0" w:color="auto"/>
        <w:bottom w:val="none" w:sz="0" w:space="0" w:color="auto"/>
        <w:right w:val="none" w:sz="0" w:space="0" w:color="auto"/>
      </w:divBdr>
    </w:div>
    <w:div w:id="1941834405">
      <w:bodyDiv w:val="1"/>
      <w:marLeft w:val="0"/>
      <w:marRight w:val="0"/>
      <w:marTop w:val="0"/>
      <w:marBottom w:val="0"/>
      <w:divBdr>
        <w:top w:val="none" w:sz="0" w:space="0" w:color="auto"/>
        <w:left w:val="none" w:sz="0" w:space="0" w:color="auto"/>
        <w:bottom w:val="none" w:sz="0" w:space="0" w:color="auto"/>
        <w:right w:val="none" w:sz="0" w:space="0" w:color="auto"/>
      </w:divBdr>
    </w:div>
    <w:div w:id="1990088219">
      <w:bodyDiv w:val="1"/>
      <w:marLeft w:val="0"/>
      <w:marRight w:val="0"/>
      <w:marTop w:val="0"/>
      <w:marBottom w:val="0"/>
      <w:divBdr>
        <w:top w:val="none" w:sz="0" w:space="0" w:color="auto"/>
        <w:left w:val="none" w:sz="0" w:space="0" w:color="auto"/>
        <w:bottom w:val="none" w:sz="0" w:space="0" w:color="auto"/>
        <w:right w:val="none" w:sz="0" w:space="0" w:color="auto"/>
      </w:divBdr>
    </w:div>
    <w:div w:id="2001735740">
      <w:bodyDiv w:val="1"/>
      <w:marLeft w:val="0"/>
      <w:marRight w:val="0"/>
      <w:marTop w:val="0"/>
      <w:marBottom w:val="0"/>
      <w:divBdr>
        <w:top w:val="none" w:sz="0" w:space="0" w:color="auto"/>
        <w:left w:val="none" w:sz="0" w:space="0" w:color="auto"/>
        <w:bottom w:val="none" w:sz="0" w:space="0" w:color="auto"/>
        <w:right w:val="none" w:sz="0" w:space="0" w:color="auto"/>
      </w:divBdr>
    </w:div>
    <w:div w:id="2035376066">
      <w:bodyDiv w:val="1"/>
      <w:marLeft w:val="0"/>
      <w:marRight w:val="0"/>
      <w:marTop w:val="0"/>
      <w:marBottom w:val="0"/>
      <w:divBdr>
        <w:top w:val="none" w:sz="0" w:space="0" w:color="auto"/>
        <w:left w:val="none" w:sz="0" w:space="0" w:color="auto"/>
        <w:bottom w:val="none" w:sz="0" w:space="0" w:color="auto"/>
        <w:right w:val="none" w:sz="0" w:space="0" w:color="auto"/>
      </w:divBdr>
    </w:div>
    <w:div w:id="2054576256">
      <w:bodyDiv w:val="1"/>
      <w:marLeft w:val="0"/>
      <w:marRight w:val="0"/>
      <w:marTop w:val="0"/>
      <w:marBottom w:val="0"/>
      <w:divBdr>
        <w:top w:val="none" w:sz="0" w:space="0" w:color="auto"/>
        <w:left w:val="none" w:sz="0" w:space="0" w:color="auto"/>
        <w:bottom w:val="none" w:sz="0" w:space="0" w:color="auto"/>
        <w:right w:val="none" w:sz="0" w:space="0" w:color="auto"/>
      </w:divBdr>
    </w:div>
    <w:div w:id="2077849206">
      <w:bodyDiv w:val="1"/>
      <w:marLeft w:val="0"/>
      <w:marRight w:val="0"/>
      <w:marTop w:val="0"/>
      <w:marBottom w:val="0"/>
      <w:divBdr>
        <w:top w:val="none" w:sz="0" w:space="0" w:color="auto"/>
        <w:left w:val="none" w:sz="0" w:space="0" w:color="auto"/>
        <w:bottom w:val="none" w:sz="0" w:space="0" w:color="auto"/>
        <w:right w:val="none" w:sz="0" w:space="0" w:color="auto"/>
      </w:divBdr>
    </w:div>
    <w:div w:id="2103794450">
      <w:bodyDiv w:val="1"/>
      <w:marLeft w:val="0"/>
      <w:marRight w:val="0"/>
      <w:marTop w:val="0"/>
      <w:marBottom w:val="0"/>
      <w:divBdr>
        <w:top w:val="none" w:sz="0" w:space="0" w:color="auto"/>
        <w:left w:val="none" w:sz="0" w:space="0" w:color="auto"/>
        <w:bottom w:val="none" w:sz="0" w:space="0" w:color="auto"/>
        <w:right w:val="none" w:sz="0" w:space="0" w:color="auto"/>
      </w:divBdr>
    </w:div>
    <w:div w:id="211624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815A6-55F0-4563-9D11-5C2176F0B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18106</Words>
  <Characters>108639</Characters>
  <Application>Microsoft Office Word</Application>
  <DocSecurity>0</DocSecurity>
  <Lines>905</Lines>
  <Paragraphs>252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2026-04-09T11:00:00Z</dcterms:created>
  <dcterms:modified xsi:type="dcterms:W3CDTF">2026-04-10T14:25:00Z</dcterms:modified>
</cp:coreProperties>
</file>